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PingFang SC" w:hAnsi="PingFang SC" w:eastAsia="PingFang SC"/>
          <w:b/>
          <w:color w:val="0B2545"/>
          <w:sz w:val="44"/>
        </w:rPr>
        <w:t>敏感信息综合测试样本</w:t>
      </w:r>
    </w:p>
    <w:p>
      <w:pPr>
        <w:spacing w:after="360"/>
        <w:jc w:val="center"/>
      </w:pPr>
      <w:r>
        <w:rPr>
          <w:i/>
          <w:color w:val="595959"/>
        </w:rPr>
        <w:t>全部内容均为虚构测试数据，不对应任何真实个人、账户或组织。</w:t>
      </w:r>
    </w:p>
    <w:p>
      <w:pPr>
        <w:pStyle w:val="Heading1"/>
      </w:pPr>
      <w:r>
        <w:t>使用说明</w:t>
      </w:r>
    </w:p>
    <w:p>
      <w:r>
        <w:t>本文件用于验证文件上传、敏感字段识别、人工复核、脱敏、映射表生成和还原流程。建议在“敏感字段”页面启用内置规则后上传本文件，并对识别结果进行人工复核。</w:t>
      </w:r>
    </w:p>
    <w:p>
      <w:pPr>
        <w:spacing w:before="240" w:after="120"/>
      </w:pPr>
      <w:r>
        <w:rPr>
          <w:rFonts w:ascii="PingFang SC" w:hAnsi="PingFang SC" w:eastAsia="PingFang SC"/>
          <w:b/>
          <w:color w:val="2E74B5"/>
          <w:sz w:val="26"/>
        </w:rPr>
        <w:t>一、网络与联系方式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240"/>
        <w:gridCol w:w="3960"/>
      </w:tblGrid>
      <w:tr>
        <w:tc>
          <w:tcPr>
            <w:tcW w:type="dxa" w:w="2160"/>
            <w:vAlign w:val="center"/>
            <w:shd w:fill="F2F4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240"/>
            <w:vAlign w:val="center"/>
            <w:shd w:fill="F2F4F7"/>
          </w:tcPr>
          <w:p>
            <w:r>
              <w:rPr>
                <w:b/>
              </w:rPr>
              <w:t>测试数据（完全虚构）</w:t>
            </w:r>
          </w:p>
        </w:tc>
        <w:tc>
          <w:tcPr>
            <w:tcW w:type="dxa" w:w="3960"/>
            <w:vAlign w:val="center"/>
            <w:shd w:fill="F2F4F7"/>
          </w:tcPr>
          <w:p>
            <w:r>
              <w:rPr>
                <w:b/>
              </w:rPr>
              <w:t>识别方式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IPv4 地址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10.23.45.67；192.168.100.200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IPv6 地址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2001:db8:85a3::8a2e:370:7334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MAC 地址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AA:BB:CC:DD:EE:FF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手机号码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13800138000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固定电话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028-86753090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电子邮箱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test.user@example.test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JDBC 连接串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jdbc:mysql://db-test.example:3306/desens_demo?user=tester&amp;password=DemoPass_2026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</w:tbl>
    <w:p>
      <w:pPr>
        <w:pStyle w:val="Heading1"/>
      </w:pPr>
      <w:r>
        <w:t>二、个人与证件信息</w:t>
      </w:r>
    </w:p>
    <w:p>
      <w:pPr>
        <w:spacing w:before="240" w:after="120"/>
      </w:pPr>
      <w:r>
        <w:rPr>
          <w:rFonts w:ascii="PingFang SC" w:hAnsi="PingFang SC" w:eastAsia="PingFang SC"/>
          <w:b/>
          <w:color w:val="2E74B5"/>
          <w:sz w:val="26"/>
        </w:rPr>
        <w:t>人员信息样例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240"/>
        <w:gridCol w:w="3960"/>
      </w:tblGrid>
      <w:tr>
        <w:tc>
          <w:tcPr>
            <w:tcW w:type="dxa" w:w="2160"/>
            <w:vAlign w:val="center"/>
            <w:shd w:fill="F2F4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240"/>
            <w:vAlign w:val="center"/>
            <w:shd w:fill="F2F4F7"/>
          </w:tcPr>
          <w:p>
            <w:r>
              <w:rPr>
                <w:b/>
              </w:rPr>
              <w:t>测试数据（完全虚构）</w:t>
            </w:r>
          </w:p>
        </w:tc>
        <w:tc>
          <w:tcPr>
            <w:tcW w:type="dxa" w:w="3960"/>
            <w:vAlign w:val="center"/>
            <w:shd w:fill="F2F4F7"/>
          </w:tcPr>
          <w:p>
            <w:r>
              <w:rPr>
                <w:b/>
              </w:rPr>
              <w:t>识别方式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姓名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测试人员甲、张三丰、李小雨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姓名规则 / 自定义词库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性别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男；女；非二元（测试标签）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民族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汉族；回族；藏族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住址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测试省示例市演示区隐私路100号测试中心A座1203室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地址规则 / NLP 辅助识别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身份证号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11010519491231002X（公开测试样例）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校验码算法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银行卡号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4242 4242 4242 4242（支付测试卡号）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Luhn 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护照号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E12345678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港澳通行证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H12345678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军官证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军字第2026-001234号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日期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2026-08-14；2026年08月14日；2026/08/14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</w:tbl>
    <w:p>
      <w:r>
        <w:br w:type="page"/>
      </w:r>
    </w:p>
    <w:p>
      <w:pPr>
        <w:pStyle w:val="Heading1"/>
      </w:pPr>
      <w:r>
        <w:t>三、车辆与组织标识</w:t>
      </w:r>
    </w:p>
    <w:p>
      <w:pPr>
        <w:spacing w:before="240" w:after="120"/>
      </w:pPr>
      <w:r>
        <w:rPr>
          <w:rFonts w:ascii="PingFang SC" w:hAnsi="PingFang SC" w:eastAsia="PingFang SC"/>
          <w:b/>
          <w:color w:val="2E74B5"/>
          <w:sz w:val="26"/>
        </w:rPr>
        <w:t>车辆与企业信息样例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240"/>
        <w:gridCol w:w="3960"/>
      </w:tblGrid>
      <w:tr>
        <w:tc>
          <w:tcPr>
            <w:tcW w:type="dxa" w:w="2160"/>
            <w:vAlign w:val="center"/>
            <w:shd w:fill="F2F4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240"/>
            <w:vAlign w:val="center"/>
            <w:shd w:fill="F2F4F7"/>
          </w:tcPr>
          <w:p>
            <w:r>
              <w:rPr>
                <w:b/>
              </w:rPr>
              <w:t>测试数据（完全虚构）</w:t>
            </w:r>
          </w:p>
        </w:tc>
        <w:tc>
          <w:tcPr>
            <w:tcW w:type="dxa" w:w="3960"/>
            <w:vAlign w:val="center"/>
            <w:shd w:fill="F2F4F7"/>
          </w:tcPr>
          <w:p>
            <w:r>
              <w:rPr>
                <w:b/>
              </w:rPr>
              <w:t>识别方式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车牌号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川A12345；京AD12345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正则表达式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车辆识别代码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1HGCM82633A004352（测试 VIN）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校验码算法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组织机构代码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12345678-9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校验码算法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营业执照号码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91350100M000100Y43（测试统一代码格式）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校验码算法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统一社会信用代码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91350100M000100Y43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校验码算法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公司名称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示例数据科技（测试）有限公司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20"/>
              </w:rPr>
              <w:t>关键词 / 自定义规则</w:t>
            </w:r>
          </w:p>
        </w:tc>
      </w:tr>
    </w:tbl>
    <w:p>
      <w:pPr>
        <w:pStyle w:val="Heading1"/>
      </w:pPr>
      <w:r>
        <w:t>四、混合正文测试段落</w:t>
      </w:r>
    </w:p>
    <w:p>
      <w:r>
        <w:t>项目联系人测试人员甲，手机 13800138000，邮箱 test.user@example.test。其测试地址为测试省示例市演示区隐私路100号；测试设备 IP 为 10.23.45.67，MAC 为 AA:BB:CC:DD:EE:FF。</w:t>
      </w:r>
    </w:p>
    <w:p>
      <w:r>
        <w:t>测试车辆川A12345 的 VIN 为 1HGCM82633A004352。测试结算卡为 4242 4242 4242 4242，测试身份证为 11010519491231002X，处理日期为 2026-08-14。</w:t>
      </w:r>
    </w:p>
    <w:p>
      <w:r>
        <w:t>数据库测试连接：jdbc:mysql://db-test.example:3306/desens_demo?user=tester&amp;password=DemoPass_2026。请确认系统能识别规则命中，并在预览中检查是否存在误报或漏报。</w:t>
      </w:r>
    </w:p>
    <w:p>
      <w:pPr>
        <w:pStyle w:val="Heading1"/>
      </w:pPr>
      <w:r>
        <w:t>五、人工复核清单</w:t>
      </w:r>
    </w:p>
    <w:p>
      <w:pPr>
        <w:pStyle w:val="ListNumber"/>
        <w:spacing w:after="160"/>
      </w:pPr>
      <w:r>
        <w:t>检查同一字段在表格和正文中的重复出现是否都被识别。</w:t>
      </w:r>
    </w:p>
    <w:p>
      <w:pPr>
        <w:pStyle w:val="ListNumber"/>
        <w:spacing w:after="160"/>
      </w:pPr>
      <w:r>
        <w:t>检查算法型字段是否通过校验后才被标记。</w:t>
      </w:r>
    </w:p>
    <w:p>
      <w:pPr>
        <w:pStyle w:val="ListNumber"/>
        <w:spacing w:after="160"/>
      </w:pPr>
      <w:r>
        <w:t>检查地址、姓名、公司名称等语义字段，并按需要添加自定义规则。</w:t>
      </w:r>
    </w:p>
    <w:p>
      <w:pPr>
        <w:pStyle w:val="ListNumber"/>
        <w:spacing w:after="160"/>
      </w:pPr>
      <w:r>
        <w:t>执行脱敏后，再用历史记录完成还原，确认映射关系正确。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脱敏系统测试数据 · 仅用于功能验证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