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C69C38"/>
          <w:sz w:val="30"/>
        </w:rPr>
        <w:t>DOCUMENT 1</w:t>
      </w:r>
    </w:p>
    <w:p>
      <w:pPr>
        <w:pStyle w:val="Title"/>
        <w:jc w:val="center"/>
      </w:pPr>
      <w:r>
        <w:t>Clinical Knowledge Base</w:t>
      </w:r>
    </w:p>
    <w:p>
      <w:pPr>
        <w:pStyle w:val="Subtitle"/>
        <w:jc w:val="center"/>
      </w:pPr>
      <w:r>
        <w:t>Part 10: Fetal Presentation, Amniotic Fluid, Placenta, and Other Ultrasound Findings</w:t>
      </w:r>
    </w:p>
    <w:tbl>
      <w:tblPr>
        <w:tblW w:type="auto" w:w="0"/>
        <w:tblLook w:firstColumn="1" w:firstRow="1" w:lastColumn="0" w:lastRow="0" w:noHBand="0" w:noVBand="1" w:val="04A0"/>
      </w:tblPr>
      <w:tblGrid>
        <w:gridCol w:w="9994"/>
      </w:tblGrid>
      <w:tr>
        <w:trPr>
          <w:cantSplit/>
        </w:trPr>
        <w:tc>
          <w:tcPr>
            <w:tcW w:type="dxa" w:w="9994"/>
            <w:shd w:fill="EAF2F8"/>
            <w:tcBorders>
              <w:top w:val="single" w:sz="8" w:color="17365D"/>
              <w:left w:val="single" w:sz="8" w:color="17365D"/>
              <w:bottom w:val="single" w:sz="8" w:color="17365D"/>
              <w:right w:val="single" w:sz="8" w:color="17365D"/>
            </w:tcBorders>
          </w:tcPr>
          <w:p>
            <w:pPr>
              <w:pStyle w:val="Callout"/>
            </w:pPr>
            <w:r>
              <w:rPr>
                <w:b/>
                <w:color w:val="17365D"/>
              </w:rPr>
              <w:t xml:space="preserve">Purpose. </w:t>
            </w:r>
            <w:r>
              <w:t>Evidence synthesis and software-design specification for an explainable maternity Clinical Decision Support System (CDSS) in a Philippine lying-in clinic. The system records and acts on qualified ultrasound reports, supports timely referral, and exposes uncertainty. It does not acquire or interpret ultrasound images, make obstetric diagnoses, or determine mode or timing of birth autonomously.</w:t>
            </w:r>
          </w:p>
        </w:tc>
      </w:tr>
    </w:tbl>
    <w:p/>
    <w:p>
      <w:pPr>
        <w:jc w:val="center"/>
      </w:pPr>
      <w:r>
        <w:rPr>
          <w:b/>
        </w:rPr>
        <w:t>Prepared for the Web-Based Maternity Management System</w:t>
        <w:br/>
      </w:r>
      <w:r>
        <w:rPr>
          <w:color w:val="666666"/>
        </w:rPr>
        <w:t>Evidence reviewed through July 2026</w:t>
      </w:r>
    </w:p>
    <w:p>
      <w:r>
        <w:br w:type="page"/>
      </w:r>
    </w:p>
    <w:p>
      <w:pPr>
        <w:pStyle w:val="Heading1"/>
      </w:pPr>
      <w:r>
        <w:t>Executive Summary</w:t>
      </w:r>
    </w:p>
    <w:p>
      <w:r>
        <w:t>Ultrasound findings must be treated as dated clinical reports with method, gestational age, reporting clinician, uncertainty, and recommended follow-up. Fetal presentation, amniotic fluid, placental location, fetal growth, cord/placental findings, Doppler, and structural findings have different meanings at different gestations. A safe CDSS therefore stores the reported finding and its status, links it to the accepted pregnancy dating record, and activates the correct review or referral pathway without attempting image interpretation.</w:t>
      </w:r>
    </w:p>
    <w:tbl>
      <w:tblPr>
        <w:tblW w:type="auto" w:w="0"/>
        <w:tblLook w:firstColumn="1" w:firstRow="1" w:lastColumn="0" w:lastRow="0" w:noHBand="0" w:noVBand="1" w:val="04A0"/>
      </w:tblPr>
      <w:tblGrid>
        <w:gridCol w:w="9994"/>
      </w:tblGrid>
      <w:tr>
        <w:trPr>
          <w:cantSplit/>
        </w:trP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Core decision. </w:t>
            </w:r>
            <w:r>
              <w:t>Part 10 should not use the current simple rule “Breech/Transverse/Oblique = HIGH” or “Amniotic fluid Low/High = HIGH” at every gestation. Instead, it should distinguish early or transient findings from persistent late-pregnancy malpresentation, quantify fluid using the reported method, identify placental proximity to the internal cervical os, recognize placenta accreta spectrum and vasa previa pathways, and escalate any bleeding, rupture of membranes, labor, or maternal/fetal instability immediately.</w:t>
            </w:r>
          </w:p>
        </w:tc>
      </w:tr>
    </w:tbl>
    <w:p/>
    <w:p>
      <w:pPr>
        <w:pStyle w:val="ListBullet"/>
        <w:spacing w:after="50"/>
      </w:pPr>
      <w:r>
        <w:rPr>
          <w:b/>
        </w:rPr>
        <w:t xml:space="preserve">Presentation: </w:t>
      </w:r>
      <w:r>
        <w:t>Cephalic, breech subtype, transverse, oblique, unstable, and uncertain should be stored separately. Clinical significance rises near term; suspected breech after 36+0 weeks in a singleton pregnancy requires ultrasound confirmation and obstetric discussion.</w:t>
      </w:r>
    </w:p>
    <w:p>
      <w:pPr>
        <w:pStyle w:val="ListBullet"/>
        <w:spacing w:after="50"/>
      </w:pPr>
      <w:r>
        <w:rPr>
          <w:b/>
        </w:rPr>
        <w:t xml:space="preserve">Amniotic fluid: </w:t>
      </w:r>
      <w:r>
        <w:t>Store the actual deepest vertical pocket (DVP) or amniotic fluid index (AFI), method, gestation, and report impression. Oligohydramnios and polyhydramnios require evaluation of cause and associated findings.</w:t>
      </w:r>
    </w:p>
    <w:p>
      <w:pPr>
        <w:pStyle w:val="ListBullet"/>
        <w:spacing w:after="50"/>
      </w:pPr>
      <w:r>
        <w:rPr>
          <w:b/>
        </w:rPr>
        <w:t xml:space="preserve">Placenta: </w:t>
      </w:r>
      <w:r>
        <w:t>Separate anterior/posterior/fundal location from low-lying placenta, placenta praevia, suspected placenta accreta spectrum, placental abruption concern, and vasa previa.</w:t>
      </w:r>
    </w:p>
    <w:p>
      <w:pPr>
        <w:pStyle w:val="ListBullet"/>
        <w:spacing w:after="50"/>
      </w:pPr>
      <w:r>
        <w:rPr>
          <w:b/>
        </w:rPr>
        <w:t xml:space="preserve">Other findings: </w:t>
      </w:r>
      <w:r>
        <w:t>Record fetal number, biometry, estimated fetal weight and percentile, anomalies, cord insertion, Doppler, biophysical profile, and recommendations only as reported by qualified clinicians.</w:t>
      </w:r>
    </w:p>
    <w:p>
      <w:pPr>
        <w:pStyle w:val="ListBullet"/>
        <w:spacing w:after="50"/>
      </w:pPr>
      <w:r>
        <w:rPr>
          <w:b/>
        </w:rPr>
        <w:t xml:space="preserve">Emergency override: </w:t>
      </w:r>
      <w:r>
        <w:t>Vaginal bleeding, fluid loss, contractions/labor, severe pain, maternal instability, reduced/absent fetal movement, or a critical reported ultrasound/Doppler finding overrides ordinary follow-up.</w:t>
      </w:r>
    </w:p>
    <w:p>
      <w:pPr>
        <w:pStyle w:val="Heading1"/>
      </w:pPr>
      <w:r>
        <w:t>1. Scope and Clinical Questions</w:t>
      </w:r>
    </w:p>
    <w:p>
      <w:pPr>
        <w:pStyle w:val="ListNumber"/>
        <w:spacing w:after="60"/>
      </w:pPr>
      <w:r>
        <w:t>How should fetal presentation be represented across gestation, and when does malpresentation require referral?</w:t>
      </w:r>
    </w:p>
    <w:p>
      <w:pPr>
        <w:pStyle w:val="ListNumber"/>
        <w:spacing w:after="60"/>
      </w:pPr>
      <w:r>
        <w:t>How should amniotic fluid be quantified, classified, and linked to maternal or fetal conditions?</w:t>
      </w:r>
    </w:p>
    <w:p>
      <w:pPr>
        <w:pStyle w:val="ListNumber"/>
        <w:spacing w:after="60"/>
      </w:pPr>
      <w:r>
        <w:t>How should placental location, low-lying placenta, placenta praevia, placenta accreta spectrum, vasa previa, and abruption concern be distinguished?</w:t>
      </w:r>
    </w:p>
    <w:p>
      <w:pPr>
        <w:pStyle w:val="ListNumber"/>
        <w:spacing w:after="60"/>
      </w:pPr>
      <w:r>
        <w:t>Which ultrasound findings may be stored as information only, and which require scheduled, urgent, or emergency action?</w:t>
      </w:r>
    </w:p>
    <w:p>
      <w:pPr>
        <w:pStyle w:val="ListNumber"/>
        <w:spacing w:after="60"/>
      </w:pPr>
      <w:r>
        <w:t>How should the CDSS handle growth percentiles, multiple pregnancy, anomalies, cord insertion, and Doppler reports without interpreting images?</w:t>
      </w:r>
    </w:p>
    <w:p>
      <w:pPr>
        <w:pStyle w:val="ListNumber"/>
        <w:spacing w:after="60"/>
      </w:pPr>
      <w:r>
        <w:t>What database schema and user interface are required for versioned, explainable, auditable ultrasound data?</w:t>
      </w:r>
    </w:p>
    <w:tbl>
      <w:tblPr>
        <w:tblW w:type="auto" w:w="0"/>
        <w:tblLook w:firstColumn="1" w:firstRow="1" w:lastColumn="0" w:lastRow="0" w:noHBand="0" w:noVBand="1" w:val="04A0"/>
      </w:tblPr>
      <w:tblGrid>
        <w:gridCol w:w="9994"/>
      </w:tblGrid>
      <w:tr>
        <w:trPr>
          <w:cantSplit/>
        </w:trP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Out of scope. </w:t>
            </w:r>
            <w:r>
              <w:t>The system must not perform sonography, calculate a diagnosis from raw images, independently re-date the pregnancy, determine fetal anomaly prognosis, interpret Doppler waveforms, diagnose placental abruption, recommend external cephalic version, or decide route/timing of birth.</w:t>
            </w:r>
          </w:p>
        </w:tc>
      </w:tr>
    </w:tbl>
    <w:p/>
    <w:p>
      <w:pPr>
        <w:pStyle w:val="Heading1"/>
      </w:pPr>
      <w:r>
        <w:t>2. Evidence Base and Guideline Synthesis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304"/>
            <w:vAlign w:val="center"/>
            <w:shd w:fill="17365D"/>
          </w:tcPr>
          <w:p>
            <w:pPr>
              <w:spacing w:after="0"/>
            </w:pPr>
            <w:r/>
            <w:r>
              <w:rPr>
                <w:rFonts w:ascii="Aptos" w:hAnsi="Aptos"/>
                <w:b/>
                <w:color w:val="FFFFFF"/>
                <w:sz w:val="16"/>
              </w:rPr>
              <w:t>Source</w:t>
            </w:r>
          </w:p>
        </w:tc>
        <w:tc>
          <w:tcPr>
            <w:tcW w:type="dxa" w:w="5112"/>
            <w:vAlign w:val="center"/>
            <w:shd w:fill="17365D"/>
          </w:tcPr>
          <w:p>
            <w:pPr>
              <w:spacing w:after="0"/>
            </w:pPr>
            <w:r/>
            <w:r>
              <w:rPr>
                <w:rFonts w:ascii="Aptos" w:hAnsi="Aptos"/>
                <w:b/>
                <w:color w:val="FFFFFF"/>
                <w:sz w:val="16"/>
              </w:rPr>
              <w:t>Relevant guidance</w:t>
            </w:r>
          </w:p>
        </w:tc>
        <w:tc>
          <w:tcPr>
            <w:tcW w:type="dxa" w:w="2952"/>
            <w:vAlign w:val="center"/>
            <w:shd w:fill="17365D"/>
          </w:tcPr>
          <w:p>
            <w:pPr>
              <w:spacing w:after="0"/>
            </w:pPr>
            <w:r/>
            <w:r>
              <w:rPr>
                <w:rFonts w:ascii="Aptos" w:hAnsi="Aptos"/>
                <w:b/>
                <w:color w:val="FFFFFF"/>
                <w:sz w:val="16"/>
              </w:rPr>
              <w:t>CDSS consequence</w:t>
            </w:r>
          </w:p>
        </w:tc>
      </w:tr>
      <w:tr>
        <w:trPr>
          <w:cantSplit/>
        </w:trPr>
        <w:tc>
          <w:tcPr>
            <w:tcW w:type="dxa" w:w="2304"/>
            <w:vAlign w:val="center"/>
            <w:shd w:fill="FFFFFF"/>
          </w:tcPr>
          <w:p>
            <w:pPr>
              <w:spacing w:after="0"/>
            </w:pPr>
            <w:r/>
            <w:r>
              <w:rPr>
                <w:rFonts w:ascii="Aptos" w:hAnsi="Aptos"/>
                <w:b w:val="0"/>
                <w:sz w:val="14"/>
              </w:rPr>
              <w:t>WHO ANC ultrasound update (2022)</w:t>
            </w:r>
          </w:p>
        </w:tc>
        <w:tc>
          <w:tcPr>
            <w:tcW w:type="dxa" w:w="5112"/>
            <w:vAlign w:val="center"/>
            <w:shd w:fill="FFFFFF"/>
          </w:tcPr>
          <w:p>
            <w:pPr>
              <w:spacing w:after="0"/>
            </w:pPr>
            <w:r/>
            <w:r>
              <w:rPr>
                <w:rFonts w:ascii="Aptos" w:hAnsi="Aptos"/>
                <w:b w:val="0"/>
                <w:sz w:val="14"/>
              </w:rPr>
              <w:t>One ultrasound before 24 weeks is recommended to estimate gestational age and improve detection of fetal anomalies and multiple pregnancy.</w:t>
            </w:r>
          </w:p>
        </w:tc>
        <w:tc>
          <w:tcPr>
            <w:tcW w:type="dxa" w:w="2952"/>
            <w:vAlign w:val="center"/>
            <w:shd w:fill="FFFFFF"/>
          </w:tcPr>
          <w:p>
            <w:pPr>
              <w:spacing w:after="0"/>
            </w:pPr>
            <w:r/>
            <w:r>
              <w:rPr>
                <w:rFonts w:ascii="Aptos" w:hAnsi="Aptos"/>
                <w:b w:val="0"/>
                <w:sz w:val="14"/>
              </w:rPr>
              <w:t>Preserve early scan, dating, fetal number, anomaly screen, and follow-up status.</w:t>
            </w:r>
          </w:p>
        </w:tc>
      </w:tr>
      <w:tr>
        <w:trPr>
          <w:cantSplit/>
        </w:trPr>
        <w:tc>
          <w:tcPr>
            <w:tcW w:type="dxa" w:w="2304"/>
            <w:vAlign w:val="center"/>
            <w:shd w:fill="F7F9FC"/>
          </w:tcPr>
          <w:p>
            <w:pPr>
              <w:spacing w:after="0"/>
            </w:pPr>
            <w:r/>
            <w:r>
              <w:rPr>
                <w:rFonts w:ascii="Aptos" w:hAnsi="Aptos"/>
                <w:b w:val="0"/>
                <w:sz w:val="14"/>
              </w:rPr>
              <w:t>NICE NG201</w:t>
            </w:r>
          </w:p>
        </w:tc>
        <w:tc>
          <w:tcPr>
            <w:tcW w:type="dxa" w:w="5112"/>
            <w:vAlign w:val="center"/>
            <w:shd w:fill="F7F9FC"/>
          </w:tcPr>
          <w:p>
            <w:pPr>
              <w:spacing w:after="0"/>
            </w:pPr>
            <w:r/>
            <w:r>
              <w:rPr>
                <w:rFonts w:ascii="Aptos" w:hAnsi="Aptos"/>
                <w:b w:val="0"/>
                <w:sz w:val="14"/>
              </w:rPr>
              <w:t>Anomaly scan at 18+0 to 20+6 weeks includes placental location. Palpate after 36+0 weeks for possible breech; confirm suspected breech by ultrasound.</w:t>
            </w:r>
          </w:p>
        </w:tc>
        <w:tc>
          <w:tcPr>
            <w:tcW w:type="dxa" w:w="2952"/>
            <w:vAlign w:val="center"/>
            <w:shd w:fill="F7F9FC"/>
          </w:tcPr>
          <w:p>
            <w:pPr>
              <w:spacing w:after="0"/>
            </w:pPr>
            <w:r/>
            <w:r>
              <w:rPr>
                <w:rFonts w:ascii="Aptos" w:hAnsi="Aptos"/>
                <w:b w:val="0"/>
                <w:sz w:val="14"/>
              </w:rPr>
              <w:t>Create scheduled placental-location and late-presentation checks; do not infer presentation from old scans.</w:t>
            </w:r>
          </w:p>
        </w:tc>
      </w:tr>
      <w:tr>
        <w:trPr>
          <w:cantSplit/>
        </w:trPr>
        <w:tc>
          <w:tcPr>
            <w:tcW w:type="dxa" w:w="2304"/>
            <w:vAlign w:val="center"/>
            <w:shd w:fill="FFFFFF"/>
          </w:tcPr>
          <w:p>
            <w:pPr>
              <w:spacing w:after="0"/>
            </w:pPr>
            <w:r/>
            <w:r>
              <w:rPr>
                <w:rFonts w:ascii="Aptos" w:hAnsi="Aptos"/>
                <w:b w:val="0"/>
                <w:sz w:val="14"/>
              </w:rPr>
              <w:t>NICE NG192</w:t>
            </w:r>
          </w:p>
        </w:tc>
        <w:tc>
          <w:tcPr>
            <w:tcW w:type="dxa" w:w="5112"/>
            <w:vAlign w:val="center"/>
            <w:shd w:fill="FFFFFF"/>
          </w:tcPr>
          <w:p>
            <w:pPr>
              <w:spacing w:after="0"/>
            </w:pPr>
            <w:r/>
            <w:r>
              <w:rPr>
                <w:rFonts w:ascii="Aptos" w:hAnsi="Aptos"/>
                <w:b w:val="0"/>
                <w:sz w:val="14"/>
              </w:rPr>
              <w:t>Placenta covering the internal os requires caesarean birth planning. Low-lying/previa plus a uterine scar requires expert ultrasound for PAS around 28 weeks and specialist referral if suspected.</w:t>
            </w:r>
          </w:p>
        </w:tc>
        <w:tc>
          <w:tcPr>
            <w:tcW w:type="dxa" w:w="2952"/>
            <w:vAlign w:val="center"/>
            <w:shd w:fill="FFFFFF"/>
          </w:tcPr>
          <w:p>
            <w:pPr>
              <w:spacing w:after="0"/>
            </w:pPr>
            <w:r/>
            <w:r>
              <w:rPr>
                <w:rFonts w:ascii="Aptos" w:hAnsi="Aptos"/>
                <w:b w:val="0"/>
                <w:sz w:val="14"/>
              </w:rPr>
              <w:t>Create a high-priority PAS pathway based on report plus scar history; birth decisions remain specialist-only.</w:t>
            </w:r>
          </w:p>
        </w:tc>
      </w:tr>
      <w:tr>
        <w:trPr>
          <w:cantSplit/>
        </w:trPr>
        <w:tc>
          <w:tcPr>
            <w:tcW w:type="dxa" w:w="2304"/>
            <w:vAlign w:val="center"/>
            <w:shd w:fill="F7F9FC"/>
          </w:tcPr>
          <w:p>
            <w:pPr>
              <w:spacing w:after="0"/>
            </w:pPr>
            <w:r/>
            <w:r>
              <w:rPr>
                <w:rFonts w:ascii="Aptos" w:hAnsi="Aptos"/>
                <w:b w:val="0"/>
                <w:sz w:val="14"/>
              </w:rPr>
              <w:t>RCOG GTG 27a (2026)</w:t>
            </w:r>
          </w:p>
        </w:tc>
        <w:tc>
          <w:tcPr>
            <w:tcW w:type="dxa" w:w="5112"/>
            <w:vAlign w:val="center"/>
            <w:shd w:fill="F7F9FC"/>
          </w:tcPr>
          <w:p>
            <w:pPr>
              <w:spacing w:after="0"/>
            </w:pPr>
            <w:r/>
            <w:r>
              <w:rPr>
                <w:rFonts w:ascii="Aptos" w:hAnsi="Aptos"/>
                <w:b w:val="0"/>
                <w:sz w:val="14"/>
              </w:rPr>
              <w:t>Placenta praevia and placenta accreta spectrum carry major hemorrhage and preterm-birth risk; missed coexisting disease has the worst outcomes.</w:t>
            </w:r>
          </w:p>
        </w:tc>
        <w:tc>
          <w:tcPr>
            <w:tcW w:type="dxa" w:w="2952"/>
            <w:vAlign w:val="center"/>
            <w:shd w:fill="F7F9FC"/>
          </w:tcPr>
          <w:p>
            <w:pPr>
              <w:spacing w:after="0"/>
            </w:pPr>
            <w:r/>
            <w:r>
              <w:rPr>
                <w:rFonts w:ascii="Aptos" w:hAnsi="Aptos"/>
                <w:b w:val="0"/>
                <w:sz w:val="14"/>
              </w:rPr>
              <w:t>Prominent alerts, bleeding emergency plan, specialist-centre referral, and no lying-in delivery plan.</w:t>
            </w:r>
          </w:p>
        </w:tc>
      </w:tr>
      <w:tr>
        <w:trPr>
          <w:cantSplit/>
        </w:trPr>
        <w:tc>
          <w:tcPr>
            <w:tcW w:type="dxa" w:w="2304"/>
            <w:vAlign w:val="center"/>
            <w:shd w:fill="FFFFFF"/>
          </w:tcPr>
          <w:p>
            <w:pPr>
              <w:spacing w:after="0"/>
            </w:pPr>
            <w:r/>
            <w:r>
              <w:rPr>
                <w:rFonts w:ascii="Aptos" w:hAnsi="Aptos"/>
                <w:b w:val="0"/>
                <w:sz w:val="14"/>
              </w:rPr>
              <w:t>ISUOG third-trimester ultrasound guideline</w:t>
            </w:r>
          </w:p>
        </w:tc>
        <w:tc>
          <w:tcPr>
            <w:tcW w:type="dxa" w:w="5112"/>
            <w:vAlign w:val="center"/>
            <w:shd w:fill="FFFFFF"/>
          </w:tcPr>
          <w:p>
            <w:pPr>
              <w:spacing w:after="0"/>
            </w:pPr>
            <w:r/>
            <w:r>
              <w:rPr>
                <w:rFonts w:ascii="Aptos" w:hAnsi="Aptos"/>
                <w:b w:val="0"/>
                <w:sz w:val="14"/>
              </w:rPr>
              <w:t>Third-trimester scan documents presentation, placental location, biometry, anomalies, fluid, and Doppler findings.</w:t>
            </w:r>
          </w:p>
        </w:tc>
        <w:tc>
          <w:tcPr>
            <w:tcW w:type="dxa" w:w="2952"/>
            <w:vAlign w:val="center"/>
            <w:shd w:fill="FFFFFF"/>
          </w:tcPr>
          <w:p>
            <w:pPr>
              <w:spacing w:after="0"/>
            </w:pPr>
            <w:r/>
            <w:r>
              <w:rPr>
                <w:rFonts w:ascii="Aptos" w:hAnsi="Aptos"/>
                <w:b w:val="0"/>
                <w:sz w:val="14"/>
              </w:rPr>
              <w:t>Use structured report fields and source traceability; never derive findings from images.</w:t>
            </w:r>
          </w:p>
        </w:tc>
      </w:tr>
      <w:tr>
        <w:trPr>
          <w:cantSplit/>
        </w:trPr>
        <w:tc>
          <w:tcPr>
            <w:tcW w:type="dxa" w:w="2304"/>
            <w:vAlign w:val="center"/>
            <w:shd w:fill="F7F9FC"/>
          </w:tcPr>
          <w:p>
            <w:pPr>
              <w:spacing w:after="0"/>
            </w:pPr>
            <w:r/>
            <w:r>
              <w:rPr>
                <w:rFonts w:ascii="Aptos" w:hAnsi="Aptos"/>
                <w:b w:val="0"/>
                <w:sz w:val="14"/>
              </w:rPr>
              <w:t>SMFM Consult 46</w:t>
            </w:r>
          </w:p>
        </w:tc>
        <w:tc>
          <w:tcPr>
            <w:tcW w:type="dxa" w:w="5112"/>
            <w:vAlign w:val="center"/>
            <w:shd w:fill="F7F9FC"/>
          </w:tcPr>
          <w:p>
            <w:pPr>
              <w:spacing w:after="0"/>
            </w:pPr>
            <w:r/>
            <w:r>
              <w:rPr>
                <w:rFonts w:ascii="Aptos" w:hAnsi="Aptos"/>
                <w:b w:val="0"/>
                <w:sz w:val="14"/>
              </w:rPr>
              <w:t>Polyhydramnios may be defined as DVP ≥8 cm or AFI ≥24 cm; investigate etiology and severity.</w:t>
            </w:r>
          </w:p>
        </w:tc>
        <w:tc>
          <w:tcPr>
            <w:tcW w:type="dxa" w:w="2952"/>
            <w:vAlign w:val="center"/>
            <w:shd w:fill="F7F9FC"/>
          </w:tcPr>
          <w:p>
            <w:pPr>
              <w:spacing w:after="0"/>
            </w:pPr>
            <w:r/>
            <w:r>
              <w:rPr>
                <w:rFonts w:ascii="Aptos" w:hAnsi="Aptos"/>
                <w:b w:val="0"/>
                <w:sz w:val="14"/>
              </w:rPr>
              <w:t>Store method/value and severity; link diabetes/anomaly evaluation and referral.</w:t>
            </w:r>
          </w:p>
        </w:tc>
      </w:tr>
      <w:tr>
        <w:trPr>
          <w:cantSplit/>
        </w:trPr>
        <w:tc>
          <w:tcPr>
            <w:tcW w:type="dxa" w:w="2304"/>
            <w:vAlign w:val="center"/>
            <w:shd w:fill="FFFFFF"/>
          </w:tcPr>
          <w:p>
            <w:pPr>
              <w:spacing w:after="0"/>
            </w:pPr>
            <w:r/>
            <w:r>
              <w:rPr>
                <w:rFonts w:ascii="Aptos" w:hAnsi="Aptos"/>
                <w:b w:val="0"/>
                <w:sz w:val="14"/>
              </w:rPr>
              <w:t>ACOG Committee Opinion 828</w:t>
            </w:r>
          </w:p>
        </w:tc>
        <w:tc>
          <w:tcPr>
            <w:tcW w:type="dxa" w:w="5112"/>
            <w:vAlign w:val="center"/>
            <w:shd w:fill="FFFFFF"/>
          </w:tcPr>
          <w:p>
            <w:pPr>
              <w:spacing w:after="0"/>
            </w:pPr>
            <w:r/>
            <w:r>
              <w:rPr>
                <w:rFonts w:ascii="Aptos" w:hAnsi="Aptos"/>
                <w:b w:val="0"/>
                <w:sz w:val="14"/>
              </w:rPr>
              <w:t>Isolated oligohydramnios uses DVP &lt;2 cm; surveillance decisions depend on the whole clinical picture.</w:t>
            </w:r>
          </w:p>
        </w:tc>
        <w:tc>
          <w:tcPr>
            <w:tcW w:type="dxa" w:w="2952"/>
            <w:vAlign w:val="center"/>
            <w:shd w:fill="FFFFFF"/>
          </w:tcPr>
          <w:p>
            <w:pPr>
              <w:spacing w:after="0"/>
            </w:pPr>
            <w:r/>
            <w:r>
              <w:rPr>
                <w:rFonts w:ascii="Aptos" w:hAnsi="Aptos"/>
                <w:b w:val="0"/>
                <w:sz w:val="14"/>
              </w:rPr>
              <w:t>Flag reported oligohydramnios for qualified assessment; do not prescribe surveillance autonomously.</w:t>
            </w:r>
          </w:p>
        </w:tc>
      </w:tr>
      <w:tr>
        <w:trPr>
          <w:cantSplit/>
        </w:trPr>
        <w:tc>
          <w:tcPr>
            <w:tcW w:type="dxa" w:w="2304"/>
            <w:vAlign w:val="center"/>
            <w:shd w:fill="F7F9FC"/>
          </w:tcPr>
          <w:p>
            <w:pPr>
              <w:spacing w:after="0"/>
            </w:pPr>
            <w:r/>
            <w:r>
              <w:rPr>
                <w:rFonts w:ascii="Aptos" w:hAnsi="Aptos"/>
                <w:b w:val="0"/>
                <w:sz w:val="14"/>
              </w:rPr>
              <w:t>SMFM Consult 37</w:t>
            </w:r>
          </w:p>
        </w:tc>
        <w:tc>
          <w:tcPr>
            <w:tcW w:type="dxa" w:w="5112"/>
            <w:vAlign w:val="center"/>
            <w:shd w:fill="F7F9FC"/>
          </w:tcPr>
          <w:p>
            <w:pPr>
              <w:spacing w:after="0"/>
            </w:pPr>
            <w:r/>
            <w:r>
              <w:rPr>
                <w:rFonts w:ascii="Aptos" w:hAnsi="Aptos"/>
                <w:b w:val="0"/>
                <w:sz w:val="14"/>
              </w:rPr>
              <w:t>Vasa previa involves unprotected fetal vessels over/near the cervix and requires planned specialist management before labor or membrane rupture.</w:t>
            </w:r>
          </w:p>
        </w:tc>
        <w:tc>
          <w:tcPr>
            <w:tcW w:type="dxa" w:w="2952"/>
            <w:vAlign w:val="center"/>
            <w:shd w:fill="F7F9FC"/>
          </w:tcPr>
          <w:p>
            <w:pPr>
              <w:spacing w:after="0"/>
            </w:pPr>
            <w:r/>
            <w:r>
              <w:rPr>
                <w:rFonts w:ascii="Aptos" w:hAnsi="Aptos"/>
                <w:b w:val="0"/>
                <w:sz w:val="14"/>
              </w:rPr>
              <w:t>Treat confirmed/suspected vasa previa as hospital-only, with emergency override for bleeding or rupture.</w:t>
            </w:r>
          </w:p>
        </w:tc>
      </w:tr>
    </w:tbl>
    <w:p/>
    <w:p>
      <w:pPr>
        <w:pStyle w:val="Heading1"/>
      </w:pPr>
      <w:r>
        <w:t>3. Ultrasound Data Principles</w:t>
      </w:r>
    </w:p>
    <w:p>
      <w:pPr>
        <w:pStyle w:val="ListBullet"/>
        <w:spacing w:after="50"/>
      </w:pPr>
      <w:r>
        <w:t>Every finding must be tied to scan date/time, gestational age, accepted EDD version, facility, sonographer/reporting clinician, report type, and source document.</w:t>
      </w:r>
    </w:p>
    <w:p>
      <w:pPr>
        <w:pStyle w:val="ListBullet"/>
        <w:spacing w:after="50"/>
      </w:pPr>
      <w:r>
        <w:t>Store measurements and the reporting clinician’s impression separately. A numeric value is not itself a diagnosis.</w:t>
      </w:r>
    </w:p>
    <w:p>
      <w:pPr>
        <w:pStyle w:val="ListBullet"/>
        <w:spacing w:after="50"/>
      </w:pPr>
      <w:r>
        <w:t>Use explicit states: present, absent, suspected, resolved, persistent, uncertain, not assessed, and not applicable.</w:t>
      </w:r>
    </w:p>
    <w:p>
      <w:pPr>
        <w:pStyle w:val="ListBullet"/>
        <w:spacing w:after="50"/>
      </w:pPr>
      <w:r>
        <w:t>Later scans must not silently overwrite earlier findings; retain a longitudinal history.</w:t>
      </w:r>
    </w:p>
    <w:p>
      <w:pPr>
        <w:pStyle w:val="ListBullet"/>
        <w:spacing w:after="50"/>
      </w:pPr>
      <w:r>
        <w:t>When reports conflict, show both and require qualified reconciliation.</w:t>
      </w:r>
    </w:p>
    <w:p>
      <w:pPr>
        <w:pStyle w:val="ListBullet"/>
        <w:spacing w:after="50"/>
      </w:pPr>
      <w:r>
        <w:t>Patient-entered or staff-transcribed findings must be marked unverified until matched to a report.</w:t>
      </w:r>
    </w:p>
    <w:p>
      <w:pPr>
        <w:pStyle w:val="ListBullet"/>
        <w:spacing w:after="50"/>
      </w:pPr>
      <w:r>
        <w:t>Any urgent recommendation written in the report must create a tracked action, not merely a note.</w:t>
      </w:r>
    </w:p>
    <w:tbl>
      <w:tblPr>
        <w:tblW w:type="auto" w:w="0"/>
        <w:tblLook w:firstColumn="1" w:firstRow="1" w:lastColumn="0" w:lastRow="0" w:noHBand="0" w:noVBand="1" w:val="04A0"/>
      </w:tblPr>
      <w:tblGrid>
        <w:gridCol w:w="9994"/>
      </w:tblGrid>
      <w:tr>
        <w:trPr>
          <w:cantSplit/>
        </w:trP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Source hierarchy. </w:t>
            </w:r>
            <w:r>
              <w:t>A signed ultrasound report from a qualified service is the primary source. The CDSS may display and route the report but must not reinterpret stored images or screenshots.</w:t>
            </w:r>
          </w:p>
        </w:tc>
      </w:tr>
    </w:tbl>
    <w:p/>
    <w:p>
      <w:pPr>
        <w:pStyle w:val="Heading1"/>
      </w:pPr>
      <w:r>
        <w:t>4. Fetal Presentation</w:t>
      </w:r>
    </w:p>
    <w:p>
      <w:r>
        <w:t>Presentation is the fetal part closest to the pelvic inlet. It can change, especially before term. The CDSS must distinguish a temporary earlier-gestation observation from persistent late-pregnancy malpresentation.</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944"/>
            <w:vAlign w:val="center"/>
            <w:shd w:fill="17365D"/>
          </w:tcPr>
          <w:p>
            <w:pPr>
              <w:spacing w:after="0"/>
            </w:pPr>
            <w:r/>
            <w:r>
              <w:rPr>
                <w:rFonts w:ascii="Aptos" w:hAnsi="Aptos"/>
                <w:b/>
                <w:color w:val="FFFFFF"/>
                <w:sz w:val="16"/>
              </w:rPr>
              <w:t>Presentation</w:t>
            </w:r>
          </w:p>
        </w:tc>
        <w:tc>
          <w:tcPr>
            <w:tcW w:type="dxa" w:w="2520"/>
            <w:vAlign w:val="center"/>
            <w:shd w:fill="17365D"/>
          </w:tcPr>
          <w:p>
            <w:pPr>
              <w:spacing w:after="0"/>
            </w:pPr>
            <w:r/>
            <w:r>
              <w:rPr>
                <w:rFonts w:ascii="Aptos" w:hAnsi="Aptos"/>
                <w:b/>
                <w:color w:val="FFFFFF"/>
                <w:sz w:val="16"/>
              </w:rPr>
              <w:t>Structured value</w:t>
            </w:r>
          </w:p>
        </w:tc>
        <w:tc>
          <w:tcPr>
            <w:tcW w:type="dxa" w:w="5904"/>
            <w:vAlign w:val="center"/>
            <w:shd w:fill="17365D"/>
          </w:tcPr>
          <w:p>
            <w:pPr>
              <w:spacing w:after="0"/>
            </w:pPr>
            <w:r/>
            <w:r>
              <w:rPr>
                <w:rFonts w:ascii="Aptos" w:hAnsi="Aptos"/>
                <w:b/>
                <w:color w:val="FFFFFF"/>
                <w:sz w:val="16"/>
              </w:rPr>
              <w:t>Clinical meaning for CDSS</w:t>
            </w:r>
          </w:p>
        </w:tc>
      </w:tr>
      <w:tr>
        <w:trPr>
          <w:cantSplit/>
        </w:trPr>
        <w:tc>
          <w:tcPr>
            <w:tcW w:type="dxa" w:w="1944"/>
            <w:vAlign w:val="center"/>
            <w:shd w:fill="FFFFFF"/>
          </w:tcPr>
          <w:p>
            <w:pPr>
              <w:spacing w:after="0"/>
            </w:pPr>
            <w:r/>
            <w:r>
              <w:rPr>
                <w:rFonts w:ascii="Aptos" w:hAnsi="Aptos"/>
                <w:b w:val="0"/>
                <w:sz w:val="15"/>
              </w:rPr>
              <w:t>Cephalic</w:t>
            </w:r>
          </w:p>
        </w:tc>
        <w:tc>
          <w:tcPr>
            <w:tcW w:type="dxa" w:w="2520"/>
            <w:vAlign w:val="center"/>
            <w:shd w:fill="FFFFFF"/>
          </w:tcPr>
          <w:p>
            <w:pPr>
              <w:spacing w:after="0"/>
            </w:pPr>
            <w:r/>
            <w:r>
              <w:rPr>
                <w:rFonts w:ascii="Aptos" w:hAnsi="Aptos"/>
                <w:b w:val="0"/>
                <w:sz w:val="15"/>
              </w:rPr>
              <w:t>vertex / cephalic-unspecified</w:t>
            </w:r>
          </w:p>
        </w:tc>
        <w:tc>
          <w:tcPr>
            <w:tcW w:type="dxa" w:w="5904"/>
            <w:vAlign w:val="center"/>
            <w:shd w:fill="FFFFFF"/>
          </w:tcPr>
          <w:p>
            <w:pPr>
              <w:spacing w:after="0"/>
            </w:pPr>
            <w:r/>
            <w:r>
              <w:rPr>
                <w:rFonts w:ascii="Aptos" w:hAnsi="Aptos"/>
                <w:b w:val="0"/>
                <w:sz w:val="15"/>
              </w:rPr>
              <w:t>Record as reported; not a guarantee of uncomplicated vaginal birth.</w:t>
            </w:r>
          </w:p>
        </w:tc>
      </w:tr>
      <w:tr>
        <w:trPr>
          <w:cantSplit/>
        </w:trPr>
        <w:tc>
          <w:tcPr>
            <w:tcW w:type="dxa" w:w="1944"/>
            <w:vAlign w:val="center"/>
            <w:shd w:fill="F7F9FC"/>
          </w:tcPr>
          <w:p>
            <w:pPr>
              <w:spacing w:after="0"/>
            </w:pPr>
            <w:r/>
            <w:r>
              <w:rPr>
                <w:rFonts w:ascii="Aptos" w:hAnsi="Aptos"/>
                <w:b w:val="0"/>
                <w:sz w:val="15"/>
              </w:rPr>
              <w:t>Breech</w:t>
            </w:r>
          </w:p>
        </w:tc>
        <w:tc>
          <w:tcPr>
            <w:tcW w:type="dxa" w:w="2520"/>
            <w:vAlign w:val="center"/>
            <w:shd w:fill="F7F9FC"/>
          </w:tcPr>
          <w:p>
            <w:pPr>
              <w:spacing w:after="0"/>
            </w:pPr>
            <w:r/>
            <w:r>
              <w:rPr>
                <w:rFonts w:ascii="Aptos" w:hAnsi="Aptos"/>
                <w:b w:val="0"/>
                <w:sz w:val="15"/>
              </w:rPr>
              <w:t>frank / complete / footling / kneeling / unspecified</w:t>
            </w:r>
          </w:p>
        </w:tc>
        <w:tc>
          <w:tcPr>
            <w:tcW w:type="dxa" w:w="5904"/>
            <w:vAlign w:val="center"/>
            <w:shd w:fill="F7F9FC"/>
          </w:tcPr>
          <w:p>
            <w:pPr>
              <w:spacing w:after="0"/>
            </w:pPr>
            <w:r/>
            <w:r>
              <w:rPr>
                <w:rFonts w:ascii="Aptos" w:hAnsi="Aptos"/>
                <w:b w:val="0"/>
                <w:sz w:val="15"/>
              </w:rPr>
              <w:t>Subtype matters. Before late pregnancy it may change; after 36 weeks in a singleton pregnancy it requires confirmed obstetric planning.</w:t>
            </w:r>
          </w:p>
        </w:tc>
      </w:tr>
      <w:tr>
        <w:trPr>
          <w:cantSplit/>
        </w:trPr>
        <w:tc>
          <w:tcPr>
            <w:tcW w:type="dxa" w:w="1944"/>
            <w:vAlign w:val="center"/>
            <w:shd w:fill="FFFFFF"/>
          </w:tcPr>
          <w:p>
            <w:pPr>
              <w:spacing w:after="0"/>
            </w:pPr>
            <w:r/>
            <w:r>
              <w:rPr>
                <w:rFonts w:ascii="Aptos" w:hAnsi="Aptos"/>
                <w:b w:val="0"/>
                <w:sz w:val="15"/>
              </w:rPr>
              <w:t>Transverse lie</w:t>
            </w:r>
          </w:p>
        </w:tc>
        <w:tc>
          <w:tcPr>
            <w:tcW w:type="dxa" w:w="2520"/>
            <w:vAlign w:val="center"/>
            <w:shd w:fill="FFFFFF"/>
          </w:tcPr>
          <w:p>
            <w:pPr>
              <w:spacing w:after="0"/>
            </w:pPr>
            <w:r/>
            <w:r>
              <w:rPr>
                <w:rFonts w:ascii="Aptos" w:hAnsi="Aptos"/>
                <w:b w:val="0"/>
                <w:sz w:val="15"/>
              </w:rPr>
              <w:t>transverse</w:t>
            </w:r>
          </w:p>
        </w:tc>
        <w:tc>
          <w:tcPr>
            <w:tcW w:type="dxa" w:w="5904"/>
            <w:vAlign w:val="center"/>
            <w:shd w:fill="FFFFFF"/>
          </w:tcPr>
          <w:p>
            <w:pPr>
              <w:spacing w:after="0"/>
            </w:pPr>
            <w:r/>
            <w:r>
              <w:rPr>
                <w:rFonts w:ascii="Aptos" w:hAnsi="Aptos"/>
                <w:b w:val="0"/>
                <w:sz w:val="15"/>
              </w:rPr>
              <w:t>Not compatible with ordinary vaginal cephalic birth if persistent; requires hospital review, especially with labor or membrane rupture.</w:t>
            </w:r>
          </w:p>
        </w:tc>
      </w:tr>
      <w:tr>
        <w:trPr>
          <w:cantSplit/>
        </w:trPr>
        <w:tc>
          <w:tcPr>
            <w:tcW w:type="dxa" w:w="1944"/>
            <w:vAlign w:val="center"/>
            <w:shd w:fill="F7F9FC"/>
          </w:tcPr>
          <w:p>
            <w:pPr>
              <w:spacing w:after="0"/>
            </w:pPr>
            <w:r/>
            <w:r>
              <w:rPr>
                <w:rFonts w:ascii="Aptos" w:hAnsi="Aptos"/>
                <w:b w:val="0"/>
                <w:sz w:val="15"/>
              </w:rPr>
              <w:t>Oblique lie</w:t>
            </w:r>
          </w:p>
        </w:tc>
        <w:tc>
          <w:tcPr>
            <w:tcW w:type="dxa" w:w="2520"/>
            <w:vAlign w:val="center"/>
            <w:shd w:fill="F7F9FC"/>
          </w:tcPr>
          <w:p>
            <w:pPr>
              <w:spacing w:after="0"/>
            </w:pPr>
            <w:r/>
            <w:r>
              <w:rPr>
                <w:rFonts w:ascii="Aptos" w:hAnsi="Aptos"/>
                <w:b w:val="0"/>
                <w:sz w:val="15"/>
              </w:rPr>
              <w:t>oblique</w:t>
            </w:r>
          </w:p>
        </w:tc>
        <w:tc>
          <w:tcPr>
            <w:tcW w:type="dxa" w:w="5904"/>
            <w:vAlign w:val="center"/>
            <w:shd w:fill="F7F9FC"/>
          </w:tcPr>
          <w:p>
            <w:pPr>
              <w:spacing w:after="0"/>
            </w:pPr>
            <w:r/>
            <w:r>
              <w:rPr>
                <w:rFonts w:ascii="Aptos" w:hAnsi="Aptos"/>
                <w:b w:val="0"/>
                <w:sz w:val="15"/>
              </w:rPr>
              <w:t>May be transient; persistent late pregnancy requires review.</w:t>
            </w:r>
          </w:p>
        </w:tc>
      </w:tr>
      <w:tr>
        <w:trPr>
          <w:cantSplit/>
        </w:trPr>
        <w:tc>
          <w:tcPr>
            <w:tcW w:type="dxa" w:w="1944"/>
            <w:vAlign w:val="center"/>
            <w:shd w:fill="FFFFFF"/>
          </w:tcPr>
          <w:p>
            <w:pPr>
              <w:spacing w:after="0"/>
            </w:pPr>
            <w:r/>
            <w:r>
              <w:rPr>
                <w:rFonts w:ascii="Aptos" w:hAnsi="Aptos"/>
                <w:b w:val="0"/>
                <w:sz w:val="15"/>
              </w:rPr>
              <w:t>Unstable lie</w:t>
            </w:r>
          </w:p>
        </w:tc>
        <w:tc>
          <w:tcPr>
            <w:tcW w:type="dxa" w:w="2520"/>
            <w:vAlign w:val="center"/>
            <w:shd w:fill="FFFFFF"/>
          </w:tcPr>
          <w:p>
            <w:pPr>
              <w:spacing w:after="0"/>
            </w:pPr>
            <w:r/>
            <w:r>
              <w:rPr>
                <w:rFonts w:ascii="Aptos" w:hAnsi="Aptos"/>
                <w:b w:val="0"/>
                <w:sz w:val="15"/>
              </w:rPr>
              <w:t>unstable / variable</w:t>
            </w:r>
          </w:p>
        </w:tc>
        <w:tc>
          <w:tcPr>
            <w:tcW w:type="dxa" w:w="5904"/>
            <w:vAlign w:val="center"/>
            <w:shd w:fill="FFFFFF"/>
          </w:tcPr>
          <w:p>
            <w:pPr>
              <w:spacing w:after="0"/>
            </w:pPr>
            <w:r/>
            <w:r>
              <w:rPr>
                <w:rFonts w:ascii="Aptos" w:hAnsi="Aptos"/>
                <w:b w:val="0"/>
                <w:sz w:val="15"/>
              </w:rPr>
              <w:t>Repeated change near term can increase cord-prolapse and delivery-planning concerns.</w:t>
            </w:r>
          </w:p>
        </w:tc>
      </w:tr>
      <w:tr>
        <w:trPr>
          <w:cantSplit/>
        </w:trPr>
        <w:tc>
          <w:tcPr>
            <w:tcW w:type="dxa" w:w="1944"/>
            <w:vAlign w:val="center"/>
            <w:shd w:fill="F7F9FC"/>
          </w:tcPr>
          <w:p>
            <w:pPr>
              <w:spacing w:after="0"/>
            </w:pPr>
            <w:r/>
            <w:r>
              <w:rPr>
                <w:rFonts w:ascii="Aptos" w:hAnsi="Aptos"/>
                <w:b w:val="0"/>
                <w:sz w:val="15"/>
              </w:rPr>
              <w:t>Compound/other</w:t>
            </w:r>
          </w:p>
        </w:tc>
        <w:tc>
          <w:tcPr>
            <w:tcW w:type="dxa" w:w="2520"/>
            <w:vAlign w:val="center"/>
            <w:shd w:fill="F7F9FC"/>
          </w:tcPr>
          <w:p>
            <w:pPr>
              <w:spacing w:after="0"/>
            </w:pPr>
            <w:r/>
            <w:r>
              <w:rPr>
                <w:rFonts w:ascii="Aptos" w:hAnsi="Aptos"/>
                <w:b w:val="0"/>
                <w:sz w:val="15"/>
              </w:rPr>
              <w:t>reported text plus coded category</w:t>
            </w:r>
          </w:p>
        </w:tc>
        <w:tc>
          <w:tcPr>
            <w:tcW w:type="dxa" w:w="5904"/>
            <w:vAlign w:val="center"/>
            <w:shd w:fill="F7F9FC"/>
          </w:tcPr>
          <w:p>
            <w:pPr>
              <w:spacing w:after="0"/>
            </w:pPr>
            <w:r/>
            <w:r>
              <w:rPr>
                <w:rFonts w:ascii="Aptos" w:hAnsi="Aptos"/>
                <w:b w:val="0"/>
                <w:sz w:val="15"/>
              </w:rPr>
              <w:t>Store exact report and refer according to protocol.</w:t>
            </w:r>
          </w:p>
        </w:tc>
      </w:tr>
      <w:tr>
        <w:trPr>
          <w:cantSplit/>
        </w:trPr>
        <w:tc>
          <w:tcPr>
            <w:tcW w:type="dxa" w:w="1944"/>
            <w:vAlign w:val="center"/>
            <w:shd w:fill="FFFFFF"/>
          </w:tcPr>
          <w:p>
            <w:pPr>
              <w:spacing w:after="0"/>
            </w:pPr>
            <w:r/>
            <w:r>
              <w:rPr>
                <w:rFonts w:ascii="Aptos" w:hAnsi="Aptos"/>
                <w:b w:val="0"/>
                <w:sz w:val="15"/>
              </w:rPr>
              <w:t>Unknown</w:t>
            </w:r>
          </w:p>
        </w:tc>
        <w:tc>
          <w:tcPr>
            <w:tcW w:type="dxa" w:w="2520"/>
            <w:vAlign w:val="center"/>
            <w:shd w:fill="FFFFFF"/>
          </w:tcPr>
          <w:p>
            <w:pPr>
              <w:spacing w:after="0"/>
            </w:pPr>
            <w:r/>
            <w:r>
              <w:rPr>
                <w:rFonts w:ascii="Aptos" w:hAnsi="Aptos"/>
                <w:b w:val="0"/>
                <w:sz w:val="15"/>
              </w:rPr>
              <w:t>not assessed / uncertain</w:t>
            </w:r>
          </w:p>
        </w:tc>
        <w:tc>
          <w:tcPr>
            <w:tcW w:type="dxa" w:w="5904"/>
            <w:vAlign w:val="center"/>
            <w:shd w:fill="FFFFFF"/>
          </w:tcPr>
          <w:p>
            <w:pPr>
              <w:spacing w:after="0"/>
            </w:pPr>
            <w:r/>
            <w:r>
              <w:rPr>
                <w:rFonts w:ascii="Aptos" w:hAnsi="Aptos"/>
                <w:b w:val="0"/>
                <w:sz w:val="15"/>
              </w:rPr>
              <w:t>Never convert missing presentation to cephalic.</w:t>
            </w:r>
          </w:p>
        </w:tc>
      </w:tr>
    </w:tbl>
    <w:p/>
    <w:p>
      <w:pPr>
        <w:pStyle w:val="Heading2"/>
      </w:pPr>
      <w:r>
        <w:t>4.1 Gestational timing and action</w:t>
      </w:r>
    </w:p>
    <w:tbl>
      <w:tblPr>
        <w:tblStyle w:val="TableGrid"/>
        <w:tblW w:type="auto" w:w="0"/>
        <w:jc w:val="center"/>
        <w:tblLook w:firstColumn="1" w:firstRow="1" w:lastColumn="0" w:lastRow="0" w:noHBand="0" w:noVBand="1" w:val="04A0"/>
      </w:tblPr>
      <w:tblGrid>
        <w:gridCol w:w="4997"/>
        <w:gridCol w:w="4997"/>
      </w:tblGrid>
      <w:tr>
        <w:trPr>
          <w:cantSplit/>
        </w:trPr>
        <w:tc>
          <w:tcPr>
            <w:tcW w:type="dxa" w:w="4536"/>
            <w:vAlign w:val="center"/>
            <w:shd w:fill="17365D"/>
          </w:tcPr>
          <w:p>
            <w:pPr>
              <w:spacing w:after="0"/>
            </w:pPr>
            <w:r/>
            <w:r>
              <w:rPr>
                <w:rFonts w:ascii="Aptos" w:hAnsi="Aptos"/>
                <w:b/>
                <w:color w:val="FFFFFF"/>
                <w:sz w:val="16"/>
              </w:rPr>
              <w:t>Situation</w:t>
            </w:r>
          </w:p>
        </w:tc>
        <w:tc>
          <w:tcPr>
            <w:tcW w:type="dxa" w:w="5832"/>
            <w:vAlign w:val="center"/>
            <w:shd w:fill="17365D"/>
          </w:tcPr>
          <w:p>
            <w:pPr>
              <w:spacing w:after="0"/>
            </w:pPr>
            <w:r/>
            <w:r>
              <w:rPr>
                <w:rFonts w:ascii="Aptos" w:hAnsi="Aptos"/>
                <w:b/>
                <w:color w:val="FFFFFF"/>
                <w:sz w:val="16"/>
              </w:rPr>
              <w:t>CDSS response</w:t>
            </w:r>
          </w:p>
        </w:tc>
      </w:tr>
      <w:tr>
        <w:trPr>
          <w:cantSplit/>
        </w:trPr>
        <w:tc>
          <w:tcPr>
            <w:tcW w:type="dxa" w:w="4536"/>
            <w:vAlign w:val="center"/>
            <w:shd w:fill="FFFFFF"/>
          </w:tcPr>
          <w:p>
            <w:pPr>
              <w:spacing w:after="0"/>
            </w:pPr>
            <w:r/>
            <w:r>
              <w:rPr>
                <w:rFonts w:ascii="Aptos" w:hAnsi="Aptos"/>
                <w:b w:val="0"/>
                <w:sz w:val="15"/>
              </w:rPr>
              <w:t>Non-cephalic finding before 36 weeks, no symptoms</w:t>
            </w:r>
          </w:p>
        </w:tc>
        <w:tc>
          <w:tcPr>
            <w:tcW w:type="dxa" w:w="5832"/>
            <w:vAlign w:val="center"/>
            <w:shd w:fill="FFFFFF"/>
          </w:tcPr>
          <w:p>
            <w:pPr>
              <w:spacing w:after="0"/>
            </w:pPr>
            <w:r/>
            <w:r>
              <w:rPr>
                <w:rFonts w:ascii="Aptos" w:hAnsi="Aptos"/>
                <w:b w:val="0"/>
                <w:sz w:val="15"/>
              </w:rPr>
              <w:t>Record and schedule reassessment according to local pathway; do not automatically classify as emergency or definitive high risk.</w:t>
            </w:r>
          </w:p>
        </w:tc>
      </w:tr>
      <w:tr>
        <w:trPr>
          <w:cantSplit/>
        </w:trPr>
        <w:tc>
          <w:tcPr>
            <w:tcW w:type="dxa" w:w="4536"/>
            <w:vAlign w:val="center"/>
            <w:shd w:fill="F7F9FC"/>
          </w:tcPr>
          <w:p>
            <w:pPr>
              <w:spacing w:after="0"/>
            </w:pPr>
            <w:r/>
            <w:r>
              <w:rPr>
                <w:rFonts w:ascii="Aptos" w:hAnsi="Aptos"/>
                <w:b w:val="0"/>
                <w:sz w:val="15"/>
              </w:rPr>
              <w:t>Possible breech on palpation after 36+0 weeks, singleton</w:t>
            </w:r>
          </w:p>
        </w:tc>
        <w:tc>
          <w:tcPr>
            <w:tcW w:type="dxa" w:w="5832"/>
            <w:vAlign w:val="center"/>
            <w:shd w:fill="F7F9FC"/>
          </w:tcPr>
          <w:p>
            <w:pPr>
              <w:spacing w:after="0"/>
            </w:pPr>
            <w:r/>
            <w:r>
              <w:rPr>
                <w:rFonts w:ascii="Aptos" w:hAnsi="Aptos"/>
                <w:b w:val="0"/>
                <w:sz w:val="15"/>
              </w:rPr>
              <w:t>Prompt ultrasound confirmation.</w:t>
            </w:r>
          </w:p>
        </w:tc>
      </w:tr>
      <w:tr>
        <w:trPr>
          <w:cantSplit/>
        </w:trPr>
        <w:tc>
          <w:tcPr>
            <w:tcW w:type="dxa" w:w="4536"/>
            <w:vAlign w:val="center"/>
            <w:shd w:fill="FFFFFF"/>
          </w:tcPr>
          <w:p>
            <w:pPr>
              <w:spacing w:after="0"/>
            </w:pPr>
            <w:r/>
            <w:r>
              <w:rPr>
                <w:rFonts w:ascii="Aptos" w:hAnsi="Aptos"/>
                <w:b w:val="0"/>
                <w:sz w:val="15"/>
              </w:rPr>
              <w:t>Confirmed uncomplicated singleton breech after 36+0 weeks</w:t>
            </w:r>
          </w:p>
        </w:tc>
        <w:tc>
          <w:tcPr>
            <w:tcW w:type="dxa" w:w="5832"/>
            <w:vAlign w:val="center"/>
            <w:shd w:fill="FFFFFF"/>
          </w:tcPr>
          <w:p>
            <w:pPr>
              <w:spacing w:after="0"/>
            </w:pPr>
            <w:r/>
            <w:r>
              <w:rPr>
                <w:rFonts w:ascii="Aptos" w:hAnsi="Aptos"/>
                <w:b w:val="0"/>
                <w:sz w:val="15"/>
              </w:rPr>
              <w:t>Refer for informed discussion of ECV, planned caesarean, and specialist vaginal breech options; CDSS does not choose.</w:t>
            </w:r>
          </w:p>
        </w:tc>
      </w:tr>
      <w:tr>
        <w:trPr>
          <w:cantSplit/>
        </w:trPr>
        <w:tc>
          <w:tcPr>
            <w:tcW w:type="dxa" w:w="4536"/>
            <w:vAlign w:val="center"/>
            <w:shd w:fill="F7F9FC"/>
          </w:tcPr>
          <w:p>
            <w:pPr>
              <w:spacing w:after="0"/>
            </w:pPr>
            <w:r/>
            <w:r>
              <w:rPr>
                <w:rFonts w:ascii="Aptos" w:hAnsi="Aptos"/>
                <w:b w:val="0"/>
                <w:sz w:val="15"/>
              </w:rPr>
              <w:t>Persistent transverse/oblique/unstable lie near term</w:t>
            </w:r>
          </w:p>
        </w:tc>
        <w:tc>
          <w:tcPr>
            <w:tcW w:type="dxa" w:w="5832"/>
            <w:vAlign w:val="center"/>
            <w:shd w:fill="F7F9FC"/>
          </w:tcPr>
          <w:p>
            <w:pPr>
              <w:spacing w:after="0"/>
            </w:pPr>
            <w:r/>
            <w:r>
              <w:rPr>
                <w:rFonts w:ascii="Aptos" w:hAnsi="Aptos"/>
                <w:b w:val="0"/>
                <w:sz w:val="15"/>
              </w:rPr>
              <w:t>Hospital obstetric review; no lying-in birth plan.</w:t>
            </w:r>
          </w:p>
        </w:tc>
      </w:tr>
      <w:tr>
        <w:trPr>
          <w:cantSplit/>
        </w:trPr>
        <w:tc>
          <w:tcPr>
            <w:tcW w:type="dxa" w:w="4536"/>
            <w:vAlign w:val="center"/>
            <w:shd w:fill="FFFFFF"/>
          </w:tcPr>
          <w:p>
            <w:pPr>
              <w:spacing w:after="0"/>
            </w:pPr>
            <w:r/>
            <w:r>
              <w:rPr>
                <w:rFonts w:ascii="Aptos" w:hAnsi="Aptos"/>
                <w:b w:val="0"/>
                <w:sz w:val="15"/>
              </w:rPr>
              <w:t>Malpresentation with labor, ruptured membranes, bleeding, cord concern, or fetal compromise</w:t>
            </w:r>
          </w:p>
        </w:tc>
        <w:tc>
          <w:tcPr>
            <w:tcW w:type="dxa" w:w="5832"/>
            <w:vAlign w:val="center"/>
            <w:shd w:fill="FFFFFF"/>
          </w:tcPr>
          <w:p>
            <w:pPr>
              <w:spacing w:after="0"/>
            </w:pPr>
            <w:r/>
            <w:r>
              <w:rPr>
                <w:rFonts w:ascii="Aptos" w:hAnsi="Aptos"/>
                <w:b w:val="0"/>
                <w:sz w:val="15"/>
              </w:rPr>
              <w:t>Emergency transfer.</w:t>
            </w:r>
          </w:p>
        </w:tc>
      </w:tr>
      <w:tr>
        <w:trPr>
          <w:cantSplit/>
        </w:trPr>
        <w:tc>
          <w:tcPr>
            <w:tcW w:type="dxa" w:w="4536"/>
            <w:vAlign w:val="center"/>
            <w:shd w:fill="F7F9FC"/>
          </w:tcPr>
          <w:p>
            <w:pPr>
              <w:spacing w:after="0"/>
            </w:pPr>
            <w:r/>
            <w:r>
              <w:rPr>
                <w:rFonts w:ascii="Aptos" w:hAnsi="Aptos"/>
                <w:b w:val="0"/>
                <w:sz w:val="15"/>
              </w:rPr>
              <w:t>Multiple pregnancy</w:t>
            </w:r>
          </w:p>
        </w:tc>
        <w:tc>
          <w:tcPr>
            <w:tcW w:type="dxa" w:w="5832"/>
            <w:vAlign w:val="center"/>
            <w:shd w:fill="F7F9FC"/>
          </w:tcPr>
          <w:p>
            <w:pPr>
              <w:spacing w:after="0"/>
            </w:pPr>
            <w:r/>
            <w:r>
              <w:rPr>
                <w:rFonts w:ascii="Aptos" w:hAnsi="Aptos"/>
                <w:b w:val="0"/>
                <w:sz w:val="15"/>
              </w:rPr>
              <w:t>Use fetus-specific presentation fields and specialist pathway; do not apply singleton rules.</w:t>
            </w:r>
          </w:p>
        </w:tc>
      </w:tr>
    </w:tbl>
    <w:p/>
    <w:tbl>
      <w:tblPr>
        <w:tblW w:type="auto" w:w="0"/>
        <w:tblLook w:firstColumn="1" w:firstRow="1" w:lastColumn="0" w:lastRow="0" w:noHBand="0" w:noVBand="1" w:val="04A0"/>
      </w:tblPr>
      <w:tblGrid>
        <w:gridCol w:w="9994"/>
      </w:tblGrid>
      <w:tr>
        <w:trPr>
          <w:cantSplit/>
        </w:trP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Correction to the current system. </w:t>
            </w:r>
            <w:r>
              <w:t>“Breech, Transverse, or Oblique = HIGH” is too blunt. The future engine should consider gestational age, persistence, singleton/multiple status, labor or membrane status, placenta/fluid findings, and the documented specialist plan.</w:t>
            </w:r>
          </w:p>
        </w:tc>
      </w:tr>
    </w:tbl>
    <w:p/>
    <w:p>
      <w:pPr>
        <w:pStyle w:val="Heading1"/>
      </w:pPr>
      <w:r>
        <w:t>5. Amniotic Fluid</w:t>
      </w:r>
    </w:p>
    <w:p>
      <w:r>
        <w:t>Amniotic fluid is evaluated by ultrasound, commonly by the single deepest vertical pocket (DVP) or amniotic fluid index (AFI). Values and methods must be stored because thresholds are method-specific and clinical significance depends on gestation, membrane status, fetal growth, anomalies, maternal diabetes, hypertension, and other conditions.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304"/>
            <w:vAlign w:val="center"/>
            <w:shd w:fill="17365D"/>
          </w:tcPr>
          <w:p>
            <w:pPr>
              <w:spacing w:after="0"/>
            </w:pPr>
            <w:r/>
            <w:r>
              <w:rPr>
                <w:rFonts w:ascii="Aptos" w:hAnsi="Aptos"/>
                <w:b/>
                <w:color w:val="FFFFFF"/>
                <w:sz w:val="16"/>
              </w:rPr>
              <w:t>Reported category</w:t>
            </w:r>
          </w:p>
        </w:tc>
        <w:tc>
          <w:tcPr>
            <w:tcW w:type="dxa" w:w="3672"/>
            <w:vAlign w:val="center"/>
            <w:shd w:fill="17365D"/>
          </w:tcPr>
          <w:p>
            <w:pPr>
              <w:spacing w:after="0"/>
            </w:pPr>
            <w:r/>
            <w:r>
              <w:rPr>
                <w:rFonts w:ascii="Aptos" w:hAnsi="Aptos"/>
                <w:b/>
                <w:color w:val="FFFFFF"/>
                <w:sz w:val="16"/>
              </w:rPr>
              <w:t>Common quantitative reference</w:t>
            </w:r>
          </w:p>
        </w:tc>
        <w:tc>
          <w:tcPr>
            <w:tcW w:type="dxa" w:w="4392"/>
            <w:vAlign w:val="center"/>
            <w:shd w:fill="17365D"/>
          </w:tcPr>
          <w:p>
            <w:pPr>
              <w:spacing w:after="0"/>
            </w:pPr>
            <w:r/>
            <w:r>
              <w:rPr>
                <w:rFonts w:ascii="Aptos" w:hAnsi="Aptos"/>
                <w:b/>
                <w:color w:val="FFFFFF"/>
                <w:sz w:val="16"/>
              </w:rPr>
              <w:t>CDSS interpretation boundary</w:t>
            </w:r>
          </w:p>
        </w:tc>
      </w:tr>
      <w:tr>
        <w:trPr>
          <w:cantSplit/>
        </w:trPr>
        <w:tc>
          <w:tcPr>
            <w:tcW w:type="dxa" w:w="2304"/>
            <w:vAlign w:val="center"/>
            <w:shd w:fill="FFFFFF"/>
          </w:tcPr>
          <w:p>
            <w:pPr>
              <w:spacing w:after="0"/>
            </w:pPr>
            <w:r/>
            <w:r>
              <w:rPr>
                <w:rFonts w:ascii="Aptos" w:hAnsi="Aptos"/>
                <w:b w:val="0"/>
                <w:sz w:val="14"/>
              </w:rPr>
              <w:t>Oligohydramnios</w:t>
            </w:r>
          </w:p>
        </w:tc>
        <w:tc>
          <w:tcPr>
            <w:tcW w:type="dxa" w:w="3672"/>
            <w:vAlign w:val="center"/>
            <w:shd w:fill="FFFFFF"/>
          </w:tcPr>
          <w:p>
            <w:pPr>
              <w:spacing w:after="0"/>
            </w:pPr>
            <w:r/>
            <w:r>
              <w:rPr>
                <w:rFonts w:ascii="Aptos" w:hAnsi="Aptos"/>
                <w:b w:val="0"/>
                <w:sz w:val="14"/>
              </w:rPr>
              <w:t>DVP &lt;2 cm is used by ACOG for isolated oligohydramnios surveillance discussions.</w:t>
            </w:r>
          </w:p>
        </w:tc>
        <w:tc>
          <w:tcPr>
            <w:tcW w:type="dxa" w:w="4392"/>
            <w:vAlign w:val="center"/>
            <w:shd w:fill="FFFFFF"/>
          </w:tcPr>
          <w:p>
            <w:pPr>
              <w:spacing w:after="0"/>
            </w:pPr>
            <w:r/>
            <w:r>
              <w:rPr>
                <w:rFonts w:ascii="Aptos" w:hAnsi="Aptos"/>
                <w:b w:val="0"/>
                <w:sz w:val="14"/>
              </w:rPr>
              <w:t>Create urgent qualified review/referral pathway; do not diagnose cause or prescribe delivery.</w:t>
            </w:r>
          </w:p>
        </w:tc>
      </w:tr>
      <w:tr>
        <w:trPr>
          <w:cantSplit/>
        </w:trPr>
        <w:tc>
          <w:tcPr>
            <w:tcW w:type="dxa" w:w="2304"/>
            <w:vAlign w:val="center"/>
            <w:shd w:fill="F7F9FC"/>
          </w:tcPr>
          <w:p>
            <w:pPr>
              <w:spacing w:after="0"/>
            </w:pPr>
            <w:r/>
            <w:r>
              <w:rPr>
                <w:rFonts w:ascii="Aptos" w:hAnsi="Aptos"/>
                <w:b w:val="0"/>
                <w:sz w:val="14"/>
              </w:rPr>
              <w:t>Polyhydramnios</w:t>
            </w:r>
          </w:p>
        </w:tc>
        <w:tc>
          <w:tcPr>
            <w:tcW w:type="dxa" w:w="3672"/>
            <w:vAlign w:val="center"/>
            <w:shd w:fill="F7F9FC"/>
          </w:tcPr>
          <w:p>
            <w:pPr>
              <w:spacing w:after="0"/>
            </w:pPr>
            <w:r/>
            <w:r>
              <w:rPr>
                <w:rFonts w:ascii="Aptos" w:hAnsi="Aptos"/>
                <w:b w:val="0"/>
                <w:sz w:val="14"/>
              </w:rPr>
              <w:t>DVP ≥8 cm or AFI ≥24 cm per SMFM.</w:t>
            </w:r>
          </w:p>
        </w:tc>
        <w:tc>
          <w:tcPr>
            <w:tcW w:type="dxa" w:w="4392"/>
            <w:vAlign w:val="center"/>
            <w:shd w:fill="F7F9FC"/>
          </w:tcPr>
          <w:p>
            <w:pPr>
              <w:spacing w:after="0"/>
            </w:pPr>
            <w:r/>
            <w:r>
              <w:rPr>
                <w:rFonts w:ascii="Aptos" w:hAnsi="Aptos"/>
                <w:b w:val="0"/>
                <w:sz w:val="14"/>
              </w:rPr>
              <w:t>Record severity and trigger etiologic review, including diabetes and fetal anomaly context.</w:t>
            </w:r>
          </w:p>
        </w:tc>
      </w:tr>
      <w:tr>
        <w:trPr>
          <w:cantSplit/>
        </w:trPr>
        <w:tc>
          <w:tcPr>
            <w:tcW w:type="dxa" w:w="2304"/>
            <w:vAlign w:val="center"/>
            <w:shd w:fill="FFFFFF"/>
          </w:tcPr>
          <w:p>
            <w:pPr>
              <w:spacing w:after="0"/>
            </w:pPr>
            <w:r/>
            <w:r>
              <w:rPr>
                <w:rFonts w:ascii="Aptos" w:hAnsi="Aptos"/>
                <w:b w:val="0"/>
                <w:sz w:val="14"/>
              </w:rPr>
              <w:t>Mild polyhydramnios</w:t>
            </w:r>
          </w:p>
        </w:tc>
        <w:tc>
          <w:tcPr>
            <w:tcW w:type="dxa" w:w="3672"/>
            <w:vAlign w:val="center"/>
            <w:shd w:fill="FFFFFF"/>
          </w:tcPr>
          <w:p>
            <w:pPr>
              <w:spacing w:after="0"/>
            </w:pPr>
            <w:r/>
            <w:r>
              <w:rPr>
                <w:rFonts w:ascii="Aptos" w:hAnsi="Aptos"/>
                <w:b w:val="0"/>
                <w:sz w:val="14"/>
              </w:rPr>
              <w:t>DVP 8–11 cm or AFI 24.0–29.9 cm in ACOG categorization.</w:t>
            </w:r>
          </w:p>
        </w:tc>
        <w:tc>
          <w:tcPr>
            <w:tcW w:type="dxa" w:w="4392"/>
            <w:vAlign w:val="center"/>
            <w:shd w:fill="FFFFFF"/>
          </w:tcPr>
          <w:p>
            <w:pPr>
              <w:spacing w:after="0"/>
            </w:pPr>
            <w:r/>
            <w:r>
              <w:rPr>
                <w:rFonts w:ascii="Aptos" w:hAnsi="Aptos"/>
                <w:b w:val="0"/>
                <w:sz w:val="14"/>
              </w:rPr>
              <w:t>Specialist assessment; isolated mild disease may have different surveillance needs than moderate/severe disease.</w:t>
            </w:r>
          </w:p>
        </w:tc>
      </w:tr>
      <w:tr>
        <w:trPr>
          <w:cantSplit/>
        </w:trPr>
        <w:tc>
          <w:tcPr>
            <w:tcW w:type="dxa" w:w="2304"/>
            <w:vAlign w:val="center"/>
            <w:shd w:fill="F7F9FC"/>
          </w:tcPr>
          <w:p>
            <w:pPr>
              <w:spacing w:after="0"/>
            </w:pPr>
            <w:r/>
            <w:r>
              <w:rPr>
                <w:rFonts w:ascii="Aptos" w:hAnsi="Aptos"/>
                <w:b w:val="0"/>
                <w:sz w:val="14"/>
              </w:rPr>
              <w:t>Moderate polyhydramnios</w:t>
            </w:r>
          </w:p>
        </w:tc>
        <w:tc>
          <w:tcPr>
            <w:tcW w:type="dxa" w:w="3672"/>
            <w:vAlign w:val="center"/>
            <w:shd w:fill="F7F9FC"/>
          </w:tcPr>
          <w:p>
            <w:pPr>
              <w:spacing w:after="0"/>
            </w:pPr>
            <w:r/>
            <w:r>
              <w:rPr>
                <w:rFonts w:ascii="Aptos" w:hAnsi="Aptos"/>
                <w:b w:val="0"/>
                <w:sz w:val="14"/>
              </w:rPr>
              <w:t>DVP 12–15 cm or AFI 30.0–34.9 cm.</w:t>
            </w:r>
          </w:p>
        </w:tc>
        <w:tc>
          <w:tcPr>
            <w:tcW w:type="dxa" w:w="4392"/>
            <w:vAlign w:val="center"/>
            <w:shd w:fill="F7F9FC"/>
          </w:tcPr>
          <w:p>
            <w:pPr>
              <w:spacing w:after="0"/>
            </w:pPr>
            <w:r/>
            <w:r>
              <w:rPr>
                <w:rFonts w:ascii="Aptos" w:hAnsi="Aptos"/>
                <w:b w:val="0"/>
                <w:sz w:val="14"/>
              </w:rPr>
              <w:t>Higher-priority obstetric pathway.</w:t>
            </w:r>
          </w:p>
        </w:tc>
      </w:tr>
      <w:tr>
        <w:trPr>
          <w:cantSplit/>
        </w:trPr>
        <w:tc>
          <w:tcPr>
            <w:tcW w:type="dxa" w:w="2304"/>
            <w:vAlign w:val="center"/>
            <w:shd w:fill="FFFFFF"/>
          </w:tcPr>
          <w:p>
            <w:pPr>
              <w:spacing w:after="0"/>
            </w:pPr>
            <w:r/>
            <w:r>
              <w:rPr>
                <w:rFonts w:ascii="Aptos" w:hAnsi="Aptos"/>
                <w:b w:val="0"/>
                <w:sz w:val="14"/>
              </w:rPr>
              <w:t>Severe polyhydramnios</w:t>
            </w:r>
          </w:p>
        </w:tc>
        <w:tc>
          <w:tcPr>
            <w:tcW w:type="dxa" w:w="3672"/>
            <w:vAlign w:val="center"/>
            <w:shd w:fill="FFFFFF"/>
          </w:tcPr>
          <w:p>
            <w:pPr>
              <w:spacing w:after="0"/>
            </w:pPr>
            <w:r/>
            <w:r>
              <w:rPr>
                <w:rFonts w:ascii="Aptos" w:hAnsi="Aptos"/>
                <w:b w:val="0"/>
                <w:sz w:val="14"/>
              </w:rPr>
              <w:t>DVP ≥16 cm or AFI ≥35 cm.</w:t>
            </w:r>
          </w:p>
        </w:tc>
        <w:tc>
          <w:tcPr>
            <w:tcW w:type="dxa" w:w="4392"/>
            <w:vAlign w:val="center"/>
            <w:shd w:fill="FFFFFF"/>
          </w:tcPr>
          <w:p>
            <w:pPr>
              <w:spacing w:after="0"/>
            </w:pPr>
            <w:r/>
            <w:r>
              <w:rPr>
                <w:rFonts w:ascii="Aptos" w:hAnsi="Aptos"/>
                <w:b w:val="0"/>
                <w:sz w:val="14"/>
              </w:rPr>
              <w:t>Tertiary/specialist management pathway.</w:t>
            </w:r>
          </w:p>
        </w:tc>
      </w:tr>
      <w:tr>
        <w:trPr>
          <w:cantSplit/>
        </w:trPr>
        <w:tc>
          <w:tcPr>
            <w:tcW w:type="dxa" w:w="2304"/>
            <w:vAlign w:val="center"/>
            <w:shd w:fill="F7F9FC"/>
          </w:tcPr>
          <w:p>
            <w:pPr>
              <w:spacing w:after="0"/>
            </w:pPr>
            <w:r/>
            <w:r>
              <w:rPr>
                <w:rFonts w:ascii="Aptos" w:hAnsi="Aptos"/>
                <w:b w:val="0"/>
                <w:sz w:val="14"/>
              </w:rPr>
              <w:t>Normal/adequate</w:t>
            </w:r>
          </w:p>
        </w:tc>
        <w:tc>
          <w:tcPr>
            <w:tcW w:type="dxa" w:w="3672"/>
            <w:vAlign w:val="center"/>
            <w:shd w:fill="F7F9FC"/>
          </w:tcPr>
          <w:p>
            <w:pPr>
              <w:spacing w:after="0"/>
            </w:pPr>
            <w:r/>
            <w:r>
              <w:rPr>
                <w:rFonts w:ascii="Aptos" w:hAnsi="Aptos"/>
                <w:b w:val="0"/>
                <w:sz w:val="14"/>
              </w:rPr>
              <w:t>Only when explicitly reported or supported by method/value.</w:t>
            </w:r>
          </w:p>
        </w:tc>
        <w:tc>
          <w:tcPr>
            <w:tcW w:type="dxa" w:w="4392"/>
            <w:vAlign w:val="center"/>
            <w:shd w:fill="F7F9FC"/>
          </w:tcPr>
          <w:p>
            <w:pPr>
              <w:spacing w:after="0"/>
            </w:pPr>
            <w:r/>
            <w:r>
              <w:rPr>
                <w:rFonts w:ascii="Aptos" w:hAnsi="Aptos"/>
                <w:b w:val="0"/>
                <w:sz w:val="14"/>
              </w:rPr>
              <w:t>Do not infer from absence of comment.</w:t>
            </w:r>
          </w:p>
        </w:tc>
      </w:tr>
      <w:tr>
        <w:trPr>
          <w:cantSplit/>
        </w:trPr>
        <w:tc>
          <w:tcPr>
            <w:tcW w:type="dxa" w:w="2304"/>
            <w:vAlign w:val="center"/>
            <w:shd w:fill="FFFFFF"/>
          </w:tcPr>
          <w:p>
            <w:pPr>
              <w:spacing w:after="0"/>
            </w:pPr>
            <w:r/>
            <w:r>
              <w:rPr>
                <w:rFonts w:ascii="Aptos" w:hAnsi="Aptos"/>
                <w:b w:val="0"/>
                <w:sz w:val="14"/>
              </w:rPr>
              <w:t>Subjectively low/high</w:t>
            </w:r>
          </w:p>
        </w:tc>
        <w:tc>
          <w:tcPr>
            <w:tcW w:type="dxa" w:w="3672"/>
            <w:vAlign w:val="center"/>
            <w:shd w:fill="FFFFFF"/>
          </w:tcPr>
          <w:p>
            <w:pPr>
              <w:spacing w:after="0"/>
            </w:pPr>
            <w:r/>
            <w:r>
              <w:rPr>
                <w:rFonts w:ascii="Aptos" w:hAnsi="Aptos"/>
                <w:b w:val="0"/>
                <w:sz w:val="14"/>
              </w:rPr>
              <w:t>No numeric measurement or method.</w:t>
            </w:r>
          </w:p>
        </w:tc>
        <w:tc>
          <w:tcPr>
            <w:tcW w:type="dxa" w:w="4392"/>
            <w:vAlign w:val="center"/>
            <w:shd w:fill="FFFFFF"/>
          </w:tcPr>
          <w:p>
            <w:pPr>
              <w:spacing w:after="0"/>
            </w:pPr>
            <w:r/>
            <w:r>
              <w:rPr>
                <w:rFonts w:ascii="Aptos" w:hAnsi="Aptos"/>
                <w:b w:val="0"/>
                <w:sz w:val="14"/>
              </w:rPr>
              <w:t>Mark as incomplete/unverified and request the full report.</w:t>
            </w:r>
          </w:p>
        </w:tc>
      </w:tr>
    </w:tbl>
    <w:p/>
    <w:p>
      <w:pPr>
        <w:pStyle w:val="Heading2"/>
      </w:pPr>
      <w:r>
        <w:t>5.1 Associated causes and interactions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872"/>
            <w:vAlign w:val="center"/>
            <w:shd w:fill="17365D"/>
          </w:tcPr>
          <w:p>
            <w:pPr>
              <w:spacing w:after="0"/>
            </w:pPr>
            <w:r/>
            <w:r>
              <w:rPr>
                <w:rFonts w:ascii="Aptos" w:hAnsi="Aptos"/>
                <w:b/>
                <w:color w:val="FFFFFF"/>
                <w:sz w:val="16"/>
              </w:rPr>
              <w:t>Finding</w:t>
            </w:r>
          </w:p>
        </w:tc>
        <w:tc>
          <w:tcPr>
            <w:tcW w:type="dxa" w:w="4968"/>
            <w:vAlign w:val="center"/>
            <w:shd w:fill="17365D"/>
          </w:tcPr>
          <w:p>
            <w:pPr>
              <w:spacing w:after="0"/>
            </w:pPr>
            <w:r/>
            <w:r>
              <w:rPr>
                <w:rFonts w:ascii="Aptos" w:hAnsi="Aptos"/>
                <w:b/>
                <w:color w:val="FFFFFF"/>
                <w:sz w:val="16"/>
              </w:rPr>
              <w:t>Important associations to display</w:t>
            </w:r>
          </w:p>
        </w:tc>
        <w:tc>
          <w:tcPr>
            <w:tcW w:type="dxa" w:w="3528"/>
            <w:vAlign w:val="center"/>
            <w:shd w:fill="17365D"/>
          </w:tcPr>
          <w:p>
            <w:pPr>
              <w:spacing w:after="0"/>
            </w:pPr>
            <w:r/>
            <w:r>
              <w:rPr>
                <w:rFonts w:ascii="Aptos" w:hAnsi="Aptos"/>
                <w:b/>
                <w:color w:val="FFFFFF"/>
                <w:sz w:val="16"/>
              </w:rPr>
              <w:t>CDSS behavior</w:t>
            </w:r>
          </w:p>
        </w:tc>
      </w:tr>
      <w:tr>
        <w:trPr>
          <w:cantSplit/>
        </w:trPr>
        <w:tc>
          <w:tcPr>
            <w:tcW w:type="dxa" w:w="1872"/>
            <w:vAlign w:val="center"/>
            <w:shd w:fill="FFFFFF"/>
          </w:tcPr>
          <w:p>
            <w:pPr>
              <w:spacing w:after="0"/>
            </w:pPr>
            <w:r/>
            <w:r>
              <w:rPr>
                <w:rFonts w:ascii="Aptos" w:hAnsi="Aptos"/>
                <w:b w:val="0"/>
                <w:sz w:val="15"/>
              </w:rPr>
              <w:t>Low fluid</w:t>
            </w:r>
          </w:p>
        </w:tc>
        <w:tc>
          <w:tcPr>
            <w:tcW w:type="dxa" w:w="4968"/>
            <w:vAlign w:val="center"/>
            <w:shd w:fill="FFFFFF"/>
          </w:tcPr>
          <w:p>
            <w:pPr>
              <w:spacing w:after="0"/>
            </w:pPr>
            <w:r/>
            <w:r>
              <w:rPr>
                <w:rFonts w:ascii="Aptos" w:hAnsi="Aptos"/>
                <w:b w:val="0"/>
                <w:sz w:val="15"/>
              </w:rPr>
              <w:t>Ruptured membranes, fetal growth restriction, placental dysfunction, fetal renal/urinary anomaly, post-term pregnancy, medicines, hypertension.</w:t>
            </w:r>
          </w:p>
        </w:tc>
        <w:tc>
          <w:tcPr>
            <w:tcW w:type="dxa" w:w="3528"/>
            <w:vAlign w:val="center"/>
            <w:shd w:fill="FFFFFF"/>
          </w:tcPr>
          <w:p>
            <w:pPr>
              <w:spacing w:after="0"/>
            </w:pPr>
            <w:r/>
            <w:r>
              <w:rPr>
                <w:rFonts w:ascii="Aptos" w:hAnsi="Aptos"/>
                <w:b w:val="0"/>
                <w:sz w:val="15"/>
              </w:rPr>
              <w:t>Ask about fluid loss and warning symptoms; link growth and Doppler reports; urgent referral.</w:t>
            </w:r>
          </w:p>
        </w:tc>
      </w:tr>
      <w:tr>
        <w:trPr>
          <w:cantSplit/>
        </w:trPr>
        <w:tc>
          <w:tcPr>
            <w:tcW w:type="dxa" w:w="1872"/>
            <w:vAlign w:val="center"/>
            <w:shd w:fill="F7F9FC"/>
          </w:tcPr>
          <w:p>
            <w:pPr>
              <w:spacing w:after="0"/>
            </w:pPr>
            <w:r/>
            <w:r>
              <w:rPr>
                <w:rFonts w:ascii="Aptos" w:hAnsi="Aptos"/>
                <w:b w:val="0"/>
                <w:sz w:val="15"/>
              </w:rPr>
              <w:t>High fluid</w:t>
            </w:r>
          </w:p>
        </w:tc>
        <w:tc>
          <w:tcPr>
            <w:tcW w:type="dxa" w:w="4968"/>
            <w:vAlign w:val="center"/>
            <w:shd w:fill="F7F9FC"/>
          </w:tcPr>
          <w:p>
            <w:pPr>
              <w:spacing w:after="0"/>
            </w:pPr>
            <w:r/>
            <w:r>
              <w:rPr>
                <w:rFonts w:ascii="Aptos" w:hAnsi="Aptos"/>
                <w:b w:val="0"/>
                <w:sz w:val="15"/>
              </w:rPr>
              <w:t>Diabetes, fetal anomaly, infection, alloimmunization, fetal anemia, multiple pregnancy, idiopathic cases.</w:t>
            </w:r>
          </w:p>
        </w:tc>
        <w:tc>
          <w:tcPr>
            <w:tcW w:type="dxa" w:w="3528"/>
            <w:vAlign w:val="center"/>
            <w:shd w:fill="F7F9FC"/>
          </w:tcPr>
          <w:p>
            <w:pPr>
              <w:spacing w:after="0"/>
            </w:pPr>
            <w:r/>
            <w:r>
              <w:rPr>
                <w:rFonts w:ascii="Aptos" w:hAnsi="Aptos"/>
                <w:b w:val="0"/>
                <w:sz w:val="15"/>
              </w:rPr>
              <w:t>Link diabetes status, anomaly report, fetal number, growth and specialist recommendations.</w:t>
            </w:r>
          </w:p>
        </w:tc>
      </w:tr>
      <w:tr>
        <w:trPr>
          <w:cantSplit/>
        </w:trPr>
        <w:tc>
          <w:tcPr>
            <w:tcW w:type="dxa" w:w="1872"/>
            <w:vAlign w:val="center"/>
            <w:shd w:fill="FFFFFF"/>
          </w:tcPr>
          <w:p>
            <w:pPr>
              <w:spacing w:after="0"/>
            </w:pPr>
            <w:r/>
            <w:r>
              <w:rPr>
                <w:rFonts w:ascii="Aptos" w:hAnsi="Aptos"/>
                <w:b w:val="0"/>
                <w:sz w:val="15"/>
              </w:rPr>
              <w:t>Rapid fluid change</w:t>
            </w:r>
          </w:p>
        </w:tc>
        <w:tc>
          <w:tcPr>
            <w:tcW w:type="dxa" w:w="4968"/>
            <w:vAlign w:val="center"/>
            <w:shd w:fill="FFFFFF"/>
          </w:tcPr>
          <w:p>
            <w:pPr>
              <w:spacing w:after="0"/>
            </w:pPr>
            <w:r/>
            <w:r>
              <w:rPr>
                <w:rFonts w:ascii="Aptos" w:hAnsi="Aptos"/>
                <w:b w:val="0"/>
                <w:sz w:val="15"/>
              </w:rPr>
              <w:t>Measurement variation or evolving maternal/fetal condition.</w:t>
            </w:r>
          </w:p>
        </w:tc>
        <w:tc>
          <w:tcPr>
            <w:tcW w:type="dxa" w:w="3528"/>
            <w:vAlign w:val="center"/>
            <w:shd w:fill="FFFFFF"/>
          </w:tcPr>
          <w:p>
            <w:pPr>
              <w:spacing w:after="0"/>
            </w:pPr>
            <w:r/>
            <w:r>
              <w:rPr>
                <w:rFonts w:ascii="Aptos" w:hAnsi="Aptos"/>
                <w:b w:val="0"/>
                <w:sz w:val="15"/>
              </w:rPr>
              <w:t>Show serial trend and require report review.</w:t>
            </w:r>
          </w:p>
        </w:tc>
      </w:tr>
      <w:tr>
        <w:trPr>
          <w:cantSplit/>
        </w:trPr>
        <w:tc>
          <w:tcPr>
            <w:tcW w:type="dxa" w:w="1872"/>
            <w:vAlign w:val="center"/>
            <w:shd w:fill="F7F9FC"/>
          </w:tcPr>
          <w:p>
            <w:pPr>
              <w:spacing w:after="0"/>
            </w:pPr>
            <w:r/>
            <w:r>
              <w:rPr>
                <w:rFonts w:ascii="Aptos" w:hAnsi="Aptos"/>
                <w:b w:val="0"/>
                <w:sz w:val="15"/>
              </w:rPr>
              <w:t>Fluid abnormality plus malpresentation</w:t>
            </w:r>
          </w:p>
        </w:tc>
        <w:tc>
          <w:tcPr>
            <w:tcW w:type="dxa" w:w="4968"/>
            <w:vAlign w:val="center"/>
            <w:shd w:fill="F7F9FC"/>
          </w:tcPr>
          <w:p>
            <w:pPr>
              <w:spacing w:after="0"/>
            </w:pPr>
            <w:r/>
            <w:r>
              <w:rPr>
                <w:rFonts w:ascii="Aptos" w:hAnsi="Aptos"/>
                <w:b w:val="0"/>
                <w:sz w:val="15"/>
              </w:rPr>
              <w:t>Higher chance of unstable lie or cord-related complications.</w:t>
            </w:r>
          </w:p>
        </w:tc>
        <w:tc>
          <w:tcPr>
            <w:tcW w:type="dxa" w:w="3528"/>
            <w:vAlign w:val="center"/>
            <w:shd w:fill="F7F9FC"/>
          </w:tcPr>
          <w:p>
            <w:pPr>
              <w:spacing w:after="0"/>
            </w:pPr>
            <w:r/>
            <w:r>
              <w:rPr>
                <w:rFonts w:ascii="Aptos" w:hAnsi="Aptos"/>
                <w:b w:val="0"/>
                <w:sz w:val="15"/>
              </w:rPr>
              <w:t>Increase referral urgency; emergency transfer if labor or membranes rupture.</w:t>
            </w:r>
          </w:p>
        </w:tc>
      </w:tr>
    </w:tbl>
    <w:p/>
    <w:tbl>
      <w:tblPr>
        <w:tblW w:type="auto" w:w="0"/>
        <w:tblLook w:firstColumn="1" w:firstRow="1" w:lastColumn="0" w:lastRow="0" w:noHBand="0" w:noVBand="1" w:val="04A0"/>
      </w:tblPr>
      <w:tblGrid>
        <w:gridCol w:w="9994"/>
      </w:tblGrid>
      <w:tr>
        <w:trPr>
          <w:cantSplit/>
        </w:trP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Safety rule. </w:t>
            </w:r>
            <w:r>
              <w:t>The CDSS must not convert “Low” or “High” fluid into a definitive diagnosis without the ultrasound method, value, date, and report impression. Rupture of membranes remains a clinical emergency pathway independent of ultrasound fluid volume.</w:t>
            </w:r>
          </w:p>
        </w:tc>
      </w:tr>
    </w:tbl>
    <w:p/>
    <w:p>
      <w:pPr>
        <w:pStyle w:val="Heading1"/>
      </w:pPr>
      <w:r>
        <w:t>6. Placental Location and Placental Disorders</w:t>
      </w:r>
    </w:p>
    <w:p>
      <w:pPr>
        <w:pStyle w:val="Heading2"/>
      </w:pPr>
      <w:r>
        <w:t>6.1 Placental location</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304"/>
            <w:vAlign w:val="center"/>
            <w:shd w:fill="17365D"/>
          </w:tcPr>
          <w:p>
            <w:pPr>
              <w:spacing w:after="0"/>
            </w:pPr>
            <w:r/>
            <w:r>
              <w:rPr>
                <w:rFonts w:ascii="Aptos" w:hAnsi="Aptos"/>
                <w:b/>
                <w:color w:val="FFFFFF"/>
                <w:sz w:val="16"/>
              </w:rPr>
              <w:t>Finding</w:t>
            </w:r>
          </w:p>
        </w:tc>
        <w:tc>
          <w:tcPr>
            <w:tcW w:type="dxa" w:w="4320"/>
            <w:vAlign w:val="center"/>
            <w:shd w:fill="17365D"/>
          </w:tcPr>
          <w:p>
            <w:pPr>
              <w:spacing w:after="0"/>
            </w:pPr>
            <w:r/>
            <w:r>
              <w:rPr>
                <w:rFonts w:ascii="Aptos" w:hAnsi="Aptos"/>
                <w:b/>
                <w:color w:val="FFFFFF"/>
                <w:sz w:val="16"/>
              </w:rPr>
              <w:t>Meaning</w:t>
            </w:r>
          </w:p>
        </w:tc>
        <w:tc>
          <w:tcPr>
            <w:tcW w:type="dxa" w:w="3744"/>
            <w:vAlign w:val="center"/>
            <w:shd w:fill="17365D"/>
          </w:tcPr>
          <w:p>
            <w:pPr>
              <w:spacing w:after="0"/>
            </w:pPr>
            <w:r/>
            <w:r>
              <w:rPr>
                <w:rFonts w:ascii="Aptos" w:hAnsi="Aptos"/>
                <w:b/>
                <w:color w:val="FFFFFF"/>
                <w:sz w:val="16"/>
              </w:rPr>
              <w:t>CDSS response</w:t>
            </w:r>
          </w:p>
        </w:tc>
      </w:tr>
      <w:tr>
        <w:trPr>
          <w:cantSplit/>
        </w:trPr>
        <w:tc>
          <w:tcPr>
            <w:tcW w:type="dxa" w:w="2304"/>
            <w:vAlign w:val="center"/>
            <w:shd w:fill="FFFFFF"/>
          </w:tcPr>
          <w:p>
            <w:pPr>
              <w:spacing w:after="0"/>
            </w:pPr>
            <w:r/>
            <w:r>
              <w:rPr>
                <w:rFonts w:ascii="Aptos" w:hAnsi="Aptos"/>
                <w:b w:val="0"/>
                <w:sz w:val="15"/>
              </w:rPr>
              <w:t>Anterior / posterior / fundal / lateral</w:t>
            </w:r>
          </w:p>
        </w:tc>
        <w:tc>
          <w:tcPr>
            <w:tcW w:type="dxa" w:w="4320"/>
            <w:vAlign w:val="center"/>
            <w:shd w:fill="FFFFFF"/>
          </w:tcPr>
          <w:p>
            <w:pPr>
              <w:spacing w:after="0"/>
            </w:pPr>
            <w:r/>
            <w:r>
              <w:rPr>
                <w:rFonts w:ascii="Aptos" w:hAnsi="Aptos"/>
                <w:b w:val="0"/>
                <w:sz w:val="15"/>
              </w:rPr>
              <w:t>Anatomical location only.</w:t>
            </w:r>
          </w:p>
        </w:tc>
        <w:tc>
          <w:tcPr>
            <w:tcW w:type="dxa" w:w="3744"/>
            <w:vAlign w:val="center"/>
            <w:shd w:fill="FFFFFF"/>
          </w:tcPr>
          <w:p>
            <w:pPr>
              <w:spacing w:after="0"/>
            </w:pPr>
            <w:r/>
            <w:r>
              <w:rPr>
                <w:rFonts w:ascii="Aptos" w:hAnsi="Aptos"/>
                <w:b w:val="0"/>
                <w:sz w:val="15"/>
              </w:rPr>
              <w:t>Store location; do not label risk by itself.</w:t>
            </w:r>
          </w:p>
        </w:tc>
      </w:tr>
      <w:tr>
        <w:trPr>
          <w:cantSplit/>
        </w:trPr>
        <w:tc>
          <w:tcPr>
            <w:tcW w:type="dxa" w:w="2304"/>
            <w:vAlign w:val="center"/>
            <w:shd w:fill="F7F9FC"/>
          </w:tcPr>
          <w:p>
            <w:pPr>
              <w:spacing w:after="0"/>
            </w:pPr>
            <w:r/>
            <w:r>
              <w:rPr>
                <w:rFonts w:ascii="Aptos" w:hAnsi="Aptos"/>
                <w:b w:val="0"/>
                <w:sz w:val="15"/>
              </w:rPr>
              <w:t>Low-lying placenta</w:t>
            </w:r>
          </w:p>
        </w:tc>
        <w:tc>
          <w:tcPr>
            <w:tcW w:type="dxa" w:w="4320"/>
            <w:vAlign w:val="center"/>
            <w:shd w:fill="F7F9FC"/>
          </w:tcPr>
          <w:p>
            <w:pPr>
              <w:spacing w:after="0"/>
            </w:pPr>
            <w:r/>
            <w:r>
              <w:rPr>
                <w:rFonts w:ascii="Aptos" w:hAnsi="Aptos"/>
                <w:b w:val="0"/>
                <w:sz w:val="15"/>
              </w:rPr>
              <w:t>Placental edge reported close to the internal cervical os; RCOG patient guidance uses &lt;20 mm.</w:t>
            </w:r>
          </w:p>
        </w:tc>
        <w:tc>
          <w:tcPr>
            <w:tcW w:type="dxa" w:w="3744"/>
            <w:vAlign w:val="center"/>
            <w:shd w:fill="F7F9FC"/>
          </w:tcPr>
          <w:p>
            <w:pPr>
              <w:spacing w:after="0"/>
            </w:pPr>
            <w:r/>
            <w:r>
              <w:rPr>
                <w:rFonts w:ascii="Aptos" w:hAnsi="Aptos"/>
                <w:b w:val="0"/>
                <w:sz w:val="15"/>
              </w:rPr>
              <w:t>Record edge-to-os distance, scan route, gestation, follow-up date, bleeding plan.</w:t>
            </w:r>
          </w:p>
        </w:tc>
      </w:tr>
      <w:tr>
        <w:trPr>
          <w:cantSplit/>
        </w:trPr>
        <w:tc>
          <w:tcPr>
            <w:tcW w:type="dxa" w:w="2304"/>
            <w:vAlign w:val="center"/>
            <w:shd w:fill="FFFFFF"/>
          </w:tcPr>
          <w:p>
            <w:pPr>
              <w:spacing w:after="0"/>
            </w:pPr>
            <w:r/>
            <w:r>
              <w:rPr>
                <w:rFonts w:ascii="Aptos" w:hAnsi="Aptos"/>
                <w:b w:val="0"/>
                <w:sz w:val="15"/>
              </w:rPr>
              <w:t>Placenta praevia</w:t>
            </w:r>
          </w:p>
        </w:tc>
        <w:tc>
          <w:tcPr>
            <w:tcW w:type="dxa" w:w="4320"/>
            <w:vAlign w:val="center"/>
            <w:shd w:fill="FFFFFF"/>
          </w:tcPr>
          <w:p>
            <w:pPr>
              <w:spacing w:after="0"/>
            </w:pPr>
            <w:r/>
            <w:r>
              <w:rPr>
                <w:rFonts w:ascii="Aptos" w:hAnsi="Aptos"/>
                <w:b w:val="0"/>
                <w:sz w:val="15"/>
              </w:rPr>
              <w:t>Placenta partly or completely covers the internal cervical os.</w:t>
            </w:r>
          </w:p>
        </w:tc>
        <w:tc>
          <w:tcPr>
            <w:tcW w:type="dxa" w:w="3744"/>
            <w:vAlign w:val="center"/>
            <w:shd w:fill="FFFFFF"/>
          </w:tcPr>
          <w:p>
            <w:pPr>
              <w:spacing w:after="0"/>
            </w:pPr>
            <w:r/>
            <w:r>
              <w:rPr>
                <w:rFonts w:ascii="Aptos" w:hAnsi="Aptos"/>
                <w:b w:val="0"/>
                <w:sz w:val="15"/>
              </w:rPr>
              <w:t>Hospital obstetric pathway; lying-in delivery plan prohibited.</w:t>
            </w:r>
          </w:p>
        </w:tc>
      </w:tr>
      <w:tr>
        <w:trPr>
          <w:cantSplit/>
        </w:trPr>
        <w:tc>
          <w:tcPr>
            <w:tcW w:type="dxa" w:w="2304"/>
            <w:vAlign w:val="center"/>
            <w:shd w:fill="F7F9FC"/>
          </w:tcPr>
          <w:p>
            <w:pPr>
              <w:spacing w:after="0"/>
            </w:pPr>
            <w:r/>
            <w:r>
              <w:rPr>
                <w:rFonts w:ascii="Aptos" w:hAnsi="Aptos"/>
                <w:b w:val="0"/>
                <w:sz w:val="15"/>
              </w:rPr>
              <w:t>Resolved low-lying placenta</w:t>
            </w:r>
          </w:p>
        </w:tc>
        <w:tc>
          <w:tcPr>
            <w:tcW w:type="dxa" w:w="4320"/>
            <w:vAlign w:val="center"/>
            <w:shd w:fill="F7F9FC"/>
          </w:tcPr>
          <w:p>
            <w:pPr>
              <w:spacing w:after="0"/>
            </w:pPr>
            <w:r/>
            <w:r>
              <w:rPr>
                <w:rFonts w:ascii="Aptos" w:hAnsi="Aptos"/>
                <w:b w:val="0"/>
                <w:sz w:val="15"/>
              </w:rPr>
              <w:t>Later report documents adequate clearance.</w:t>
            </w:r>
          </w:p>
        </w:tc>
        <w:tc>
          <w:tcPr>
            <w:tcW w:type="dxa" w:w="3744"/>
            <w:vAlign w:val="center"/>
            <w:shd w:fill="F7F9FC"/>
          </w:tcPr>
          <w:p>
            <w:pPr>
              <w:spacing w:after="0"/>
            </w:pPr>
            <w:r/>
            <w:r>
              <w:rPr>
                <w:rFonts w:ascii="Aptos" w:hAnsi="Aptos"/>
                <w:b w:val="0"/>
                <w:sz w:val="15"/>
              </w:rPr>
              <w:t>Retain history and resolved status; do not delete earlier finding.</w:t>
            </w:r>
          </w:p>
        </w:tc>
      </w:tr>
      <w:tr>
        <w:trPr>
          <w:cantSplit/>
        </w:trPr>
        <w:tc>
          <w:tcPr>
            <w:tcW w:type="dxa" w:w="2304"/>
            <w:vAlign w:val="center"/>
            <w:shd w:fill="FFFFFF"/>
          </w:tcPr>
          <w:p>
            <w:pPr>
              <w:spacing w:after="0"/>
            </w:pPr>
            <w:r/>
            <w:r>
              <w:rPr>
                <w:rFonts w:ascii="Aptos" w:hAnsi="Aptos"/>
                <w:b w:val="0"/>
                <w:sz w:val="15"/>
              </w:rPr>
              <w:t>Placental location not visualized/uncertain</w:t>
            </w:r>
          </w:p>
        </w:tc>
        <w:tc>
          <w:tcPr>
            <w:tcW w:type="dxa" w:w="4320"/>
            <w:vAlign w:val="center"/>
            <w:shd w:fill="FFFFFF"/>
          </w:tcPr>
          <w:p>
            <w:pPr>
              <w:spacing w:after="0"/>
            </w:pPr>
            <w:r/>
            <w:r>
              <w:rPr>
                <w:rFonts w:ascii="Aptos" w:hAnsi="Aptos"/>
                <w:b w:val="0"/>
                <w:sz w:val="15"/>
              </w:rPr>
              <w:t>Incomplete report.</w:t>
            </w:r>
          </w:p>
        </w:tc>
        <w:tc>
          <w:tcPr>
            <w:tcW w:type="dxa" w:w="3744"/>
            <w:vAlign w:val="center"/>
            <w:shd w:fill="FFFFFF"/>
          </w:tcPr>
          <w:p>
            <w:pPr>
              <w:spacing w:after="0"/>
            </w:pPr>
            <w:r/>
            <w:r>
              <w:rPr>
                <w:rFonts w:ascii="Aptos" w:hAnsi="Aptos"/>
                <w:b w:val="0"/>
                <w:sz w:val="15"/>
              </w:rPr>
              <w:t>Request repeat or expert scan according to report.</w:t>
            </w:r>
          </w:p>
        </w:tc>
      </w:tr>
    </w:tbl>
    <w:p/>
    <w:p>
      <w:pPr>
        <w:pStyle w:val="Heading2"/>
      </w:pPr>
      <w:r>
        <w:t>6.2 Follow-up and bleeding safety</w:t>
      </w:r>
    </w:p>
    <w:p>
      <w:pPr>
        <w:pStyle w:val="ListBullet"/>
        <w:spacing w:after="50"/>
      </w:pPr>
      <w:r>
        <w:t>Placental location should be determined at the routine mid-trimester scan.</w:t>
      </w:r>
    </w:p>
    <w:p>
      <w:pPr>
        <w:pStyle w:val="ListBullet"/>
        <w:spacing w:after="50"/>
      </w:pPr>
      <w:r>
        <w:t>When low lying at the mid-trimester scan, the record should carry the follow-up plan; RCOG patient guidance describes reassessment at 32 weeks and again at 36 weeks if still low lying.</w:t>
      </w:r>
    </w:p>
    <w:p>
      <w:pPr>
        <w:pStyle w:val="ListBullet"/>
        <w:spacing w:after="50"/>
      </w:pPr>
      <w:r>
        <w:t>Transvaginal ultrasound may be used by qualified services to define the relationship to the internal os.</w:t>
      </w:r>
    </w:p>
    <w:p>
      <w:pPr>
        <w:pStyle w:val="ListBullet"/>
        <w:spacing w:after="50"/>
      </w:pPr>
      <w:r>
        <w:t>Any vaginal bleeding, contractions, or pain in a woman with known or suspected low placentation requires immediate hospital contact/transfer according to condition and local protocol.</w:t>
      </w:r>
    </w:p>
    <w:p>
      <w:pPr>
        <w:pStyle w:val="ListBullet"/>
        <w:spacing w:after="50"/>
      </w:pPr>
      <w:r>
        <w:t>The system must not recommend digital vaginal examination where placenta praevia is possible.</w:t>
      </w:r>
    </w:p>
    <w:p>
      <w:pPr>
        <w:pStyle w:val="Heading2"/>
      </w:pPr>
      <w:r>
        <w:t>6.3 Placenta accreta spectrum (PAS)</w:t>
      </w:r>
    </w:p>
    <w:p>
      <w:r>
        <w:t>PAS is abnormal placental attachment/invasion associated with severe hemorrhage risk. The 2026 RCOG update emphasizes that PAS is not limited to women with placenta praevia and previous caesarean birth; other uterine surgical trauma can also increase risk. The strongest CDSS function is early recognition of risk combinations and specialist referral.</w:t>
      </w:r>
    </w:p>
    <w:tbl>
      <w:tblPr>
        <w:tblStyle w:val="TableGrid"/>
        <w:tblW w:type="auto" w:w="0"/>
        <w:jc w:val="center"/>
        <w:tblLook w:firstColumn="1" w:firstRow="1" w:lastColumn="0" w:lastRow="0" w:noHBand="0" w:noVBand="1" w:val="04A0"/>
      </w:tblPr>
      <w:tblGrid>
        <w:gridCol w:w="4997"/>
        <w:gridCol w:w="4997"/>
      </w:tblGrid>
      <w:tr>
        <w:trPr>
          <w:cantSplit/>
        </w:trPr>
        <w:tc>
          <w:tcPr>
            <w:tcW w:type="dxa" w:w="4968"/>
            <w:vAlign w:val="center"/>
            <w:shd w:fill="17365D"/>
          </w:tcPr>
          <w:p>
            <w:pPr>
              <w:spacing w:after="0"/>
            </w:pPr>
            <w:r/>
            <w:r>
              <w:rPr>
                <w:rFonts w:ascii="Aptos" w:hAnsi="Aptos"/>
                <w:b/>
                <w:color w:val="FFFFFF"/>
                <w:sz w:val="16"/>
              </w:rPr>
              <w:t>Risk/report combination</w:t>
            </w:r>
          </w:p>
        </w:tc>
        <w:tc>
          <w:tcPr>
            <w:tcW w:type="dxa" w:w="5400"/>
            <w:vAlign w:val="center"/>
            <w:shd w:fill="17365D"/>
          </w:tcPr>
          <w:p>
            <w:pPr>
              <w:spacing w:after="0"/>
            </w:pPr>
            <w:r/>
            <w:r>
              <w:rPr>
                <w:rFonts w:ascii="Aptos" w:hAnsi="Aptos"/>
                <w:b/>
                <w:color w:val="FFFFFF"/>
                <w:sz w:val="16"/>
              </w:rPr>
              <w:t>CDSS action</w:t>
            </w:r>
          </w:p>
        </w:tc>
      </w:tr>
      <w:tr>
        <w:trPr>
          <w:cantSplit/>
        </w:trPr>
        <w:tc>
          <w:tcPr>
            <w:tcW w:type="dxa" w:w="4968"/>
            <w:vAlign w:val="center"/>
            <w:shd w:fill="FFFFFF"/>
          </w:tcPr>
          <w:p>
            <w:pPr>
              <w:spacing w:after="0"/>
            </w:pPr>
            <w:r/>
            <w:r>
              <w:rPr>
                <w:rFonts w:ascii="Aptos" w:hAnsi="Aptos"/>
                <w:b w:val="0"/>
                <w:sz w:val="15"/>
              </w:rPr>
              <w:t>Low-lying placenta or placenta praevia plus previous caesarean/uterine scar</w:t>
            </w:r>
          </w:p>
        </w:tc>
        <w:tc>
          <w:tcPr>
            <w:tcW w:type="dxa" w:w="5400"/>
            <w:vAlign w:val="center"/>
            <w:shd w:fill="FFFFFF"/>
          </w:tcPr>
          <w:p>
            <w:pPr>
              <w:spacing w:after="0"/>
            </w:pPr>
            <w:r/>
            <w:r>
              <w:rPr>
                <w:rFonts w:ascii="Aptos" w:hAnsi="Aptos"/>
                <w:b w:val="0"/>
                <w:sz w:val="15"/>
              </w:rPr>
              <w:t>High-priority expert grayscale and color Doppler pathway around the guideline-specified time; do not wait for symptoms.</w:t>
            </w:r>
          </w:p>
        </w:tc>
      </w:tr>
      <w:tr>
        <w:trPr>
          <w:cantSplit/>
        </w:trPr>
        <w:tc>
          <w:tcPr>
            <w:tcW w:type="dxa" w:w="4968"/>
            <w:vAlign w:val="center"/>
            <w:shd w:fill="F7F9FC"/>
          </w:tcPr>
          <w:p>
            <w:pPr>
              <w:spacing w:after="0"/>
            </w:pPr>
            <w:r/>
            <w:r>
              <w:rPr>
                <w:rFonts w:ascii="Aptos" w:hAnsi="Aptos"/>
                <w:b w:val="0"/>
                <w:sz w:val="15"/>
              </w:rPr>
              <w:t>Ultrasound report: suspected PAS</w:t>
            </w:r>
          </w:p>
        </w:tc>
        <w:tc>
          <w:tcPr>
            <w:tcW w:type="dxa" w:w="5400"/>
            <w:vAlign w:val="center"/>
            <w:shd w:fill="F7F9FC"/>
          </w:tcPr>
          <w:p>
            <w:pPr>
              <w:spacing w:after="0"/>
            </w:pPr>
            <w:r/>
            <w:r>
              <w:rPr>
                <w:rFonts w:ascii="Aptos" w:hAnsi="Aptos"/>
                <w:b w:val="0"/>
                <w:sz w:val="15"/>
              </w:rPr>
              <w:t>Immediate specialist PAS-centre referral and documented multidisciplinary plan.</w:t>
            </w:r>
          </w:p>
        </w:tc>
      </w:tr>
      <w:tr>
        <w:trPr>
          <w:cantSplit/>
        </w:trPr>
        <w:tc>
          <w:tcPr>
            <w:tcW w:type="dxa" w:w="4968"/>
            <w:vAlign w:val="center"/>
            <w:shd w:fill="FFFFFF"/>
          </w:tcPr>
          <w:p>
            <w:pPr>
              <w:spacing w:after="0"/>
            </w:pPr>
            <w:r/>
            <w:r>
              <w:rPr>
                <w:rFonts w:ascii="Aptos" w:hAnsi="Aptos"/>
                <w:b w:val="0"/>
                <w:sz w:val="15"/>
              </w:rPr>
              <w:t>Placenta over scar plus other uterine surgery history</w:t>
            </w:r>
          </w:p>
        </w:tc>
        <w:tc>
          <w:tcPr>
            <w:tcW w:type="dxa" w:w="5400"/>
            <w:vAlign w:val="center"/>
            <w:shd w:fill="FFFFFF"/>
          </w:tcPr>
          <w:p>
            <w:pPr>
              <w:spacing w:after="0"/>
            </w:pPr>
            <w:r/>
            <w:r>
              <w:rPr>
                <w:rFonts w:ascii="Aptos" w:hAnsi="Aptos"/>
                <w:b w:val="0"/>
                <w:sz w:val="15"/>
              </w:rPr>
              <w:t>Display combined risk and ensure expert review.</w:t>
            </w:r>
          </w:p>
        </w:tc>
      </w:tr>
      <w:tr>
        <w:trPr>
          <w:cantSplit/>
        </w:trPr>
        <w:tc>
          <w:tcPr>
            <w:tcW w:type="dxa" w:w="4968"/>
            <w:vAlign w:val="center"/>
            <w:shd w:fill="F7F9FC"/>
          </w:tcPr>
          <w:p>
            <w:pPr>
              <w:spacing w:after="0"/>
            </w:pPr>
            <w:r/>
            <w:r>
              <w:rPr>
                <w:rFonts w:ascii="Aptos" w:hAnsi="Aptos"/>
                <w:b w:val="0"/>
                <w:sz w:val="15"/>
              </w:rPr>
              <w:t>No previa but report suggests PAS</w:t>
            </w:r>
          </w:p>
        </w:tc>
        <w:tc>
          <w:tcPr>
            <w:tcW w:type="dxa" w:w="5400"/>
            <w:vAlign w:val="center"/>
            <w:shd w:fill="F7F9FC"/>
          </w:tcPr>
          <w:p>
            <w:pPr>
              <w:spacing w:after="0"/>
            </w:pPr>
            <w:r/>
            <w:r>
              <w:rPr>
                <w:rFonts w:ascii="Aptos" w:hAnsi="Aptos"/>
                <w:b w:val="0"/>
                <w:sz w:val="15"/>
              </w:rPr>
              <w:t>Do not dismiss; 2026 RCOG guidance recognizes PAS beyond the classic combination.</w:t>
            </w:r>
          </w:p>
        </w:tc>
      </w:tr>
      <w:tr>
        <w:trPr>
          <w:cantSplit/>
        </w:trPr>
        <w:tc>
          <w:tcPr>
            <w:tcW w:type="dxa" w:w="4968"/>
            <w:vAlign w:val="center"/>
            <w:shd w:fill="FFFFFF"/>
          </w:tcPr>
          <w:p>
            <w:pPr>
              <w:spacing w:after="0"/>
            </w:pPr>
            <w:r/>
            <w:r>
              <w:rPr>
                <w:rFonts w:ascii="Aptos" w:hAnsi="Aptos"/>
                <w:b w:val="0"/>
                <w:sz w:val="15"/>
              </w:rPr>
              <w:t>Bleeding, shock, labor, or rupture of membranes with PAS concern</w:t>
            </w:r>
          </w:p>
        </w:tc>
        <w:tc>
          <w:tcPr>
            <w:tcW w:type="dxa" w:w="5400"/>
            <w:vAlign w:val="center"/>
            <w:shd w:fill="FFFFFF"/>
          </w:tcPr>
          <w:p>
            <w:pPr>
              <w:spacing w:after="0"/>
            </w:pPr>
            <w:r/>
            <w:r>
              <w:rPr>
                <w:rFonts w:ascii="Aptos" w:hAnsi="Aptos"/>
                <w:b w:val="0"/>
                <w:sz w:val="15"/>
              </w:rPr>
              <w:t>Emergency transfer to hospital with major hemorrhage capability.</w:t>
            </w:r>
          </w:p>
        </w:tc>
      </w:tr>
    </w:tbl>
    <w:p/>
    <w:tbl>
      <w:tblPr>
        <w:tblW w:type="auto" w:w="0"/>
        <w:tblLook w:firstColumn="1" w:firstRow="1" w:lastColumn="0" w:lastRow="0" w:noHBand="0" w:noVBand="1" w:val="04A0"/>
      </w:tblPr>
      <w:tblGrid>
        <w:gridCol w:w="9994"/>
      </w:tblGrid>
      <w:tr>
        <w:trPr>
          <w:cantSplit/>
        </w:trP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Lying-in limitation. </w:t>
            </w:r>
            <w:r>
              <w:t>Placenta praevia and suspected/confirmed PAS are not appropriate for planned birth in a lying-in clinic. The CDSS should lock the ordinary low-risk delivery pathway and require a specialist birth plan.</w:t>
            </w:r>
          </w:p>
        </w:tc>
      </w:tr>
    </w:tbl>
    <w:p/>
    <w:p>
      <w:pPr>
        <w:pStyle w:val="Heading2"/>
      </w:pPr>
      <w:r>
        <w:t>6.4 Placental abruption concern</w:t>
      </w:r>
    </w:p>
    <w:p>
      <w:r>
        <w:t>Placental abruption is primarily a clinical diagnosis; ultrasound may be normal and cannot safely exclude it. The system may store a reported hematoma or “possible abruption,” but severe abdominal pain, vaginal bleeding, uterine tenderness/rigidity, contractions, fetal concern, or maternal instability must activate emergency transfer without waiting for imaging confirmation.</w:t>
      </w:r>
    </w:p>
    <w:p>
      <w:pPr>
        <w:pStyle w:val="Heading2"/>
      </w:pPr>
      <w:r>
        <w:t>6.5 Vasa previa and cord/placental variants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448"/>
            <w:vAlign w:val="center"/>
            <w:shd w:fill="17365D"/>
          </w:tcPr>
          <w:p>
            <w:pPr>
              <w:spacing w:after="0"/>
            </w:pPr>
            <w:r/>
            <w:r>
              <w:rPr>
                <w:rFonts w:ascii="Aptos" w:hAnsi="Aptos"/>
                <w:b/>
                <w:color w:val="FFFFFF"/>
                <w:sz w:val="16"/>
              </w:rPr>
              <w:t>Finding</w:t>
            </w:r>
          </w:p>
        </w:tc>
        <w:tc>
          <w:tcPr>
            <w:tcW w:type="dxa" w:w="4536"/>
            <w:vAlign w:val="center"/>
            <w:shd w:fill="17365D"/>
          </w:tcPr>
          <w:p>
            <w:pPr>
              <w:spacing w:after="0"/>
            </w:pPr>
            <w:r/>
            <w:r>
              <w:rPr>
                <w:rFonts w:ascii="Aptos" w:hAnsi="Aptos"/>
                <w:b/>
                <w:color w:val="FFFFFF"/>
                <w:sz w:val="16"/>
              </w:rPr>
              <w:t>Why it matters</w:t>
            </w:r>
          </w:p>
        </w:tc>
        <w:tc>
          <w:tcPr>
            <w:tcW w:type="dxa" w:w="3384"/>
            <w:vAlign w:val="center"/>
            <w:shd w:fill="17365D"/>
          </w:tcPr>
          <w:p>
            <w:pPr>
              <w:spacing w:after="0"/>
            </w:pPr>
            <w:r/>
            <w:r>
              <w:rPr>
                <w:rFonts w:ascii="Aptos" w:hAnsi="Aptos"/>
                <w:b/>
                <w:color w:val="FFFFFF"/>
                <w:sz w:val="16"/>
              </w:rPr>
              <w:t>CDSS action</w:t>
            </w:r>
          </w:p>
        </w:tc>
      </w:tr>
      <w:tr>
        <w:trPr>
          <w:cantSplit/>
        </w:trPr>
        <w:tc>
          <w:tcPr>
            <w:tcW w:type="dxa" w:w="2448"/>
            <w:vAlign w:val="center"/>
            <w:shd w:fill="FFFFFF"/>
          </w:tcPr>
          <w:p>
            <w:pPr>
              <w:spacing w:after="0"/>
            </w:pPr>
            <w:r/>
            <w:r>
              <w:rPr>
                <w:rFonts w:ascii="Aptos" w:hAnsi="Aptos"/>
                <w:b w:val="0"/>
                <w:sz w:val="14"/>
              </w:rPr>
              <w:t>Vasa previa suspected/confirmed</w:t>
            </w:r>
          </w:p>
        </w:tc>
        <w:tc>
          <w:tcPr>
            <w:tcW w:type="dxa" w:w="4536"/>
            <w:vAlign w:val="center"/>
            <w:shd w:fill="FFFFFF"/>
          </w:tcPr>
          <w:p>
            <w:pPr>
              <w:spacing w:after="0"/>
            </w:pPr>
            <w:r/>
            <w:r>
              <w:rPr>
                <w:rFonts w:ascii="Aptos" w:hAnsi="Aptos"/>
                <w:b w:val="0"/>
                <w:sz w:val="14"/>
              </w:rPr>
              <w:t>Unprotected fetal vessels cross or lie near the cervix; rupture can cause catastrophic fetal hemorrhage.</w:t>
            </w:r>
          </w:p>
        </w:tc>
        <w:tc>
          <w:tcPr>
            <w:tcW w:type="dxa" w:w="3384"/>
            <w:vAlign w:val="center"/>
            <w:shd w:fill="FFFFFF"/>
          </w:tcPr>
          <w:p>
            <w:pPr>
              <w:spacing w:after="0"/>
            </w:pPr>
            <w:r/>
            <w:r>
              <w:rPr>
                <w:rFonts w:ascii="Aptos" w:hAnsi="Aptos"/>
                <w:b w:val="0"/>
                <w:sz w:val="14"/>
              </w:rPr>
              <w:t>Specialist hospital pathway; emergency transfer for bleeding, labor, or ruptured membranes.</w:t>
            </w:r>
          </w:p>
        </w:tc>
      </w:tr>
      <w:tr>
        <w:trPr>
          <w:cantSplit/>
        </w:trPr>
        <w:tc>
          <w:tcPr>
            <w:tcW w:type="dxa" w:w="2448"/>
            <w:vAlign w:val="center"/>
            <w:shd w:fill="F7F9FC"/>
          </w:tcPr>
          <w:p>
            <w:pPr>
              <w:spacing w:after="0"/>
            </w:pPr>
            <w:r/>
            <w:r>
              <w:rPr>
                <w:rFonts w:ascii="Aptos" w:hAnsi="Aptos"/>
                <w:b w:val="0"/>
                <w:sz w:val="14"/>
              </w:rPr>
              <w:t>Velamentous cord insertion</w:t>
            </w:r>
          </w:p>
        </w:tc>
        <w:tc>
          <w:tcPr>
            <w:tcW w:type="dxa" w:w="4536"/>
            <w:vAlign w:val="center"/>
            <w:shd w:fill="F7F9FC"/>
          </w:tcPr>
          <w:p>
            <w:pPr>
              <w:spacing w:after="0"/>
            </w:pPr>
            <w:r/>
            <w:r>
              <w:rPr>
                <w:rFonts w:ascii="Aptos" w:hAnsi="Aptos"/>
                <w:b w:val="0"/>
                <w:sz w:val="14"/>
              </w:rPr>
              <w:t>Associated with vasa previa and growth/surveillance concerns.</w:t>
            </w:r>
          </w:p>
        </w:tc>
        <w:tc>
          <w:tcPr>
            <w:tcW w:type="dxa" w:w="3384"/>
            <w:vAlign w:val="center"/>
            <w:shd w:fill="F7F9FC"/>
          </w:tcPr>
          <w:p>
            <w:pPr>
              <w:spacing w:after="0"/>
            </w:pPr>
            <w:r/>
            <w:r>
              <w:rPr>
                <w:rFonts w:ascii="Aptos" w:hAnsi="Aptos"/>
                <w:b w:val="0"/>
                <w:sz w:val="14"/>
              </w:rPr>
              <w:t>Store report, fetal growth plan, and specialist recommendations.</w:t>
            </w:r>
          </w:p>
        </w:tc>
      </w:tr>
      <w:tr>
        <w:trPr>
          <w:cantSplit/>
        </w:trPr>
        <w:tc>
          <w:tcPr>
            <w:tcW w:type="dxa" w:w="2448"/>
            <w:vAlign w:val="center"/>
            <w:shd w:fill="FFFFFF"/>
          </w:tcPr>
          <w:p>
            <w:pPr>
              <w:spacing w:after="0"/>
            </w:pPr>
            <w:r/>
            <w:r>
              <w:rPr>
                <w:rFonts w:ascii="Aptos" w:hAnsi="Aptos"/>
                <w:b w:val="0"/>
                <w:sz w:val="14"/>
              </w:rPr>
              <w:t>Marginal cord insertion</w:t>
            </w:r>
          </w:p>
        </w:tc>
        <w:tc>
          <w:tcPr>
            <w:tcW w:type="dxa" w:w="4536"/>
            <w:vAlign w:val="center"/>
            <w:shd w:fill="FFFFFF"/>
          </w:tcPr>
          <w:p>
            <w:pPr>
              <w:spacing w:after="0"/>
            </w:pPr>
            <w:r/>
            <w:r>
              <w:rPr>
                <w:rFonts w:ascii="Aptos" w:hAnsi="Aptos"/>
                <w:b w:val="0"/>
                <w:sz w:val="14"/>
              </w:rPr>
              <w:t>May alter growth-surveillance planning.</w:t>
            </w:r>
          </w:p>
        </w:tc>
        <w:tc>
          <w:tcPr>
            <w:tcW w:type="dxa" w:w="3384"/>
            <w:vAlign w:val="center"/>
            <w:shd w:fill="FFFFFF"/>
          </w:tcPr>
          <w:p>
            <w:pPr>
              <w:spacing w:after="0"/>
            </w:pPr>
            <w:r/>
            <w:r>
              <w:rPr>
                <w:rFonts w:ascii="Aptos" w:hAnsi="Aptos"/>
                <w:b w:val="0"/>
                <w:sz w:val="14"/>
              </w:rPr>
              <w:t>Record and follow report recommendations.</w:t>
            </w:r>
          </w:p>
        </w:tc>
      </w:tr>
      <w:tr>
        <w:trPr>
          <w:cantSplit/>
        </w:trPr>
        <w:tc>
          <w:tcPr>
            <w:tcW w:type="dxa" w:w="2448"/>
            <w:vAlign w:val="center"/>
            <w:shd w:fill="F7F9FC"/>
          </w:tcPr>
          <w:p>
            <w:pPr>
              <w:spacing w:after="0"/>
            </w:pPr>
            <w:r/>
            <w:r>
              <w:rPr>
                <w:rFonts w:ascii="Aptos" w:hAnsi="Aptos"/>
                <w:b w:val="0"/>
                <w:sz w:val="14"/>
              </w:rPr>
              <w:t>Succenturiate/bilobed placenta</w:t>
            </w:r>
          </w:p>
        </w:tc>
        <w:tc>
          <w:tcPr>
            <w:tcW w:type="dxa" w:w="4536"/>
            <w:vAlign w:val="center"/>
            <w:shd w:fill="F7F9FC"/>
          </w:tcPr>
          <w:p>
            <w:pPr>
              <w:spacing w:after="0"/>
            </w:pPr>
            <w:r/>
            <w:r>
              <w:rPr>
                <w:rFonts w:ascii="Aptos" w:hAnsi="Aptos"/>
                <w:b w:val="0"/>
                <w:sz w:val="14"/>
              </w:rPr>
              <w:t>Can be associated with connecting vessels and retained placental tissue.</w:t>
            </w:r>
          </w:p>
        </w:tc>
        <w:tc>
          <w:tcPr>
            <w:tcW w:type="dxa" w:w="3384"/>
            <w:vAlign w:val="center"/>
            <w:shd w:fill="F7F9FC"/>
          </w:tcPr>
          <w:p>
            <w:pPr>
              <w:spacing w:after="0"/>
            </w:pPr>
            <w:r/>
            <w:r>
              <w:rPr>
                <w:rFonts w:ascii="Aptos" w:hAnsi="Aptos"/>
                <w:b w:val="0"/>
                <w:sz w:val="14"/>
              </w:rPr>
              <w:t>Record morphology and vasa-previa evaluation status.</w:t>
            </w:r>
          </w:p>
        </w:tc>
      </w:tr>
      <w:tr>
        <w:trPr>
          <w:cantSplit/>
        </w:trPr>
        <w:tc>
          <w:tcPr>
            <w:tcW w:type="dxa" w:w="2448"/>
            <w:vAlign w:val="center"/>
            <w:shd w:fill="FFFFFF"/>
          </w:tcPr>
          <w:p>
            <w:pPr>
              <w:spacing w:after="0"/>
            </w:pPr>
            <w:r/>
            <w:r>
              <w:rPr>
                <w:rFonts w:ascii="Aptos" w:hAnsi="Aptos"/>
                <w:b w:val="0"/>
                <w:sz w:val="14"/>
              </w:rPr>
              <w:t>Single umbilical artery</w:t>
            </w:r>
          </w:p>
        </w:tc>
        <w:tc>
          <w:tcPr>
            <w:tcW w:type="dxa" w:w="4536"/>
            <w:vAlign w:val="center"/>
            <w:shd w:fill="FFFFFF"/>
          </w:tcPr>
          <w:p>
            <w:pPr>
              <w:spacing w:after="0"/>
            </w:pPr>
            <w:r/>
            <w:r>
              <w:rPr>
                <w:rFonts w:ascii="Aptos" w:hAnsi="Aptos"/>
                <w:b w:val="0"/>
                <w:sz w:val="14"/>
              </w:rPr>
              <w:t>May coexist with anomalies and may change surveillance.</w:t>
            </w:r>
          </w:p>
        </w:tc>
        <w:tc>
          <w:tcPr>
            <w:tcW w:type="dxa" w:w="3384"/>
            <w:vAlign w:val="center"/>
            <w:shd w:fill="FFFFFF"/>
          </w:tcPr>
          <w:p>
            <w:pPr>
              <w:spacing w:after="0"/>
            </w:pPr>
            <w:r/>
            <w:r>
              <w:rPr>
                <w:rFonts w:ascii="Aptos" w:hAnsi="Aptos"/>
                <w:b w:val="0"/>
                <w:sz w:val="14"/>
              </w:rPr>
              <w:t>Store anomaly evaluation and growth/surveillance plan.</w:t>
            </w:r>
          </w:p>
        </w:tc>
      </w:tr>
      <w:tr>
        <w:trPr>
          <w:cantSplit/>
        </w:trPr>
        <w:tc>
          <w:tcPr>
            <w:tcW w:type="dxa" w:w="2448"/>
            <w:vAlign w:val="center"/>
            <w:shd w:fill="F7F9FC"/>
          </w:tcPr>
          <w:p>
            <w:pPr>
              <w:spacing w:after="0"/>
            </w:pPr>
            <w:r/>
            <w:r>
              <w:rPr>
                <w:rFonts w:ascii="Aptos" w:hAnsi="Aptos"/>
                <w:b w:val="0"/>
                <w:sz w:val="14"/>
              </w:rPr>
              <w:t>Cord presentation/prolapse concern</w:t>
            </w:r>
          </w:p>
        </w:tc>
        <w:tc>
          <w:tcPr>
            <w:tcW w:type="dxa" w:w="4536"/>
            <w:vAlign w:val="center"/>
            <w:shd w:fill="F7F9FC"/>
          </w:tcPr>
          <w:p>
            <w:pPr>
              <w:spacing w:after="0"/>
            </w:pPr>
            <w:r/>
            <w:r>
              <w:rPr>
                <w:rFonts w:ascii="Aptos" w:hAnsi="Aptos"/>
                <w:b w:val="0"/>
                <w:sz w:val="14"/>
              </w:rPr>
              <w:t>Especially urgent with malpresentation or ruptured membranes.</w:t>
            </w:r>
          </w:p>
        </w:tc>
        <w:tc>
          <w:tcPr>
            <w:tcW w:type="dxa" w:w="3384"/>
            <w:vAlign w:val="center"/>
            <w:shd w:fill="F7F9FC"/>
          </w:tcPr>
          <w:p>
            <w:pPr>
              <w:spacing w:after="0"/>
            </w:pPr>
            <w:r/>
            <w:r>
              <w:rPr>
                <w:rFonts w:ascii="Aptos" w:hAnsi="Aptos"/>
                <w:b w:val="0"/>
                <w:sz w:val="14"/>
              </w:rPr>
              <w:t>Emergency transfer; do not wait for routine scan.</w:t>
            </w:r>
          </w:p>
        </w:tc>
      </w:tr>
    </w:tbl>
    <w:p/>
    <w:p>
      <w:pPr>
        <w:pStyle w:val="Heading1"/>
      </w:pPr>
      <w:r>
        <w:t>7. Fetal Number, Growth, Anomalies, and Other Reported Findings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944"/>
            <w:vAlign w:val="center"/>
            <w:shd w:fill="17365D"/>
          </w:tcPr>
          <w:p>
            <w:pPr>
              <w:spacing w:after="0"/>
            </w:pPr>
            <w:r/>
            <w:r>
              <w:rPr>
                <w:rFonts w:ascii="Aptos" w:hAnsi="Aptos"/>
                <w:b/>
                <w:color w:val="FFFFFF"/>
                <w:sz w:val="16"/>
              </w:rPr>
              <w:t>Domain</w:t>
            </w:r>
          </w:p>
        </w:tc>
        <w:tc>
          <w:tcPr>
            <w:tcW w:type="dxa" w:w="4968"/>
            <w:vAlign w:val="center"/>
            <w:shd w:fill="17365D"/>
          </w:tcPr>
          <w:p>
            <w:pPr>
              <w:spacing w:after="0"/>
            </w:pPr>
            <w:r/>
            <w:r>
              <w:rPr>
                <w:rFonts w:ascii="Aptos" w:hAnsi="Aptos"/>
                <w:b/>
                <w:color w:val="FFFFFF"/>
                <w:sz w:val="16"/>
              </w:rPr>
              <w:t>Required fields</w:t>
            </w:r>
          </w:p>
        </w:tc>
        <w:tc>
          <w:tcPr>
            <w:tcW w:type="dxa" w:w="3456"/>
            <w:vAlign w:val="center"/>
            <w:shd w:fill="17365D"/>
          </w:tcPr>
          <w:p>
            <w:pPr>
              <w:spacing w:after="0"/>
            </w:pPr>
            <w:r/>
            <w:r>
              <w:rPr>
                <w:rFonts w:ascii="Aptos" w:hAnsi="Aptos"/>
                <w:b/>
                <w:color w:val="FFFFFF"/>
                <w:sz w:val="16"/>
              </w:rPr>
              <w:t>Decision boundary</w:t>
            </w:r>
          </w:p>
        </w:tc>
      </w:tr>
      <w:tr>
        <w:trPr>
          <w:cantSplit/>
        </w:trPr>
        <w:tc>
          <w:tcPr>
            <w:tcW w:type="dxa" w:w="1944"/>
            <w:vAlign w:val="center"/>
            <w:shd w:fill="FFFFFF"/>
          </w:tcPr>
          <w:p>
            <w:pPr>
              <w:spacing w:after="0"/>
            </w:pPr>
            <w:r/>
            <w:r>
              <w:rPr>
                <w:rFonts w:ascii="Aptos" w:hAnsi="Aptos"/>
                <w:b w:val="0"/>
                <w:sz w:val="14"/>
              </w:rPr>
              <w:t>Fetal number</w:t>
            </w:r>
          </w:p>
        </w:tc>
        <w:tc>
          <w:tcPr>
            <w:tcW w:type="dxa" w:w="4968"/>
            <w:vAlign w:val="center"/>
            <w:shd w:fill="FFFFFF"/>
          </w:tcPr>
          <w:p>
            <w:pPr>
              <w:spacing w:after="0"/>
            </w:pPr>
            <w:r/>
            <w:r>
              <w:rPr>
                <w:rFonts w:ascii="Aptos" w:hAnsi="Aptos"/>
                <w:b w:val="0"/>
                <w:sz w:val="14"/>
              </w:rPr>
              <w:t>singleton/twins/higher order; chorionicity/amnionicity as reported; fetus labels A/B/etc.</w:t>
            </w:r>
          </w:p>
        </w:tc>
        <w:tc>
          <w:tcPr>
            <w:tcW w:type="dxa" w:w="3456"/>
            <w:vAlign w:val="center"/>
            <w:shd w:fill="FFFFFF"/>
          </w:tcPr>
          <w:p>
            <w:pPr>
              <w:spacing w:after="0"/>
            </w:pPr>
            <w:r/>
            <w:r>
              <w:rPr>
                <w:rFonts w:ascii="Aptos" w:hAnsi="Aptos"/>
                <w:b w:val="0"/>
                <w:sz w:val="14"/>
              </w:rPr>
              <w:t>Multiple pregnancy requires fetus-specific data and specialist pathway.</w:t>
            </w:r>
          </w:p>
        </w:tc>
      </w:tr>
      <w:tr>
        <w:trPr>
          <w:cantSplit/>
        </w:trPr>
        <w:tc>
          <w:tcPr>
            <w:tcW w:type="dxa" w:w="1944"/>
            <w:vAlign w:val="center"/>
            <w:shd w:fill="F7F9FC"/>
          </w:tcPr>
          <w:p>
            <w:pPr>
              <w:spacing w:after="0"/>
            </w:pPr>
            <w:r/>
            <w:r>
              <w:rPr>
                <w:rFonts w:ascii="Aptos" w:hAnsi="Aptos"/>
                <w:b w:val="0"/>
                <w:sz w:val="14"/>
              </w:rPr>
              <w:t>Biometry</w:t>
            </w:r>
          </w:p>
        </w:tc>
        <w:tc>
          <w:tcPr>
            <w:tcW w:type="dxa" w:w="4968"/>
            <w:vAlign w:val="center"/>
            <w:shd w:fill="F7F9FC"/>
          </w:tcPr>
          <w:p>
            <w:pPr>
              <w:spacing w:after="0"/>
            </w:pPr>
            <w:r/>
            <w:r>
              <w:rPr>
                <w:rFonts w:ascii="Aptos" w:hAnsi="Aptos"/>
                <w:b w:val="0"/>
                <w:sz w:val="14"/>
              </w:rPr>
              <w:t>BPD, HC, AC, FL, EFW, formula/reference, percentile, scan date.</w:t>
            </w:r>
          </w:p>
        </w:tc>
        <w:tc>
          <w:tcPr>
            <w:tcW w:type="dxa" w:w="3456"/>
            <w:vAlign w:val="center"/>
            <w:shd w:fill="F7F9FC"/>
          </w:tcPr>
          <w:p>
            <w:pPr>
              <w:spacing w:after="0"/>
            </w:pPr>
            <w:r/>
            <w:r>
              <w:rPr>
                <w:rFonts w:ascii="Aptos" w:hAnsi="Aptos"/>
                <w:b w:val="0"/>
                <w:sz w:val="14"/>
              </w:rPr>
              <w:t>Do not compare percentiles from incompatible charts without qualification.</w:t>
            </w:r>
          </w:p>
        </w:tc>
      </w:tr>
      <w:tr>
        <w:trPr>
          <w:cantSplit/>
        </w:trPr>
        <w:tc>
          <w:tcPr>
            <w:tcW w:type="dxa" w:w="1944"/>
            <w:vAlign w:val="center"/>
            <w:shd w:fill="FFFFFF"/>
          </w:tcPr>
          <w:p>
            <w:pPr>
              <w:spacing w:after="0"/>
            </w:pPr>
            <w:r/>
            <w:r>
              <w:rPr>
                <w:rFonts w:ascii="Aptos" w:hAnsi="Aptos"/>
                <w:b w:val="0"/>
                <w:sz w:val="14"/>
              </w:rPr>
              <w:t>Growth assessment</w:t>
            </w:r>
          </w:p>
        </w:tc>
        <w:tc>
          <w:tcPr>
            <w:tcW w:type="dxa" w:w="4968"/>
            <w:vAlign w:val="center"/>
            <w:shd w:fill="FFFFFF"/>
          </w:tcPr>
          <w:p>
            <w:pPr>
              <w:spacing w:after="0"/>
            </w:pPr>
            <w:r/>
            <w:r>
              <w:rPr>
                <w:rFonts w:ascii="Aptos" w:hAnsi="Aptos"/>
                <w:b w:val="0"/>
                <w:sz w:val="14"/>
              </w:rPr>
              <w:t>SGA/FGR/LGA/macrosomia suspicion as explicitly reported; onset; severity; trend.</w:t>
            </w:r>
          </w:p>
        </w:tc>
        <w:tc>
          <w:tcPr>
            <w:tcW w:type="dxa" w:w="3456"/>
            <w:vAlign w:val="center"/>
            <w:shd w:fill="FFFFFF"/>
          </w:tcPr>
          <w:p>
            <w:pPr>
              <w:spacing w:after="0"/>
            </w:pPr>
            <w:r/>
            <w:r>
              <w:rPr>
                <w:rFonts w:ascii="Aptos" w:hAnsi="Aptos"/>
                <w:b w:val="0"/>
                <w:sz w:val="14"/>
              </w:rPr>
              <w:t>CDSS may route specialist surveillance but cannot diagnose from one measurement.</w:t>
            </w:r>
          </w:p>
        </w:tc>
      </w:tr>
      <w:tr>
        <w:trPr>
          <w:cantSplit/>
        </w:trPr>
        <w:tc>
          <w:tcPr>
            <w:tcW w:type="dxa" w:w="1944"/>
            <w:vAlign w:val="center"/>
            <w:shd w:fill="F7F9FC"/>
          </w:tcPr>
          <w:p>
            <w:pPr>
              <w:spacing w:after="0"/>
            </w:pPr>
            <w:r/>
            <w:r>
              <w:rPr>
                <w:rFonts w:ascii="Aptos" w:hAnsi="Aptos"/>
                <w:b w:val="0"/>
                <w:sz w:val="14"/>
              </w:rPr>
              <w:t>Structural anomaly</w:t>
            </w:r>
          </w:p>
        </w:tc>
        <w:tc>
          <w:tcPr>
            <w:tcW w:type="dxa" w:w="4968"/>
            <w:vAlign w:val="center"/>
            <w:shd w:fill="F7F9FC"/>
          </w:tcPr>
          <w:p>
            <w:pPr>
              <w:spacing w:after="0"/>
            </w:pPr>
            <w:r/>
            <w:r>
              <w:rPr>
                <w:rFonts w:ascii="Aptos" w:hAnsi="Aptos"/>
                <w:b w:val="0"/>
                <w:sz w:val="14"/>
              </w:rPr>
              <w:t>body system, suspected/confirmed status, severity text, genetic testing/referral status.</w:t>
            </w:r>
          </w:p>
        </w:tc>
        <w:tc>
          <w:tcPr>
            <w:tcW w:type="dxa" w:w="3456"/>
            <w:vAlign w:val="center"/>
            <w:shd w:fill="F7F9FC"/>
          </w:tcPr>
          <w:p>
            <w:pPr>
              <w:spacing w:after="0"/>
            </w:pPr>
            <w:r/>
            <w:r>
              <w:rPr>
                <w:rFonts w:ascii="Aptos" w:hAnsi="Aptos"/>
                <w:b w:val="0"/>
                <w:sz w:val="14"/>
              </w:rPr>
              <w:t>Use neutral language and exact report; no prognosis generation.</w:t>
            </w:r>
          </w:p>
        </w:tc>
      </w:tr>
      <w:tr>
        <w:trPr>
          <w:cantSplit/>
        </w:trPr>
        <w:tc>
          <w:tcPr>
            <w:tcW w:type="dxa" w:w="1944"/>
            <w:vAlign w:val="center"/>
            <w:shd w:fill="FFFFFF"/>
          </w:tcPr>
          <w:p>
            <w:pPr>
              <w:spacing w:after="0"/>
            </w:pPr>
            <w:r/>
            <w:r>
              <w:rPr>
                <w:rFonts w:ascii="Aptos" w:hAnsi="Aptos"/>
                <w:b w:val="0"/>
                <w:sz w:val="14"/>
              </w:rPr>
              <w:t>Soft marker</w:t>
            </w:r>
          </w:p>
        </w:tc>
        <w:tc>
          <w:tcPr>
            <w:tcW w:type="dxa" w:w="4968"/>
            <w:vAlign w:val="center"/>
            <w:shd w:fill="FFFFFF"/>
          </w:tcPr>
          <w:p>
            <w:pPr>
              <w:spacing w:after="0"/>
            </w:pPr>
            <w:r/>
            <w:r>
              <w:rPr>
                <w:rFonts w:ascii="Aptos" w:hAnsi="Aptos"/>
                <w:b w:val="0"/>
                <w:sz w:val="14"/>
              </w:rPr>
              <w:t>marker name, isolated/non-isolated, report recommendation.</w:t>
            </w:r>
          </w:p>
        </w:tc>
        <w:tc>
          <w:tcPr>
            <w:tcW w:type="dxa" w:w="3456"/>
            <w:vAlign w:val="center"/>
            <w:shd w:fill="FFFFFF"/>
          </w:tcPr>
          <w:p>
            <w:pPr>
              <w:spacing w:after="0"/>
            </w:pPr>
            <w:r/>
            <w:r>
              <w:rPr>
                <w:rFonts w:ascii="Aptos" w:hAnsi="Aptos"/>
                <w:b w:val="0"/>
                <w:sz w:val="14"/>
              </w:rPr>
              <w:t>Do not convert to a genetic diagnosis.</w:t>
            </w:r>
          </w:p>
        </w:tc>
      </w:tr>
      <w:tr>
        <w:trPr>
          <w:cantSplit/>
        </w:trPr>
        <w:tc>
          <w:tcPr>
            <w:tcW w:type="dxa" w:w="1944"/>
            <w:vAlign w:val="center"/>
            <w:shd w:fill="F7F9FC"/>
          </w:tcPr>
          <w:p>
            <w:pPr>
              <w:spacing w:after="0"/>
            </w:pPr>
            <w:r/>
            <w:r>
              <w:rPr>
                <w:rFonts w:ascii="Aptos" w:hAnsi="Aptos"/>
                <w:b w:val="0"/>
                <w:sz w:val="14"/>
              </w:rPr>
              <w:t>Doppler</w:t>
            </w:r>
          </w:p>
        </w:tc>
        <w:tc>
          <w:tcPr>
            <w:tcW w:type="dxa" w:w="4968"/>
            <w:vAlign w:val="center"/>
            <w:shd w:fill="F7F9FC"/>
          </w:tcPr>
          <w:p>
            <w:pPr>
              <w:spacing w:after="0"/>
            </w:pPr>
            <w:r/>
            <w:r>
              <w:rPr>
                <w:rFonts w:ascii="Aptos" w:hAnsi="Aptos"/>
                <w:b w:val="0"/>
                <w:sz w:val="14"/>
              </w:rPr>
              <w:t>vessel, index, percentile/qualitative result, end-diastolic flow status, report interpretation.</w:t>
            </w:r>
          </w:p>
        </w:tc>
        <w:tc>
          <w:tcPr>
            <w:tcW w:type="dxa" w:w="3456"/>
            <w:vAlign w:val="center"/>
            <w:shd w:fill="F7F9FC"/>
          </w:tcPr>
          <w:p>
            <w:pPr>
              <w:spacing w:after="0"/>
            </w:pPr>
            <w:r/>
            <w:r>
              <w:rPr>
                <w:rFonts w:ascii="Aptos" w:hAnsi="Aptos"/>
                <w:b w:val="0"/>
                <w:sz w:val="14"/>
              </w:rPr>
              <w:t>Display reported abnormality and urgency; no waveform interpretation.</w:t>
            </w:r>
          </w:p>
        </w:tc>
      </w:tr>
      <w:tr>
        <w:trPr>
          <w:cantSplit/>
        </w:trPr>
        <w:tc>
          <w:tcPr>
            <w:tcW w:type="dxa" w:w="1944"/>
            <w:vAlign w:val="center"/>
            <w:shd w:fill="FFFFFF"/>
          </w:tcPr>
          <w:p>
            <w:pPr>
              <w:spacing w:after="0"/>
            </w:pPr>
            <w:r/>
            <w:r>
              <w:rPr>
                <w:rFonts w:ascii="Aptos" w:hAnsi="Aptos"/>
                <w:b w:val="0"/>
                <w:sz w:val="14"/>
              </w:rPr>
              <w:t>Biophysical profile</w:t>
            </w:r>
          </w:p>
        </w:tc>
        <w:tc>
          <w:tcPr>
            <w:tcW w:type="dxa" w:w="4968"/>
            <w:vAlign w:val="center"/>
            <w:shd w:fill="FFFFFF"/>
          </w:tcPr>
          <w:p>
            <w:pPr>
              <w:spacing w:after="0"/>
            </w:pPr>
            <w:r/>
            <w:r>
              <w:rPr>
                <w:rFonts w:ascii="Aptos" w:hAnsi="Aptos"/>
                <w:b w:val="0"/>
                <w:sz w:val="14"/>
              </w:rPr>
              <w:t>component scores, total score, date/time, reporting clinician, recommendation.</w:t>
            </w:r>
          </w:p>
        </w:tc>
        <w:tc>
          <w:tcPr>
            <w:tcW w:type="dxa" w:w="3456"/>
            <w:vAlign w:val="center"/>
            <w:shd w:fill="FFFFFF"/>
          </w:tcPr>
          <w:p>
            <w:pPr>
              <w:spacing w:after="0"/>
            </w:pPr>
            <w:r/>
            <w:r>
              <w:rPr>
                <w:rFonts w:ascii="Aptos" w:hAnsi="Aptos"/>
                <w:b w:val="0"/>
                <w:sz w:val="14"/>
              </w:rPr>
              <w:t>Store report and route action; no independent rescoring from incomplete fields.</w:t>
            </w:r>
          </w:p>
        </w:tc>
      </w:tr>
      <w:tr>
        <w:trPr>
          <w:cantSplit/>
        </w:trPr>
        <w:tc>
          <w:tcPr>
            <w:tcW w:type="dxa" w:w="1944"/>
            <w:vAlign w:val="center"/>
            <w:shd w:fill="F7F9FC"/>
          </w:tcPr>
          <w:p>
            <w:pPr>
              <w:spacing w:after="0"/>
            </w:pPr>
            <w:r/>
            <w:r>
              <w:rPr>
                <w:rFonts w:ascii="Aptos" w:hAnsi="Aptos"/>
                <w:b w:val="0"/>
                <w:sz w:val="14"/>
              </w:rPr>
              <w:t>Cervix/uterus/adnexa</w:t>
            </w:r>
          </w:p>
        </w:tc>
        <w:tc>
          <w:tcPr>
            <w:tcW w:type="dxa" w:w="4968"/>
            <w:vAlign w:val="center"/>
            <w:shd w:fill="F7F9FC"/>
          </w:tcPr>
          <w:p>
            <w:pPr>
              <w:spacing w:after="0"/>
            </w:pPr>
            <w:r/>
            <w:r>
              <w:rPr>
                <w:rFonts w:ascii="Aptos" w:hAnsi="Aptos"/>
                <w:b w:val="0"/>
                <w:sz w:val="14"/>
              </w:rPr>
              <w:t>cervical length, fibroid, uterine anomaly, adnexal finding as reported.</w:t>
            </w:r>
          </w:p>
        </w:tc>
        <w:tc>
          <w:tcPr>
            <w:tcW w:type="dxa" w:w="3456"/>
            <w:vAlign w:val="center"/>
            <w:shd w:fill="F7F9FC"/>
          </w:tcPr>
          <w:p>
            <w:pPr>
              <w:spacing w:after="0"/>
            </w:pPr>
            <w:r/>
            <w:r>
              <w:rPr>
                <w:rFonts w:ascii="Aptos" w:hAnsi="Aptos"/>
                <w:b w:val="0"/>
                <w:sz w:val="14"/>
              </w:rPr>
              <w:t>Refer according to report and symptoms; maintain scope separation.</w:t>
            </w:r>
          </w:p>
        </w:tc>
      </w:tr>
    </w:tbl>
    <w:p/>
    <w:tbl>
      <w:tblPr>
        <w:tblW w:type="auto" w:w="0"/>
        <w:tblLook w:firstColumn="1" w:firstRow="1" w:lastColumn="0" w:lastRow="0" w:noHBand="0" w:noVBand="1" w:val="04A0"/>
      </w:tblPr>
      <w:tblGrid>
        <w:gridCol w:w="9994"/>
      </w:tblGrid>
      <w:tr>
        <w:trPr>
          <w:cantSplit/>
        </w:trP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Growth rule. </w:t>
            </w:r>
            <w:r>
              <w:t>Estimated fetal weight or abdominal circumference below the 10th percentile may meet a specialist definition of FGR in some guidance, but the lying-in CDSS should store the qualified report and surveillance plan rather than recreate the diagnosis from isolated imported numbers.</w:t>
            </w:r>
          </w:p>
        </w:tc>
      </w:tr>
    </w:tbl>
    <w:p/>
    <w:p>
      <w:pPr>
        <w:pStyle w:val="Heading1"/>
      </w:pPr>
      <w:r>
        <w:t>8. Interaction Matrix</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520"/>
            <w:vAlign w:val="center"/>
            <w:shd w:fill="17365D"/>
          </w:tcPr>
          <w:p>
            <w:pPr>
              <w:spacing w:after="0"/>
            </w:pPr>
            <w:r/>
            <w:r>
              <w:rPr>
                <w:rFonts w:ascii="Aptos" w:hAnsi="Aptos"/>
                <w:b/>
                <w:color w:val="FFFFFF"/>
                <w:sz w:val="16"/>
              </w:rPr>
              <w:t>Interaction</w:t>
            </w:r>
          </w:p>
        </w:tc>
        <w:tc>
          <w:tcPr>
            <w:tcW w:type="dxa" w:w="4392"/>
            <w:vAlign w:val="center"/>
            <w:shd w:fill="17365D"/>
          </w:tcPr>
          <w:p>
            <w:pPr>
              <w:spacing w:after="0"/>
            </w:pPr>
            <w:r/>
            <w:r>
              <w:rPr>
                <w:rFonts w:ascii="Aptos" w:hAnsi="Aptos"/>
                <w:b/>
                <w:color w:val="FFFFFF"/>
                <w:sz w:val="16"/>
              </w:rPr>
              <w:t>Clinical significance</w:t>
            </w:r>
          </w:p>
        </w:tc>
        <w:tc>
          <w:tcPr>
            <w:tcW w:type="dxa" w:w="3456"/>
            <w:vAlign w:val="center"/>
            <w:shd w:fill="17365D"/>
          </w:tcPr>
          <w:p>
            <w:pPr>
              <w:spacing w:after="0"/>
            </w:pPr>
            <w:r/>
            <w:r>
              <w:rPr>
                <w:rFonts w:ascii="Aptos" w:hAnsi="Aptos"/>
                <w:b/>
                <w:color w:val="FFFFFF"/>
                <w:sz w:val="16"/>
              </w:rPr>
              <w:t>Required behavior</w:t>
            </w:r>
          </w:p>
        </w:tc>
      </w:tr>
      <w:tr>
        <w:trPr>
          <w:cantSplit/>
        </w:trPr>
        <w:tc>
          <w:tcPr>
            <w:tcW w:type="dxa" w:w="2520"/>
            <w:vAlign w:val="center"/>
            <w:shd w:fill="FFFFFF"/>
          </w:tcPr>
          <w:p>
            <w:pPr>
              <w:spacing w:after="0"/>
            </w:pPr>
            <w:r/>
            <w:r>
              <w:rPr>
                <w:rFonts w:ascii="Aptos" w:hAnsi="Aptos"/>
                <w:b w:val="0"/>
                <w:sz w:val="14"/>
              </w:rPr>
              <w:t>Breech + low-lying placenta</w:t>
            </w:r>
          </w:p>
        </w:tc>
        <w:tc>
          <w:tcPr>
            <w:tcW w:type="dxa" w:w="4392"/>
            <w:vAlign w:val="center"/>
            <w:shd w:fill="FFFFFF"/>
          </w:tcPr>
          <w:p>
            <w:pPr>
              <w:spacing w:after="0"/>
            </w:pPr>
            <w:r/>
            <w:r>
              <w:rPr>
                <w:rFonts w:ascii="Aptos" w:hAnsi="Aptos"/>
                <w:b w:val="0"/>
                <w:sz w:val="14"/>
              </w:rPr>
              <w:t>Placental location may contribute to malpresentation and affects birth planning.</w:t>
            </w:r>
          </w:p>
        </w:tc>
        <w:tc>
          <w:tcPr>
            <w:tcW w:type="dxa" w:w="3456"/>
            <w:vAlign w:val="center"/>
            <w:shd w:fill="FFFFFF"/>
          </w:tcPr>
          <w:p>
            <w:pPr>
              <w:spacing w:after="0"/>
            </w:pPr>
            <w:r/>
            <w:r>
              <w:rPr>
                <w:rFonts w:ascii="Aptos" w:hAnsi="Aptos"/>
                <w:b w:val="0"/>
                <w:sz w:val="14"/>
              </w:rPr>
              <w:t>Hospital obstetric referral; show both findings together.</w:t>
            </w:r>
          </w:p>
        </w:tc>
      </w:tr>
      <w:tr>
        <w:trPr>
          <w:cantSplit/>
        </w:trPr>
        <w:tc>
          <w:tcPr>
            <w:tcW w:type="dxa" w:w="2520"/>
            <w:vAlign w:val="center"/>
            <w:shd w:fill="F7F9FC"/>
          </w:tcPr>
          <w:p>
            <w:pPr>
              <w:spacing w:after="0"/>
            </w:pPr>
            <w:r/>
            <w:r>
              <w:rPr>
                <w:rFonts w:ascii="Aptos" w:hAnsi="Aptos"/>
                <w:b w:val="0"/>
                <w:sz w:val="14"/>
              </w:rPr>
              <w:t>Malpresentation + ruptured membranes</w:t>
            </w:r>
          </w:p>
        </w:tc>
        <w:tc>
          <w:tcPr>
            <w:tcW w:type="dxa" w:w="4392"/>
            <w:vAlign w:val="center"/>
            <w:shd w:fill="F7F9FC"/>
          </w:tcPr>
          <w:p>
            <w:pPr>
              <w:spacing w:after="0"/>
            </w:pPr>
            <w:r/>
            <w:r>
              <w:rPr>
                <w:rFonts w:ascii="Aptos" w:hAnsi="Aptos"/>
                <w:b w:val="0"/>
                <w:sz w:val="14"/>
              </w:rPr>
              <w:t>Cord prolapse risk may be increased.</w:t>
            </w:r>
          </w:p>
        </w:tc>
        <w:tc>
          <w:tcPr>
            <w:tcW w:type="dxa" w:w="3456"/>
            <w:vAlign w:val="center"/>
            <w:shd w:fill="F7F9FC"/>
          </w:tcPr>
          <w:p>
            <w:pPr>
              <w:spacing w:after="0"/>
            </w:pPr>
            <w:r/>
            <w:r>
              <w:rPr>
                <w:rFonts w:ascii="Aptos" w:hAnsi="Aptos"/>
                <w:b w:val="0"/>
                <w:sz w:val="14"/>
              </w:rPr>
              <w:t>Emergency transfer.</w:t>
            </w:r>
          </w:p>
        </w:tc>
      </w:tr>
      <w:tr>
        <w:trPr>
          <w:cantSplit/>
        </w:trPr>
        <w:tc>
          <w:tcPr>
            <w:tcW w:type="dxa" w:w="2520"/>
            <w:vAlign w:val="center"/>
            <w:shd w:fill="FFFFFF"/>
          </w:tcPr>
          <w:p>
            <w:pPr>
              <w:spacing w:after="0"/>
            </w:pPr>
            <w:r/>
            <w:r>
              <w:rPr>
                <w:rFonts w:ascii="Aptos" w:hAnsi="Aptos"/>
                <w:b w:val="0"/>
                <w:sz w:val="14"/>
              </w:rPr>
              <w:t>Polyhydramnios + diabetes</w:t>
            </w:r>
          </w:p>
        </w:tc>
        <w:tc>
          <w:tcPr>
            <w:tcW w:type="dxa" w:w="4392"/>
            <w:vAlign w:val="center"/>
            <w:shd w:fill="FFFFFF"/>
          </w:tcPr>
          <w:p>
            <w:pPr>
              <w:spacing w:after="0"/>
            </w:pPr>
            <w:r/>
            <w:r>
              <w:rPr>
                <w:rFonts w:ascii="Aptos" w:hAnsi="Aptos"/>
                <w:b w:val="0"/>
                <w:sz w:val="14"/>
              </w:rPr>
              <w:t>Possible maternal metabolic cause and growth concern.</w:t>
            </w:r>
          </w:p>
        </w:tc>
        <w:tc>
          <w:tcPr>
            <w:tcW w:type="dxa" w:w="3456"/>
            <w:vAlign w:val="center"/>
            <w:shd w:fill="FFFFFF"/>
          </w:tcPr>
          <w:p>
            <w:pPr>
              <w:spacing w:after="0"/>
            </w:pPr>
            <w:r/>
            <w:r>
              <w:rPr>
                <w:rFonts w:ascii="Aptos" w:hAnsi="Aptos"/>
                <w:b w:val="0"/>
                <w:sz w:val="14"/>
              </w:rPr>
              <w:t>Link diabetes record and specialist plan.</w:t>
            </w:r>
          </w:p>
        </w:tc>
      </w:tr>
      <w:tr>
        <w:trPr>
          <w:cantSplit/>
        </w:trPr>
        <w:tc>
          <w:tcPr>
            <w:tcW w:type="dxa" w:w="2520"/>
            <w:vAlign w:val="center"/>
            <w:shd w:fill="F7F9FC"/>
          </w:tcPr>
          <w:p>
            <w:pPr>
              <w:spacing w:after="0"/>
            </w:pPr>
            <w:r/>
            <w:r>
              <w:rPr>
                <w:rFonts w:ascii="Aptos" w:hAnsi="Aptos"/>
                <w:b w:val="0"/>
                <w:sz w:val="14"/>
              </w:rPr>
              <w:t>Polyhydramnios + anomaly/FGR</w:t>
            </w:r>
          </w:p>
        </w:tc>
        <w:tc>
          <w:tcPr>
            <w:tcW w:type="dxa" w:w="4392"/>
            <w:vAlign w:val="center"/>
            <w:shd w:fill="F7F9FC"/>
          </w:tcPr>
          <w:p>
            <w:pPr>
              <w:spacing w:after="0"/>
            </w:pPr>
            <w:r/>
            <w:r>
              <w:rPr>
                <w:rFonts w:ascii="Aptos" w:hAnsi="Aptos"/>
                <w:b w:val="0"/>
                <w:sz w:val="14"/>
              </w:rPr>
              <w:t>Can indicate complex fetal disease.</w:t>
            </w:r>
          </w:p>
        </w:tc>
        <w:tc>
          <w:tcPr>
            <w:tcW w:type="dxa" w:w="3456"/>
            <w:vAlign w:val="center"/>
            <w:shd w:fill="F7F9FC"/>
          </w:tcPr>
          <w:p>
            <w:pPr>
              <w:spacing w:after="0"/>
            </w:pPr>
            <w:r/>
            <w:r>
              <w:rPr>
                <w:rFonts w:ascii="Aptos" w:hAnsi="Aptos"/>
                <w:b w:val="0"/>
                <w:sz w:val="14"/>
              </w:rPr>
              <w:t>High-priority specialist review.</w:t>
            </w:r>
          </w:p>
        </w:tc>
      </w:tr>
      <w:tr>
        <w:trPr>
          <w:cantSplit/>
        </w:trPr>
        <w:tc>
          <w:tcPr>
            <w:tcW w:type="dxa" w:w="2520"/>
            <w:vAlign w:val="center"/>
            <w:shd w:fill="FFFFFF"/>
          </w:tcPr>
          <w:p>
            <w:pPr>
              <w:spacing w:after="0"/>
            </w:pPr>
            <w:r/>
            <w:r>
              <w:rPr>
                <w:rFonts w:ascii="Aptos" w:hAnsi="Aptos"/>
                <w:b w:val="0"/>
                <w:sz w:val="14"/>
              </w:rPr>
              <w:t>Oligohydramnios + FGR or hypertension</w:t>
            </w:r>
          </w:p>
        </w:tc>
        <w:tc>
          <w:tcPr>
            <w:tcW w:type="dxa" w:w="4392"/>
            <w:vAlign w:val="center"/>
            <w:shd w:fill="FFFFFF"/>
          </w:tcPr>
          <w:p>
            <w:pPr>
              <w:spacing w:after="0"/>
            </w:pPr>
            <w:r/>
            <w:r>
              <w:rPr>
                <w:rFonts w:ascii="Aptos" w:hAnsi="Aptos"/>
                <w:b w:val="0"/>
                <w:sz w:val="14"/>
              </w:rPr>
              <w:t>Potential placental dysfunction and increased fetal risk.</w:t>
            </w:r>
          </w:p>
        </w:tc>
        <w:tc>
          <w:tcPr>
            <w:tcW w:type="dxa" w:w="3456"/>
            <w:vAlign w:val="center"/>
            <w:shd w:fill="FFFFFF"/>
          </w:tcPr>
          <w:p>
            <w:pPr>
              <w:spacing w:after="0"/>
            </w:pPr>
            <w:r/>
            <w:r>
              <w:rPr>
                <w:rFonts w:ascii="Aptos" w:hAnsi="Aptos"/>
                <w:b w:val="0"/>
                <w:sz w:val="14"/>
              </w:rPr>
              <w:t>Urgent specialist pathway; show Doppler/surveillance status.</w:t>
            </w:r>
          </w:p>
        </w:tc>
      </w:tr>
      <w:tr>
        <w:trPr>
          <w:cantSplit/>
        </w:trPr>
        <w:tc>
          <w:tcPr>
            <w:tcW w:type="dxa" w:w="2520"/>
            <w:vAlign w:val="center"/>
            <w:shd w:fill="F7F9FC"/>
          </w:tcPr>
          <w:p>
            <w:pPr>
              <w:spacing w:after="0"/>
            </w:pPr>
            <w:r/>
            <w:r>
              <w:rPr>
                <w:rFonts w:ascii="Aptos" w:hAnsi="Aptos"/>
                <w:b w:val="0"/>
                <w:sz w:val="14"/>
              </w:rPr>
              <w:t>Low placenta + previous CS/uterine surgery</w:t>
            </w:r>
          </w:p>
        </w:tc>
        <w:tc>
          <w:tcPr>
            <w:tcW w:type="dxa" w:w="4392"/>
            <w:vAlign w:val="center"/>
            <w:shd w:fill="F7F9FC"/>
          </w:tcPr>
          <w:p>
            <w:pPr>
              <w:spacing w:after="0"/>
            </w:pPr>
            <w:r/>
            <w:r>
              <w:rPr>
                <w:rFonts w:ascii="Aptos" w:hAnsi="Aptos"/>
                <w:b w:val="0"/>
                <w:sz w:val="14"/>
              </w:rPr>
              <w:t>Increased PAS concern.</w:t>
            </w:r>
          </w:p>
        </w:tc>
        <w:tc>
          <w:tcPr>
            <w:tcW w:type="dxa" w:w="3456"/>
            <w:vAlign w:val="center"/>
            <w:shd w:fill="F7F9FC"/>
          </w:tcPr>
          <w:p>
            <w:pPr>
              <w:spacing w:after="0"/>
            </w:pPr>
            <w:r/>
            <w:r>
              <w:rPr>
                <w:rFonts w:ascii="Aptos" w:hAnsi="Aptos"/>
                <w:b w:val="0"/>
                <w:sz w:val="14"/>
              </w:rPr>
              <w:t>Expert PAS imaging and specialist centre referral.</w:t>
            </w:r>
          </w:p>
        </w:tc>
      </w:tr>
      <w:tr>
        <w:trPr>
          <w:cantSplit/>
        </w:trPr>
        <w:tc>
          <w:tcPr>
            <w:tcW w:type="dxa" w:w="2520"/>
            <w:vAlign w:val="center"/>
            <w:shd w:fill="FFFFFF"/>
          </w:tcPr>
          <w:p>
            <w:pPr>
              <w:spacing w:after="0"/>
            </w:pPr>
            <w:r/>
            <w:r>
              <w:rPr>
                <w:rFonts w:ascii="Aptos" w:hAnsi="Aptos"/>
                <w:b w:val="0"/>
                <w:sz w:val="14"/>
              </w:rPr>
              <w:t>Low placenta + bleeding</w:t>
            </w:r>
          </w:p>
        </w:tc>
        <w:tc>
          <w:tcPr>
            <w:tcW w:type="dxa" w:w="4392"/>
            <w:vAlign w:val="center"/>
            <w:shd w:fill="FFFFFF"/>
          </w:tcPr>
          <w:p>
            <w:pPr>
              <w:spacing w:after="0"/>
            </w:pPr>
            <w:r/>
            <w:r>
              <w:rPr>
                <w:rFonts w:ascii="Aptos" w:hAnsi="Aptos"/>
                <w:b w:val="0"/>
                <w:sz w:val="14"/>
              </w:rPr>
              <w:t>Potential major hemorrhage.</w:t>
            </w:r>
          </w:p>
        </w:tc>
        <w:tc>
          <w:tcPr>
            <w:tcW w:type="dxa" w:w="3456"/>
            <w:vAlign w:val="center"/>
            <w:shd w:fill="FFFFFF"/>
          </w:tcPr>
          <w:p>
            <w:pPr>
              <w:spacing w:after="0"/>
            </w:pPr>
            <w:r/>
            <w:r>
              <w:rPr>
                <w:rFonts w:ascii="Aptos" w:hAnsi="Aptos"/>
                <w:b w:val="0"/>
                <w:sz w:val="14"/>
              </w:rPr>
              <w:t>Emergency pathway.</w:t>
            </w:r>
          </w:p>
        </w:tc>
      </w:tr>
      <w:tr>
        <w:trPr>
          <w:cantSplit/>
        </w:trPr>
        <w:tc>
          <w:tcPr>
            <w:tcW w:type="dxa" w:w="2520"/>
            <w:vAlign w:val="center"/>
            <w:shd w:fill="F7F9FC"/>
          </w:tcPr>
          <w:p>
            <w:pPr>
              <w:spacing w:after="0"/>
            </w:pPr>
            <w:r/>
            <w:r>
              <w:rPr>
                <w:rFonts w:ascii="Aptos" w:hAnsi="Aptos"/>
                <w:b w:val="0"/>
                <w:sz w:val="14"/>
              </w:rPr>
              <w:t>Vasa previa + bleeding/ROM/labor</w:t>
            </w:r>
          </w:p>
        </w:tc>
        <w:tc>
          <w:tcPr>
            <w:tcW w:type="dxa" w:w="4392"/>
            <w:vAlign w:val="center"/>
            <w:shd w:fill="F7F9FC"/>
          </w:tcPr>
          <w:p>
            <w:pPr>
              <w:spacing w:after="0"/>
            </w:pPr>
            <w:r/>
            <w:r>
              <w:rPr>
                <w:rFonts w:ascii="Aptos" w:hAnsi="Aptos"/>
                <w:b w:val="0"/>
                <w:sz w:val="14"/>
              </w:rPr>
              <w:t>Risk of fetal hemorrhage.</w:t>
            </w:r>
          </w:p>
        </w:tc>
        <w:tc>
          <w:tcPr>
            <w:tcW w:type="dxa" w:w="3456"/>
            <w:vAlign w:val="center"/>
            <w:shd w:fill="F7F9FC"/>
          </w:tcPr>
          <w:p>
            <w:pPr>
              <w:spacing w:after="0"/>
            </w:pPr>
            <w:r/>
            <w:r>
              <w:rPr>
                <w:rFonts w:ascii="Aptos" w:hAnsi="Aptos"/>
                <w:b w:val="0"/>
                <w:sz w:val="14"/>
              </w:rPr>
              <w:t>Emergency hospital transfer.</w:t>
            </w:r>
          </w:p>
        </w:tc>
      </w:tr>
      <w:tr>
        <w:trPr>
          <w:cantSplit/>
        </w:trPr>
        <w:tc>
          <w:tcPr>
            <w:tcW w:type="dxa" w:w="2520"/>
            <w:vAlign w:val="center"/>
            <w:shd w:fill="FFFFFF"/>
          </w:tcPr>
          <w:p>
            <w:pPr>
              <w:spacing w:after="0"/>
            </w:pPr>
            <w:r/>
            <w:r>
              <w:rPr>
                <w:rFonts w:ascii="Aptos" w:hAnsi="Aptos"/>
                <w:b w:val="0"/>
                <w:sz w:val="14"/>
              </w:rPr>
              <w:t>Multiple pregnancy + presentation/fluid/growth issue</w:t>
            </w:r>
          </w:p>
        </w:tc>
        <w:tc>
          <w:tcPr>
            <w:tcW w:type="dxa" w:w="4392"/>
            <w:vAlign w:val="center"/>
            <w:shd w:fill="FFFFFF"/>
          </w:tcPr>
          <w:p>
            <w:pPr>
              <w:spacing w:after="0"/>
            </w:pPr>
            <w:r/>
            <w:r>
              <w:rPr>
                <w:rFonts w:ascii="Aptos" w:hAnsi="Aptos"/>
                <w:b w:val="0"/>
                <w:sz w:val="14"/>
              </w:rPr>
              <w:t>Each fetus and sac may differ.</w:t>
            </w:r>
          </w:p>
        </w:tc>
        <w:tc>
          <w:tcPr>
            <w:tcW w:type="dxa" w:w="3456"/>
            <w:vAlign w:val="center"/>
            <w:shd w:fill="FFFFFF"/>
          </w:tcPr>
          <w:p>
            <w:pPr>
              <w:spacing w:after="0"/>
            </w:pPr>
            <w:r/>
            <w:r>
              <w:rPr>
                <w:rFonts w:ascii="Aptos" w:hAnsi="Aptos"/>
                <w:b w:val="0"/>
                <w:sz w:val="14"/>
              </w:rPr>
              <w:t>Fetus-specific records; disable singleton rules.</w:t>
            </w:r>
          </w:p>
        </w:tc>
      </w:tr>
      <w:tr>
        <w:trPr>
          <w:cantSplit/>
        </w:trPr>
        <w:tc>
          <w:tcPr>
            <w:tcW w:type="dxa" w:w="2520"/>
            <w:vAlign w:val="center"/>
            <w:shd w:fill="F7F9FC"/>
          </w:tcPr>
          <w:p>
            <w:pPr>
              <w:spacing w:after="0"/>
            </w:pPr>
            <w:r/>
            <w:r>
              <w:rPr>
                <w:rFonts w:ascii="Aptos" w:hAnsi="Aptos"/>
                <w:b w:val="0"/>
                <w:sz w:val="14"/>
              </w:rPr>
              <w:t>Abnormal Doppler + FGR</w:t>
            </w:r>
          </w:p>
        </w:tc>
        <w:tc>
          <w:tcPr>
            <w:tcW w:type="dxa" w:w="4392"/>
            <w:vAlign w:val="center"/>
            <w:shd w:fill="F7F9FC"/>
          </w:tcPr>
          <w:p>
            <w:pPr>
              <w:spacing w:after="0"/>
            </w:pPr>
            <w:r/>
            <w:r>
              <w:rPr>
                <w:rFonts w:ascii="Aptos" w:hAnsi="Aptos"/>
                <w:b w:val="0"/>
                <w:sz w:val="14"/>
              </w:rPr>
              <w:t>May indicate severe placental disease.</w:t>
            </w:r>
          </w:p>
        </w:tc>
        <w:tc>
          <w:tcPr>
            <w:tcW w:type="dxa" w:w="3456"/>
            <w:vAlign w:val="center"/>
            <w:shd w:fill="F7F9FC"/>
          </w:tcPr>
          <w:p>
            <w:pPr>
              <w:spacing w:after="0"/>
            </w:pPr>
            <w:r/>
            <w:r>
              <w:rPr>
                <w:rFonts w:ascii="Aptos" w:hAnsi="Aptos"/>
                <w:b w:val="0"/>
                <w:sz w:val="14"/>
              </w:rPr>
              <w:t>Urgent specialist plan; no lying-in management.</w:t>
            </w:r>
          </w:p>
        </w:tc>
      </w:tr>
      <w:tr>
        <w:trPr>
          <w:cantSplit/>
        </w:trPr>
        <w:tc>
          <w:tcPr>
            <w:tcW w:type="dxa" w:w="2520"/>
            <w:vAlign w:val="center"/>
            <w:shd w:fill="FFFFFF"/>
          </w:tcPr>
          <w:p>
            <w:pPr>
              <w:spacing w:after="0"/>
            </w:pPr>
            <w:r/>
            <w:r>
              <w:rPr>
                <w:rFonts w:ascii="Aptos" w:hAnsi="Aptos"/>
                <w:b w:val="0"/>
                <w:sz w:val="14"/>
              </w:rPr>
              <w:t>Anterior placenta + reduced movement</w:t>
            </w:r>
          </w:p>
        </w:tc>
        <w:tc>
          <w:tcPr>
            <w:tcW w:type="dxa" w:w="4392"/>
            <w:vAlign w:val="center"/>
            <w:shd w:fill="FFFFFF"/>
          </w:tcPr>
          <w:p>
            <w:pPr>
              <w:spacing w:after="0"/>
            </w:pPr>
            <w:r/>
            <w:r>
              <w:rPr>
                <w:rFonts w:ascii="Aptos" w:hAnsi="Aptos"/>
                <w:b w:val="0"/>
                <w:sz w:val="14"/>
              </w:rPr>
              <w:t>May modify perception but must not dismiss concern.</w:t>
            </w:r>
          </w:p>
        </w:tc>
        <w:tc>
          <w:tcPr>
            <w:tcW w:type="dxa" w:w="3456"/>
            <w:vAlign w:val="center"/>
            <w:shd w:fill="FFFFFF"/>
          </w:tcPr>
          <w:p>
            <w:pPr>
              <w:spacing w:after="0"/>
            </w:pPr>
            <w:r/>
            <w:r>
              <w:rPr>
                <w:rFonts w:ascii="Aptos" w:hAnsi="Aptos"/>
                <w:b w:val="0"/>
                <w:sz w:val="14"/>
              </w:rPr>
              <w:t>Continue Part 9 reduced-movement pathway.</w:t>
            </w:r>
          </w:p>
        </w:tc>
      </w:tr>
      <w:tr>
        <w:trPr>
          <w:cantSplit/>
        </w:trPr>
        <w:tc>
          <w:tcPr>
            <w:tcW w:type="dxa" w:w="2520"/>
            <w:vAlign w:val="center"/>
            <w:shd w:fill="F7F9FC"/>
          </w:tcPr>
          <w:p>
            <w:pPr>
              <w:spacing w:after="0"/>
            </w:pPr>
            <w:r/>
            <w:r>
              <w:rPr>
                <w:rFonts w:ascii="Aptos" w:hAnsi="Aptos"/>
                <w:b w:val="0"/>
                <w:sz w:val="14"/>
              </w:rPr>
              <w:t>Uncertain dating + size/fluid concern</w:t>
            </w:r>
          </w:p>
        </w:tc>
        <w:tc>
          <w:tcPr>
            <w:tcW w:type="dxa" w:w="4392"/>
            <w:vAlign w:val="center"/>
            <w:shd w:fill="F7F9FC"/>
          </w:tcPr>
          <w:p>
            <w:pPr>
              <w:spacing w:after="0"/>
            </w:pPr>
            <w:r/>
            <w:r>
              <w:rPr>
                <w:rFonts w:ascii="Aptos" w:hAnsi="Aptos"/>
                <w:b w:val="0"/>
                <w:sz w:val="14"/>
              </w:rPr>
              <w:t>Threshold interpretation is less reliable.</w:t>
            </w:r>
          </w:p>
        </w:tc>
        <w:tc>
          <w:tcPr>
            <w:tcW w:type="dxa" w:w="3456"/>
            <w:vAlign w:val="center"/>
            <w:shd w:fill="F7F9FC"/>
          </w:tcPr>
          <w:p>
            <w:pPr>
              <w:spacing w:after="0"/>
            </w:pPr>
            <w:r/>
            <w:r>
              <w:rPr>
                <w:rFonts w:ascii="Aptos" w:hAnsi="Aptos"/>
                <w:b w:val="0"/>
                <w:sz w:val="14"/>
              </w:rPr>
              <w:t>Display Part 8 confidence and require specialist reconciliation.</w:t>
            </w:r>
          </w:p>
        </w:tc>
      </w:tr>
    </w:tbl>
    <w:p/>
    <w:p>
      <w:pPr>
        <w:pStyle w:val="Heading1"/>
      </w:pPr>
      <w:r>
        <w:t>9. Lying-In Clinic Scope and Escalation</w:t>
      </w:r>
    </w:p>
    <w:tbl>
      <w:tblPr>
        <w:tblStyle w:val="TableGrid"/>
        <w:tblW w:type="auto" w:w="0"/>
        <w:jc w:val="center"/>
        <w:tblLook w:firstColumn="1" w:firstRow="1" w:lastColumn="0" w:lastRow="0" w:noHBand="0" w:noVBand="1" w:val="04A0"/>
      </w:tblPr>
      <w:tblGrid>
        <w:gridCol w:w="4997"/>
        <w:gridCol w:w="4997"/>
      </w:tblGrid>
      <w:tr>
        <w:trPr>
          <w:cantSplit/>
        </w:trPr>
        <w:tc>
          <w:tcPr>
            <w:tcW w:type="dxa" w:w="4968"/>
            <w:vAlign w:val="center"/>
            <w:shd w:fill="17365D"/>
          </w:tcPr>
          <w:p>
            <w:pPr>
              <w:spacing w:after="0"/>
            </w:pPr>
            <w:r/>
            <w:r>
              <w:rPr>
                <w:rFonts w:ascii="Aptos" w:hAnsi="Aptos"/>
                <w:b/>
                <w:color w:val="FFFFFF"/>
                <w:sz w:val="16"/>
              </w:rPr>
              <w:t>Within scope</w:t>
            </w:r>
          </w:p>
        </w:tc>
        <w:tc>
          <w:tcPr>
            <w:tcW w:type="dxa" w:w="5256"/>
            <w:vAlign w:val="center"/>
            <w:shd w:fill="17365D"/>
          </w:tcPr>
          <w:p>
            <w:pPr>
              <w:spacing w:after="0"/>
            </w:pPr>
            <w:r/>
            <w:r>
              <w:rPr>
                <w:rFonts w:ascii="Aptos" w:hAnsi="Aptos"/>
                <w:b/>
                <w:color w:val="FFFFFF"/>
                <w:sz w:val="16"/>
              </w:rPr>
              <w:t>Outside scope / hospital capability</w:t>
            </w:r>
          </w:p>
        </w:tc>
      </w:tr>
      <w:tr>
        <w:trPr>
          <w:cantSplit/>
        </w:trPr>
        <w:tc>
          <w:tcPr>
            <w:tcW w:type="dxa" w:w="4968"/>
            <w:vAlign w:val="center"/>
            <w:shd w:fill="FFFFFF"/>
          </w:tcPr>
          <w:p>
            <w:pPr>
              <w:spacing w:after="0"/>
            </w:pPr>
            <w:r/>
            <w:r>
              <w:rPr>
                <w:rFonts w:ascii="Aptos" w:hAnsi="Aptos"/>
                <w:b w:val="0"/>
                <w:sz w:val="15"/>
              </w:rPr>
              <w:t>Receive and transcribe verified ultrasound reports</w:t>
            </w:r>
          </w:p>
        </w:tc>
        <w:tc>
          <w:tcPr>
            <w:tcW w:type="dxa" w:w="5256"/>
            <w:vAlign w:val="center"/>
            <w:shd w:fill="FFFFFF"/>
          </w:tcPr>
          <w:p>
            <w:pPr>
              <w:spacing w:after="0"/>
            </w:pPr>
            <w:r/>
            <w:r>
              <w:rPr>
                <w:rFonts w:ascii="Aptos" w:hAnsi="Aptos"/>
                <w:b w:val="0"/>
                <w:sz w:val="15"/>
              </w:rPr>
              <w:t>Perform or independently interpret diagnostic ultrasound</w:t>
            </w:r>
          </w:p>
        </w:tc>
      </w:tr>
      <w:tr>
        <w:trPr>
          <w:cantSplit/>
        </w:trPr>
        <w:tc>
          <w:tcPr>
            <w:tcW w:type="dxa" w:w="4968"/>
            <w:vAlign w:val="center"/>
            <w:shd w:fill="F7F9FC"/>
          </w:tcPr>
          <w:p>
            <w:pPr>
              <w:spacing w:after="0"/>
            </w:pPr>
            <w:r/>
            <w:r>
              <w:rPr>
                <w:rFonts w:ascii="Aptos" w:hAnsi="Aptos"/>
                <w:b w:val="0"/>
                <w:sz w:val="15"/>
              </w:rPr>
              <w:t>Recognize reported malpresentation, abnormal fluid, low placenta, PAS/vasa previa concern, growth or anomaly findings</w:t>
            </w:r>
          </w:p>
        </w:tc>
        <w:tc>
          <w:tcPr>
            <w:tcW w:type="dxa" w:w="5256"/>
            <w:vAlign w:val="center"/>
            <w:shd w:fill="F7F9FC"/>
          </w:tcPr>
          <w:p>
            <w:pPr>
              <w:spacing w:after="0"/>
            </w:pPr>
            <w:r/>
            <w:r>
              <w:rPr>
                <w:rFonts w:ascii="Aptos" w:hAnsi="Aptos"/>
                <w:b w:val="0"/>
                <w:sz w:val="15"/>
              </w:rPr>
              <w:t>Plan ECV, caesarean, vaginal breech birth, induction, or timing of delivery</w:t>
            </w:r>
          </w:p>
        </w:tc>
      </w:tr>
      <w:tr>
        <w:trPr>
          <w:cantSplit/>
        </w:trPr>
        <w:tc>
          <w:tcPr>
            <w:tcW w:type="dxa" w:w="4968"/>
            <w:vAlign w:val="center"/>
            <w:shd w:fill="FFFFFF"/>
          </w:tcPr>
          <w:p>
            <w:pPr>
              <w:spacing w:after="0"/>
            </w:pPr>
            <w:r/>
            <w:r>
              <w:rPr>
                <w:rFonts w:ascii="Aptos" w:hAnsi="Aptos"/>
                <w:b w:val="0"/>
                <w:sz w:val="15"/>
              </w:rPr>
              <w:t>Ask about bleeding, pain, contractions, fluid loss, and fetal movement</w:t>
            </w:r>
          </w:p>
        </w:tc>
        <w:tc>
          <w:tcPr>
            <w:tcW w:type="dxa" w:w="5256"/>
            <w:vAlign w:val="center"/>
            <w:shd w:fill="FFFFFF"/>
          </w:tcPr>
          <w:p>
            <w:pPr>
              <w:spacing w:after="0"/>
            </w:pPr>
            <w:r/>
            <w:r>
              <w:rPr>
                <w:rFonts w:ascii="Aptos" w:hAnsi="Aptos"/>
                <w:b w:val="0"/>
                <w:sz w:val="15"/>
              </w:rPr>
              <w:t>Manage placenta praevia/PAS hemorrhage or fetal compromise</w:t>
            </w:r>
          </w:p>
        </w:tc>
      </w:tr>
      <w:tr>
        <w:trPr>
          <w:cantSplit/>
        </w:trPr>
        <w:tc>
          <w:tcPr>
            <w:tcW w:type="dxa" w:w="4968"/>
            <w:vAlign w:val="center"/>
            <w:shd w:fill="F7F9FC"/>
          </w:tcPr>
          <w:p>
            <w:pPr>
              <w:spacing w:after="0"/>
            </w:pPr>
            <w:r/>
            <w:r>
              <w:rPr>
                <w:rFonts w:ascii="Aptos" w:hAnsi="Aptos"/>
                <w:b w:val="0"/>
                <w:sz w:val="15"/>
              </w:rPr>
              <w:t>Arrange referral and document transfer/refusal</w:t>
            </w:r>
          </w:p>
        </w:tc>
        <w:tc>
          <w:tcPr>
            <w:tcW w:type="dxa" w:w="5256"/>
            <w:vAlign w:val="center"/>
            <w:shd w:fill="F7F9FC"/>
          </w:tcPr>
          <w:p>
            <w:pPr>
              <w:spacing w:after="0"/>
            </w:pPr>
            <w:r/>
            <w:r>
              <w:rPr>
                <w:rFonts w:ascii="Aptos" w:hAnsi="Aptos"/>
                <w:b w:val="0"/>
                <w:sz w:val="15"/>
              </w:rPr>
              <w:t>Provide CTG, Doppler, fetal medicine, major transfusion, neonatal intensive care, or PAS surgery</w:t>
            </w:r>
          </w:p>
        </w:tc>
      </w:tr>
      <w:tr>
        <w:trPr>
          <w:cantSplit/>
        </w:trPr>
        <w:tc>
          <w:tcPr>
            <w:tcW w:type="dxa" w:w="4968"/>
            <w:vAlign w:val="center"/>
            <w:shd w:fill="FFFFFF"/>
          </w:tcPr>
          <w:p>
            <w:pPr>
              <w:spacing w:after="0"/>
            </w:pPr>
            <w:r/>
            <w:r>
              <w:rPr>
                <w:rFonts w:ascii="Aptos" w:hAnsi="Aptos"/>
                <w:b w:val="0"/>
                <w:sz w:val="15"/>
              </w:rPr>
              <w:t>Maintain an emergency referral summary</w:t>
            </w:r>
          </w:p>
        </w:tc>
        <w:tc>
          <w:tcPr>
            <w:tcW w:type="dxa" w:w="5256"/>
            <w:vAlign w:val="center"/>
            <w:shd w:fill="FFFFFF"/>
          </w:tcPr>
          <w:p>
            <w:pPr>
              <w:spacing w:after="0"/>
            </w:pPr>
            <w:r/>
            <w:r>
              <w:rPr>
                <w:rFonts w:ascii="Aptos" w:hAnsi="Aptos"/>
                <w:b w:val="0"/>
                <w:sz w:val="15"/>
              </w:rPr>
              <w:t>Permit planned lying-in birth when a specialist hospital plan is required</w:t>
            </w:r>
          </w:p>
        </w:tc>
      </w:tr>
    </w:tbl>
    <w:p/>
    <w:tbl>
      <w:tblPr>
        <w:tblW w:type="auto" w:w="0"/>
        <w:tblLook w:firstColumn="1" w:firstRow="1" w:lastColumn="0" w:lastRow="0" w:noHBand="0" w:noVBand="1" w:val="04A0"/>
      </w:tblPr>
      <w:tblGrid>
        <w:gridCol w:w="9994"/>
      </w:tblGrid>
      <w:tr>
        <w:trPr>
          <w:cantSplit/>
        </w:trPr>
        <w:tc>
          <w:tcPr>
            <w:tcW w:type="dxa" w:w="9994"/>
            <w:shd w:fill="FFF2CC"/>
            <w:tcBorders>
              <w:top w:val="single" w:sz="8" w:color="C00000"/>
              <w:left w:val="single" w:sz="8" w:color="C00000"/>
              <w:bottom w:val="single" w:sz="8" w:color="C00000"/>
              <w:right w:val="single" w:sz="8" w:color="C00000"/>
            </w:tcBorders>
          </w:tcPr>
          <w:p>
            <w:pPr>
              <w:pStyle w:val="Callout"/>
            </w:pPr>
            <w:r>
              <w:rPr>
                <w:b/>
                <w:color w:val="C00000"/>
              </w:rPr>
              <w:t xml:space="preserve">Emergency transfer principle. </w:t>
            </w:r>
            <w:r>
              <w:t>Do not wait for another ultrasound when there is significant bleeding, maternal instability, severe pain, suspected abruption, reduced/absent fetal movement with concern, labor or ruptured membranes with malpresentation, placenta praevia/PAS, or vasa previa.</w:t>
            </w:r>
          </w:p>
        </w:tc>
      </w:tr>
    </w:tbl>
    <w:p/>
    <w:p>
      <w:pPr>
        <w:pStyle w:val="Heading1"/>
      </w:pPr>
      <w:r>
        <w:t>10. CDSS Knowledge Rules</w:t>
      </w:r>
    </w:p>
    <w:tbl>
      <w:tblPr>
        <w:tblStyle w:val="TableGrid"/>
        <w:tblW w:type="auto" w:w="0"/>
        <w:jc w:val="center"/>
        <w:tblLook w:firstColumn="1" w:firstRow="1" w:lastColumn="0" w:lastRow="0" w:noHBand="0" w:noVBand="1" w:val="04A0"/>
      </w:tblPr>
      <w:tblGrid>
        <w:gridCol w:w="4997"/>
        <w:gridCol w:w="4997"/>
      </w:tblGrid>
      <w:tr>
        <w:trPr>
          <w:cantSplit/>
        </w:trPr>
        <w:tc>
          <w:tcPr>
            <w:tcW w:type="dxa" w:w="1224"/>
            <w:vAlign w:val="center"/>
            <w:shd w:fill="17365D"/>
          </w:tcPr>
          <w:p>
            <w:pPr>
              <w:spacing w:after="0"/>
            </w:pPr>
            <w:r/>
            <w:r>
              <w:rPr>
                <w:rFonts w:ascii="Aptos" w:hAnsi="Aptos"/>
                <w:b/>
                <w:color w:val="FFFFFF"/>
                <w:sz w:val="16"/>
              </w:rPr>
              <w:t>Rule ID</w:t>
            </w:r>
          </w:p>
        </w:tc>
        <w:tc>
          <w:tcPr>
            <w:tcW w:type="dxa" w:w="9144"/>
            <w:vAlign w:val="center"/>
            <w:shd w:fill="17365D"/>
          </w:tcPr>
          <w:p>
            <w:pPr>
              <w:spacing w:after="0"/>
            </w:pPr>
            <w:r/>
            <w:r>
              <w:rPr>
                <w:rFonts w:ascii="Aptos" w:hAnsi="Aptos"/>
                <w:b/>
                <w:color w:val="FFFFFF"/>
                <w:sz w:val="16"/>
              </w:rPr>
              <w:t>Specification</w:t>
            </w:r>
          </w:p>
        </w:tc>
      </w:tr>
      <w:tr>
        <w:trPr>
          <w:cantSplit/>
        </w:trPr>
        <w:tc>
          <w:tcPr>
            <w:tcW w:type="dxa" w:w="1224"/>
            <w:vAlign w:val="center"/>
            <w:shd w:fill="FFFFFF"/>
          </w:tcPr>
          <w:p>
            <w:pPr>
              <w:spacing w:after="0"/>
            </w:pPr>
            <w:r/>
            <w:r>
              <w:rPr>
                <w:rFonts w:ascii="Aptos" w:hAnsi="Aptos"/>
                <w:b w:val="0"/>
                <w:sz w:val="15"/>
              </w:rPr>
              <w:t>US-01</w:t>
            </w:r>
          </w:p>
        </w:tc>
        <w:tc>
          <w:tcPr>
            <w:tcW w:type="dxa" w:w="9144"/>
            <w:vAlign w:val="center"/>
            <w:shd w:fill="FFFFFF"/>
          </w:tcPr>
          <w:p>
            <w:pPr>
              <w:spacing w:after="0"/>
            </w:pPr>
            <w:r/>
            <w:r>
              <w:rPr>
                <w:rFonts w:ascii="Aptos" w:hAnsi="Aptos"/>
                <w:b w:val="0"/>
                <w:sz w:val="15"/>
              </w:rPr>
              <w:t>Store each ultrasound as a versioned report with scan date, GA, dating version, facility, reporter, report type, source file, verification status, findings, and recommendations.</w:t>
            </w:r>
          </w:p>
        </w:tc>
      </w:tr>
      <w:tr>
        <w:trPr>
          <w:cantSplit/>
        </w:trPr>
        <w:tc>
          <w:tcPr>
            <w:tcW w:type="dxa" w:w="1224"/>
            <w:vAlign w:val="center"/>
            <w:shd w:fill="F7F9FC"/>
          </w:tcPr>
          <w:p>
            <w:pPr>
              <w:spacing w:after="0"/>
            </w:pPr>
            <w:r/>
            <w:r>
              <w:rPr>
                <w:rFonts w:ascii="Aptos" w:hAnsi="Aptos"/>
                <w:b w:val="0"/>
                <w:sz w:val="15"/>
              </w:rPr>
              <w:t>US-02</w:t>
            </w:r>
          </w:p>
        </w:tc>
        <w:tc>
          <w:tcPr>
            <w:tcW w:type="dxa" w:w="9144"/>
            <w:vAlign w:val="center"/>
            <w:shd w:fill="F7F9FC"/>
          </w:tcPr>
          <w:p>
            <w:pPr>
              <w:spacing w:after="0"/>
            </w:pPr>
            <w:r/>
            <w:r>
              <w:rPr>
                <w:rFonts w:ascii="Aptos" w:hAnsi="Aptos"/>
                <w:b w:val="0"/>
                <w:sz w:val="15"/>
              </w:rPr>
              <w:t>Never infer a normal finding from a blank report field.</w:t>
            </w:r>
          </w:p>
        </w:tc>
      </w:tr>
      <w:tr>
        <w:trPr>
          <w:cantSplit/>
        </w:trPr>
        <w:tc>
          <w:tcPr>
            <w:tcW w:type="dxa" w:w="1224"/>
            <w:vAlign w:val="center"/>
            <w:shd w:fill="FFFFFF"/>
          </w:tcPr>
          <w:p>
            <w:pPr>
              <w:spacing w:after="0"/>
            </w:pPr>
            <w:r/>
            <w:r>
              <w:rPr>
                <w:rFonts w:ascii="Aptos" w:hAnsi="Aptos"/>
                <w:b w:val="0"/>
                <w:sz w:val="15"/>
              </w:rPr>
              <w:t>US-03</w:t>
            </w:r>
          </w:p>
        </w:tc>
        <w:tc>
          <w:tcPr>
            <w:tcW w:type="dxa" w:w="9144"/>
            <w:vAlign w:val="center"/>
            <w:shd w:fill="FFFFFF"/>
          </w:tcPr>
          <w:p>
            <w:pPr>
              <w:spacing w:after="0"/>
            </w:pPr>
            <w:r/>
            <w:r>
              <w:rPr>
                <w:rFonts w:ascii="Aptos" w:hAnsi="Aptos"/>
                <w:b w:val="0"/>
                <w:sz w:val="15"/>
              </w:rPr>
              <w:t>Never overwrite previous ultrasound findings; mark later status as persistent, resolved, changed, or uncertain.</w:t>
            </w:r>
          </w:p>
        </w:tc>
      </w:tr>
      <w:tr>
        <w:trPr>
          <w:cantSplit/>
        </w:trPr>
        <w:tc>
          <w:tcPr>
            <w:tcW w:type="dxa" w:w="1224"/>
            <w:vAlign w:val="center"/>
            <w:shd w:fill="F7F9FC"/>
          </w:tcPr>
          <w:p>
            <w:pPr>
              <w:spacing w:after="0"/>
            </w:pPr>
            <w:r/>
            <w:r>
              <w:rPr>
                <w:rFonts w:ascii="Aptos" w:hAnsi="Aptos"/>
                <w:b w:val="0"/>
                <w:sz w:val="15"/>
              </w:rPr>
              <w:t>PR-01</w:t>
            </w:r>
          </w:p>
        </w:tc>
        <w:tc>
          <w:tcPr>
            <w:tcW w:type="dxa" w:w="9144"/>
            <w:vAlign w:val="center"/>
            <w:shd w:fill="F7F9FC"/>
          </w:tcPr>
          <w:p>
            <w:pPr>
              <w:spacing w:after="0"/>
            </w:pPr>
            <w:r/>
            <w:r>
              <w:rPr>
                <w:rFonts w:ascii="Aptos" w:hAnsi="Aptos"/>
                <w:b w:val="0"/>
                <w:sz w:val="15"/>
              </w:rPr>
              <w:t>Presentation rules must use gestational age, fetal number, persistence, symptoms, and membrane/labor status.</w:t>
            </w:r>
          </w:p>
        </w:tc>
      </w:tr>
      <w:tr>
        <w:trPr>
          <w:cantSplit/>
        </w:trPr>
        <w:tc>
          <w:tcPr>
            <w:tcW w:type="dxa" w:w="1224"/>
            <w:vAlign w:val="center"/>
            <w:shd w:fill="FFFFFF"/>
          </w:tcPr>
          <w:p>
            <w:pPr>
              <w:spacing w:after="0"/>
            </w:pPr>
            <w:r/>
            <w:r>
              <w:rPr>
                <w:rFonts w:ascii="Aptos" w:hAnsi="Aptos"/>
                <w:b w:val="0"/>
                <w:sz w:val="15"/>
              </w:rPr>
              <w:t>PR-02</w:t>
            </w:r>
          </w:p>
        </w:tc>
        <w:tc>
          <w:tcPr>
            <w:tcW w:type="dxa" w:w="9144"/>
            <w:vAlign w:val="center"/>
            <w:shd w:fill="FFFFFF"/>
          </w:tcPr>
          <w:p>
            <w:pPr>
              <w:spacing w:after="0"/>
            </w:pPr>
            <w:r/>
            <w:r>
              <w:rPr>
                <w:rFonts w:ascii="Aptos" w:hAnsi="Aptos"/>
                <w:b w:val="0"/>
                <w:sz w:val="15"/>
              </w:rPr>
              <w:t>Suspected breech after 36+0 weeks in a singleton pregnancy prompts ultrasound confirmation.</w:t>
            </w:r>
          </w:p>
        </w:tc>
      </w:tr>
      <w:tr>
        <w:trPr>
          <w:cantSplit/>
        </w:trPr>
        <w:tc>
          <w:tcPr>
            <w:tcW w:type="dxa" w:w="1224"/>
            <w:vAlign w:val="center"/>
            <w:shd w:fill="F7F9FC"/>
          </w:tcPr>
          <w:p>
            <w:pPr>
              <w:spacing w:after="0"/>
            </w:pPr>
            <w:r/>
            <w:r>
              <w:rPr>
                <w:rFonts w:ascii="Aptos" w:hAnsi="Aptos"/>
                <w:b w:val="0"/>
                <w:sz w:val="15"/>
              </w:rPr>
              <w:t>PR-03</w:t>
            </w:r>
          </w:p>
        </w:tc>
        <w:tc>
          <w:tcPr>
            <w:tcW w:type="dxa" w:w="9144"/>
            <w:vAlign w:val="center"/>
            <w:shd w:fill="F7F9FC"/>
          </w:tcPr>
          <w:p>
            <w:pPr>
              <w:spacing w:after="0"/>
            </w:pPr>
            <w:r/>
            <w:r>
              <w:rPr>
                <w:rFonts w:ascii="Aptos" w:hAnsi="Aptos"/>
                <w:b w:val="0"/>
                <w:sz w:val="15"/>
              </w:rPr>
              <w:t>Confirmed breech after 36+0 weeks prompts specialist options counseling; CDSS does not choose ECV or mode of birth.</w:t>
            </w:r>
          </w:p>
        </w:tc>
      </w:tr>
      <w:tr>
        <w:trPr>
          <w:cantSplit/>
        </w:trPr>
        <w:tc>
          <w:tcPr>
            <w:tcW w:type="dxa" w:w="1224"/>
            <w:vAlign w:val="center"/>
            <w:shd w:fill="FFFFFF"/>
          </w:tcPr>
          <w:p>
            <w:pPr>
              <w:spacing w:after="0"/>
            </w:pPr>
            <w:r/>
            <w:r>
              <w:rPr>
                <w:rFonts w:ascii="Aptos" w:hAnsi="Aptos"/>
                <w:b w:val="0"/>
                <w:sz w:val="15"/>
              </w:rPr>
              <w:t>PR-04</w:t>
            </w:r>
          </w:p>
        </w:tc>
        <w:tc>
          <w:tcPr>
            <w:tcW w:type="dxa" w:w="9144"/>
            <w:vAlign w:val="center"/>
            <w:shd w:fill="FFFFFF"/>
          </w:tcPr>
          <w:p>
            <w:pPr>
              <w:spacing w:after="0"/>
            </w:pPr>
            <w:r/>
            <w:r>
              <w:rPr>
                <w:rFonts w:ascii="Aptos" w:hAnsi="Aptos"/>
                <w:b w:val="0"/>
                <w:sz w:val="15"/>
              </w:rPr>
              <w:t>Persistent transverse, oblique, or unstable lie near term prevents routine lying-in birth planning.</w:t>
            </w:r>
          </w:p>
        </w:tc>
      </w:tr>
      <w:tr>
        <w:trPr>
          <w:cantSplit/>
        </w:trPr>
        <w:tc>
          <w:tcPr>
            <w:tcW w:type="dxa" w:w="1224"/>
            <w:vAlign w:val="center"/>
            <w:shd w:fill="F7F9FC"/>
          </w:tcPr>
          <w:p>
            <w:pPr>
              <w:spacing w:after="0"/>
            </w:pPr>
            <w:r/>
            <w:r>
              <w:rPr>
                <w:rFonts w:ascii="Aptos" w:hAnsi="Aptos"/>
                <w:b w:val="0"/>
                <w:sz w:val="15"/>
              </w:rPr>
              <w:t>PR-05</w:t>
            </w:r>
          </w:p>
        </w:tc>
        <w:tc>
          <w:tcPr>
            <w:tcW w:type="dxa" w:w="9144"/>
            <w:vAlign w:val="center"/>
            <w:shd w:fill="F7F9FC"/>
          </w:tcPr>
          <w:p>
            <w:pPr>
              <w:spacing w:after="0"/>
            </w:pPr>
            <w:r/>
            <w:r>
              <w:rPr>
                <w:rFonts w:ascii="Aptos" w:hAnsi="Aptos"/>
                <w:b w:val="0"/>
                <w:sz w:val="15"/>
              </w:rPr>
              <w:t>Malpresentation with labor, bleeding, cord concern, or ruptured membranes triggers emergency transfer.</w:t>
            </w:r>
          </w:p>
        </w:tc>
      </w:tr>
      <w:tr>
        <w:trPr>
          <w:cantSplit/>
        </w:trPr>
        <w:tc>
          <w:tcPr>
            <w:tcW w:type="dxa" w:w="1224"/>
            <w:vAlign w:val="center"/>
            <w:shd w:fill="FFFFFF"/>
          </w:tcPr>
          <w:p>
            <w:pPr>
              <w:spacing w:after="0"/>
            </w:pPr>
            <w:r/>
            <w:r>
              <w:rPr>
                <w:rFonts w:ascii="Aptos" w:hAnsi="Aptos"/>
                <w:b w:val="0"/>
                <w:sz w:val="15"/>
              </w:rPr>
              <w:t>AF-01</w:t>
            </w:r>
          </w:p>
        </w:tc>
        <w:tc>
          <w:tcPr>
            <w:tcW w:type="dxa" w:w="9144"/>
            <w:vAlign w:val="center"/>
            <w:shd w:fill="FFFFFF"/>
          </w:tcPr>
          <w:p>
            <w:pPr>
              <w:spacing w:after="0"/>
            </w:pPr>
            <w:r/>
            <w:r>
              <w:rPr>
                <w:rFonts w:ascii="Aptos" w:hAnsi="Aptos"/>
                <w:b w:val="0"/>
                <w:sz w:val="15"/>
              </w:rPr>
              <w:t>Store DVP/AFI value, method, units, gestation, report impression, and severity.</w:t>
            </w:r>
          </w:p>
        </w:tc>
      </w:tr>
      <w:tr>
        <w:trPr>
          <w:cantSplit/>
        </w:trPr>
        <w:tc>
          <w:tcPr>
            <w:tcW w:type="dxa" w:w="1224"/>
            <w:vAlign w:val="center"/>
            <w:shd w:fill="F7F9FC"/>
          </w:tcPr>
          <w:p>
            <w:pPr>
              <w:spacing w:after="0"/>
            </w:pPr>
            <w:r/>
            <w:r>
              <w:rPr>
                <w:rFonts w:ascii="Aptos" w:hAnsi="Aptos"/>
                <w:b w:val="0"/>
                <w:sz w:val="15"/>
              </w:rPr>
              <w:t>AF-02</w:t>
            </w:r>
          </w:p>
        </w:tc>
        <w:tc>
          <w:tcPr>
            <w:tcW w:type="dxa" w:w="9144"/>
            <w:vAlign w:val="center"/>
            <w:shd w:fill="F7F9FC"/>
          </w:tcPr>
          <w:p>
            <w:pPr>
              <w:spacing w:after="0"/>
            </w:pPr>
            <w:r/>
            <w:r>
              <w:rPr>
                <w:rFonts w:ascii="Aptos" w:hAnsi="Aptos"/>
                <w:b w:val="0"/>
                <w:sz w:val="15"/>
              </w:rPr>
              <w:t>DVP &lt;2 cm may trigger the configured oligohydramnios pathway; the system does not diagnose cause or prescribe delivery.</w:t>
            </w:r>
          </w:p>
        </w:tc>
      </w:tr>
      <w:tr>
        <w:trPr>
          <w:cantSplit/>
        </w:trPr>
        <w:tc>
          <w:tcPr>
            <w:tcW w:type="dxa" w:w="1224"/>
            <w:vAlign w:val="center"/>
            <w:shd w:fill="FFFFFF"/>
          </w:tcPr>
          <w:p>
            <w:pPr>
              <w:spacing w:after="0"/>
            </w:pPr>
            <w:r/>
            <w:r>
              <w:rPr>
                <w:rFonts w:ascii="Aptos" w:hAnsi="Aptos"/>
                <w:b w:val="0"/>
                <w:sz w:val="15"/>
              </w:rPr>
              <w:t>AF-03</w:t>
            </w:r>
          </w:p>
        </w:tc>
        <w:tc>
          <w:tcPr>
            <w:tcW w:type="dxa" w:w="9144"/>
            <w:vAlign w:val="center"/>
            <w:shd w:fill="FFFFFF"/>
          </w:tcPr>
          <w:p>
            <w:pPr>
              <w:spacing w:after="0"/>
            </w:pPr>
            <w:r/>
            <w:r>
              <w:rPr>
                <w:rFonts w:ascii="Aptos" w:hAnsi="Aptos"/>
                <w:b w:val="0"/>
                <w:sz w:val="15"/>
              </w:rPr>
              <w:t>DVP ≥8 cm or AFI ≥24 cm triggers polyhydramnios review; severity must follow the stored method.</w:t>
            </w:r>
          </w:p>
        </w:tc>
      </w:tr>
      <w:tr>
        <w:trPr>
          <w:cantSplit/>
        </w:trPr>
        <w:tc>
          <w:tcPr>
            <w:tcW w:type="dxa" w:w="1224"/>
            <w:vAlign w:val="center"/>
            <w:shd w:fill="F7F9FC"/>
          </w:tcPr>
          <w:p>
            <w:pPr>
              <w:spacing w:after="0"/>
            </w:pPr>
            <w:r/>
            <w:r>
              <w:rPr>
                <w:rFonts w:ascii="Aptos" w:hAnsi="Aptos"/>
                <w:b w:val="0"/>
                <w:sz w:val="15"/>
              </w:rPr>
              <w:t>AF-04</w:t>
            </w:r>
          </w:p>
        </w:tc>
        <w:tc>
          <w:tcPr>
            <w:tcW w:type="dxa" w:w="9144"/>
            <w:vAlign w:val="center"/>
            <w:shd w:fill="F7F9FC"/>
          </w:tcPr>
          <w:p>
            <w:pPr>
              <w:spacing w:after="0"/>
            </w:pPr>
            <w:r/>
            <w:r>
              <w:rPr>
                <w:rFonts w:ascii="Aptos" w:hAnsi="Aptos"/>
                <w:b w:val="0"/>
                <w:sz w:val="15"/>
              </w:rPr>
              <w:t>Abnormal fluid must interact with diabetes, growth, anomaly, multiple pregnancy, hypertension, and membrane status.</w:t>
            </w:r>
          </w:p>
        </w:tc>
      </w:tr>
      <w:tr>
        <w:trPr>
          <w:cantSplit/>
        </w:trPr>
        <w:tc>
          <w:tcPr>
            <w:tcW w:type="dxa" w:w="1224"/>
            <w:vAlign w:val="center"/>
            <w:shd w:fill="FFFFFF"/>
          </w:tcPr>
          <w:p>
            <w:pPr>
              <w:spacing w:after="0"/>
            </w:pPr>
            <w:r/>
            <w:r>
              <w:rPr>
                <w:rFonts w:ascii="Aptos" w:hAnsi="Aptos"/>
                <w:b w:val="0"/>
                <w:sz w:val="15"/>
              </w:rPr>
              <w:t>PL-01</w:t>
            </w:r>
          </w:p>
        </w:tc>
        <w:tc>
          <w:tcPr>
            <w:tcW w:type="dxa" w:w="9144"/>
            <w:vAlign w:val="center"/>
            <w:shd w:fill="FFFFFF"/>
          </w:tcPr>
          <w:p>
            <w:pPr>
              <w:spacing w:after="0"/>
            </w:pPr>
            <w:r/>
            <w:r>
              <w:rPr>
                <w:rFonts w:ascii="Aptos" w:hAnsi="Aptos"/>
                <w:b w:val="0"/>
                <w:sz w:val="15"/>
              </w:rPr>
              <w:t>Store placental wall location separately from edge-to-internal-os distance and previa status.</w:t>
            </w:r>
          </w:p>
        </w:tc>
      </w:tr>
      <w:tr>
        <w:trPr>
          <w:cantSplit/>
        </w:trPr>
        <w:tc>
          <w:tcPr>
            <w:tcW w:type="dxa" w:w="1224"/>
            <w:vAlign w:val="center"/>
            <w:shd w:fill="F7F9FC"/>
          </w:tcPr>
          <w:p>
            <w:pPr>
              <w:spacing w:after="0"/>
            </w:pPr>
            <w:r/>
            <w:r>
              <w:rPr>
                <w:rFonts w:ascii="Aptos" w:hAnsi="Aptos"/>
                <w:b w:val="0"/>
                <w:sz w:val="15"/>
              </w:rPr>
              <w:t>PL-02</w:t>
            </w:r>
          </w:p>
        </w:tc>
        <w:tc>
          <w:tcPr>
            <w:tcW w:type="dxa" w:w="9144"/>
            <w:vAlign w:val="center"/>
            <w:shd w:fill="F7F9FC"/>
          </w:tcPr>
          <w:p>
            <w:pPr>
              <w:spacing w:after="0"/>
            </w:pPr>
            <w:r/>
            <w:r>
              <w:rPr>
                <w:rFonts w:ascii="Aptos" w:hAnsi="Aptos"/>
                <w:b w:val="0"/>
                <w:sz w:val="15"/>
              </w:rPr>
              <w:t>Low-lying placenta requires follow-up status and a bleeding safety plan.</w:t>
            </w:r>
          </w:p>
        </w:tc>
      </w:tr>
      <w:tr>
        <w:trPr>
          <w:cantSplit/>
        </w:trPr>
        <w:tc>
          <w:tcPr>
            <w:tcW w:type="dxa" w:w="1224"/>
            <w:vAlign w:val="center"/>
            <w:shd w:fill="FFFFFF"/>
          </w:tcPr>
          <w:p>
            <w:pPr>
              <w:spacing w:after="0"/>
            </w:pPr>
            <w:r/>
            <w:r>
              <w:rPr>
                <w:rFonts w:ascii="Aptos" w:hAnsi="Aptos"/>
                <w:b w:val="0"/>
                <w:sz w:val="15"/>
              </w:rPr>
              <w:t>PL-03</w:t>
            </w:r>
          </w:p>
        </w:tc>
        <w:tc>
          <w:tcPr>
            <w:tcW w:type="dxa" w:w="9144"/>
            <w:vAlign w:val="center"/>
            <w:shd w:fill="FFFFFF"/>
          </w:tcPr>
          <w:p>
            <w:pPr>
              <w:spacing w:after="0"/>
            </w:pPr>
            <w:r/>
            <w:r>
              <w:rPr>
                <w:rFonts w:ascii="Aptos" w:hAnsi="Aptos"/>
                <w:b w:val="0"/>
                <w:sz w:val="15"/>
              </w:rPr>
              <w:t>Placenta partly/completely covering the internal os prevents ordinary lying-in birth planning.</w:t>
            </w:r>
          </w:p>
        </w:tc>
      </w:tr>
      <w:tr>
        <w:trPr>
          <w:cantSplit/>
        </w:trPr>
        <w:tc>
          <w:tcPr>
            <w:tcW w:type="dxa" w:w="1224"/>
            <w:vAlign w:val="center"/>
            <w:shd w:fill="F7F9FC"/>
          </w:tcPr>
          <w:p>
            <w:pPr>
              <w:spacing w:after="0"/>
            </w:pPr>
            <w:r/>
            <w:r>
              <w:rPr>
                <w:rFonts w:ascii="Aptos" w:hAnsi="Aptos"/>
                <w:b w:val="0"/>
                <w:sz w:val="15"/>
              </w:rPr>
              <w:t>PAS-01</w:t>
            </w:r>
          </w:p>
        </w:tc>
        <w:tc>
          <w:tcPr>
            <w:tcW w:type="dxa" w:w="9144"/>
            <w:vAlign w:val="center"/>
            <w:shd w:fill="F7F9FC"/>
          </w:tcPr>
          <w:p>
            <w:pPr>
              <w:spacing w:after="0"/>
            </w:pPr>
            <w:r/>
            <w:r>
              <w:rPr>
                <w:rFonts w:ascii="Aptos" w:hAnsi="Aptos"/>
                <w:b w:val="0"/>
                <w:sz w:val="15"/>
              </w:rPr>
              <w:t>Low placenta/previa plus prior caesarean or uterine surgery triggers expert PAS assessment.</w:t>
            </w:r>
          </w:p>
        </w:tc>
      </w:tr>
      <w:tr>
        <w:trPr>
          <w:cantSplit/>
        </w:trPr>
        <w:tc>
          <w:tcPr>
            <w:tcW w:type="dxa" w:w="1224"/>
            <w:vAlign w:val="center"/>
            <w:shd w:fill="FFFFFF"/>
          </w:tcPr>
          <w:p>
            <w:pPr>
              <w:spacing w:after="0"/>
            </w:pPr>
            <w:r/>
            <w:r>
              <w:rPr>
                <w:rFonts w:ascii="Aptos" w:hAnsi="Aptos"/>
                <w:b w:val="0"/>
                <w:sz w:val="15"/>
              </w:rPr>
              <w:t>PAS-02</w:t>
            </w:r>
          </w:p>
        </w:tc>
        <w:tc>
          <w:tcPr>
            <w:tcW w:type="dxa" w:w="9144"/>
            <w:vAlign w:val="center"/>
            <w:shd w:fill="FFFFFF"/>
          </w:tcPr>
          <w:p>
            <w:pPr>
              <w:spacing w:after="0"/>
            </w:pPr>
            <w:r/>
            <w:r>
              <w:rPr>
                <w:rFonts w:ascii="Aptos" w:hAnsi="Aptos"/>
                <w:b w:val="0"/>
                <w:sz w:val="15"/>
              </w:rPr>
              <w:t>Suspected PAS requires specialist-centre referral even without symptoms.</w:t>
            </w:r>
          </w:p>
        </w:tc>
      </w:tr>
      <w:tr>
        <w:trPr>
          <w:cantSplit/>
        </w:trPr>
        <w:tc>
          <w:tcPr>
            <w:tcW w:type="dxa" w:w="1224"/>
            <w:vAlign w:val="center"/>
            <w:shd w:fill="F7F9FC"/>
          </w:tcPr>
          <w:p>
            <w:pPr>
              <w:spacing w:after="0"/>
            </w:pPr>
            <w:r/>
            <w:r>
              <w:rPr>
                <w:rFonts w:ascii="Aptos" w:hAnsi="Aptos"/>
                <w:b w:val="0"/>
                <w:sz w:val="15"/>
              </w:rPr>
              <w:t>VP-01</w:t>
            </w:r>
          </w:p>
        </w:tc>
        <w:tc>
          <w:tcPr>
            <w:tcW w:type="dxa" w:w="9144"/>
            <w:vAlign w:val="center"/>
            <w:shd w:fill="F7F9FC"/>
          </w:tcPr>
          <w:p>
            <w:pPr>
              <w:spacing w:after="0"/>
            </w:pPr>
            <w:r/>
            <w:r>
              <w:rPr>
                <w:rFonts w:ascii="Aptos" w:hAnsi="Aptos"/>
                <w:b w:val="0"/>
                <w:sz w:val="15"/>
              </w:rPr>
              <w:t>Suspected/confirmed vasa previa requires specialist hospital management; bleeding, labor, or ROM triggers emergency transfer.</w:t>
            </w:r>
          </w:p>
        </w:tc>
      </w:tr>
      <w:tr>
        <w:trPr>
          <w:cantSplit/>
        </w:trPr>
        <w:tc>
          <w:tcPr>
            <w:tcW w:type="dxa" w:w="1224"/>
            <w:vAlign w:val="center"/>
            <w:shd w:fill="FFFFFF"/>
          </w:tcPr>
          <w:p>
            <w:pPr>
              <w:spacing w:after="0"/>
            </w:pPr>
            <w:r/>
            <w:r>
              <w:rPr>
                <w:rFonts w:ascii="Aptos" w:hAnsi="Aptos"/>
                <w:b w:val="0"/>
                <w:sz w:val="15"/>
              </w:rPr>
              <w:t>ABR-01</w:t>
            </w:r>
          </w:p>
        </w:tc>
        <w:tc>
          <w:tcPr>
            <w:tcW w:type="dxa" w:w="9144"/>
            <w:vAlign w:val="center"/>
            <w:shd w:fill="FFFFFF"/>
          </w:tcPr>
          <w:p>
            <w:pPr>
              <w:spacing w:after="0"/>
            </w:pPr>
            <w:r/>
            <w:r>
              <w:rPr>
                <w:rFonts w:ascii="Aptos" w:hAnsi="Aptos"/>
                <w:b w:val="0"/>
                <w:sz w:val="15"/>
              </w:rPr>
              <w:t>Possible abruption is a symptom-driven emergency pathway; a normal or absent ultrasound finding must not rule it out.</w:t>
            </w:r>
          </w:p>
        </w:tc>
      </w:tr>
      <w:tr>
        <w:trPr>
          <w:cantSplit/>
        </w:trPr>
        <w:tc>
          <w:tcPr>
            <w:tcW w:type="dxa" w:w="1224"/>
            <w:vAlign w:val="center"/>
            <w:shd w:fill="F7F9FC"/>
          </w:tcPr>
          <w:p>
            <w:pPr>
              <w:spacing w:after="0"/>
            </w:pPr>
            <w:r/>
            <w:r>
              <w:rPr>
                <w:rFonts w:ascii="Aptos" w:hAnsi="Aptos"/>
                <w:b w:val="0"/>
                <w:sz w:val="15"/>
              </w:rPr>
              <w:t>GR-01</w:t>
            </w:r>
          </w:p>
        </w:tc>
        <w:tc>
          <w:tcPr>
            <w:tcW w:type="dxa" w:w="9144"/>
            <w:vAlign w:val="center"/>
            <w:shd w:fill="F7F9FC"/>
          </w:tcPr>
          <w:p>
            <w:pPr>
              <w:spacing w:after="0"/>
            </w:pPr>
            <w:r/>
            <w:r>
              <w:rPr>
                <w:rFonts w:ascii="Aptos" w:hAnsi="Aptos"/>
                <w:b w:val="0"/>
                <w:sz w:val="15"/>
              </w:rPr>
              <w:t>Store growth diagnosis only when explicitly reported; retain biometry, reference chart, percentile, and trend.</w:t>
            </w:r>
          </w:p>
        </w:tc>
      </w:tr>
      <w:tr>
        <w:trPr>
          <w:cantSplit/>
        </w:trPr>
        <w:tc>
          <w:tcPr>
            <w:tcW w:type="dxa" w:w="1224"/>
            <w:vAlign w:val="center"/>
            <w:shd w:fill="FFFFFF"/>
          </w:tcPr>
          <w:p>
            <w:pPr>
              <w:spacing w:after="0"/>
            </w:pPr>
            <w:r/>
            <w:r>
              <w:rPr>
                <w:rFonts w:ascii="Aptos" w:hAnsi="Aptos"/>
                <w:b w:val="0"/>
                <w:sz w:val="15"/>
              </w:rPr>
              <w:t>DOP-01</w:t>
            </w:r>
          </w:p>
        </w:tc>
        <w:tc>
          <w:tcPr>
            <w:tcW w:type="dxa" w:w="9144"/>
            <w:vAlign w:val="center"/>
            <w:shd w:fill="FFFFFF"/>
          </w:tcPr>
          <w:p>
            <w:pPr>
              <w:spacing w:after="0"/>
            </w:pPr>
            <w:r/>
            <w:r>
              <w:rPr>
                <w:rFonts w:ascii="Aptos" w:hAnsi="Aptos"/>
                <w:b w:val="0"/>
                <w:sz w:val="15"/>
              </w:rPr>
              <w:t>Store Doppler values and report interpretation; never interpret waveforms independently.</w:t>
            </w:r>
          </w:p>
        </w:tc>
      </w:tr>
      <w:tr>
        <w:trPr>
          <w:cantSplit/>
        </w:trPr>
        <w:tc>
          <w:tcPr>
            <w:tcW w:type="dxa" w:w="1224"/>
            <w:vAlign w:val="center"/>
            <w:shd w:fill="F7F9FC"/>
          </w:tcPr>
          <w:p>
            <w:pPr>
              <w:spacing w:after="0"/>
            </w:pPr>
            <w:r/>
            <w:r>
              <w:rPr>
                <w:rFonts w:ascii="Aptos" w:hAnsi="Aptos"/>
                <w:b w:val="0"/>
                <w:sz w:val="15"/>
              </w:rPr>
              <w:t>INT-01</w:t>
            </w:r>
          </w:p>
        </w:tc>
        <w:tc>
          <w:tcPr>
            <w:tcW w:type="dxa" w:w="9144"/>
            <w:vAlign w:val="center"/>
            <w:shd w:fill="F7F9FC"/>
          </w:tcPr>
          <w:p>
            <w:pPr>
              <w:spacing w:after="0"/>
            </w:pPr>
            <w:r/>
            <w:r>
              <w:rPr>
                <w:rFonts w:ascii="Aptos" w:hAnsi="Aptos"/>
                <w:b w:val="0"/>
                <w:sz w:val="15"/>
              </w:rPr>
              <w:t>Any report recommendation marked urgent must create a tracked action with due time, owner, referral, and closure evidence.</w:t>
            </w:r>
          </w:p>
        </w:tc>
      </w:tr>
      <w:tr>
        <w:trPr>
          <w:cantSplit/>
        </w:trPr>
        <w:tc>
          <w:tcPr>
            <w:tcW w:type="dxa" w:w="1224"/>
            <w:vAlign w:val="center"/>
            <w:shd w:fill="FFFFFF"/>
          </w:tcPr>
          <w:p>
            <w:pPr>
              <w:spacing w:after="0"/>
            </w:pPr>
            <w:r/>
            <w:r>
              <w:rPr>
                <w:rFonts w:ascii="Aptos" w:hAnsi="Aptos"/>
                <w:b w:val="0"/>
                <w:sz w:val="15"/>
              </w:rPr>
              <w:t>INT-02</w:t>
            </w:r>
          </w:p>
        </w:tc>
        <w:tc>
          <w:tcPr>
            <w:tcW w:type="dxa" w:w="9144"/>
            <w:vAlign w:val="center"/>
            <w:shd w:fill="FFFFFF"/>
          </w:tcPr>
          <w:p>
            <w:pPr>
              <w:spacing w:after="0"/>
            </w:pPr>
            <w:r/>
            <w:r>
              <w:rPr>
                <w:rFonts w:ascii="Aptos" w:hAnsi="Aptos"/>
                <w:b w:val="0"/>
                <w:sz w:val="15"/>
              </w:rPr>
              <w:t>Maternal/fetal emergency symptoms override all routine ultrasound workflows.</w:t>
            </w:r>
          </w:p>
        </w:tc>
      </w:tr>
      <w:tr>
        <w:trPr>
          <w:cantSplit/>
        </w:trPr>
        <w:tc>
          <w:tcPr>
            <w:tcW w:type="dxa" w:w="1224"/>
            <w:vAlign w:val="center"/>
            <w:shd w:fill="F7F9FC"/>
          </w:tcPr>
          <w:p>
            <w:pPr>
              <w:spacing w:after="0"/>
            </w:pPr>
            <w:r/>
            <w:r>
              <w:rPr>
                <w:rFonts w:ascii="Aptos" w:hAnsi="Aptos"/>
                <w:b w:val="0"/>
                <w:sz w:val="15"/>
              </w:rPr>
              <w:t>INT-03</w:t>
            </w:r>
          </w:p>
        </w:tc>
        <w:tc>
          <w:tcPr>
            <w:tcW w:type="dxa" w:w="9144"/>
            <w:vAlign w:val="center"/>
            <w:shd w:fill="F7F9FC"/>
          </w:tcPr>
          <w:p>
            <w:pPr>
              <w:spacing w:after="0"/>
            </w:pPr>
            <w:r/>
            <w:r>
              <w:rPr>
                <w:rFonts w:ascii="Aptos" w:hAnsi="Aptos"/>
                <w:b w:val="0"/>
                <w:sz w:val="15"/>
              </w:rPr>
              <w:t>Every recommendation must display the report date, relevant finding, gestation, uncertainty, and action rationale.</w:t>
            </w:r>
          </w:p>
        </w:tc>
      </w:tr>
    </w:tbl>
    <w:p/>
    <w:p>
      <w:pPr>
        <w:pStyle w:val="Heading1"/>
      </w:pPr>
      <w:r>
        <w:t>11. Recommendation and Explanation Templates</w:t>
      </w:r>
    </w:p>
    <w:tbl>
      <w:tblPr>
        <w:tblW w:type="auto" w:w="0"/>
        <w:tblLook w:firstColumn="1" w:firstRow="1" w:lastColumn="0" w:lastRow="0" w:noHBand="0" w:noVBand="1" w:val="04A0"/>
      </w:tblPr>
      <w:tblGrid>
        <w:gridCol w:w="9994"/>
      </w:tblGrid>
      <w:tr>
        <w:trPr>
          <w:cantSplit/>
        </w:trP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Late breech. </w:t>
            </w:r>
            <w:r>
              <w:t>Ultrasound confirms a singleton breech presentation after 36 weeks. Breech presentation at this stage requires hospital obstetric counseling about external cephalic version and birth options. The system is not selecting a procedure or mode of birth.</w:t>
            </w:r>
          </w:p>
        </w:tc>
      </w:tr>
    </w:tbl>
    <w:p/>
    <w:tbl>
      <w:tblPr>
        <w:tblW w:type="auto" w:w="0"/>
        <w:tblLook w:firstColumn="1" w:firstRow="1" w:lastColumn="0" w:lastRow="0" w:noHBand="0" w:noVBand="1" w:val="04A0"/>
      </w:tblPr>
      <w:tblGrid>
        <w:gridCol w:w="9994"/>
      </w:tblGrid>
      <w:tr>
        <w:trPr>
          <w:cantSplit/>
        </w:trP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Low amniotic fluid. </w:t>
            </w:r>
            <w:r>
              <w:t>The ultrasound report documents a deepest vertical pocket below the configured threshold. Low fluid can have several causes and requires prompt obstetric assessment with the pregnancy’s growth, membrane, blood-pressure, and fetal-wellbeing information.</w:t>
            </w:r>
          </w:p>
        </w:tc>
      </w:tr>
    </w:tbl>
    <w:p/>
    <w:tbl>
      <w:tblPr>
        <w:tblW w:type="auto" w:w="0"/>
        <w:tblLook w:firstColumn="1" w:firstRow="1" w:lastColumn="0" w:lastRow="0" w:noHBand="0" w:noVBand="1" w:val="04A0"/>
      </w:tblPr>
      <w:tblGrid>
        <w:gridCol w:w="9994"/>
      </w:tblGrid>
      <w:tr>
        <w:trPr>
          <w:cantSplit/>
        </w:trP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Polyhydramnios. </w:t>
            </w:r>
            <w:r>
              <w:t>The report documents increased amniotic fluid using the recorded ultrasound method and measurement. Review for associated maternal and fetal causes, including diabetes and structural findings, is recommended.</w:t>
            </w:r>
          </w:p>
        </w:tc>
      </w:tr>
    </w:tbl>
    <w:p/>
    <w:tbl>
      <w:tblPr>
        <w:tblW w:type="auto" w:w="0"/>
        <w:tblLook w:firstColumn="1" w:firstRow="1" w:lastColumn="0" w:lastRow="0" w:noHBand="0" w:noVBand="1" w:val="04A0"/>
      </w:tblPr>
      <w:tblGrid>
        <w:gridCol w:w="9994"/>
      </w:tblGrid>
      <w:tr>
        <w:trPr>
          <w:cantSplit/>
        </w:trP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Low placenta with uterine scar. </w:t>
            </w:r>
            <w:r>
              <w:t>A low-lying placenta or placenta praevia is reported in a pregnancy with a previous caesarean or other uterine scar. Expert assessment for placenta accreta spectrum and specialist referral are required.</w:t>
            </w:r>
          </w:p>
        </w:tc>
      </w:tr>
    </w:tbl>
    <w:p/>
    <w:tbl>
      <w:tblPr>
        <w:tblW w:type="auto" w:w="0"/>
        <w:tblLook w:firstColumn="1" w:firstRow="1" w:lastColumn="0" w:lastRow="0" w:noHBand="0" w:noVBand="1" w:val="04A0"/>
      </w:tblPr>
      <w:tblGrid>
        <w:gridCol w:w="9994"/>
      </w:tblGrid>
      <w:tr>
        <w:trPr>
          <w:cantSplit/>
        </w:trPr>
        <w:tc>
          <w:tcPr>
            <w:tcW w:type="dxa" w:w="9994"/>
            <w:shd w:fill="FFF2CC"/>
            <w:tcBorders>
              <w:top w:val="single" w:sz="8" w:color="C00000"/>
              <w:left w:val="single" w:sz="8" w:color="C00000"/>
              <w:bottom w:val="single" w:sz="8" w:color="C00000"/>
              <w:right w:val="single" w:sz="8" w:color="C00000"/>
            </w:tcBorders>
          </w:tcPr>
          <w:p>
            <w:pPr>
              <w:pStyle w:val="Callout"/>
            </w:pPr>
            <w:r>
              <w:rPr>
                <w:b/>
                <w:color w:val="C00000"/>
              </w:rPr>
              <w:t xml:space="preserve">Emergency bleeding. </w:t>
            </w:r>
            <w:r>
              <w:t>Vaginal bleeding is present with known or suspected placenta praevia, placenta accreta spectrum, vasa previa, or placental abruption. Activate emergency hospital transfer now; do not wait for routine follow-up imaging.</w:t>
            </w:r>
          </w:p>
        </w:tc>
      </w:tr>
    </w:tbl>
    <w:p/>
    <w:p>
      <w:pPr>
        <w:pStyle w:val="Heading1"/>
      </w:pPr>
      <w:r>
        <w:t>12. Database Redesign Specification</w:t>
      </w:r>
    </w:p>
    <w:p>
      <w:pPr>
        <w:pStyle w:val="Heading2"/>
      </w:pPr>
      <w:r>
        <w:t>12.1 ultrasound_reports</w:t>
      </w:r>
    </w:p>
    <w:tbl>
      <w:tblPr>
        <w:tblStyle w:val="TableGrid"/>
        <w:tblW w:type="auto" w:w="0"/>
        <w:jc w:val="center"/>
        <w:tblLook w:firstColumn="1" w:firstRow="1" w:lastColumn="0" w:lastRow="0" w:noHBand="0" w:noVBand="1" w:val="04A0"/>
      </w:tblPr>
      <w:tblGrid>
        <w:gridCol w:w="4997"/>
        <w:gridCol w:w="4997"/>
      </w:tblGrid>
      <w:tr>
        <w:trPr>
          <w:cantSplit/>
        </w:trPr>
        <w:tc>
          <w:tcPr>
            <w:tcW w:type="dxa" w:w="3888"/>
            <w:vAlign w:val="center"/>
            <w:shd w:fill="17365D"/>
          </w:tcPr>
          <w:p>
            <w:pPr>
              <w:spacing w:after="0"/>
            </w:pPr>
            <w:r/>
            <w:r>
              <w:rPr>
                <w:rFonts w:ascii="Aptos" w:hAnsi="Aptos"/>
                <w:b/>
                <w:color w:val="FFFFFF"/>
                <w:sz w:val="16"/>
              </w:rPr>
              <w:t>Field</w:t>
            </w:r>
          </w:p>
        </w:tc>
        <w:tc>
          <w:tcPr>
            <w:tcW w:type="dxa" w:w="6480"/>
            <w:vAlign w:val="center"/>
            <w:shd w:fill="17365D"/>
          </w:tcPr>
          <w:p>
            <w:pPr>
              <w:spacing w:after="0"/>
            </w:pPr>
            <w:r/>
            <w:r>
              <w:rPr>
                <w:rFonts w:ascii="Aptos" w:hAnsi="Aptos"/>
                <w:b/>
                <w:color w:val="FFFFFF"/>
                <w:sz w:val="16"/>
              </w:rPr>
              <w:t>Purpose</w:t>
            </w:r>
          </w:p>
        </w:tc>
      </w:tr>
      <w:tr>
        <w:trPr>
          <w:cantSplit/>
        </w:trPr>
        <w:tc>
          <w:tcPr>
            <w:tcW w:type="dxa" w:w="3888"/>
            <w:vAlign w:val="center"/>
            <w:shd w:fill="FFFFFF"/>
          </w:tcPr>
          <w:p>
            <w:pPr>
              <w:spacing w:after="0"/>
            </w:pPr>
            <w:r/>
            <w:r>
              <w:rPr>
                <w:rFonts w:ascii="Aptos" w:hAnsi="Aptos"/>
                <w:b w:val="0"/>
                <w:sz w:val="15"/>
              </w:rPr>
              <w:t>id, pregnancy_id, prenatal_visit_id</w:t>
            </w:r>
          </w:p>
        </w:tc>
        <w:tc>
          <w:tcPr>
            <w:tcW w:type="dxa" w:w="6480"/>
            <w:vAlign w:val="center"/>
            <w:shd w:fill="FFFFFF"/>
          </w:tcPr>
          <w:p>
            <w:pPr>
              <w:spacing w:after="0"/>
            </w:pPr>
            <w:r/>
            <w:r>
              <w:rPr>
                <w:rFonts w:ascii="Aptos" w:hAnsi="Aptos"/>
                <w:b w:val="0"/>
                <w:sz w:val="15"/>
              </w:rPr>
              <w:t>Link report to pregnancy and encounter.</w:t>
            </w:r>
          </w:p>
        </w:tc>
      </w:tr>
      <w:tr>
        <w:trPr>
          <w:cantSplit/>
        </w:trPr>
        <w:tc>
          <w:tcPr>
            <w:tcW w:type="dxa" w:w="3888"/>
            <w:vAlign w:val="center"/>
            <w:shd w:fill="F7F9FC"/>
          </w:tcPr>
          <w:p>
            <w:pPr>
              <w:spacing w:after="0"/>
            </w:pPr>
            <w:r/>
            <w:r>
              <w:rPr>
                <w:rFonts w:ascii="Aptos" w:hAnsi="Aptos"/>
                <w:b w:val="0"/>
                <w:sz w:val="15"/>
              </w:rPr>
              <w:t>scan_at, gestational_age_days, dating_version</w:t>
            </w:r>
          </w:p>
        </w:tc>
        <w:tc>
          <w:tcPr>
            <w:tcW w:type="dxa" w:w="6480"/>
            <w:vAlign w:val="center"/>
            <w:shd w:fill="F7F9FC"/>
          </w:tcPr>
          <w:p>
            <w:pPr>
              <w:spacing w:after="0"/>
            </w:pPr>
            <w:r/>
            <w:r>
              <w:rPr>
                <w:rFonts w:ascii="Aptos" w:hAnsi="Aptos"/>
                <w:b w:val="0"/>
                <w:sz w:val="15"/>
              </w:rPr>
              <w:t>Timing and dating context.</w:t>
            </w:r>
          </w:p>
        </w:tc>
      </w:tr>
      <w:tr>
        <w:trPr>
          <w:cantSplit/>
        </w:trPr>
        <w:tc>
          <w:tcPr>
            <w:tcW w:type="dxa" w:w="3888"/>
            <w:vAlign w:val="center"/>
            <w:shd w:fill="FFFFFF"/>
          </w:tcPr>
          <w:p>
            <w:pPr>
              <w:spacing w:after="0"/>
            </w:pPr>
            <w:r/>
            <w:r>
              <w:rPr>
                <w:rFonts w:ascii="Aptos" w:hAnsi="Aptos"/>
                <w:b w:val="0"/>
                <w:sz w:val="15"/>
              </w:rPr>
              <w:t>report_type</w:t>
            </w:r>
          </w:p>
        </w:tc>
        <w:tc>
          <w:tcPr>
            <w:tcW w:type="dxa" w:w="6480"/>
            <w:vAlign w:val="center"/>
            <w:shd w:fill="FFFFFF"/>
          </w:tcPr>
          <w:p>
            <w:pPr>
              <w:spacing w:after="0"/>
            </w:pPr>
            <w:r/>
            <w:r>
              <w:rPr>
                <w:rFonts w:ascii="Aptos" w:hAnsi="Aptos"/>
                <w:b w:val="0"/>
                <w:sz w:val="15"/>
              </w:rPr>
              <w:t>dating / anomaly / growth / placental / fluid / Doppler / BPP / limited / other.</w:t>
            </w:r>
          </w:p>
        </w:tc>
      </w:tr>
      <w:tr>
        <w:trPr>
          <w:cantSplit/>
        </w:trPr>
        <w:tc>
          <w:tcPr>
            <w:tcW w:type="dxa" w:w="3888"/>
            <w:vAlign w:val="center"/>
            <w:shd w:fill="F7F9FC"/>
          </w:tcPr>
          <w:p>
            <w:pPr>
              <w:spacing w:after="0"/>
            </w:pPr>
            <w:r/>
            <w:r>
              <w:rPr>
                <w:rFonts w:ascii="Aptos" w:hAnsi="Aptos"/>
                <w:b w:val="0"/>
                <w:sz w:val="15"/>
              </w:rPr>
              <w:t>facility_id, sonographer_name, reporting_clinician</w:t>
            </w:r>
          </w:p>
        </w:tc>
        <w:tc>
          <w:tcPr>
            <w:tcW w:type="dxa" w:w="6480"/>
            <w:vAlign w:val="center"/>
            <w:shd w:fill="F7F9FC"/>
          </w:tcPr>
          <w:p>
            <w:pPr>
              <w:spacing w:after="0"/>
            </w:pPr>
            <w:r/>
            <w:r>
              <w:rPr>
                <w:rFonts w:ascii="Aptos" w:hAnsi="Aptos"/>
                <w:b w:val="0"/>
                <w:sz w:val="15"/>
              </w:rPr>
              <w:t>Source and accountability.</w:t>
            </w:r>
          </w:p>
        </w:tc>
      </w:tr>
      <w:tr>
        <w:trPr>
          <w:cantSplit/>
        </w:trPr>
        <w:tc>
          <w:tcPr>
            <w:tcW w:type="dxa" w:w="3888"/>
            <w:vAlign w:val="center"/>
            <w:shd w:fill="FFFFFF"/>
          </w:tcPr>
          <w:p>
            <w:pPr>
              <w:spacing w:after="0"/>
            </w:pPr>
            <w:r/>
            <w:r>
              <w:rPr>
                <w:rFonts w:ascii="Aptos" w:hAnsi="Aptos"/>
                <w:b w:val="0"/>
                <w:sz w:val="15"/>
              </w:rPr>
              <w:t>source_file_id, report_text, verification_status</w:t>
            </w:r>
          </w:p>
        </w:tc>
        <w:tc>
          <w:tcPr>
            <w:tcW w:type="dxa" w:w="6480"/>
            <w:vAlign w:val="center"/>
            <w:shd w:fill="FFFFFF"/>
          </w:tcPr>
          <w:p>
            <w:pPr>
              <w:spacing w:after="0"/>
            </w:pPr>
            <w:r/>
            <w:r>
              <w:rPr>
                <w:rFonts w:ascii="Aptos" w:hAnsi="Aptos"/>
                <w:b w:val="0"/>
                <w:sz w:val="15"/>
              </w:rPr>
              <w:t>Original evidence and verification.</w:t>
            </w:r>
          </w:p>
        </w:tc>
      </w:tr>
      <w:tr>
        <w:trPr>
          <w:cantSplit/>
        </w:trPr>
        <w:tc>
          <w:tcPr>
            <w:tcW w:type="dxa" w:w="3888"/>
            <w:vAlign w:val="center"/>
            <w:shd w:fill="F7F9FC"/>
          </w:tcPr>
          <w:p>
            <w:pPr>
              <w:spacing w:after="0"/>
            </w:pPr>
            <w:r/>
            <w:r>
              <w:rPr>
                <w:rFonts w:ascii="Aptos" w:hAnsi="Aptos"/>
                <w:b w:val="0"/>
                <w:sz w:val="15"/>
              </w:rPr>
              <w:t>overall_impression, recommendation_text, urgency_level</w:t>
            </w:r>
          </w:p>
        </w:tc>
        <w:tc>
          <w:tcPr>
            <w:tcW w:type="dxa" w:w="6480"/>
            <w:vAlign w:val="center"/>
            <w:shd w:fill="F7F9FC"/>
          </w:tcPr>
          <w:p>
            <w:pPr>
              <w:spacing w:after="0"/>
            </w:pPr>
            <w:r/>
            <w:r>
              <w:rPr>
                <w:rFonts w:ascii="Aptos" w:hAnsi="Aptos"/>
                <w:b w:val="0"/>
                <w:sz w:val="15"/>
              </w:rPr>
              <w:t>Qualified interpretation and action.</w:t>
            </w:r>
          </w:p>
        </w:tc>
      </w:tr>
      <w:tr>
        <w:trPr>
          <w:cantSplit/>
        </w:trPr>
        <w:tc>
          <w:tcPr>
            <w:tcW w:type="dxa" w:w="3888"/>
            <w:vAlign w:val="center"/>
            <w:shd w:fill="FFFFFF"/>
          </w:tcPr>
          <w:p>
            <w:pPr>
              <w:spacing w:after="0"/>
            </w:pPr>
            <w:r/>
            <w:r>
              <w:rPr>
                <w:rFonts w:ascii="Aptos" w:hAnsi="Aptos"/>
                <w:b w:val="0"/>
                <w:sz w:val="15"/>
              </w:rPr>
              <w:t>supersedes_report_id, reconciliation_status</w:t>
            </w:r>
          </w:p>
        </w:tc>
        <w:tc>
          <w:tcPr>
            <w:tcW w:type="dxa" w:w="6480"/>
            <w:vAlign w:val="center"/>
            <w:shd w:fill="FFFFFF"/>
          </w:tcPr>
          <w:p>
            <w:pPr>
              <w:spacing w:after="0"/>
            </w:pPr>
            <w:r/>
            <w:r>
              <w:rPr>
                <w:rFonts w:ascii="Aptos" w:hAnsi="Aptos"/>
                <w:b w:val="0"/>
                <w:sz w:val="15"/>
              </w:rPr>
              <w:t>Versioning/conflict handling.</w:t>
            </w:r>
          </w:p>
        </w:tc>
      </w:tr>
      <w:tr>
        <w:trPr>
          <w:cantSplit/>
        </w:trPr>
        <w:tc>
          <w:tcPr>
            <w:tcW w:type="dxa" w:w="3888"/>
            <w:vAlign w:val="center"/>
            <w:shd w:fill="F7F9FC"/>
          </w:tcPr>
          <w:p>
            <w:pPr>
              <w:spacing w:after="0"/>
            </w:pPr>
            <w:r/>
            <w:r>
              <w:rPr>
                <w:rFonts w:ascii="Aptos" w:hAnsi="Aptos"/>
                <w:b w:val="0"/>
                <w:sz w:val="15"/>
              </w:rPr>
              <w:t>reviewed_by, reviewed_at, created_at, updated_at</w:t>
            </w:r>
          </w:p>
        </w:tc>
        <w:tc>
          <w:tcPr>
            <w:tcW w:type="dxa" w:w="6480"/>
            <w:vAlign w:val="center"/>
            <w:shd w:fill="F7F9FC"/>
          </w:tcPr>
          <w:p>
            <w:pPr>
              <w:spacing w:after="0"/>
            </w:pPr>
            <w:r/>
            <w:r>
              <w:rPr>
                <w:rFonts w:ascii="Aptos" w:hAnsi="Aptos"/>
                <w:b w:val="0"/>
                <w:sz w:val="15"/>
              </w:rPr>
              <w:t>Audit.</w:t>
            </w:r>
          </w:p>
        </w:tc>
      </w:tr>
    </w:tbl>
    <w:p/>
    <w:p>
      <w:pPr>
        <w:pStyle w:val="Heading2"/>
      </w:pPr>
      <w:r>
        <w:t>12.2 ultrasound_fetuses</w:t>
      </w:r>
    </w:p>
    <w:tbl>
      <w:tblPr>
        <w:tblStyle w:val="TableGrid"/>
        <w:tblW w:type="auto" w:w="0"/>
        <w:jc w:val="center"/>
        <w:tblLook w:firstColumn="1" w:firstRow="1" w:lastColumn="0" w:lastRow="0" w:noHBand="0" w:noVBand="1" w:val="04A0"/>
      </w:tblPr>
      <w:tblGrid>
        <w:gridCol w:w="4997"/>
        <w:gridCol w:w="4997"/>
      </w:tblGrid>
      <w:tr>
        <w:trPr>
          <w:cantSplit/>
        </w:trPr>
        <w:tc>
          <w:tcPr>
            <w:tcW w:type="dxa" w:w="3888"/>
            <w:vAlign w:val="center"/>
            <w:shd w:fill="17365D"/>
          </w:tcPr>
          <w:p>
            <w:pPr>
              <w:spacing w:after="0"/>
            </w:pPr>
            <w:r/>
            <w:r>
              <w:rPr>
                <w:rFonts w:ascii="Aptos" w:hAnsi="Aptos"/>
                <w:b/>
                <w:color w:val="FFFFFF"/>
                <w:sz w:val="16"/>
              </w:rPr>
              <w:t>Field</w:t>
            </w:r>
          </w:p>
        </w:tc>
        <w:tc>
          <w:tcPr>
            <w:tcW w:type="dxa" w:w="6480"/>
            <w:vAlign w:val="center"/>
            <w:shd w:fill="17365D"/>
          </w:tcPr>
          <w:p>
            <w:pPr>
              <w:spacing w:after="0"/>
            </w:pPr>
            <w:r/>
            <w:r>
              <w:rPr>
                <w:rFonts w:ascii="Aptos" w:hAnsi="Aptos"/>
                <w:b/>
                <w:color w:val="FFFFFF"/>
                <w:sz w:val="16"/>
              </w:rPr>
              <w:t>Purpose</w:t>
            </w:r>
          </w:p>
        </w:tc>
      </w:tr>
      <w:tr>
        <w:trPr>
          <w:cantSplit/>
        </w:trPr>
        <w:tc>
          <w:tcPr>
            <w:tcW w:type="dxa" w:w="3888"/>
            <w:vAlign w:val="center"/>
            <w:shd w:fill="FFFFFF"/>
          </w:tcPr>
          <w:p>
            <w:pPr>
              <w:spacing w:after="0"/>
            </w:pPr>
            <w:r/>
            <w:r>
              <w:rPr>
                <w:rFonts w:ascii="Aptos" w:hAnsi="Aptos"/>
                <w:b w:val="0"/>
                <w:sz w:val="15"/>
              </w:rPr>
              <w:t>id, ultrasound_report_id, fetus_label</w:t>
            </w:r>
          </w:p>
        </w:tc>
        <w:tc>
          <w:tcPr>
            <w:tcW w:type="dxa" w:w="6480"/>
            <w:vAlign w:val="center"/>
            <w:shd w:fill="FFFFFF"/>
          </w:tcPr>
          <w:p>
            <w:pPr>
              <w:spacing w:after="0"/>
            </w:pPr>
            <w:r/>
            <w:r>
              <w:rPr>
                <w:rFonts w:ascii="Aptos" w:hAnsi="Aptos"/>
                <w:b w:val="0"/>
                <w:sz w:val="15"/>
              </w:rPr>
              <w:t>Fetus-specific record.</w:t>
            </w:r>
          </w:p>
        </w:tc>
      </w:tr>
      <w:tr>
        <w:trPr>
          <w:cantSplit/>
        </w:trPr>
        <w:tc>
          <w:tcPr>
            <w:tcW w:type="dxa" w:w="3888"/>
            <w:vAlign w:val="center"/>
            <w:shd w:fill="F7F9FC"/>
          </w:tcPr>
          <w:p>
            <w:pPr>
              <w:spacing w:after="0"/>
            </w:pPr>
            <w:r/>
            <w:r>
              <w:rPr>
                <w:rFonts w:ascii="Aptos" w:hAnsi="Aptos"/>
                <w:b w:val="0"/>
                <w:sz w:val="15"/>
              </w:rPr>
              <w:t>presentation, presentation_subtype</w:t>
            </w:r>
          </w:p>
        </w:tc>
        <w:tc>
          <w:tcPr>
            <w:tcW w:type="dxa" w:w="6480"/>
            <w:vAlign w:val="center"/>
            <w:shd w:fill="F7F9FC"/>
          </w:tcPr>
          <w:p>
            <w:pPr>
              <w:spacing w:after="0"/>
            </w:pPr>
            <w:r/>
            <w:r>
              <w:rPr>
                <w:rFonts w:ascii="Aptos" w:hAnsi="Aptos"/>
                <w:b w:val="0"/>
                <w:sz w:val="15"/>
              </w:rPr>
              <w:t>Cephalic/breech/transverse/oblique/unstable/other.</w:t>
            </w:r>
          </w:p>
        </w:tc>
      </w:tr>
      <w:tr>
        <w:trPr>
          <w:cantSplit/>
        </w:trPr>
        <w:tc>
          <w:tcPr>
            <w:tcW w:type="dxa" w:w="3888"/>
            <w:vAlign w:val="center"/>
            <w:shd w:fill="FFFFFF"/>
          </w:tcPr>
          <w:p>
            <w:pPr>
              <w:spacing w:after="0"/>
            </w:pPr>
            <w:r/>
            <w:r>
              <w:rPr>
                <w:rFonts w:ascii="Aptos" w:hAnsi="Aptos"/>
                <w:b w:val="0"/>
                <w:sz w:val="15"/>
              </w:rPr>
              <w:t>biometry_json, efw_g, efw_percentile</w:t>
            </w:r>
          </w:p>
        </w:tc>
        <w:tc>
          <w:tcPr>
            <w:tcW w:type="dxa" w:w="6480"/>
            <w:vAlign w:val="center"/>
            <w:shd w:fill="FFFFFF"/>
          </w:tcPr>
          <w:p>
            <w:pPr>
              <w:spacing w:after="0"/>
            </w:pPr>
            <w:r/>
            <w:r>
              <w:rPr>
                <w:rFonts w:ascii="Aptos" w:hAnsi="Aptos"/>
                <w:b w:val="0"/>
                <w:sz w:val="15"/>
              </w:rPr>
              <w:t>Reported measurements.</w:t>
            </w:r>
          </w:p>
        </w:tc>
      </w:tr>
      <w:tr>
        <w:trPr>
          <w:cantSplit/>
        </w:trPr>
        <w:tc>
          <w:tcPr>
            <w:tcW w:type="dxa" w:w="3888"/>
            <w:vAlign w:val="center"/>
            <w:shd w:fill="F7F9FC"/>
          </w:tcPr>
          <w:p>
            <w:pPr>
              <w:spacing w:after="0"/>
            </w:pPr>
            <w:r/>
            <w:r>
              <w:rPr>
                <w:rFonts w:ascii="Aptos" w:hAnsi="Aptos"/>
                <w:b w:val="0"/>
                <w:sz w:val="15"/>
              </w:rPr>
              <w:t>growth_impression, anomaly_status, anomaly_summary</w:t>
            </w:r>
          </w:p>
        </w:tc>
        <w:tc>
          <w:tcPr>
            <w:tcW w:type="dxa" w:w="6480"/>
            <w:vAlign w:val="center"/>
            <w:shd w:fill="F7F9FC"/>
          </w:tcPr>
          <w:p>
            <w:pPr>
              <w:spacing w:after="0"/>
            </w:pPr>
            <w:r/>
            <w:r>
              <w:rPr>
                <w:rFonts w:ascii="Aptos" w:hAnsi="Aptos"/>
                <w:b w:val="0"/>
                <w:sz w:val="15"/>
              </w:rPr>
              <w:t>Qualified report findings.</w:t>
            </w:r>
          </w:p>
        </w:tc>
      </w:tr>
      <w:tr>
        <w:trPr>
          <w:cantSplit/>
        </w:trPr>
        <w:tc>
          <w:tcPr>
            <w:tcW w:type="dxa" w:w="3888"/>
            <w:vAlign w:val="center"/>
            <w:shd w:fill="FFFFFF"/>
          </w:tcPr>
          <w:p>
            <w:pPr>
              <w:spacing w:after="0"/>
            </w:pPr>
            <w:r/>
            <w:r>
              <w:rPr>
                <w:rFonts w:ascii="Aptos" w:hAnsi="Aptos"/>
                <w:b w:val="0"/>
                <w:sz w:val="15"/>
              </w:rPr>
              <w:t>fhr_bpm, movement_seen, breathing_seen</w:t>
            </w:r>
          </w:p>
        </w:tc>
        <w:tc>
          <w:tcPr>
            <w:tcW w:type="dxa" w:w="6480"/>
            <w:vAlign w:val="center"/>
            <w:shd w:fill="FFFFFF"/>
          </w:tcPr>
          <w:p>
            <w:pPr>
              <w:spacing w:after="0"/>
            </w:pPr>
            <w:r/>
            <w:r>
              <w:rPr>
                <w:rFonts w:ascii="Aptos" w:hAnsi="Aptos"/>
                <w:b w:val="0"/>
                <w:sz w:val="15"/>
              </w:rPr>
              <w:t>Observed report data.</w:t>
            </w:r>
          </w:p>
        </w:tc>
      </w:tr>
      <w:tr>
        <w:trPr>
          <w:cantSplit/>
        </w:trPr>
        <w:tc>
          <w:tcPr>
            <w:tcW w:type="dxa" w:w="3888"/>
            <w:vAlign w:val="center"/>
            <w:shd w:fill="F7F9FC"/>
          </w:tcPr>
          <w:p>
            <w:pPr>
              <w:spacing w:after="0"/>
            </w:pPr>
            <w:r/>
            <w:r>
              <w:rPr>
                <w:rFonts w:ascii="Aptos" w:hAnsi="Aptos"/>
                <w:b w:val="0"/>
                <w:sz w:val="15"/>
              </w:rPr>
              <w:t>bpp_score, bpp_components_json</w:t>
            </w:r>
          </w:p>
        </w:tc>
        <w:tc>
          <w:tcPr>
            <w:tcW w:type="dxa" w:w="6480"/>
            <w:vAlign w:val="center"/>
            <w:shd w:fill="F7F9FC"/>
          </w:tcPr>
          <w:p>
            <w:pPr>
              <w:spacing w:after="0"/>
            </w:pPr>
            <w:r/>
            <w:r>
              <w:rPr>
                <w:rFonts w:ascii="Aptos" w:hAnsi="Aptos"/>
                <w:b w:val="0"/>
                <w:sz w:val="15"/>
              </w:rPr>
              <w:t>Reported BPP only.</w:t>
            </w:r>
          </w:p>
        </w:tc>
      </w:tr>
      <w:tr>
        <w:trPr>
          <w:cantSplit/>
        </w:trPr>
        <w:tc>
          <w:tcPr>
            <w:tcW w:type="dxa" w:w="3888"/>
            <w:vAlign w:val="center"/>
            <w:shd w:fill="FFFFFF"/>
          </w:tcPr>
          <w:p>
            <w:pPr>
              <w:spacing w:after="0"/>
            </w:pPr>
            <w:r/>
            <w:r>
              <w:rPr>
                <w:rFonts w:ascii="Aptos" w:hAnsi="Aptos"/>
                <w:b w:val="0"/>
                <w:sz w:val="15"/>
              </w:rPr>
              <w:t>created_at, updated_at</w:t>
            </w:r>
          </w:p>
        </w:tc>
        <w:tc>
          <w:tcPr>
            <w:tcW w:type="dxa" w:w="6480"/>
            <w:vAlign w:val="center"/>
            <w:shd w:fill="FFFFFF"/>
          </w:tcPr>
          <w:p>
            <w:pPr>
              <w:spacing w:after="0"/>
            </w:pPr>
            <w:r/>
            <w:r>
              <w:rPr>
                <w:rFonts w:ascii="Aptos" w:hAnsi="Aptos"/>
                <w:b w:val="0"/>
                <w:sz w:val="15"/>
              </w:rPr>
              <w:t>Audit.</w:t>
            </w:r>
          </w:p>
        </w:tc>
      </w:tr>
    </w:tbl>
    <w:p/>
    <w:p>
      <w:pPr>
        <w:pStyle w:val="Heading2"/>
      </w:pPr>
      <w:r>
        <w:t>12.3 amniotic_fluid_assessments</w:t>
      </w:r>
    </w:p>
    <w:tbl>
      <w:tblPr>
        <w:tblStyle w:val="TableGrid"/>
        <w:tblW w:type="auto" w:w="0"/>
        <w:jc w:val="center"/>
        <w:tblLook w:firstColumn="1" w:firstRow="1" w:lastColumn="0" w:lastRow="0" w:noHBand="0" w:noVBand="1" w:val="04A0"/>
      </w:tblPr>
      <w:tblGrid>
        <w:gridCol w:w="4997"/>
        <w:gridCol w:w="4997"/>
      </w:tblGrid>
      <w:tr>
        <w:trPr>
          <w:cantSplit/>
        </w:trPr>
        <w:tc>
          <w:tcPr>
            <w:tcW w:type="dxa" w:w="3888"/>
            <w:vAlign w:val="center"/>
            <w:shd w:fill="17365D"/>
          </w:tcPr>
          <w:p>
            <w:pPr>
              <w:spacing w:after="0"/>
            </w:pPr>
            <w:r/>
            <w:r>
              <w:rPr>
                <w:rFonts w:ascii="Aptos" w:hAnsi="Aptos"/>
                <w:b/>
                <w:color w:val="FFFFFF"/>
                <w:sz w:val="16"/>
              </w:rPr>
              <w:t>Field</w:t>
            </w:r>
          </w:p>
        </w:tc>
        <w:tc>
          <w:tcPr>
            <w:tcW w:type="dxa" w:w="6480"/>
            <w:vAlign w:val="center"/>
            <w:shd w:fill="17365D"/>
          </w:tcPr>
          <w:p>
            <w:pPr>
              <w:spacing w:after="0"/>
            </w:pPr>
            <w:r/>
            <w:r>
              <w:rPr>
                <w:rFonts w:ascii="Aptos" w:hAnsi="Aptos"/>
                <w:b/>
                <w:color w:val="FFFFFF"/>
                <w:sz w:val="16"/>
              </w:rPr>
              <w:t>Purpose</w:t>
            </w:r>
          </w:p>
        </w:tc>
      </w:tr>
      <w:tr>
        <w:trPr>
          <w:cantSplit/>
        </w:trPr>
        <w:tc>
          <w:tcPr>
            <w:tcW w:type="dxa" w:w="3888"/>
            <w:vAlign w:val="center"/>
            <w:shd w:fill="FFFFFF"/>
          </w:tcPr>
          <w:p>
            <w:pPr>
              <w:spacing w:after="0"/>
            </w:pPr>
            <w:r/>
            <w:r>
              <w:rPr>
                <w:rFonts w:ascii="Aptos" w:hAnsi="Aptos"/>
                <w:b w:val="0"/>
                <w:sz w:val="15"/>
              </w:rPr>
              <w:t>id, ultrasound_report_id, fetus_or_sac_id</w:t>
            </w:r>
          </w:p>
        </w:tc>
        <w:tc>
          <w:tcPr>
            <w:tcW w:type="dxa" w:w="6480"/>
            <w:vAlign w:val="center"/>
            <w:shd w:fill="FFFFFF"/>
          </w:tcPr>
          <w:p>
            <w:pPr>
              <w:spacing w:after="0"/>
            </w:pPr>
            <w:r/>
            <w:r>
              <w:rPr>
                <w:rFonts w:ascii="Aptos" w:hAnsi="Aptos"/>
                <w:b w:val="0"/>
                <w:sz w:val="15"/>
              </w:rPr>
              <w:t>Link to report/fetus/sac.</w:t>
            </w:r>
          </w:p>
        </w:tc>
      </w:tr>
      <w:tr>
        <w:trPr>
          <w:cantSplit/>
        </w:trPr>
        <w:tc>
          <w:tcPr>
            <w:tcW w:type="dxa" w:w="3888"/>
            <w:vAlign w:val="center"/>
            <w:shd w:fill="F7F9FC"/>
          </w:tcPr>
          <w:p>
            <w:pPr>
              <w:spacing w:after="0"/>
            </w:pPr>
            <w:r/>
            <w:r>
              <w:rPr>
                <w:rFonts w:ascii="Aptos" w:hAnsi="Aptos"/>
                <w:b w:val="0"/>
                <w:sz w:val="15"/>
              </w:rPr>
              <w:t>method</w:t>
            </w:r>
          </w:p>
        </w:tc>
        <w:tc>
          <w:tcPr>
            <w:tcW w:type="dxa" w:w="6480"/>
            <w:vAlign w:val="center"/>
            <w:shd w:fill="F7F9FC"/>
          </w:tcPr>
          <w:p>
            <w:pPr>
              <w:spacing w:after="0"/>
            </w:pPr>
            <w:r/>
            <w:r>
              <w:rPr>
                <w:rFonts w:ascii="Aptos" w:hAnsi="Aptos"/>
                <w:b w:val="0"/>
                <w:sz w:val="15"/>
              </w:rPr>
              <w:t>DVP / AFI / qualitative / other.</w:t>
            </w:r>
          </w:p>
        </w:tc>
      </w:tr>
      <w:tr>
        <w:trPr>
          <w:cantSplit/>
        </w:trPr>
        <w:tc>
          <w:tcPr>
            <w:tcW w:type="dxa" w:w="3888"/>
            <w:vAlign w:val="center"/>
            <w:shd w:fill="FFFFFF"/>
          </w:tcPr>
          <w:p>
            <w:pPr>
              <w:spacing w:after="0"/>
            </w:pPr>
            <w:r/>
            <w:r>
              <w:rPr>
                <w:rFonts w:ascii="Aptos" w:hAnsi="Aptos"/>
                <w:b w:val="0"/>
                <w:sz w:val="15"/>
              </w:rPr>
              <w:t>value_cm, afi_cm</w:t>
            </w:r>
          </w:p>
        </w:tc>
        <w:tc>
          <w:tcPr>
            <w:tcW w:type="dxa" w:w="6480"/>
            <w:vAlign w:val="center"/>
            <w:shd w:fill="FFFFFF"/>
          </w:tcPr>
          <w:p>
            <w:pPr>
              <w:spacing w:after="0"/>
            </w:pPr>
            <w:r/>
            <w:r>
              <w:rPr>
                <w:rFonts w:ascii="Aptos" w:hAnsi="Aptos"/>
                <w:b w:val="0"/>
                <w:sz w:val="15"/>
              </w:rPr>
              <w:t>Actual measurement.</w:t>
            </w:r>
          </w:p>
        </w:tc>
      </w:tr>
      <w:tr>
        <w:trPr>
          <w:cantSplit/>
        </w:trPr>
        <w:tc>
          <w:tcPr>
            <w:tcW w:type="dxa" w:w="3888"/>
            <w:vAlign w:val="center"/>
            <w:shd w:fill="F7F9FC"/>
          </w:tcPr>
          <w:p>
            <w:pPr>
              <w:spacing w:after="0"/>
            </w:pPr>
            <w:r/>
            <w:r>
              <w:rPr>
                <w:rFonts w:ascii="Aptos" w:hAnsi="Aptos"/>
                <w:b w:val="0"/>
                <w:sz w:val="15"/>
              </w:rPr>
              <w:t>reported_category</w:t>
            </w:r>
          </w:p>
        </w:tc>
        <w:tc>
          <w:tcPr>
            <w:tcW w:type="dxa" w:w="6480"/>
            <w:vAlign w:val="center"/>
            <w:shd w:fill="F7F9FC"/>
          </w:tcPr>
          <w:p>
            <w:pPr>
              <w:spacing w:after="0"/>
            </w:pPr>
            <w:r/>
            <w:r>
              <w:rPr>
                <w:rFonts w:ascii="Aptos" w:hAnsi="Aptos"/>
                <w:b w:val="0"/>
                <w:sz w:val="15"/>
              </w:rPr>
              <w:t>normal / oligohydramnios / polyhydramnios / borderline / uncertain.</w:t>
            </w:r>
          </w:p>
        </w:tc>
      </w:tr>
      <w:tr>
        <w:trPr>
          <w:cantSplit/>
        </w:trPr>
        <w:tc>
          <w:tcPr>
            <w:tcW w:type="dxa" w:w="3888"/>
            <w:vAlign w:val="center"/>
            <w:shd w:fill="FFFFFF"/>
          </w:tcPr>
          <w:p>
            <w:pPr>
              <w:spacing w:after="0"/>
            </w:pPr>
            <w:r/>
            <w:r>
              <w:rPr>
                <w:rFonts w:ascii="Aptos" w:hAnsi="Aptos"/>
                <w:b w:val="0"/>
                <w:sz w:val="15"/>
              </w:rPr>
              <w:t>severity</w:t>
            </w:r>
          </w:p>
        </w:tc>
        <w:tc>
          <w:tcPr>
            <w:tcW w:type="dxa" w:w="6480"/>
            <w:vAlign w:val="center"/>
            <w:shd w:fill="FFFFFF"/>
          </w:tcPr>
          <w:p>
            <w:pPr>
              <w:spacing w:after="0"/>
            </w:pPr>
            <w:r/>
            <w:r>
              <w:rPr>
                <w:rFonts w:ascii="Aptos" w:hAnsi="Aptos"/>
                <w:b w:val="0"/>
                <w:sz w:val="15"/>
              </w:rPr>
              <w:t>mild / moderate / severe / not_reported.</w:t>
            </w:r>
          </w:p>
        </w:tc>
      </w:tr>
      <w:tr>
        <w:trPr>
          <w:cantSplit/>
        </w:trPr>
        <w:tc>
          <w:tcPr>
            <w:tcW w:type="dxa" w:w="3888"/>
            <w:vAlign w:val="center"/>
            <w:shd w:fill="F7F9FC"/>
          </w:tcPr>
          <w:p>
            <w:pPr>
              <w:spacing w:after="0"/>
            </w:pPr>
            <w:r/>
            <w:r>
              <w:rPr>
                <w:rFonts w:ascii="Aptos" w:hAnsi="Aptos"/>
                <w:b w:val="0"/>
                <w:sz w:val="15"/>
              </w:rPr>
              <w:t>membrane_status, serial_change_status</w:t>
            </w:r>
          </w:p>
        </w:tc>
        <w:tc>
          <w:tcPr>
            <w:tcW w:type="dxa" w:w="6480"/>
            <w:vAlign w:val="center"/>
            <w:shd w:fill="F7F9FC"/>
          </w:tcPr>
          <w:p>
            <w:pPr>
              <w:spacing w:after="0"/>
            </w:pPr>
            <w:r/>
            <w:r>
              <w:rPr>
                <w:rFonts w:ascii="Aptos" w:hAnsi="Aptos"/>
                <w:b w:val="0"/>
                <w:sz w:val="15"/>
              </w:rPr>
              <w:t>Clinical context.</w:t>
            </w:r>
          </w:p>
        </w:tc>
      </w:tr>
      <w:tr>
        <w:trPr>
          <w:cantSplit/>
        </w:trPr>
        <w:tc>
          <w:tcPr>
            <w:tcW w:type="dxa" w:w="3888"/>
            <w:vAlign w:val="center"/>
            <w:shd w:fill="FFFFFF"/>
          </w:tcPr>
          <w:p>
            <w:pPr>
              <w:spacing w:after="0"/>
            </w:pPr>
            <w:r/>
            <w:r>
              <w:rPr>
                <w:rFonts w:ascii="Aptos" w:hAnsi="Aptos"/>
                <w:b w:val="0"/>
                <w:sz w:val="15"/>
              </w:rPr>
              <w:t>action_status, referral_id</w:t>
            </w:r>
          </w:p>
        </w:tc>
        <w:tc>
          <w:tcPr>
            <w:tcW w:type="dxa" w:w="6480"/>
            <w:vAlign w:val="center"/>
            <w:shd w:fill="FFFFFF"/>
          </w:tcPr>
          <w:p>
            <w:pPr>
              <w:spacing w:after="0"/>
            </w:pPr>
            <w:r/>
            <w:r>
              <w:rPr>
                <w:rFonts w:ascii="Aptos" w:hAnsi="Aptos"/>
                <w:b w:val="0"/>
                <w:sz w:val="15"/>
              </w:rPr>
              <w:t>Workflow.</w:t>
            </w:r>
          </w:p>
        </w:tc>
      </w:tr>
    </w:tbl>
    <w:p/>
    <w:p>
      <w:pPr>
        <w:pStyle w:val="Heading2"/>
      </w:pPr>
      <w:r>
        <w:t>12.4 placental_findings</w:t>
      </w:r>
    </w:p>
    <w:tbl>
      <w:tblPr>
        <w:tblStyle w:val="TableGrid"/>
        <w:tblW w:type="auto" w:w="0"/>
        <w:jc w:val="center"/>
        <w:tblLook w:firstColumn="1" w:firstRow="1" w:lastColumn="0" w:lastRow="0" w:noHBand="0" w:noVBand="1" w:val="04A0"/>
      </w:tblPr>
      <w:tblGrid>
        <w:gridCol w:w="4997"/>
        <w:gridCol w:w="4997"/>
      </w:tblGrid>
      <w:tr>
        <w:trPr>
          <w:cantSplit/>
        </w:trPr>
        <w:tc>
          <w:tcPr>
            <w:tcW w:type="dxa" w:w="3888"/>
            <w:vAlign w:val="center"/>
            <w:shd w:fill="17365D"/>
          </w:tcPr>
          <w:p>
            <w:pPr>
              <w:spacing w:after="0"/>
            </w:pPr>
            <w:r/>
            <w:r>
              <w:rPr>
                <w:rFonts w:ascii="Aptos" w:hAnsi="Aptos"/>
                <w:b/>
                <w:color w:val="FFFFFF"/>
                <w:sz w:val="16"/>
              </w:rPr>
              <w:t>Field</w:t>
            </w:r>
          </w:p>
        </w:tc>
        <w:tc>
          <w:tcPr>
            <w:tcW w:type="dxa" w:w="6480"/>
            <w:vAlign w:val="center"/>
            <w:shd w:fill="17365D"/>
          </w:tcPr>
          <w:p>
            <w:pPr>
              <w:spacing w:after="0"/>
            </w:pPr>
            <w:r/>
            <w:r>
              <w:rPr>
                <w:rFonts w:ascii="Aptos" w:hAnsi="Aptos"/>
                <w:b/>
                <w:color w:val="FFFFFF"/>
                <w:sz w:val="16"/>
              </w:rPr>
              <w:t>Purpose</w:t>
            </w:r>
          </w:p>
        </w:tc>
      </w:tr>
      <w:tr>
        <w:trPr>
          <w:cantSplit/>
        </w:trPr>
        <w:tc>
          <w:tcPr>
            <w:tcW w:type="dxa" w:w="3888"/>
            <w:vAlign w:val="center"/>
            <w:shd w:fill="FFFFFF"/>
          </w:tcPr>
          <w:p>
            <w:pPr>
              <w:spacing w:after="0"/>
            </w:pPr>
            <w:r/>
            <w:r>
              <w:rPr>
                <w:rFonts w:ascii="Aptos" w:hAnsi="Aptos"/>
                <w:b w:val="0"/>
                <w:sz w:val="15"/>
              </w:rPr>
              <w:t>id, ultrasound_report_id</w:t>
            </w:r>
          </w:p>
        </w:tc>
        <w:tc>
          <w:tcPr>
            <w:tcW w:type="dxa" w:w="6480"/>
            <w:vAlign w:val="center"/>
            <w:shd w:fill="FFFFFF"/>
          </w:tcPr>
          <w:p>
            <w:pPr>
              <w:spacing w:after="0"/>
            </w:pPr>
            <w:r/>
            <w:r>
              <w:rPr>
                <w:rFonts w:ascii="Aptos" w:hAnsi="Aptos"/>
                <w:b w:val="0"/>
                <w:sz w:val="15"/>
              </w:rPr>
              <w:t>Link.</w:t>
            </w:r>
          </w:p>
        </w:tc>
      </w:tr>
      <w:tr>
        <w:trPr>
          <w:cantSplit/>
        </w:trPr>
        <w:tc>
          <w:tcPr>
            <w:tcW w:type="dxa" w:w="3888"/>
            <w:vAlign w:val="center"/>
            <w:shd w:fill="F7F9FC"/>
          </w:tcPr>
          <w:p>
            <w:pPr>
              <w:spacing w:after="0"/>
            </w:pPr>
            <w:r/>
            <w:r>
              <w:rPr>
                <w:rFonts w:ascii="Aptos" w:hAnsi="Aptos"/>
                <w:b w:val="0"/>
                <w:sz w:val="15"/>
              </w:rPr>
              <w:t>wall_location</w:t>
            </w:r>
          </w:p>
        </w:tc>
        <w:tc>
          <w:tcPr>
            <w:tcW w:type="dxa" w:w="6480"/>
            <w:vAlign w:val="center"/>
            <w:shd w:fill="F7F9FC"/>
          </w:tcPr>
          <w:p>
            <w:pPr>
              <w:spacing w:after="0"/>
            </w:pPr>
            <w:r/>
            <w:r>
              <w:rPr>
                <w:rFonts w:ascii="Aptos" w:hAnsi="Aptos"/>
                <w:b w:val="0"/>
                <w:sz w:val="15"/>
              </w:rPr>
              <w:t>anterior / posterior / fundal / lateral / other.</w:t>
            </w:r>
          </w:p>
        </w:tc>
      </w:tr>
      <w:tr>
        <w:trPr>
          <w:cantSplit/>
        </w:trPr>
        <w:tc>
          <w:tcPr>
            <w:tcW w:type="dxa" w:w="3888"/>
            <w:vAlign w:val="center"/>
            <w:shd w:fill="FFFFFF"/>
          </w:tcPr>
          <w:p>
            <w:pPr>
              <w:spacing w:after="0"/>
            </w:pPr>
            <w:r/>
            <w:r>
              <w:rPr>
                <w:rFonts w:ascii="Aptos" w:hAnsi="Aptos"/>
                <w:b w:val="0"/>
                <w:sz w:val="15"/>
              </w:rPr>
              <w:t>edge_to_internal_os_mm</w:t>
            </w:r>
          </w:p>
        </w:tc>
        <w:tc>
          <w:tcPr>
            <w:tcW w:type="dxa" w:w="6480"/>
            <w:vAlign w:val="center"/>
            <w:shd w:fill="FFFFFF"/>
          </w:tcPr>
          <w:p>
            <w:pPr>
              <w:spacing w:after="0"/>
            </w:pPr>
            <w:r/>
            <w:r>
              <w:rPr>
                <w:rFonts w:ascii="Aptos" w:hAnsi="Aptos"/>
                <w:b w:val="0"/>
                <w:sz w:val="15"/>
              </w:rPr>
              <w:t>Quantitative proximity.</w:t>
            </w:r>
          </w:p>
        </w:tc>
      </w:tr>
      <w:tr>
        <w:trPr>
          <w:cantSplit/>
        </w:trPr>
        <w:tc>
          <w:tcPr>
            <w:tcW w:type="dxa" w:w="3888"/>
            <w:vAlign w:val="center"/>
            <w:shd w:fill="F7F9FC"/>
          </w:tcPr>
          <w:p>
            <w:pPr>
              <w:spacing w:after="0"/>
            </w:pPr>
            <w:r/>
            <w:r>
              <w:rPr>
                <w:rFonts w:ascii="Aptos" w:hAnsi="Aptos"/>
                <w:b w:val="0"/>
                <w:sz w:val="15"/>
              </w:rPr>
              <w:t>low_lying_status, previa_status</w:t>
            </w:r>
          </w:p>
        </w:tc>
        <w:tc>
          <w:tcPr>
            <w:tcW w:type="dxa" w:w="6480"/>
            <w:vAlign w:val="center"/>
            <w:shd w:fill="F7F9FC"/>
          </w:tcPr>
          <w:p>
            <w:pPr>
              <w:spacing w:after="0"/>
            </w:pPr>
            <w:r/>
            <w:r>
              <w:rPr>
                <w:rFonts w:ascii="Aptos" w:hAnsi="Aptos"/>
                <w:b w:val="0"/>
                <w:sz w:val="15"/>
              </w:rPr>
              <w:t>Distinct categories.</w:t>
            </w:r>
          </w:p>
        </w:tc>
      </w:tr>
      <w:tr>
        <w:trPr>
          <w:cantSplit/>
        </w:trPr>
        <w:tc>
          <w:tcPr>
            <w:tcW w:type="dxa" w:w="3888"/>
            <w:vAlign w:val="center"/>
            <w:shd w:fill="FFFFFF"/>
          </w:tcPr>
          <w:p>
            <w:pPr>
              <w:spacing w:after="0"/>
            </w:pPr>
            <w:r/>
            <w:r>
              <w:rPr>
                <w:rFonts w:ascii="Aptos" w:hAnsi="Aptos"/>
                <w:b w:val="0"/>
                <w:sz w:val="15"/>
              </w:rPr>
              <w:t>pas_status, pas_features_summary</w:t>
            </w:r>
          </w:p>
        </w:tc>
        <w:tc>
          <w:tcPr>
            <w:tcW w:type="dxa" w:w="6480"/>
            <w:vAlign w:val="center"/>
            <w:shd w:fill="FFFFFF"/>
          </w:tcPr>
          <w:p>
            <w:pPr>
              <w:spacing w:after="0"/>
            </w:pPr>
            <w:r/>
            <w:r>
              <w:rPr>
                <w:rFonts w:ascii="Aptos" w:hAnsi="Aptos"/>
                <w:b w:val="0"/>
                <w:sz w:val="15"/>
              </w:rPr>
              <w:t>suspected/confirmed/reported negative/uncertain.</w:t>
            </w:r>
          </w:p>
        </w:tc>
      </w:tr>
      <w:tr>
        <w:trPr>
          <w:cantSplit/>
        </w:trPr>
        <w:tc>
          <w:tcPr>
            <w:tcW w:type="dxa" w:w="3888"/>
            <w:vAlign w:val="center"/>
            <w:shd w:fill="F7F9FC"/>
          </w:tcPr>
          <w:p>
            <w:pPr>
              <w:spacing w:after="0"/>
            </w:pPr>
            <w:r/>
            <w:r>
              <w:rPr>
                <w:rFonts w:ascii="Aptos" w:hAnsi="Aptos"/>
                <w:b w:val="0"/>
                <w:sz w:val="15"/>
              </w:rPr>
              <w:t>morphology</w:t>
            </w:r>
          </w:p>
        </w:tc>
        <w:tc>
          <w:tcPr>
            <w:tcW w:type="dxa" w:w="6480"/>
            <w:vAlign w:val="center"/>
            <w:shd w:fill="F7F9FC"/>
          </w:tcPr>
          <w:p>
            <w:pPr>
              <w:spacing w:after="0"/>
            </w:pPr>
            <w:r/>
            <w:r>
              <w:rPr>
                <w:rFonts w:ascii="Aptos" w:hAnsi="Aptos"/>
                <w:b w:val="0"/>
                <w:sz w:val="15"/>
              </w:rPr>
              <w:t>single / bilobed / succenturiate / other.</w:t>
            </w:r>
          </w:p>
        </w:tc>
      </w:tr>
      <w:tr>
        <w:trPr>
          <w:cantSplit/>
        </w:trPr>
        <w:tc>
          <w:tcPr>
            <w:tcW w:type="dxa" w:w="3888"/>
            <w:vAlign w:val="center"/>
            <w:shd w:fill="FFFFFF"/>
          </w:tcPr>
          <w:p>
            <w:pPr>
              <w:spacing w:after="0"/>
            </w:pPr>
            <w:r/>
            <w:r>
              <w:rPr>
                <w:rFonts w:ascii="Aptos" w:hAnsi="Aptos"/>
                <w:b w:val="0"/>
                <w:sz w:val="15"/>
              </w:rPr>
              <w:t>cord_insertion</w:t>
            </w:r>
          </w:p>
        </w:tc>
        <w:tc>
          <w:tcPr>
            <w:tcW w:type="dxa" w:w="6480"/>
            <w:vAlign w:val="center"/>
            <w:shd w:fill="FFFFFF"/>
          </w:tcPr>
          <w:p>
            <w:pPr>
              <w:spacing w:after="0"/>
            </w:pPr>
            <w:r/>
            <w:r>
              <w:rPr>
                <w:rFonts w:ascii="Aptos" w:hAnsi="Aptos"/>
                <w:b w:val="0"/>
                <w:sz w:val="15"/>
              </w:rPr>
              <w:t>central / eccentric / marginal / velamentous / unknown.</w:t>
            </w:r>
          </w:p>
        </w:tc>
      </w:tr>
      <w:tr>
        <w:trPr>
          <w:cantSplit/>
        </w:trPr>
        <w:tc>
          <w:tcPr>
            <w:tcW w:type="dxa" w:w="3888"/>
            <w:vAlign w:val="center"/>
            <w:shd w:fill="F7F9FC"/>
          </w:tcPr>
          <w:p>
            <w:pPr>
              <w:spacing w:after="0"/>
            </w:pPr>
            <w:r/>
            <w:r>
              <w:rPr>
                <w:rFonts w:ascii="Aptos" w:hAnsi="Aptos"/>
                <w:b w:val="0"/>
                <w:sz w:val="15"/>
              </w:rPr>
              <w:t>vasa_previa_status</w:t>
            </w:r>
          </w:p>
        </w:tc>
        <w:tc>
          <w:tcPr>
            <w:tcW w:type="dxa" w:w="6480"/>
            <w:vAlign w:val="center"/>
            <w:shd w:fill="F7F9FC"/>
          </w:tcPr>
          <w:p>
            <w:pPr>
              <w:spacing w:after="0"/>
            </w:pPr>
            <w:r/>
            <w:r>
              <w:rPr>
                <w:rFonts w:ascii="Aptos" w:hAnsi="Aptos"/>
                <w:b w:val="0"/>
                <w:sz w:val="15"/>
              </w:rPr>
              <w:t>suspected / confirmed / resolved / not_seen / not_assessed.</w:t>
            </w:r>
          </w:p>
        </w:tc>
      </w:tr>
      <w:tr>
        <w:trPr>
          <w:cantSplit/>
        </w:trPr>
        <w:tc>
          <w:tcPr>
            <w:tcW w:type="dxa" w:w="3888"/>
            <w:vAlign w:val="center"/>
            <w:shd w:fill="FFFFFF"/>
          </w:tcPr>
          <w:p>
            <w:pPr>
              <w:spacing w:after="0"/>
            </w:pPr>
            <w:r/>
            <w:r>
              <w:rPr>
                <w:rFonts w:ascii="Aptos" w:hAnsi="Aptos"/>
                <w:b w:val="0"/>
                <w:sz w:val="15"/>
              </w:rPr>
              <w:t>follow_up_due_at, specialist_plan_id</w:t>
            </w:r>
          </w:p>
        </w:tc>
        <w:tc>
          <w:tcPr>
            <w:tcW w:type="dxa" w:w="6480"/>
            <w:vAlign w:val="center"/>
            <w:shd w:fill="FFFFFF"/>
          </w:tcPr>
          <w:p>
            <w:pPr>
              <w:spacing w:after="0"/>
            </w:pPr>
            <w:r/>
            <w:r>
              <w:rPr>
                <w:rFonts w:ascii="Aptos" w:hAnsi="Aptos"/>
                <w:b w:val="0"/>
                <w:sz w:val="15"/>
              </w:rPr>
              <w:t>Action tracking.</w:t>
            </w:r>
          </w:p>
        </w:tc>
      </w:tr>
    </w:tbl>
    <w:p/>
    <w:p>
      <w:pPr>
        <w:pStyle w:val="Heading2"/>
      </w:pPr>
      <w:r>
        <w:t>12.5 doppler_findings and ultrasound_actions</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17365D"/>
          </w:tcPr>
          <w:p>
            <w:pPr>
              <w:spacing w:after="0"/>
            </w:pPr>
            <w:r/>
            <w:r>
              <w:rPr>
                <w:rFonts w:ascii="Aptos" w:hAnsi="Aptos"/>
                <w:b/>
                <w:color w:val="FFFFFF"/>
                <w:sz w:val="16"/>
              </w:rPr>
              <w:t>Table / field group</w:t>
            </w:r>
          </w:p>
        </w:tc>
        <w:tc>
          <w:tcPr>
            <w:tcW w:type="dxa" w:w="7488"/>
            <w:vAlign w:val="center"/>
            <w:shd w:fill="17365D"/>
          </w:tcPr>
          <w:p>
            <w:pPr>
              <w:spacing w:after="0"/>
            </w:pPr>
            <w:r/>
            <w:r>
              <w:rPr>
                <w:rFonts w:ascii="Aptos" w:hAnsi="Aptos"/>
                <w:b/>
                <w:color w:val="FFFFFF"/>
                <w:sz w:val="16"/>
              </w:rPr>
              <w:t>Required data</w:t>
            </w:r>
          </w:p>
        </w:tc>
      </w:tr>
      <w:tr>
        <w:trPr>
          <w:cantSplit/>
        </w:trPr>
        <w:tc>
          <w:tcPr>
            <w:tcW w:type="dxa" w:w="2880"/>
            <w:vAlign w:val="center"/>
            <w:shd w:fill="FFFFFF"/>
          </w:tcPr>
          <w:p>
            <w:pPr>
              <w:spacing w:after="0"/>
            </w:pPr>
            <w:r/>
            <w:r>
              <w:rPr>
                <w:rFonts w:ascii="Aptos" w:hAnsi="Aptos"/>
                <w:b w:val="0"/>
                <w:sz w:val="15"/>
              </w:rPr>
              <w:t>doppler_findings</w:t>
            </w:r>
          </w:p>
        </w:tc>
        <w:tc>
          <w:tcPr>
            <w:tcW w:type="dxa" w:w="7488"/>
            <w:vAlign w:val="center"/>
            <w:shd w:fill="FFFFFF"/>
          </w:tcPr>
          <w:p>
            <w:pPr>
              <w:spacing w:after="0"/>
            </w:pPr>
            <w:r/>
            <w:r>
              <w:rPr>
                <w:rFonts w:ascii="Aptos" w:hAnsi="Aptos"/>
                <w:b w:val="0"/>
                <w:sz w:val="15"/>
              </w:rPr>
              <w:t>vessel, side/fetus, PI/RI/S:D values, percentile, end-diastolic-flow status, report interpretation, urgency.</w:t>
            </w:r>
          </w:p>
        </w:tc>
      </w:tr>
      <w:tr>
        <w:trPr>
          <w:cantSplit/>
        </w:trPr>
        <w:tc>
          <w:tcPr>
            <w:tcW w:type="dxa" w:w="2880"/>
            <w:vAlign w:val="center"/>
            <w:shd w:fill="F7F9FC"/>
          </w:tcPr>
          <w:p>
            <w:pPr>
              <w:spacing w:after="0"/>
            </w:pPr>
            <w:r/>
            <w:r>
              <w:rPr>
                <w:rFonts w:ascii="Aptos" w:hAnsi="Aptos"/>
                <w:b w:val="0"/>
                <w:sz w:val="15"/>
              </w:rPr>
              <w:t>ultrasound_actions</w:t>
            </w:r>
          </w:p>
        </w:tc>
        <w:tc>
          <w:tcPr>
            <w:tcW w:type="dxa" w:w="7488"/>
            <w:vAlign w:val="center"/>
            <w:shd w:fill="F7F9FC"/>
          </w:tcPr>
          <w:p>
            <w:pPr>
              <w:spacing w:after="0"/>
            </w:pPr>
            <w:r/>
            <w:r>
              <w:rPr>
                <w:rFonts w:ascii="Aptos" w:hAnsi="Aptos"/>
                <w:b w:val="0"/>
                <w:sz w:val="15"/>
              </w:rPr>
              <w:t>recommendation type, due date/time, assigned role, referral, appointment, status, completion evidence, refusal reason.</w:t>
            </w:r>
          </w:p>
        </w:tc>
      </w:tr>
      <w:tr>
        <w:trPr>
          <w:cantSplit/>
        </w:trPr>
        <w:tc>
          <w:tcPr>
            <w:tcW w:type="dxa" w:w="2880"/>
            <w:vAlign w:val="center"/>
            <w:shd w:fill="FFFFFF"/>
          </w:tcPr>
          <w:p>
            <w:pPr>
              <w:spacing w:after="0"/>
            </w:pPr>
            <w:r/>
            <w:r>
              <w:rPr>
                <w:rFonts w:ascii="Aptos" w:hAnsi="Aptos"/>
                <w:b w:val="0"/>
                <w:sz w:val="15"/>
              </w:rPr>
              <w:t>ultrasound_audit_log</w:t>
            </w:r>
          </w:p>
        </w:tc>
        <w:tc>
          <w:tcPr>
            <w:tcW w:type="dxa" w:w="7488"/>
            <w:vAlign w:val="center"/>
            <w:shd w:fill="FFFFFF"/>
          </w:tcPr>
          <w:p>
            <w:pPr>
              <w:spacing w:after="0"/>
            </w:pPr>
            <w:r/>
            <w:r>
              <w:rPr>
                <w:rFonts w:ascii="Aptos" w:hAnsi="Aptos"/>
                <w:b w:val="0"/>
                <w:sz w:val="15"/>
              </w:rPr>
              <w:t>create/verify/amend/reconcile/override/close events with actor, timestamp, old/new values, reason.</w:t>
            </w:r>
          </w:p>
        </w:tc>
      </w:tr>
    </w:tbl>
    <w:p/>
    <w:tbl>
      <w:tblPr>
        <w:tblW w:type="auto" w:w="0"/>
        <w:tblLook w:firstColumn="1" w:firstRow="1" w:lastColumn="0" w:lastRow="0" w:noHBand="0" w:noVBand="1" w:val="04A0"/>
      </w:tblPr>
      <w:tblGrid>
        <w:gridCol w:w="9994"/>
      </w:tblGrid>
      <w:tr>
        <w:trPr>
          <w:cantSplit/>
        </w:trPr>
        <w:tc>
          <w:tcPr>
            <w:tcW w:type="dxa" w:w="9994"/>
            <w:shd w:fill="EEF4FB"/>
            <w:tcBorders>
              <w:top w:val="single" w:sz="8" w:color="2F5597"/>
              <w:left w:val="single" w:sz="8" w:color="2F5597"/>
              <w:bottom w:val="single" w:sz="8" w:color="2F5597"/>
              <w:right w:val="single" w:sz="8" w:color="2F5597"/>
            </w:tcBorders>
          </w:tcPr>
          <w:p>
            <w:pPr>
              <w:pStyle w:val="Callout"/>
            </w:pPr>
            <w:r>
              <w:rPr>
                <w:b/>
                <w:color w:val="2F5597"/>
              </w:rPr>
              <w:t xml:space="preserve">Migration principle. </w:t>
            </w:r>
            <w:r>
              <w:t>Legacy fields such as presentation = “Breech,” amniotic_fluid = “Low,” or fetal_heartbeat = “Abnormal” must be migrated as unverified historical observations. They must not be treated as current confirmed diagnoses without scan date, gestation, method, report source, and clinical review.</w:t>
            </w:r>
          </w:p>
        </w:tc>
      </w:tr>
    </w:tbl>
    <w:p/>
    <w:p>
      <w:pPr>
        <w:pStyle w:val="Heading1"/>
      </w:pPr>
      <w:r>
        <w:t>13. User Interface Requirements</w:t>
      </w:r>
    </w:p>
    <w:p>
      <w:pPr>
        <w:pStyle w:val="ListBullet"/>
        <w:spacing w:after="50"/>
      </w:pPr>
      <w:r>
        <w:t>Ultrasound timeline showing every report, gestational age, facility, verification badge, key findings, recommendation, and completion status.</w:t>
      </w:r>
    </w:p>
    <w:p>
      <w:pPr>
        <w:pStyle w:val="ListBullet"/>
        <w:spacing w:after="50"/>
      </w:pPr>
      <w:r>
        <w:t>Fetus-specific tabs for multiple pregnancy.</w:t>
      </w:r>
    </w:p>
    <w:p>
      <w:pPr>
        <w:pStyle w:val="ListBullet"/>
        <w:spacing w:after="50"/>
      </w:pPr>
      <w:r>
        <w:t>Separate presentation, fluid, placenta, growth, anomaly, Doppler, and action cards.</w:t>
      </w:r>
    </w:p>
    <w:p>
      <w:pPr>
        <w:pStyle w:val="ListBullet"/>
        <w:spacing w:after="50"/>
      </w:pPr>
      <w:r>
        <w:t>Prominent internal-os distance and PAS/vasa-previa status when relevant.</w:t>
      </w:r>
    </w:p>
    <w:p>
      <w:pPr>
        <w:pStyle w:val="ListBullet"/>
        <w:spacing w:after="50"/>
      </w:pPr>
      <w:r>
        <w:t>Visual distinction between “reported normal,” “not assessed,” “uncertain,” “resolved,” and “missing.”</w:t>
      </w:r>
    </w:p>
    <w:p>
      <w:pPr>
        <w:pStyle w:val="ListBullet"/>
        <w:spacing w:after="50"/>
      </w:pPr>
      <w:r>
        <w:t>One-click emergency referral summary with bleeding, pain, contractions, membrane status, movement, vital signs, FHR, placental diagnosis, and last report.</w:t>
      </w:r>
    </w:p>
    <w:p>
      <w:pPr>
        <w:pStyle w:val="ListBullet"/>
        <w:spacing w:after="50"/>
      </w:pPr>
      <w:r>
        <w:t>Warnings when a planned lying-in birth conflicts with placenta praevia/PAS/vasa previa, persistent malpresentation, multiple pregnancy, or specialist birth plan.</w:t>
      </w:r>
    </w:p>
    <w:p>
      <w:pPr>
        <w:pStyle w:val="ListBullet"/>
        <w:spacing w:after="50"/>
      </w:pPr>
      <w:r>
        <w:t>Override requires qualified role, reason, and audit record.</w:t>
      </w:r>
    </w:p>
    <w:p>
      <w:pPr>
        <w:pStyle w:val="ListBullet"/>
        <w:spacing w:after="50"/>
      </w:pPr>
      <w:r>
        <w:t>No user interface that invites staff to interpret an uploaded ultrasound image.</w:t>
      </w:r>
    </w:p>
    <w:p>
      <w:pPr>
        <w:pStyle w:val="ListBullet"/>
        <w:spacing w:after="50"/>
      </w:pPr>
      <w:r>
        <w:t>Patient-facing explanation in plain language, with no unsupported certainty or prognosis.</w:t>
      </w:r>
    </w:p>
    <w:p>
      <w:pPr>
        <w:pStyle w:val="Heading1"/>
      </w:pPr>
      <w:r>
        <w:t>14. Prohibited Outputs and Safety Constraints</w:t>
      </w:r>
    </w:p>
    <w:p>
      <w:pPr>
        <w:pStyle w:val="ListBullet"/>
        <w:spacing w:after="50"/>
      </w:pPr>
      <w:r>
        <w:t>Do not classify all non-cephalic presentations as automatically HIGH at all gestations.</w:t>
      </w:r>
    </w:p>
    <w:p>
      <w:pPr>
        <w:pStyle w:val="ListBullet"/>
        <w:spacing w:after="50"/>
      </w:pPr>
      <w:r>
        <w:t>Do not call fluid “low” or “high” without preserving the reported method/value or qualified impression.</w:t>
      </w:r>
    </w:p>
    <w:p>
      <w:pPr>
        <w:pStyle w:val="ListBullet"/>
        <w:spacing w:after="50"/>
      </w:pPr>
      <w:r>
        <w:t>Do not infer placenta praevia from “anterior placenta” or “low placenta” alone.</w:t>
      </w:r>
    </w:p>
    <w:p>
      <w:pPr>
        <w:pStyle w:val="ListBullet"/>
        <w:spacing w:after="50"/>
      </w:pPr>
      <w:r>
        <w:t>Do not clear placenta praevia/PAS history when a later note is incomplete.</w:t>
      </w:r>
    </w:p>
    <w:p>
      <w:pPr>
        <w:pStyle w:val="ListBullet"/>
        <w:spacing w:after="50"/>
      </w:pPr>
      <w:r>
        <w:t>Do not rule out placental abruption because ultrasound is normal.</w:t>
      </w:r>
    </w:p>
    <w:p>
      <w:pPr>
        <w:pStyle w:val="ListBullet"/>
        <w:spacing w:after="50"/>
      </w:pPr>
      <w:r>
        <w:t>Do not advise vaginal examination when placenta praevia is possible.</w:t>
      </w:r>
    </w:p>
    <w:p>
      <w:pPr>
        <w:pStyle w:val="ListBullet"/>
        <w:spacing w:after="50"/>
      </w:pPr>
      <w:r>
        <w:t>Do not diagnose PAS, vasa previa, FGR, macrosomia, fetal anomaly, or Doppler compromise from raw data or screenshots.</w:t>
      </w:r>
    </w:p>
    <w:p>
      <w:pPr>
        <w:pStyle w:val="ListBullet"/>
        <w:spacing w:after="50"/>
      </w:pPr>
      <w:r>
        <w:t>Do not autonomously choose ECV, induction, caesarean, vaginal breech birth, hospitalization, steroids, or timing of delivery.</w:t>
      </w:r>
    </w:p>
    <w:p>
      <w:pPr>
        <w:pStyle w:val="ListBullet"/>
        <w:spacing w:after="50"/>
      </w:pPr>
      <w:r>
        <w:t>Do not apply singleton rules to multiple pregnancy.</w:t>
      </w:r>
    </w:p>
    <w:p>
      <w:pPr>
        <w:pStyle w:val="ListBullet"/>
        <w:spacing w:after="50"/>
      </w:pPr>
      <w:r>
        <w:t>Do not allow a normal heart-rate entry to suppress bleeding, reduced-movement, or rupture-of-membranes pathways.</w:t>
      </w:r>
    </w:p>
    <w:p>
      <w:pPr>
        <w:pStyle w:val="ListBullet"/>
        <w:spacing w:after="50"/>
      </w:pPr>
      <w:r>
        <w:t>Do not infer “resolved” without a later qualified report.</w:t>
      </w:r>
    </w:p>
    <w:p>
      <w:pPr>
        <w:pStyle w:val="ListBullet"/>
        <w:spacing w:after="50"/>
      </w:pPr>
      <w:r>
        <w:t>Do not permit ordinary lying-in birth planning when hospital specialist delivery is required.</w:t>
      </w:r>
    </w:p>
    <w:p>
      <w:pPr>
        <w:pStyle w:val="Heading1"/>
      </w:pPr>
      <w:r>
        <w:t>15. Validation Scenarios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792"/>
            <w:vAlign w:val="center"/>
            <w:shd w:fill="17365D"/>
          </w:tcPr>
          <w:p>
            <w:pPr>
              <w:spacing w:after="0"/>
            </w:pPr>
            <w:r/>
            <w:r>
              <w:rPr>
                <w:rFonts w:ascii="Aptos" w:hAnsi="Aptos"/>
                <w:b/>
                <w:color w:val="FFFFFF"/>
                <w:sz w:val="16"/>
              </w:rPr>
              <w:t>ID</w:t>
            </w:r>
          </w:p>
        </w:tc>
        <w:tc>
          <w:tcPr>
            <w:tcW w:type="dxa" w:w="4608"/>
            <w:vAlign w:val="center"/>
            <w:shd w:fill="17365D"/>
          </w:tcPr>
          <w:p>
            <w:pPr>
              <w:spacing w:after="0"/>
            </w:pPr>
            <w:r/>
            <w:r>
              <w:rPr>
                <w:rFonts w:ascii="Aptos" w:hAnsi="Aptos"/>
                <w:b/>
                <w:color w:val="FFFFFF"/>
                <w:sz w:val="16"/>
              </w:rPr>
              <w:t>Scenario</w:t>
            </w:r>
          </w:p>
        </w:tc>
        <w:tc>
          <w:tcPr>
            <w:tcW w:type="dxa" w:w="4968"/>
            <w:vAlign w:val="center"/>
            <w:shd w:fill="17365D"/>
          </w:tcPr>
          <w:p>
            <w:pPr>
              <w:spacing w:after="0"/>
            </w:pPr>
            <w:r/>
            <w:r>
              <w:rPr>
                <w:rFonts w:ascii="Aptos" w:hAnsi="Aptos"/>
                <w:b/>
                <w:color w:val="FFFFFF"/>
                <w:sz w:val="16"/>
              </w:rPr>
              <w:t>Expected CDSS result</w:t>
            </w:r>
          </w:p>
        </w:tc>
      </w:tr>
      <w:tr>
        <w:trPr>
          <w:cantSplit/>
        </w:trPr>
        <w:tc>
          <w:tcPr>
            <w:tcW w:type="dxa" w:w="792"/>
            <w:vAlign w:val="center"/>
            <w:shd w:fill="FFFFFF"/>
          </w:tcPr>
          <w:p>
            <w:pPr>
              <w:spacing w:after="0"/>
            </w:pPr>
            <w:r/>
            <w:r>
              <w:rPr>
                <w:rFonts w:ascii="Aptos" w:hAnsi="Aptos"/>
                <w:b w:val="0"/>
                <w:sz w:val="14"/>
              </w:rPr>
              <w:t>T01</w:t>
            </w:r>
          </w:p>
        </w:tc>
        <w:tc>
          <w:tcPr>
            <w:tcW w:type="dxa" w:w="4608"/>
            <w:vAlign w:val="center"/>
            <w:shd w:fill="FFFFFF"/>
          </w:tcPr>
          <w:p>
            <w:pPr>
              <w:spacing w:after="0"/>
            </w:pPr>
            <w:r/>
            <w:r>
              <w:rPr>
                <w:rFonts w:ascii="Aptos" w:hAnsi="Aptos"/>
                <w:b w:val="0"/>
                <w:sz w:val="14"/>
              </w:rPr>
              <w:t>Breech at 28 weeks, asymptomatic singleton</w:t>
            </w:r>
          </w:p>
        </w:tc>
        <w:tc>
          <w:tcPr>
            <w:tcW w:type="dxa" w:w="4968"/>
            <w:vAlign w:val="center"/>
            <w:shd w:fill="FFFFFF"/>
          </w:tcPr>
          <w:p>
            <w:pPr>
              <w:spacing w:after="0"/>
            </w:pPr>
            <w:r/>
            <w:r>
              <w:rPr>
                <w:rFonts w:ascii="Aptos" w:hAnsi="Aptos"/>
                <w:b w:val="0"/>
                <w:sz w:val="14"/>
              </w:rPr>
              <w:t>Record and schedule reassessment; no automatic emergency/HIGH label.</w:t>
            </w:r>
          </w:p>
        </w:tc>
      </w:tr>
      <w:tr>
        <w:trPr>
          <w:cantSplit/>
        </w:trPr>
        <w:tc>
          <w:tcPr>
            <w:tcW w:type="dxa" w:w="792"/>
            <w:vAlign w:val="center"/>
            <w:shd w:fill="F7F9FC"/>
          </w:tcPr>
          <w:p>
            <w:pPr>
              <w:spacing w:after="0"/>
            </w:pPr>
            <w:r/>
            <w:r>
              <w:rPr>
                <w:rFonts w:ascii="Aptos" w:hAnsi="Aptos"/>
                <w:b w:val="0"/>
                <w:sz w:val="14"/>
              </w:rPr>
              <w:t>T02</w:t>
            </w:r>
          </w:p>
        </w:tc>
        <w:tc>
          <w:tcPr>
            <w:tcW w:type="dxa" w:w="4608"/>
            <w:vAlign w:val="center"/>
            <w:shd w:fill="F7F9FC"/>
          </w:tcPr>
          <w:p>
            <w:pPr>
              <w:spacing w:after="0"/>
            </w:pPr>
            <w:r/>
            <w:r>
              <w:rPr>
                <w:rFonts w:ascii="Aptos" w:hAnsi="Aptos"/>
                <w:b w:val="0"/>
                <w:sz w:val="14"/>
              </w:rPr>
              <w:t>Suspected breech by palpation at 36+2</w:t>
            </w:r>
          </w:p>
        </w:tc>
        <w:tc>
          <w:tcPr>
            <w:tcW w:type="dxa" w:w="4968"/>
            <w:vAlign w:val="center"/>
            <w:shd w:fill="F7F9FC"/>
          </w:tcPr>
          <w:p>
            <w:pPr>
              <w:spacing w:after="0"/>
            </w:pPr>
            <w:r/>
            <w:r>
              <w:rPr>
                <w:rFonts w:ascii="Aptos" w:hAnsi="Aptos"/>
                <w:b w:val="0"/>
                <w:sz w:val="14"/>
              </w:rPr>
              <w:t>Prompt ultrasound confirmation.</w:t>
            </w:r>
          </w:p>
        </w:tc>
      </w:tr>
      <w:tr>
        <w:trPr>
          <w:cantSplit/>
        </w:trPr>
        <w:tc>
          <w:tcPr>
            <w:tcW w:type="dxa" w:w="792"/>
            <w:vAlign w:val="center"/>
            <w:shd w:fill="FFFFFF"/>
          </w:tcPr>
          <w:p>
            <w:pPr>
              <w:spacing w:after="0"/>
            </w:pPr>
            <w:r/>
            <w:r>
              <w:rPr>
                <w:rFonts w:ascii="Aptos" w:hAnsi="Aptos"/>
                <w:b w:val="0"/>
                <w:sz w:val="14"/>
              </w:rPr>
              <w:t>T03</w:t>
            </w:r>
          </w:p>
        </w:tc>
        <w:tc>
          <w:tcPr>
            <w:tcW w:type="dxa" w:w="4608"/>
            <w:vAlign w:val="center"/>
            <w:shd w:fill="FFFFFF"/>
          </w:tcPr>
          <w:p>
            <w:pPr>
              <w:spacing w:after="0"/>
            </w:pPr>
            <w:r/>
            <w:r>
              <w:rPr>
                <w:rFonts w:ascii="Aptos" w:hAnsi="Aptos"/>
                <w:b w:val="0"/>
                <w:sz w:val="14"/>
              </w:rPr>
              <w:t>Confirmed frank breech at 37 weeks</w:t>
            </w:r>
          </w:p>
        </w:tc>
        <w:tc>
          <w:tcPr>
            <w:tcW w:type="dxa" w:w="4968"/>
            <w:vAlign w:val="center"/>
            <w:shd w:fill="FFFFFF"/>
          </w:tcPr>
          <w:p>
            <w:pPr>
              <w:spacing w:after="0"/>
            </w:pPr>
            <w:r/>
            <w:r>
              <w:rPr>
                <w:rFonts w:ascii="Aptos" w:hAnsi="Aptos"/>
                <w:b w:val="0"/>
                <w:sz w:val="14"/>
              </w:rPr>
              <w:t>Hospital options counseling referral; no autonomous mode-of-birth decision.</w:t>
            </w:r>
          </w:p>
        </w:tc>
      </w:tr>
      <w:tr>
        <w:trPr>
          <w:cantSplit/>
        </w:trPr>
        <w:tc>
          <w:tcPr>
            <w:tcW w:type="dxa" w:w="792"/>
            <w:vAlign w:val="center"/>
            <w:shd w:fill="F7F9FC"/>
          </w:tcPr>
          <w:p>
            <w:pPr>
              <w:spacing w:after="0"/>
            </w:pPr>
            <w:r/>
            <w:r>
              <w:rPr>
                <w:rFonts w:ascii="Aptos" w:hAnsi="Aptos"/>
                <w:b w:val="0"/>
                <w:sz w:val="14"/>
              </w:rPr>
              <w:t>T04</w:t>
            </w:r>
          </w:p>
        </w:tc>
        <w:tc>
          <w:tcPr>
            <w:tcW w:type="dxa" w:w="4608"/>
            <w:vAlign w:val="center"/>
            <w:shd w:fill="F7F9FC"/>
          </w:tcPr>
          <w:p>
            <w:pPr>
              <w:spacing w:after="0"/>
            </w:pPr>
            <w:r/>
            <w:r>
              <w:rPr>
                <w:rFonts w:ascii="Aptos" w:hAnsi="Aptos"/>
                <w:b w:val="0"/>
                <w:sz w:val="14"/>
              </w:rPr>
              <w:t>Transverse lie at 38 weeks with contractions</w:t>
            </w:r>
          </w:p>
        </w:tc>
        <w:tc>
          <w:tcPr>
            <w:tcW w:type="dxa" w:w="4968"/>
            <w:vAlign w:val="center"/>
            <w:shd w:fill="F7F9FC"/>
          </w:tcPr>
          <w:p>
            <w:pPr>
              <w:spacing w:after="0"/>
            </w:pPr>
            <w:r/>
            <w:r>
              <w:rPr>
                <w:rFonts w:ascii="Aptos" w:hAnsi="Aptos"/>
                <w:b w:val="0"/>
                <w:sz w:val="14"/>
              </w:rPr>
              <w:t>Emergency transfer.</w:t>
            </w:r>
          </w:p>
        </w:tc>
      </w:tr>
      <w:tr>
        <w:trPr>
          <w:cantSplit/>
        </w:trPr>
        <w:tc>
          <w:tcPr>
            <w:tcW w:type="dxa" w:w="792"/>
            <w:vAlign w:val="center"/>
            <w:shd w:fill="FFFFFF"/>
          </w:tcPr>
          <w:p>
            <w:pPr>
              <w:spacing w:after="0"/>
            </w:pPr>
            <w:r/>
            <w:r>
              <w:rPr>
                <w:rFonts w:ascii="Aptos" w:hAnsi="Aptos"/>
                <w:b w:val="0"/>
                <w:sz w:val="14"/>
              </w:rPr>
              <w:t>T05</w:t>
            </w:r>
          </w:p>
        </w:tc>
        <w:tc>
          <w:tcPr>
            <w:tcW w:type="dxa" w:w="4608"/>
            <w:vAlign w:val="center"/>
            <w:shd w:fill="FFFFFF"/>
          </w:tcPr>
          <w:p>
            <w:pPr>
              <w:spacing w:after="0"/>
            </w:pPr>
            <w:r/>
            <w:r>
              <w:rPr>
                <w:rFonts w:ascii="Aptos" w:hAnsi="Aptos"/>
                <w:b w:val="0"/>
                <w:sz w:val="14"/>
              </w:rPr>
              <w:t>DVP 1.5 cm in signed report</w:t>
            </w:r>
          </w:p>
        </w:tc>
        <w:tc>
          <w:tcPr>
            <w:tcW w:type="dxa" w:w="4968"/>
            <w:vAlign w:val="center"/>
            <w:shd w:fill="FFFFFF"/>
          </w:tcPr>
          <w:p>
            <w:pPr>
              <w:spacing w:after="0"/>
            </w:pPr>
            <w:r/>
            <w:r>
              <w:rPr>
                <w:rFonts w:ascii="Aptos" w:hAnsi="Aptos"/>
                <w:b w:val="0"/>
                <w:sz w:val="14"/>
              </w:rPr>
              <w:t>Urgent oligohydramnios pathway with growth/membrane/BP context.</w:t>
            </w:r>
          </w:p>
        </w:tc>
      </w:tr>
      <w:tr>
        <w:trPr>
          <w:cantSplit/>
        </w:trPr>
        <w:tc>
          <w:tcPr>
            <w:tcW w:type="dxa" w:w="792"/>
            <w:vAlign w:val="center"/>
            <w:shd w:fill="F7F9FC"/>
          </w:tcPr>
          <w:p>
            <w:pPr>
              <w:spacing w:after="0"/>
            </w:pPr>
            <w:r/>
            <w:r>
              <w:rPr>
                <w:rFonts w:ascii="Aptos" w:hAnsi="Aptos"/>
                <w:b w:val="0"/>
                <w:sz w:val="14"/>
              </w:rPr>
              <w:t>T06</w:t>
            </w:r>
          </w:p>
        </w:tc>
        <w:tc>
          <w:tcPr>
            <w:tcW w:type="dxa" w:w="4608"/>
            <w:vAlign w:val="center"/>
            <w:shd w:fill="F7F9FC"/>
          </w:tcPr>
          <w:p>
            <w:pPr>
              <w:spacing w:after="0"/>
            </w:pPr>
            <w:r/>
            <w:r>
              <w:rPr>
                <w:rFonts w:ascii="Aptos" w:hAnsi="Aptos"/>
                <w:b w:val="0"/>
                <w:sz w:val="14"/>
              </w:rPr>
              <w:t>AFI 25 cm, no DVP</w:t>
            </w:r>
          </w:p>
        </w:tc>
        <w:tc>
          <w:tcPr>
            <w:tcW w:type="dxa" w:w="4968"/>
            <w:vAlign w:val="center"/>
            <w:shd w:fill="F7F9FC"/>
          </w:tcPr>
          <w:p>
            <w:pPr>
              <w:spacing w:after="0"/>
            </w:pPr>
            <w:r/>
            <w:r>
              <w:rPr>
                <w:rFonts w:ascii="Aptos" w:hAnsi="Aptos"/>
                <w:b w:val="0"/>
                <w:sz w:val="14"/>
              </w:rPr>
              <w:t>Polyhydramnios pathway using AFI threshold; preserve method.</w:t>
            </w:r>
          </w:p>
        </w:tc>
      </w:tr>
      <w:tr>
        <w:trPr>
          <w:cantSplit/>
        </w:trPr>
        <w:tc>
          <w:tcPr>
            <w:tcW w:type="dxa" w:w="792"/>
            <w:vAlign w:val="center"/>
            <w:shd w:fill="FFFFFF"/>
          </w:tcPr>
          <w:p>
            <w:pPr>
              <w:spacing w:after="0"/>
            </w:pPr>
            <w:r/>
            <w:r>
              <w:rPr>
                <w:rFonts w:ascii="Aptos" w:hAnsi="Aptos"/>
                <w:b w:val="0"/>
                <w:sz w:val="14"/>
              </w:rPr>
              <w:t>T07</w:t>
            </w:r>
          </w:p>
        </w:tc>
        <w:tc>
          <w:tcPr>
            <w:tcW w:type="dxa" w:w="4608"/>
            <w:vAlign w:val="center"/>
            <w:shd w:fill="FFFFFF"/>
          </w:tcPr>
          <w:p>
            <w:pPr>
              <w:spacing w:after="0"/>
            </w:pPr>
            <w:r/>
            <w:r>
              <w:rPr>
                <w:rFonts w:ascii="Aptos" w:hAnsi="Aptos"/>
                <w:b w:val="0"/>
                <w:sz w:val="14"/>
              </w:rPr>
              <w:t>DVP 9 cm and diabetes</w:t>
            </w:r>
          </w:p>
        </w:tc>
        <w:tc>
          <w:tcPr>
            <w:tcW w:type="dxa" w:w="4968"/>
            <w:vAlign w:val="center"/>
            <w:shd w:fill="FFFFFF"/>
          </w:tcPr>
          <w:p>
            <w:pPr>
              <w:spacing w:after="0"/>
            </w:pPr>
            <w:r/>
            <w:r>
              <w:rPr>
                <w:rFonts w:ascii="Aptos" w:hAnsi="Aptos"/>
                <w:b w:val="0"/>
                <w:sz w:val="14"/>
              </w:rPr>
              <w:t>Mild polyhydramnios context plus diabetes review.</w:t>
            </w:r>
          </w:p>
        </w:tc>
      </w:tr>
      <w:tr>
        <w:trPr>
          <w:cantSplit/>
        </w:trPr>
        <w:tc>
          <w:tcPr>
            <w:tcW w:type="dxa" w:w="792"/>
            <w:vAlign w:val="center"/>
            <w:shd w:fill="F7F9FC"/>
          </w:tcPr>
          <w:p>
            <w:pPr>
              <w:spacing w:after="0"/>
            </w:pPr>
            <w:r/>
            <w:r>
              <w:rPr>
                <w:rFonts w:ascii="Aptos" w:hAnsi="Aptos"/>
                <w:b w:val="0"/>
                <w:sz w:val="14"/>
              </w:rPr>
              <w:t>T08</w:t>
            </w:r>
          </w:p>
        </w:tc>
        <w:tc>
          <w:tcPr>
            <w:tcW w:type="dxa" w:w="4608"/>
            <w:vAlign w:val="center"/>
            <w:shd w:fill="F7F9FC"/>
          </w:tcPr>
          <w:p>
            <w:pPr>
              <w:spacing w:after="0"/>
            </w:pPr>
            <w:r/>
            <w:r>
              <w:rPr>
                <w:rFonts w:ascii="Aptos" w:hAnsi="Aptos"/>
                <w:b w:val="0"/>
                <w:sz w:val="14"/>
              </w:rPr>
              <w:t>Free text “fluid low,” no report/value</w:t>
            </w:r>
          </w:p>
        </w:tc>
        <w:tc>
          <w:tcPr>
            <w:tcW w:type="dxa" w:w="4968"/>
            <w:vAlign w:val="center"/>
            <w:shd w:fill="F7F9FC"/>
          </w:tcPr>
          <w:p>
            <w:pPr>
              <w:spacing w:after="0"/>
            </w:pPr>
            <w:r/>
            <w:r>
              <w:rPr>
                <w:rFonts w:ascii="Aptos" w:hAnsi="Aptos"/>
                <w:b w:val="0"/>
                <w:sz w:val="14"/>
              </w:rPr>
              <w:t>Mark unverified/incomplete; request report.</w:t>
            </w:r>
          </w:p>
        </w:tc>
      </w:tr>
      <w:tr>
        <w:trPr>
          <w:cantSplit/>
        </w:trPr>
        <w:tc>
          <w:tcPr>
            <w:tcW w:type="dxa" w:w="792"/>
            <w:vAlign w:val="center"/>
            <w:shd w:fill="FFFFFF"/>
          </w:tcPr>
          <w:p>
            <w:pPr>
              <w:spacing w:after="0"/>
            </w:pPr>
            <w:r/>
            <w:r>
              <w:rPr>
                <w:rFonts w:ascii="Aptos" w:hAnsi="Aptos"/>
                <w:b w:val="0"/>
                <w:sz w:val="14"/>
              </w:rPr>
              <w:t>T09</w:t>
            </w:r>
          </w:p>
        </w:tc>
        <w:tc>
          <w:tcPr>
            <w:tcW w:type="dxa" w:w="4608"/>
            <w:vAlign w:val="center"/>
            <w:shd w:fill="FFFFFF"/>
          </w:tcPr>
          <w:p>
            <w:pPr>
              <w:spacing w:after="0"/>
            </w:pPr>
            <w:r/>
            <w:r>
              <w:rPr>
                <w:rFonts w:ascii="Aptos" w:hAnsi="Aptos"/>
                <w:b w:val="0"/>
                <w:sz w:val="14"/>
              </w:rPr>
              <w:t>Anterior placenta only</w:t>
            </w:r>
          </w:p>
        </w:tc>
        <w:tc>
          <w:tcPr>
            <w:tcW w:type="dxa" w:w="4968"/>
            <w:vAlign w:val="center"/>
            <w:shd w:fill="FFFFFF"/>
          </w:tcPr>
          <w:p>
            <w:pPr>
              <w:spacing w:after="0"/>
            </w:pPr>
            <w:r/>
            <w:r>
              <w:rPr>
                <w:rFonts w:ascii="Aptos" w:hAnsi="Aptos"/>
                <w:b w:val="0"/>
                <w:sz w:val="14"/>
              </w:rPr>
              <w:t>No automatic risk classification.</w:t>
            </w:r>
          </w:p>
        </w:tc>
      </w:tr>
      <w:tr>
        <w:trPr>
          <w:cantSplit/>
        </w:trPr>
        <w:tc>
          <w:tcPr>
            <w:tcW w:type="dxa" w:w="792"/>
            <w:vAlign w:val="center"/>
            <w:shd w:fill="F7F9FC"/>
          </w:tcPr>
          <w:p>
            <w:pPr>
              <w:spacing w:after="0"/>
            </w:pPr>
            <w:r/>
            <w:r>
              <w:rPr>
                <w:rFonts w:ascii="Aptos" w:hAnsi="Aptos"/>
                <w:b w:val="0"/>
                <w:sz w:val="14"/>
              </w:rPr>
              <w:t>T10</w:t>
            </w:r>
          </w:p>
        </w:tc>
        <w:tc>
          <w:tcPr>
            <w:tcW w:type="dxa" w:w="4608"/>
            <w:vAlign w:val="center"/>
            <w:shd w:fill="F7F9FC"/>
          </w:tcPr>
          <w:p>
            <w:pPr>
              <w:spacing w:after="0"/>
            </w:pPr>
            <w:r/>
            <w:r>
              <w:rPr>
                <w:rFonts w:ascii="Aptos" w:hAnsi="Aptos"/>
                <w:b w:val="0"/>
                <w:sz w:val="14"/>
              </w:rPr>
              <w:t>Placental edge 15 mm from os at 20 weeks</w:t>
            </w:r>
          </w:p>
        </w:tc>
        <w:tc>
          <w:tcPr>
            <w:tcW w:type="dxa" w:w="4968"/>
            <w:vAlign w:val="center"/>
            <w:shd w:fill="F7F9FC"/>
          </w:tcPr>
          <w:p>
            <w:pPr>
              <w:spacing w:after="0"/>
            </w:pPr>
            <w:r/>
            <w:r>
              <w:rPr>
                <w:rFonts w:ascii="Aptos" w:hAnsi="Aptos"/>
                <w:b w:val="0"/>
                <w:sz w:val="14"/>
              </w:rPr>
              <w:t>Low-lying placenta follow-up and bleeding safety plan.</w:t>
            </w:r>
          </w:p>
        </w:tc>
      </w:tr>
      <w:tr>
        <w:trPr>
          <w:cantSplit/>
        </w:trPr>
        <w:tc>
          <w:tcPr>
            <w:tcW w:type="dxa" w:w="792"/>
            <w:vAlign w:val="center"/>
            <w:shd w:fill="FFFFFF"/>
          </w:tcPr>
          <w:p>
            <w:pPr>
              <w:spacing w:after="0"/>
            </w:pPr>
            <w:r/>
            <w:r>
              <w:rPr>
                <w:rFonts w:ascii="Aptos" w:hAnsi="Aptos"/>
                <w:b w:val="0"/>
                <w:sz w:val="14"/>
              </w:rPr>
              <w:t>T11</w:t>
            </w:r>
          </w:p>
        </w:tc>
        <w:tc>
          <w:tcPr>
            <w:tcW w:type="dxa" w:w="4608"/>
            <w:vAlign w:val="center"/>
            <w:shd w:fill="FFFFFF"/>
          </w:tcPr>
          <w:p>
            <w:pPr>
              <w:spacing w:after="0"/>
            </w:pPr>
            <w:r/>
            <w:r>
              <w:rPr>
                <w:rFonts w:ascii="Aptos" w:hAnsi="Aptos"/>
                <w:b w:val="0"/>
                <w:sz w:val="14"/>
              </w:rPr>
              <w:t>Later scan documents placental clearance</w:t>
            </w:r>
          </w:p>
        </w:tc>
        <w:tc>
          <w:tcPr>
            <w:tcW w:type="dxa" w:w="4968"/>
            <w:vAlign w:val="center"/>
            <w:shd w:fill="FFFFFF"/>
          </w:tcPr>
          <w:p>
            <w:pPr>
              <w:spacing w:after="0"/>
            </w:pPr>
            <w:r/>
            <w:r>
              <w:rPr>
                <w:rFonts w:ascii="Aptos" w:hAnsi="Aptos"/>
                <w:b w:val="0"/>
                <w:sz w:val="14"/>
              </w:rPr>
              <w:t>Mark resolved while retaining history.</w:t>
            </w:r>
          </w:p>
        </w:tc>
      </w:tr>
      <w:tr>
        <w:trPr>
          <w:cantSplit/>
        </w:trPr>
        <w:tc>
          <w:tcPr>
            <w:tcW w:type="dxa" w:w="792"/>
            <w:vAlign w:val="center"/>
            <w:shd w:fill="F7F9FC"/>
          </w:tcPr>
          <w:p>
            <w:pPr>
              <w:spacing w:after="0"/>
            </w:pPr>
            <w:r/>
            <w:r>
              <w:rPr>
                <w:rFonts w:ascii="Aptos" w:hAnsi="Aptos"/>
                <w:b w:val="0"/>
                <w:sz w:val="14"/>
              </w:rPr>
              <w:t>T12</w:t>
            </w:r>
          </w:p>
        </w:tc>
        <w:tc>
          <w:tcPr>
            <w:tcW w:type="dxa" w:w="4608"/>
            <w:vAlign w:val="center"/>
            <w:shd w:fill="F7F9FC"/>
          </w:tcPr>
          <w:p>
            <w:pPr>
              <w:spacing w:after="0"/>
            </w:pPr>
            <w:r/>
            <w:r>
              <w:rPr>
                <w:rFonts w:ascii="Aptos" w:hAnsi="Aptos"/>
                <w:b w:val="0"/>
                <w:sz w:val="14"/>
              </w:rPr>
              <w:t>Placenta praevia plus previous CS</w:t>
            </w:r>
          </w:p>
        </w:tc>
        <w:tc>
          <w:tcPr>
            <w:tcW w:type="dxa" w:w="4968"/>
            <w:vAlign w:val="center"/>
            <w:shd w:fill="F7F9FC"/>
          </w:tcPr>
          <w:p>
            <w:pPr>
              <w:spacing w:after="0"/>
            </w:pPr>
            <w:r/>
            <w:r>
              <w:rPr>
                <w:rFonts w:ascii="Aptos" w:hAnsi="Aptos"/>
                <w:b w:val="0"/>
                <w:sz w:val="14"/>
              </w:rPr>
              <w:t>PAS expert-imaging and specialist-centre pathway.</w:t>
            </w:r>
          </w:p>
        </w:tc>
      </w:tr>
      <w:tr>
        <w:trPr>
          <w:cantSplit/>
        </w:trPr>
        <w:tc>
          <w:tcPr>
            <w:tcW w:type="dxa" w:w="792"/>
            <w:vAlign w:val="center"/>
            <w:shd w:fill="FFFFFF"/>
          </w:tcPr>
          <w:p>
            <w:pPr>
              <w:spacing w:after="0"/>
            </w:pPr>
            <w:r/>
            <w:r>
              <w:rPr>
                <w:rFonts w:ascii="Aptos" w:hAnsi="Aptos"/>
                <w:b w:val="0"/>
                <w:sz w:val="14"/>
              </w:rPr>
              <w:t>T13</w:t>
            </w:r>
          </w:p>
        </w:tc>
        <w:tc>
          <w:tcPr>
            <w:tcW w:type="dxa" w:w="4608"/>
            <w:vAlign w:val="center"/>
            <w:shd w:fill="FFFFFF"/>
          </w:tcPr>
          <w:p>
            <w:pPr>
              <w:spacing w:after="0"/>
            </w:pPr>
            <w:r/>
            <w:r>
              <w:rPr>
                <w:rFonts w:ascii="Aptos" w:hAnsi="Aptos"/>
                <w:b w:val="0"/>
                <w:sz w:val="14"/>
              </w:rPr>
              <w:t>Suspected PAS without previa</w:t>
            </w:r>
          </w:p>
        </w:tc>
        <w:tc>
          <w:tcPr>
            <w:tcW w:type="dxa" w:w="4968"/>
            <w:vAlign w:val="center"/>
            <w:shd w:fill="FFFFFF"/>
          </w:tcPr>
          <w:p>
            <w:pPr>
              <w:spacing w:after="0"/>
            </w:pPr>
            <w:r/>
            <w:r>
              <w:rPr>
                <w:rFonts w:ascii="Aptos" w:hAnsi="Aptos"/>
                <w:b w:val="0"/>
                <w:sz w:val="14"/>
              </w:rPr>
              <w:t>Do not dismiss; specialist referral.</w:t>
            </w:r>
          </w:p>
        </w:tc>
      </w:tr>
      <w:tr>
        <w:trPr>
          <w:cantSplit/>
        </w:trPr>
        <w:tc>
          <w:tcPr>
            <w:tcW w:type="dxa" w:w="792"/>
            <w:vAlign w:val="center"/>
            <w:shd w:fill="F7F9FC"/>
          </w:tcPr>
          <w:p>
            <w:pPr>
              <w:spacing w:after="0"/>
            </w:pPr>
            <w:r/>
            <w:r>
              <w:rPr>
                <w:rFonts w:ascii="Aptos" w:hAnsi="Aptos"/>
                <w:b w:val="0"/>
                <w:sz w:val="14"/>
              </w:rPr>
              <w:t>T14</w:t>
            </w:r>
          </w:p>
        </w:tc>
        <w:tc>
          <w:tcPr>
            <w:tcW w:type="dxa" w:w="4608"/>
            <w:vAlign w:val="center"/>
            <w:shd w:fill="F7F9FC"/>
          </w:tcPr>
          <w:p>
            <w:pPr>
              <w:spacing w:after="0"/>
            </w:pPr>
            <w:r/>
            <w:r>
              <w:rPr>
                <w:rFonts w:ascii="Aptos" w:hAnsi="Aptos"/>
                <w:b w:val="0"/>
                <w:sz w:val="14"/>
              </w:rPr>
              <w:t>Known placenta praevia plus bleeding</w:t>
            </w:r>
          </w:p>
        </w:tc>
        <w:tc>
          <w:tcPr>
            <w:tcW w:type="dxa" w:w="4968"/>
            <w:vAlign w:val="center"/>
            <w:shd w:fill="F7F9FC"/>
          </w:tcPr>
          <w:p>
            <w:pPr>
              <w:spacing w:after="0"/>
            </w:pPr>
            <w:r/>
            <w:r>
              <w:rPr>
                <w:rFonts w:ascii="Aptos" w:hAnsi="Aptos"/>
                <w:b w:val="0"/>
                <w:sz w:val="14"/>
              </w:rPr>
              <w:t>Emergency transfer.</w:t>
            </w:r>
          </w:p>
        </w:tc>
      </w:tr>
      <w:tr>
        <w:trPr>
          <w:cantSplit/>
        </w:trPr>
        <w:tc>
          <w:tcPr>
            <w:tcW w:type="dxa" w:w="792"/>
            <w:vAlign w:val="center"/>
            <w:shd w:fill="FFFFFF"/>
          </w:tcPr>
          <w:p>
            <w:pPr>
              <w:spacing w:after="0"/>
            </w:pPr>
            <w:r/>
            <w:r>
              <w:rPr>
                <w:rFonts w:ascii="Aptos" w:hAnsi="Aptos"/>
                <w:b w:val="0"/>
                <w:sz w:val="14"/>
              </w:rPr>
              <w:t>T15</w:t>
            </w:r>
          </w:p>
        </w:tc>
        <w:tc>
          <w:tcPr>
            <w:tcW w:type="dxa" w:w="4608"/>
            <w:vAlign w:val="center"/>
            <w:shd w:fill="FFFFFF"/>
          </w:tcPr>
          <w:p>
            <w:pPr>
              <w:spacing w:after="0"/>
            </w:pPr>
            <w:r/>
            <w:r>
              <w:rPr>
                <w:rFonts w:ascii="Aptos" w:hAnsi="Aptos"/>
                <w:b w:val="0"/>
                <w:sz w:val="14"/>
              </w:rPr>
              <w:t>Severe pain/tender uterus, ultrasound “normal”</w:t>
            </w:r>
          </w:p>
        </w:tc>
        <w:tc>
          <w:tcPr>
            <w:tcW w:type="dxa" w:w="4968"/>
            <w:vAlign w:val="center"/>
            <w:shd w:fill="FFFFFF"/>
          </w:tcPr>
          <w:p>
            <w:pPr>
              <w:spacing w:after="0"/>
            </w:pPr>
            <w:r/>
            <w:r>
              <w:rPr>
                <w:rFonts w:ascii="Aptos" w:hAnsi="Aptos"/>
                <w:b w:val="0"/>
                <w:sz w:val="14"/>
              </w:rPr>
              <w:t>Abruption emergency pathway remains active.</w:t>
            </w:r>
          </w:p>
        </w:tc>
      </w:tr>
      <w:tr>
        <w:trPr>
          <w:cantSplit/>
        </w:trPr>
        <w:tc>
          <w:tcPr>
            <w:tcW w:type="dxa" w:w="792"/>
            <w:vAlign w:val="center"/>
            <w:shd w:fill="F7F9FC"/>
          </w:tcPr>
          <w:p>
            <w:pPr>
              <w:spacing w:after="0"/>
            </w:pPr>
            <w:r/>
            <w:r>
              <w:rPr>
                <w:rFonts w:ascii="Aptos" w:hAnsi="Aptos"/>
                <w:b w:val="0"/>
                <w:sz w:val="14"/>
              </w:rPr>
              <w:t>T16</w:t>
            </w:r>
          </w:p>
        </w:tc>
        <w:tc>
          <w:tcPr>
            <w:tcW w:type="dxa" w:w="4608"/>
            <w:vAlign w:val="center"/>
            <w:shd w:fill="F7F9FC"/>
          </w:tcPr>
          <w:p>
            <w:pPr>
              <w:spacing w:after="0"/>
            </w:pPr>
            <w:r/>
            <w:r>
              <w:rPr>
                <w:rFonts w:ascii="Aptos" w:hAnsi="Aptos"/>
                <w:b w:val="0"/>
                <w:sz w:val="14"/>
              </w:rPr>
              <w:t>Confirmed vasa previa, no symptoms</w:t>
            </w:r>
          </w:p>
        </w:tc>
        <w:tc>
          <w:tcPr>
            <w:tcW w:type="dxa" w:w="4968"/>
            <w:vAlign w:val="center"/>
            <w:shd w:fill="F7F9FC"/>
          </w:tcPr>
          <w:p>
            <w:pPr>
              <w:spacing w:after="0"/>
            </w:pPr>
            <w:r/>
            <w:r>
              <w:rPr>
                <w:rFonts w:ascii="Aptos" w:hAnsi="Aptos"/>
                <w:b w:val="0"/>
                <w:sz w:val="14"/>
              </w:rPr>
              <w:t>Specialist hospital plan; ordinary lying-in plan locked.</w:t>
            </w:r>
          </w:p>
        </w:tc>
      </w:tr>
      <w:tr>
        <w:trPr>
          <w:cantSplit/>
        </w:trPr>
        <w:tc>
          <w:tcPr>
            <w:tcW w:type="dxa" w:w="792"/>
            <w:vAlign w:val="center"/>
            <w:shd w:fill="FFFFFF"/>
          </w:tcPr>
          <w:p>
            <w:pPr>
              <w:spacing w:after="0"/>
            </w:pPr>
            <w:r/>
            <w:r>
              <w:rPr>
                <w:rFonts w:ascii="Aptos" w:hAnsi="Aptos"/>
                <w:b w:val="0"/>
                <w:sz w:val="14"/>
              </w:rPr>
              <w:t>T17</w:t>
            </w:r>
          </w:p>
        </w:tc>
        <w:tc>
          <w:tcPr>
            <w:tcW w:type="dxa" w:w="4608"/>
            <w:vAlign w:val="center"/>
            <w:shd w:fill="FFFFFF"/>
          </w:tcPr>
          <w:p>
            <w:pPr>
              <w:spacing w:after="0"/>
            </w:pPr>
            <w:r/>
            <w:r>
              <w:rPr>
                <w:rFonts w:ascii="Aptos" w:hAnsi="Aptos"/>
                <w:b w:val="0"/>
                <w:sz w:val="14"/>
              </w:rPr>
              <w:t>Vasa previa plus ROM/bleeding</w:t>
            </w:r>
          </w:p>
        </w:tc>
        <w:tc>
          <w:tcPr>
            <w:tcW w:type="dxa" w:w="4968"/>
            <w:vAlign w:val="center"/>
            <w:shd w:fill="FFFFFF"/>
          </w:tcPr>
          <w:p>
            <w:pPr>
              <w:spacing w:after="0"/>
            </w:pPr>
            <w:r/>
            <w:r>
              <w:rPr>
                <w:rFonts w:ascii="Aptos" w:hAnsi="Aptos"/>
                <w:b w:val="0"/>
                <w:sz w:val="14"/>
              </w:rPr>
              <w:t>Emergency transfer.</w:t>
            </w:r>
          </w:p>
        </w:tc>
      </w:tr>
      <w:tr>
        <w:trPr>
          <w:cantSplit/>
        </w:trPr>
        <w:tc>
          <w:tcPr>
            <w:tcW w:type="dxa" w:w="792"/>
            <w:vAlign w:val="center"/>
            <w:shd w:fill="F7F9FC"/>
          </w:tcPr>
          <w:p>
            <w:pPr>
              <w:spacing w:after="0"/>
            </w:pPr>
            <w:r/>
            <w:r>
              <w:rPr>
                <w:rFonts w:ascii="Aptos" w:hAnsi="Aptos"/>
                <w:b w:val="0"/>
                <w:sz w:val="14"/>
              </w:rPr>
              <w:t>T18</w:t>
            </w:r>
          </w:p>
        </w:tc>
        <w:tc>
          <w:tcPr>
            <w:tcW w:type="dxa" w:w="4608"/>
            <w:vAlign w:val="center"/>
            <w:shd w:fill="F7F9FC"/>
          </w:tcPr>
          <w:p>
            <w:pPr>
              <w:spacing w:after="0"/>
            </w:pPr>
            <w:r/>
            <w:r>
              <w:rPr>
                <w:rFonts w:ascii="Aptos" w:hAnsi="Aptos"/>
                <w:b w:val="0"/>
                <w:sz w:val="14"/>
              </w:rPr>
              <w:t>Twin scan: fetus A cephalic, fetus B breech</w:t>
            </w:r>
          </w:p>
        </w:tc>
        <w:tc>
          <w:tcPr>
            <w:tcW w:type="dxa" w:w="4968"/>
            <w:vAlign w:val="center"/>
            <w:shd w:fill="F7F9FC"/>
          </w:tcPr>
          <w:p>
            <w:pPr>
              <w:spacing w:after="0"/>
            </w:pPr>
            <w:r/>
            <w:r>
              <w:rPr>
                <w:rFonts w:ascii="Aptos" w:hAnsi="Aptos"/>
                <w:b w:val="0"/>
                <w:sz w:val="14"/>
              </w:rPr>
              <w:t>Store fetus-specific presentation; disable singleton rules.</w:t>
            </w:r>
          </w:p>
        </w:tc>
      </w:tr>
      <w:tr>
        <w:trPr>
          <w:cantSplit/>
        </w:trPr>
        <w:tc>
          <w:tcPr>
            <w:tcW w:type="dxa" w:w="792"/>
            <w:vAlign w:val="center"/>
            <w:shd w:fill="FFFFFF"/>
          </w:tcPr>
          <w:p>
            <w:pPr>
              <w:spacing w:after="0"/>
            </w:pPr>
            <w:r/>
            <w:r>
              <w:rPr>
                <w:rFonts w:ascii="Aptos" w:hAnsi="Aptos"/>
                <w:b w:val="0"/>
                <w:sz w:val="14"/>
              </w:rPr>
              <w:t>T19</w:t>
            </w:r>
          </w:p>
        </w:tc>
        <w:tc>
          <w:tcPr>
            <w:tcW w:type="dxa" w:w="4608"/>
            <w:vAlign w:val="center"/>
            <w:shd w:fill="FFFFFF"/>
          </w:tcPr>
          <w:p>
            <w:pPr>
              <w:spacing w:after="0"/>
            </w:pPr>
            <w:r/>
            <w:r>
              <w:rPr>
                <w:rFonts w:ascii="Aptos" w:hAnsi="Aptos"/>
                <w:b w:val="0"/>
                <w:sz w:val="14"/>
              </w:rPr>
              <w:t>EFW 8th percentile in report with abnormal Doppler</w:t>
            </w:r>
          </w:p>
        </w:tc>
        <w:tc>
          <w:tcPr>
            <w:tcW w:type="dxa" w:w="4968"/>
            <w:vAlign w:val="center"/>
            <w:shd w:fill="FFFFFF"/>
          </w:tcPr>
          <w:p>
            <w:pPr>
              <w:spacing w:after="0"/>
            </w:pPr>
            <w:r/>
            <w:r>
              <w:rPr>
                <w:rFonts w:ascii="Aptos" w:hAnsi="Aptos"/>
                <w:b w:val="0"/>
                <w:sz w:val="14"/>
              </w:rPr>
              <w:t>Urgent specialist surveillance pathway.</w:t>
            </w:r>
          </w:p>
        </w:tc>
      </w:tr>
      <w:tr>
        <w:trPr>
          <w:cantSplit/>
        </w:trPr>
        <w:tc>
          <w:tcPr>
            <w:tcW w:type="dxa" w:w="792"/>
            <w:vAlign w:val="center"/>
            <w:shd w:fill="F7F9FC"/>
          </w:tcPr>
          <w:p>
            <w:pPr>
              <w:spacing w:after="0"/>
            </w:pPr>
            <w:r/>
            <w:r>
              <w:rPr>
                <w:rFonts w:ascii="Aptos" w:hAnsi="Aptos"/>
                <w:b w:val="0"/>
                <w:sz w:val="14"/>
              </w:rPr>
              <w:t>T20</w:t>
            </w:r>
          </w:p>
        </w:tc>
        <w:tc>
          <w:tcPr>
            <w:tcW w:type="dxa" w:w="4608"/>
            <w:vAlign w:val="center"/>
            <w:shd w:fill="F7F9FC"/>
          </w:tcPr>
          <w:p>
            <w:pPr>
              <w:spacing w:after="0"/>
            </w:pPr>
            <w:r/>
            <w:r>
              <w:rPr>
                <w:rFonts w:ascii="Aptos" w:hAnsi="Aptos"/>
                <w:b w:val="0"/>
                <w:sz w:val="14"/>
              </w:rPr>
              <w:t>Uploaded ultrasound image without report</w:t>
            </w:r>
          </w:p>
        </w:tc>
        <w:tc>
          <w:tcPr>
            <w:tcW w:type="dxa" w:w="4968"/>
            <w:vAlign w:val="center"/>
            <w:shd w:fill="F7F9FC"/>
          </w:tcPr>
          <w:p>
            <w:pPr>
              <w:spacing w:after="0"/>
            </w:pPr>
            <w:r/>
            <w:r>
              <w:rPr>
                <w:rFonts w:ascii="Aptos" w:hAnsi="Aptos"/>
                <w:b w:val="0"/>
                <w:sz w:val="14"/>
              </w:rPr>
              <w:t>Do not interpret; request qualified report.</w:t>
            </w:r>
          </w:p>
        </w:tc>
      </w:tr>
      <w:tr>
        <w:trPr>
          <w:cantSplit/>
        </w:trPr>
        <w:tc>
          <w:tcPr>
            <w:tcW w:type="dxa" w:w="792"/>
            <w:vAlign w:val="center"/>
            <w:shd w:fill="FFFFFF"/>
          </w:tcPr>
          <w:p>
            <w:pPr>
              <w:spacing w:after="0"/>
            </w:pPr>
            <w:r/>
            <w:r>
              <w:rPr>
                <w:rFonts w:ascii="Aptos" w:hAnsi="Aptos"/>
                <w:b w:val="0"/>
                <w:sz w:val="14"/>
              </w:rPr>
              <w:t>T21</w:t>
            </w:r>
          </w:p>
        </w:tc>
        <w:tc>
          <w:tcPr>
            <w:tcW w:type="dxa" w:w="4608"/>
            <w:vAlign w:val="center"/>
            <w:shd w:fill="FFFFFF"/>
          </w:tcPr>
          <w:p>
            <w:pPr>
              <w:spacing w:after="0"/>
            </w:pPr>
            <w:r/>
            <w:r>
              <w:rPr>
                <w:rFonts w:ascii="Aptos" w:hAnsi="Aptos"/>
                <w:b w:val="0"/>
                <w:sz w:val="14"/>
              </w:rPr>
              <w:t>Two reports conflict on placenta location</w:t>
            </w:r>
          </w:p>
        </w:tc>
        <w:tc>
          <w:tcPr>
            <w:tcW w:type="dxa" w:w="4968"/>
            <w:vAlign w:val="center"/>
            <w:shd w:fill="FFFFFF"/>
          </w:tcPr>
          <w:p>
            <w:pPr>
              <w:spacing w:after="0"/>
            </w:pPr>
            <w:r/>
            <w:r>
              <w:rPr>
                <w:rFonts w:ascii="Aptos" w:hAnsi="Aptos"/>
                <w:b w:val="0"/>
                <w:sz w:val="14"/>
              </w:rPr>
              <w:t>Show both and require reconciliation.</w:t>
            </w:r>
          </w:p>
        </w:tc>
      </w:tr>
      <w:tr>
        <w:trPr>
          <w:cantSplit/>
        </w:trPr>
        <w:tc>
          <w:tcPr>
            <w:tcW w:type="dxa" w:w="792"/>
            <w:vAlign w:val="center"/>
            <w:shd w:fill="F7F9FC"/>
          </w:tcPr>
          <w:p>
            <w:pPr>
              <w:spacing w:after="0"/>
            </w:pPr>
            <w:r/>
            <w:r>
              <w:rPr>
                <w:rFonts w:ascii="Aptos" w:hAnsi="Aptos"/>
                <w:b w:val="0"/>
                <w:sz w:val="14"/>
              </w:rPr>
              <w:t>T22</w:t>
            </w:r>
          </w:p>
        </w:tc>
        <w:tc>
          <w:tcPr>
            <w:tcW w:type="dxa" w:w="4608"/>
            <w:vAlign w:val="center"/>
            <w:shd w:fill="F7F9FC"/>
          </w:tcPr>
          <w:p>
            <w:pPr>
              <w:spacing w:after="0"/>
            </w:pPr>
            <w:r/>
            <w:r>
              <w:rPr>
                <w:rFonts w:ascii="Aptos" w:hAnsi="Aptos"/>
                <w:b w:val="0"/>
                <w:sz w:val="14"/>
              </w:rPr>
              <w:t>Legacy “Breech/High fluid” record</w:t>
            </w:r>
          </w:p>
        </w:tc>
        <w:tc>
          <w:tcPr>
            <w:tcW w:type="dxa" w:w="4968"/>
            <w:vAlign w:val="center"/>
            <w:shd w:fill="F7F9FC"/>
          </w:tcPr>
          <w:p>
            <w:pPr>
              <w:spacing w:after="0"/>
            </w:pPr>
            <w:r/>
            <w:r>
              <w:rPr>
                <w:rFonts w:ascii="Aptos" w:hAnsi="Aptos"/>
                <w:b w:val="0"/>
                <w:sz w:val="14"/>
              </w:rPr>
              <w:t>Migrate as unverified historical finding, not current diagnosis.</w:t>
            </w:r>
          </w:p>
        </w:tc>
      </w:tr>
    </w:tbl>
    <w:p/>
    <w:p>
      <w:pPr>
        <w:pStyle w:val="Heading1"/>
      </w:pPr>
      <w:r>
        <w:t>16. Implementation Requirements</w:t>
      </w:r>
    </w:p>
    <w:p>
      <w:pPr>
        <w:pStyle w:val="ListBullet"/>
        <w:spacing w:after="50"/>
      </w:pPr>
      <w:r>
        <w:t>Create a dedicated UltrasoundReport service and rules engine; do not embed clinical thresholds in Blade templates.</w:t>
      </w:r>
    </w:p>
    <w:p>
      <w:pPr>
        <w:pStyle w:val="ListBullet"/>
        <w:spacing w:after="50"/>
      </w:pPr>
      <w:r>
        <w:t>Version thresholds and guideline sources so future updates do not alter historical decisions silently.</w:t>
      </w:r>
    </w:p>
    <w:p>
      <w:pPr>
        <w:pStyle w:val="ListBullet"/>
        <w:spacing w:after="50"/>
      </w:pPr>
      <w:r>
        <w:t>Retain source documents with access controls and checksum/identity metadata.</w:t>
      </w:r>
    </w:p>
    <w:p>
      <w:pPr>
        <w:pStyle w:val="ListBullet"/>
        <w:spacing w:after="50"/>
      </w:pPr>
      <w:r>
        <w:t>Use controlled vocabulary plus free-text report excerpts.</w:t>
      </w:r>
    </w:p>
    <w:p>
      <w:pPr>
        <w:pStyle w:val="ListBullet"/>
        <w:spacing w:after="50"/>
      </w:pPr>
      <w:r>
        <w:t>Implement fetus- and sac-specific relationships for multiple pregnancy.</w:t>
      </w:r>
    </w:p>
    <w:p>
      <w:pPr>
        <w:pStyle w:val="ListBullet"/>
        <w:spacing w:after="50"/>
      </w:pPr>
      <w:r>
        <w:t>Link pregnancy dating versions from Part 8 to every scan.</w:t>
      </w:r>
    </w:p>
    <w:p>
      <w:pPr>
        <w:pStyle w:val="ListBullet"/>
        <w:spacing w:after="50"/>
      </w:pPr>
      <w:r>
        <w:t>Build reconciliation workflow for duplicate/conflicting reports.</w:t>
      </w:r>
    </w:p>
    <w:p>
      <w:pPr>
        <w:pStyle w:val="ListBullet"/>
        <w:spacing w:after="50"/>
      </w:pPr>
      <w:r>
        <w:t>Create hard safety stops for ordinary lying-in birth planning when hospital-only findings exist.</w:t>
      </w:r>
    </w:p>
    <w:p>
      <w:pPr>
        <w:pStyle w:val="ListBullet"/>
        <w:spacing w:after="50"/>
      </w:pPr>
      <w:r>
        <w:t>Create emergency referral events that remain available even if other forms are incomplete.</w:t>
      </w:r>
    </w:p>
    <w:p>
      <w:pPr>
        <w:pStyle w:val="ListBullet"/>
        <w:spacing w:after="50"/>
      </w:pPr>
      <w:r>
        <w:t>Test threshold boundaries, unit conversion, missing method, transcribed errors, duplicate scans, resolved findings, and conflicting dates.</w:t>
      </w:r>
    </w:p>
    <w:p>
      <w:pPr>
        <w:pStyle w:val="ListBullet"/>
        <w:spacing w:after="50"/>
      </w:pPr>
      <w:r>
        <w:t>Validate the final rules with local obstetricians, radiologists/sonologists, licensed midwives, referral hospitals, and written clinic policy before production.</w:t>
      </w:r>
    </w:p>
    <w:p>
      <w:pPr>
        <w:pStyle w:val="ListBullet"/>
        <w:spacing w:after="50"/>
      </w:pPr>
      <w:r>
        <w:t>Review Philippine regulatory scope and local referral agreements before enabling any ultrasound-related workflow.</w:t>
      </w:r>
    </w:p>
    <w:p>
      <w:pPr>
        <w:pStyle w:val="Heading1"/>
      </w:pPr>
      <w:r>
        <w:t>17. Final Knowledge-Base Decision</w:t>
      </w:r>
    </w:p>
    <w:tbl>
      <w:tblPr>
        <w:tblW w:type="auto" w:w="0"/>
        <w:tblLook w:firstColumn="1" w:firstRow="1" w:lastColumn="0" w:lastRow="0" w:noHBand="0" w:noVBand="1" w:val="04A0"/>
      </w:tblPr>
      <w:tblGrid>
        <w:gridCol w:w="9994"/>
      </w:tblGrid>
      <w:tr>
        <w:trPr>
          <w:cantSplit/>
        </w:trPr>
        <w:tc>
          <w:tcPr>
            <w:tcW w:type="dxa" w:w="9994"/>
            <w:shd w:fill="E2F0D9"/>
            <w:tcBorders>
              <w:top w:val="single" w:sz="8" w:color="548235"/>
              <w:left w:val="single" w:sz="8" w:color="548235"/>
              <w:bottom w:val="single" w:sz="8" w:color="548235"/>
              <w:right w:val="single" w:sz="8" w:color="548235"/>
            </w:tcBorders>
          </w:tcPr>
          <w:p>
            <w:pPr>
              <w:pStyle w:val="Callout"/>
            </w:pPr>
            <w:r>
              <w:rPr>
                <w:b/>
                <w:color w:val="548235"/>
              </w:rPr>
              <w:t xml:space="preserve">Replace categorical shortcuts with structured ultrasound evidence. </w:t>
            </w:r>
            <w:r>
              <w:t>The future CDSS should store presentation, fluid, placenta, fetal number, growth, anomalies, cord insertion, Doppler, and follow-up as dated, source-verified report data. It should recognize gestational timing and interactions, route specialist or emergency care, and prevent unsafe lying-in birth plans. It must not interpret images or make specialist obstetric decisions.</w:t>
            </w:r>
          </w:p>
        </w:tc>
      </w:tr>
    </w:tbl>
    <w:p/>
    <w:p>
      <w:r>
        <w:t>This design directly improves the current maternity system. “Breech/Transverse/Oblique,” “Low/High fluid,” and “Weak/Abnormal/Absent fetal heartbeat” can no longer function as isolated automatic risk labels. Part 10 provides the structured evidence and safety actions needed later by the Decision Engine, Interaction Matrix, Recommendation Engine, Risk Index, and Implementation Guide.</w:t>
      </w:r>
    </w:p>
    <w:p>
      <w:pPr>
        <w:pStyle w:val="Heading1"/>
      </w:pPr>
      <w:r>
        <w:t>18. Evidence Traceability</w:t>
      </w:r>
    </w:p>
    <w:tbl>
      <w:tblPr>
        <w:tblStyle w:val="TableGrid"/>
        <w:tblW w:type="auto" w:w="0"/>
        <w:jc w:val="center"/>
        <w:tblLook w:firstColumn="1" w:firstRow="1" w:lastColumn="0" w:lastRow="0" w:noHBand="0" w:noVBand="1" w:val="04A0"/>
      </w:tblPr>
      <w:tblGrid>
        <w:gridCol w:w="4997"/>
        <w:gridCol w:w="4997"/>
      </w:tblGrid>
      <w:tr>
        <w:trPr>
          <w:cantSplit/>
        </w:trPr>
        <w:tc>
          <w:tcPr>
            <w:tcW w:type="dxa" w:w="5760"/>
            <w:vAlign w:val="center"/>
            <w:shd w:fill="17365D"/>
          </w:tcPr>
          <w:p>
            <w:pPr>
              <w:spacing w:after="0"/>
            </w:pPr>
            <w:r/>
            <w:r>
              <w:rPr>
                <w:rFonts w:ascii="Aptos" w:hAnsi="Aptos"/>
                <w:b/>
                <w:color w:val="FFFFFF"/>
                <w:sz w:val="16"/>
              </w:rPr>
              <w:t>Knowledge claim</w:t>
            </w:r>
          </w:p>
        </w:tc>
        <w:tc>
          <w:tcPr>
            <w:tcW w:type="dxa" w:w="4608"/>
            <w:vAlign w:val="center"/>
            <w:shd w:fill="17365D"/>
          </w:tcPr>
          <w:p>
            <w:pPr>
              <w:spacing w:after="0"/>
            </w:pPr>
            <w:r/>
            <w:r>
              <w:rPr>
                <w:rFonts w:ascii="Aptos" w:hAnsi="Aptos"/>
                <w:b/>
                <w:color w:val="FFFFFF"/>
                <w:sz w:val="16"/>
              </w:rPr>
              <w:t>Primary authority</w:t>
            </w:r>
          </w:p>
        </w:tc>
      </w:tr>
      <w:tr>
        <w:trPr>
          <w:cantSplit/>
        </w:trPr>
        <w:tc>
          <w:tcPr>
            <w:tcW w:type="dxa" w:w="5760"/>
            <w:vAlign w:val="center"/>
            <w:shd w:fill="FFFFFF"/>
          </w:tcPr>
          <w:p>
            <w:pPr>
              <w:spacing w:after="0"/>
            </w:pPr>
            <w:r/>
            <w:r>
              <w:rPr>
                <w:rFonts w:ascii="Aptos" w:hAnsi="Aptos"/>
                <w:b w:val="0"/>
                <w:sz w:val="15"/>
              </w:rPr>
              <w:t>One ultrasound before 24 weeks for dating, anomalies, and multiple pregnancy</w:t>
            </w:r>
          </w:p>
        </w:tc>
        <w:tc>
          <w:tcPr>
            <w:tcW w:type="dxa" w:w="4608"/>
            <w:vAlign w:val="center"/>
            <w:shd w:fill="FFFFFF"/>
          </w:tcPr>
          <w:p>
            <w:pPr>
              <w:spacing w:after="0"/>
            </w:pPr>
            <w:r/>
            <w:r>
              <w:rPr>
                <w:rFonts w:ascii="Aptos" w:hAnsi="Aptos"/>
                <w:b w:val="0"/>
                <w:sz w:val="15"/>
              </w:rPr>
              <w:t>WHO 2022 ultrasound update.</w:t>
            </w:r>
          </w:p>
        </w:tc>
      </w:tr>
      <w:tr>
        <w:trPr>
          <w:cantSplit/>
        </w:trPr>
        <w:tc>
          <w:tcPr>
            <w:tcW w:type="dxa" w:w="5760"/>
            <w:vAlign w:val="center"/>
            <w:shd w:fill="F7F9FC"/>
          </w:tcPr>
          <w:p>
            <w:pPr>
              <w:spacing w:after="0"/>
            </w:pPr>
            <w:r/>
            <w:r>
              <w:rPr>
                <w:rFonts w:ascii="Aptos" w:hAnsi="Aptos"/>
                <w:b w:val="0"/>
                <w:sz w:val="15"/>
              </w:rPr>
              <w:t>Mid-trimester anomaly scan includes placental location</w:t>
            </w:r>
          </w:p>
        </w:tc>
        <w:tc>
          <w:tcPr>
            <w:tcW w:type="dxa" w:w="4608"/>
            <w:vAlign w:val="center"/>
            <w:shd w:fill="F7F9FC"/>
          </w:tcPr>
          <w:p>
            <w:pPr>
              <w:spacing w:after="0"/>
            </w:pPr>
            <w:r/>
            <w:r>
              <w:rPr>
                <w:rFonts w:ascii="Aptos" w:hAnsi="Aptos"/>
                <w:b w:val="0"/>
                <w:sz w:val="15"/>
              </w:rPr>
              <w:t>NICE NG201 1.2.15.</w:t>
            </w:r>
          </w:p>
        </w:tc>
      </w:tr>
      <w:tr>
        <w:trPr>
          <w:cantSplit/>
        </w:trPr>
        <w:tc>
          <w:tcPr>
            <w:tcW w:type="dxa" w:w="5760"/>
            <w:vAlign w:val="center"/>
            <w:shd w:fill="FFFFFF"/>
          </w:tcPr>
          <w:p>
            <w:pPr>
              <w:spacing w:after="0"/>
            </w:pPr>
            <w:r/>
            <w:r>
              <w:rPr>
                <w:rFonts w:ascii="Aptos" w:hAnsi="Aptos"/>
                <w:b w:val="0"/>
                <w:sz w:val="15"/>
              </w:rPr>
              <w:t>Palpation after 36 weeks and ultrasound confirmation of suspected breech</w:t>
            </w:r>
          </w:p>
        </w:tc>
        <w:tc>
          <w:tcPr>
            <w:tcW w:type="dxa" w:w="4608"/>
            <w:vAlign w:val="center"/>
            <w:shd w:fill="FFFFFF"/>
          </w:tcPr>
          <w:p>
            <w:pPr>
              <w:spacing w:after="0"/>
            </w:pPr>
            <w:r/>
            <w:r>
              <w:rPr>
                <w:rFonts w:ascii="Aptos" w:hAnsi="Aptos"/>
                <w:b w:val="0"/>
                <w:sz w:val="15"/>
              </w:rPr>
              <w:t>NICE NG201 1.2.36–1.2.38.</w:t>
            </w:r>
          </w:p>
        </w:tc>
      </w:tr>
      <w:tr>
        <w:trPr>
          <w:cantSplit/>
        </w:trPr>
        <w:tc>
          <w:tcPr>
            <w:tcW w:type="dxa" w:w="5760"/>
            <w:vAlign w:val="center"/>
            <w:shd w:fill="F7F9FC"/>
          </w:tcPr>
          <w:p>
            <w:pPr>
              <w:spacing w:after="0"/>
            </w:pPr>
            <w:r/>
            <w:r>
              <w:rPr>
                <w:rFonts w:ascii="Aptos" w:hAnsi="Aptos"/>
                <w:b w:val="0"/>
                <w:sz w:val="15"/>
              </w:rPr>
              <w:t>Low placenta/previa plus uterine scar requires expert PAS assessment and specialist referral if suspected</w:t>
            </w:r>
          </w:p>
        </w:tc>
        <w:tc>
          <w:tcPr>
            <w:tcW w:type="dxa" w:w="4608"/>
            <w:vAlign w:val="center"/>
            <w:shd w:fill="F7F9FC"/>
          </w:tcPr>
          <w:p>
            <w:pPr>
              <w:spacing w:after="0"/>
            </w:pPr>
            <w:r/>
            <w:r>
              <w:rPr>
                <w:rFonts w:ascii="Aptos" w:hAnsi="Aptos"/>
                <w:b w:val="0"/>
                <w:sz w:val="15"/>
              </w:rPr>
              <w:t>NICE NG192 1.2.7–1.2.10; RCOG GTG 27a (2026).</w:t>
            </w:r>
          </w:p>
        </w:tc>
      </w:tr>
      <w:tr>
        <w:trPr>
          <w:cantSplit/>
        </w:trPr>
        <w:tc>
          <w:tcPr>
            <w:tcW w:type="dxa" w:w="5760"/>
            <w:vAlign w:val="center"/>
            <w:shd w:fill="FFFFFF"/>
          </w:tcPr>
          <w:p>
            <w:pPr>
              <w:spacing w:after="0"/>
            </w:pPr>
            <w:r/>
            <w:r>
              <w:rPr>
                <w:rFonts w:ascii="Aptos" w:hAnsi="Aptos"/>
                <w:b w:val="0"/>
                <w:sz w:val="15"/>
              </w:rPr>
              <w:t>Polyhydramnios: DVP ≥8 cm or AFI ≥24 cm</w:t>
            </w:r>
          </w:p>
        </w:tc>
        <w:tc>
          <w:tcPr>
            <w:tcW w:type="dxa" w:w="4608"/>
            <w:vAlign w:val="center"/>
            <w:shd w:fill="FFFFFF"/>
          </w:tcPr>
          <w:p>
            <w:pPr>
              <w:spacing w:after="0"/>
            </w:pPr>
            <w:r/>
            <w:r>
              <w:rPr>
                <w:rFonts w:ascii="Aptos" w:hAnsi="Aptos"/>
                <w:b w:val="0"/>
                <w:sz w:val="15"/>
              </w:rPr>
              <w:t>SMFM Consult Series 46.</w:t>
            </w:r>
          </w:p>
        </w:tc>
      </w:tr>
      <w:tr>
        <w:trPr>
          <w:cantSplit/>
        </w:trPr>
        <w:tc>
          <w:tcPr>
            <w:tcW w:type="dxa" w:w="5760"/>
            <w:vAlign w:val="center"/>
            <w:shd w:fill="F7F9FC"/>
          </w:tcPr>
          <w:p>
            <w:pPr>
              <w:spacing w:after="0"/>
            </w:pPr>
            <w:r/>
            <w:r>
              <w:rPr>
                <w:rFonts w:ascii="Aptos" w:hAnsi="Aptos"/>
                <w:b w:val="0"/>
                <w:sz w:val="15"/>
              </w:rPr>
              <w:t>Oligohydramnios reference: DVP &lt;2 cm</w:t>
            </w:r>
          </w:p>
        </w:tc>
        <w:tc>
          <w:tcPr>
            <w:tcW w:type="dxa" w:w="4608"/>
            <w:vAlign w:val="center"/>
            <w:shd w:fill="F7F9FC"/>
          </w:tcPr>
          <w:p>
            <w:pPr>
              <w:spacing w:after="0"/>
            </w:pPr>
            <w:r/>
            <w:r>
              <w:rPr>
                <w:rFonts w:ascii="Aptos" w:hAnsi="Aptos"/>
                <w:b w:val="0"/>
                <w:sz w:val="15"/>
              </w:rPr>
              <w:t>ACOG Committee Opinion 828.</w:t>
            </w:r>
          </w:p>
        </w:tc>
      </w:tr>
      <w:tr>
        <w:trPr>
          <w:cantSplit/>
        </w:trPr>
        <w:tc>
          <w:tcPr>
            <w:tcW w:type="dxa" w:w="5760"/>
            <w:vAlign w:val="center"/>
            <w:shd w:fill="FFFFFF"/>
          </w:tcPr>
          <w:p>
            <w:pPr>
              <w:spacing w:after="0"/>
            </w:pPr>
            <w:r/>
            <w:r>
              <w:rPr>
                <w:rFonts w:ascii="Aptos" w:hAnsi="Aptos"/>
                <w:b w:val="0"/>
                <w:sz w:val="15"/>
              </w:rPr>
              <w:t>Third-trimester ultrasound documents presentation, placenta, biometry, anomalies, fluid, and Doppler</w:t>
            </w:r>
          </w:p>
        </w:tc>
        <w:tc>
          <w:tcPr>
            <w:tcW w:type="dxa" w:w="4608"/>
            <w:vAlign w:val="center"/>
            <w:shd w:fill="FFFFFF"/>
          </w:tcPr>
          <w:p>
            <w:pPr>
              <w:spacing w:after="0"/>
            </w:pPr>
            <w:r/>
            <w:r>
              <w:rPr>
                <w:rFonts w:ascii="Aptos" w:hAnsi="Aptos"/>
                <w:b w:val="0"/>
                <w:sz w:val="15"/>
              </w:rPr>
              <w:t>ISUOG third-trimester ultrasound guideline.</w:t>
            </w:r>
          </w:p>
        </w:tc>
      </w:tr>
      <w:tr>
        <w:trPr>
          <w:cantSplit/>
        </w:trPr>
        <w:tc>
          <w:tcPr>
            <w:tcW w:type="dxa" w:w="5760"/>
            <w:vAlign w:val="center"/>
            <w:shd w:fill="F7F9FC"/>
          </w:tcPr>
          <w:p>
            <w:pPr>
              <w:spacing w:after="0"/>
            </w:pPr>
            <w:r/>
            <w:r>
              <w:rPr>
                <w:rFonts w:ascii="Aptos" w:hAnsi="Aptos"/>
                <w:b w:val="0"/>
                <w:sz w:val="15"/>
              </w:rPr>
              <w:t>Vasa previa requires specialist planned care before labor/ROM</w:t>
            </w:r>
          </w:p>
        </w:tc>
        <w:tc>
          <w:tcPr>
            <w:tcW w:type="dxa" w:w="4608"/>
            <w:vAlign w:val="center"/>
            <w:shd w:fill="F7F9FC"/>
          </w:tcPr>
          <w:p>
            <w:pPr>
              <w:spacing w:after="0"/>
            </w:pPr>
            <w:r/>
            <w:r>
              <w:rPr>
                <w:rFonts w:ascii="Aptos" w:hAnsi="Aptos"/>
                <w:b w:val="0"/>
                <w:sz w:val="15"/>
              </w:rPr>
              <w:t>SMFM Consult Series 37.</w:t>
            </w:r>
          </w:p>
        </w:tc>
      </w:tr>
      <w:tr>
        <w:trPr>
          <w:cantSplit/>
        </w:trPr>
        <w:tc>
          <w:tcPr>
            <w:tcW w:type="dxa" w:w="5760"/>
            <w:vAlign w:val="center"/>
            <w:shd w:fill="FFFFFF"/>
          </w:tcPr>
          <w:p>
            <w:pPr>
              <w:spacing w:after="0"/>
            </w:pPr>
            <w:r/>
            <w:r>
              <w:rPr>
                <w:rFonts w:ascii="Aptos" w:hAnsi="Aptos"/>
                <w:b w:val="0"/>
                <w:sz w:val="15"/>
              </w:rPr>
              <w:t>Ultrasound must be medically indicated and performed by qualified professionals</w:t>
            </w:r>
          </w:p>
        </w:tc>
        <w:tc>
          <w:tcPr>
            <w:tcW w:type="dxa" w:w="4608"/>
            <w:vAlign w:val="center"/>
            <w:shd w:fill="FFFFFF"/>
          </w:tcPr>
          <w:p>
            <w:pPr>
              <w:spacing w:after="0"/>
            </w:pPr>
            <w:r/>
            <w:r>
              <w:rPr>
                <w:rFonts w:ascii="Aptos" w:hAnsi="Aptos"/>
                <w:b w:val="0"/>
                <w:sz w:val="15"/>
              </w:rPr>
              <w:t>ACOG diagnostic imaging/ultrasound guidance.</w:t>
            </w:r>
          </w:p>
        </w:tc>
      </w:tr>
    </w:tbl>
    <w:p/>
    <w:p>
      <w:pPr>
        <w:pStyle w:val="Heading1"/>
      </w:pPr>
      <w:r>
        <w:t>References</w:t>
      </w:r>
    </w:p>
    <w:p>
      <w:pPr>
        <w:spacing w:after="80"/>
        <w:ind w:left="259" w:hanging="259"/>
      </w:pPr>
      <w:r>
        <w:t>1. World Health Organization. Maternal and fetal assessment update: imaging ultrasound before 24 weeks of pregnancy. Geneva: WHO; 2022.</w:t>
      </w:r>
    </w:p>
    <w:p>
      <w:pPr>
        <w:spacing w:after="80"/>
        <w:ind w:left="259" w:hanging="259"/>
      </w:pPr>
      <w:r>
        <w:t>2. World Health Organization. WHO recommendations on antenatal care for a positive pregnancy experience. Geneva: WHO; 2016, with updates.</w:t>
      </w:r>
    </w:p>
    <w:p>
      <w:pPr>
        <w:spacing w:after="80"/>
        <w:ind w:left="259" w:hanging="259"/>
      </w:pPr>
      <w:r>
        <w:t>3. National Institute for Health and Care Excellence. Antenatal care. NICE guideline NG201. London: NICE; 2021, updated online.</w:t>
      </w:r>
    </w:p>
    <w:p>
      <w:pPr>
        <w:spacing w:after="80"/>
        <w:ind w:left="259" w:hanging="259"/>
      </w:pPr>
      <w:r>
        <w:t>4. National Institute for Health and Care Excellence. Caesarean birth. NICE guideline NG192. London: NICE; updated 2024–2025.</w:t>
      </w:r>
    </w:p>
    <w:p>
      <w:pPr>
        <w:spacing w:after="80"/>
        <w:ind w:left="259" w:hanging="259"/>
      </w:pPr>
      <w:r>
        <w:t>5. Royal College of Obstetricians and Gynaecologists. Placenta Praevia and Placenta Accreta: Diagnosis and Management. Green-top Guideline No. 27a. 5th ed. London: RCOG; 2026.</w:t>
      </w:r>
    </w:p>
    <w:p>
      <w:pPr>
        <w:spacing w:after="80"/>
        <w:ind w:left="259" w:hanging="259"/>
      </w:pPr>
      <w:r>
        <w:t>6. Royal College of Obstetricians and Gynaecologists. Management of Breech Presentation. Green-top Guideline No. 20b. London: RCOG; 2017, current online.</w:t>
      </w:r>
    </w:p>
    <w:p>
      <w:pPr>
        <w:spacing w:after="80"/>
        <w:ind w:left="259" w:hanging="259"/>
      </w:pPr>
      <w:r>
        <w:t>7. Royal College of Obstetricians and Gynaecologists. External Cephalic Version and Reducing the Incidence of Term Breech Presentation. Green-top Guideline No. 20a. London: RCOG; 2017, current online.</w:t>
      </w:r>
    </w:p>
    <w:p>
      <w:pPr>
        <w:spacing w:after="80"/>
        <w:ind w:left="259" w:hanging="259"/>
      </w:pPr>
      <w:r>
        <w:t>8. International Society of Ultrasound in Obstetrics and Gynecology. ISUOG Practice Guidelines: performance of third-trimester obstetric ultrasound scan. Ultrasound Obstet Gynecol. 2024;63:131–147.</w:t>
      </w:r>
    </w:p>
    <w:p>
      <w:pPr>
        <w:spacing w:after="80"/>
        <w:ind w:left="259" w:hanging="259"/>
      </w:pPr>
      <w:r>
        <w:t>9. International Society of Ultrasound in Obstetrics and Gynecology. ISUOG Practice Guidelines: ultrasound assessment of fetal biometry and growth. Ultrasound Obstet Gynecol. 2019;53:715–723.</w:t>
      </w:r>
    </w:p>
    <w:p>
      <w:pPr>
        <w:spacing w:after="80"/>
        <w:ind w:left="259" w:hanging="259"/>
      </w:pPr>
      <w:r>
        <w:t>10. Society for Maternal-Fetal Medicine. Consult Series #46: Evaluation and management of polyhydramnios. 2018; reaffirmed 2024.</w:t>
      </w:r>
    </w:p>
    <w:p>
      <w:pPr>
        <w:spacing w:after="80"/>
        <w:ind w:left="259" w:hanging="259"/>
      </w:pPr>
      <w:r>
        <w:t>11. American College of Obstetricians and Gynecologists. Indications for Outpatient Antenatal Fetal Surveillance. Committee Opinion No. 828. Obstet Gynecol. 2021.</w:t>
      </w:r>
    </w:p>
    <w:p>
      <w:pPr>
        <w:spacing w:after="80"/>
        <w:ind w:left="259" w:hanging="259"/>
      </w:pPr>
      <w:r>
        <w:t>12. American College of Obstetricians and Gynecologists and Society for Maternal-Fetal Medicine. Placenta Accreta Spectrum. Obstetric Care Consensus No. 7. 2018.</w:t>
      </w:r>
    </w:p>
    <w:p>
      <w:pPr>
        <w:spacing w:after="80"/>
        <w:ind w:left="259" w:hanging="259"/>
      </w:pPr>
      <w:r>
        <w:t>13. Society for Maternal-Fetal Medicine. Consult Series #37: Diagnosis and management of vasa previa. 2015; reaffirmed 2024.</w:t>
      </w:r>
    </w:p>
    <w:p>
      <w:pPr>
        <w:spacing w:after="80"/>
        <w:ind w:left="259" w:hanging="259"/>
      </w:pPr>
      <w:r>
        <w:t>14. Society for Maternal-Fetal Medicine. Consult Series #52: Diagnosis and management of fetal growth restriction. 2020; reaffirmed 2024.</w:t>
      </w:r>
    </w:p>
    <w:p>
      <w:pPr>
        <w:spacing w:after="80"/>
        <w:ind w:left="259" w:hanging="259"/>
      </w:pPr>
      <w:r>
        <w:t>15. American College of Obstetricians and Gynecologists. Ultrasound in Pregnancy. Practice Bulletin No. 175. 2016; reaffirmed 2025.</w:t>
      </w:r>
    </w:p>
    <w:p>
      <w:pPr>
        <w:spacing w:after="80"/>
        <w:ind w:left="259" w:hanging="259"/>
      </w:pPr>
      <w:r>
        <w:t>16. Republic of the Philippines. Republic Act No. 11148, Kalusugan at Nutrisyon ng Mag-Nanay Act. 2018. Used for maternal-care system context, not detailed ultrasound thresholds.</w:t>
      </w:r>
    </w:p>
    <w:p>
      <w:pPr>
        <w:spacing w:after="80"/>
        <w:ind w:left="259" w:hanging="259"/>
      </w:pPr>
      <w:r>
        <w:t>17. Department of Health, Philippines. Applicable maternal, newborn, referral, licensing, and emergency-transfer policies must be incorporated during local validation. A complete public Philippine national decision table for all Part 10 findings was not identified in this review.</w:t>
      </w:r>
    </w:p>
    <w:p>
      <w:pPr>
        <w:pStyle w:val="Heading1"/>
      </w:pPr>
      <w:r>
        <w:t>Document Control</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17365D"/>
          </w:tcPr>
          <w:p>
            <w:pPr>
              <w:spacing w:after="0"/>
            </w:pPr>
            <w:r/>
            <w:r>
              <w:rPr>
                <w:rFonts w:ascii="Aptos" w:hAnsi="Aptos"/>
                <w:b/>
                <w:color w:val="FFFFFF"/>
                <w:sz w:val="16"/>
              </w:rPr>
              <w:t>Item</w:t>
            </w:r>
          </w:p>
        </w:tc>
        <w:tc>
          <w:tcPr>
            <w:tcW w:type="dxa" w:w="7488"/>
            <w:vAlign w:val="center"/>
            <w:shd w:fill="17365D"/>
          </w:tcPr>
          <w:p>
            <w:pPr>
              <w:spacing w:after="0"/>
            </w:pPr>
            <w:r/>
            <w:r>
              <w:rPr>
                <w:rFonts w:ascii="Aptos" w:hAnsi="Aptos"/>
                <w:b/>
                <w:color w:val="FFFFFF"/>
                <w:sz w:val="16"/>
              </w:rPr>
              <w:t>Value</w:t>
            </w:r>
          </w:p>
        </w:tc>
      </w:tr>
      <w:tr>
        <w:trPr>
          <w:cantSplit/>
        </w:trPr>
        <w:tc>
          <w:tcPr>
            <w:tcW w:type="dxa" w:w="2880"/>
            <w:vAlign w:val="center"/>
            <w:shd w:fill="FFFFFF"/>
          </w:tcPr>
          <w:p>
            <w:pPr>
              <w:spacing w:after="0"/>
            </w:pPr>
            <w:r/>
            <w:r>
              <w:rPr>
                <w:rFonts w:ascii="Aptos" w:hAnsi="Aptos"/>
                <w:b w:val="0"/>
                <w:sz w:val="16"/>
              </w:rPr>
              <w:t>Document</w:t>
            </w:r>
          </w:p>
        </w:tc>
        <w:tc>
          <w:tcPr>
            <w:tcW w:type="dxa" w:w="7488"/>
            <w:vAlign w:val="center"/>
            <w:shd w:fill="FFFFFF"/>
          </w:tcPr>
          <w:p>
            <w:pPr>
              <w:spacing w:after="0"/>
            </w:pPr>
            <w:r/>
            <w:r>
              <w:rPr>
                <w:rFonts w:ascii="Aptos" w:hAnsi="Aptos"/>
                <w:b w:val="0"/>
                <w:sz w:val="16"/>
              </w:rPr>
              <w:t>Document 1 – Clinical Knowledge Base</w:t>
            </w:r>
          </w:p>
        </w:tc>
      </w:tr>
      <w:tr>
        <w:trPr>
          <w:cantSplit/>
        </w:trPr>
        <w:tc>
          <w:tcPr>
            <w:tcW w:type="dxa" w:w="2880"/>
            <w:vAlign w:val="center"/>
            <w:shd w:fill="F7F9FC"/>
          </w:tcPr>
          <w:p>
            <w:pPr>
              <w:spacing w:after="0"/>
            </w:pPr>
            <w:r/>
            <w:r>
              <w:rPr>
                <w:rFonts w:ascii="Aptos" w:hAnsi="Aptos"/>
                <w:b w:val="0"/>
                <w:sz w:val="16"/>
              </w:rPr>
              <w:t>Part</w:t>
            </w:r>
          </w:p>
        </w:tc>
        <w:tc>
          <w:tcPr>
            <w:tcW w:type="dxa" w:w="7488"/>
            <w:vAlign w:val="center"/>
            <w:shd w:fill="F7F9FC"/>
          </w:tcPr>
          <w:p>
            <w:pPr>
              <w:spacing w:after="0"/>
            </w:pPr>
            <w:r/>
            <w:r>
              <w:rPr>
                <w:rFonts w:ascii="Aptos" w:hAnsi="Aptos"/>
                <w:b w:val="0"/>
                <w:sz w:val="16"/>
              </w:rPr>
              <w:t>10 – Fetal Presentation, Amniotic Fluid, Placenta, and Other Ultrasound Findings</w:t>
            </w:r>
          </w:p>
        </w:tc>
      </w:tr>
      <w:tr>
        <w:trPr>
          <w:cantSplit/>
        </w:trPr>
        <w:tc>
          <w:tcPr>
            <w:tcW w:type="dxa" w:w="2880"/>
            <w:vAlign w:val="center"/>
            <w:shd w:fill="FFFFFF"/>
          </w:tcPr>
          <w:p>
            <w:pPr>
              <w:spacing w:after="0"/>
            </w:pPr>
            <w:r/>
            <w:r>
              <w:rPr>
                <w:rFonts w:ascii="Aptos" w:hAnsi="Aptos"/>
                <w:b w:val="0"/>
                <w:sz w:val="16"/>
              </w:rPr>
              <w:t>Project context</w:t>
            </w:r>
          </w:p>
        </w:tc>
        <w:tc>
          <w:tcPr>
            <w:tcW w:type="dxa" w:w="7488"/>
            <w:vAlign w:val="center"/>
            <w:shd w:fill="FFFFFF"/>
          </w:tcPr>
          <w:p>
            <w:pPr>
              <w:spacing w:after="0"/>
            </w:pPr>
            <w:r/>
            <w:r>
              <w:rPr>
                <w:rFonts w:ascii="Aptos" w:hAnsi="Aptos"/>
                <w:b w:val="0"/>
                <w:sz w:val="16"/>
              </w:rPr>
              <w:t>Web-Based Maternity Management System / Clinical Decision Support System</w:t>
            </w:r>
          </w:p>
        </w:tc>
      </w:tr>
      <w:tr>
        <w:trPr>
          <w:cantSplit/>
        </w:trPr>
        <w:tc>
          <w:tcPr>
            <w:tcW w:type="dxa" w:w="2880"/>
            <w:vAlign w:val="center"/>
            <w:shd w:fill="F7F9FC"/>
          </w:tcPr>
          <w:p>
            <w:pPr>
              <w:spacing w:after="0"/>
            </w:pPr>
            <w:r/>
            <w:r>
              <w:rPr>
                <w:rFonts w:ascii="Aptos" w:hAnsi="Aptos"/>
                <w:b w:val="0"/>
                <w:sz w:val="16"/>
              </w:rPr>
              <w:t>Evidence status</w:t>
            </w:r>
          </w:p>
        </w:tc>
        <w:tc>
          <w:tcPr>
            <w:tcW w:type="dxa" w:w="7488"/>
            <w:vAlign w:val="center"/>
            <w:shd w:fill="F7F9FC"/>
          </w:tcPr>
          <w:p>
            <w:pPr>
              <w:spacing w:after="0"/>
            </w:pPr>
            <w:r/>
            <w:r>
              <w:rPr>
                <w:rFonts w:ascii="Aptos" w:hAnsi="Aptos"/>
                <w:b w:val="0"/>
                <w:sz w:val="16"/>
              </w:rPr>
              <w:t>Primary guideline synthesis reviewed through July 2026</w:t>
            </w:r>
          </w:p>
        </w:tc>
      </w:tr>
      <w:tr>
        <w:trPr>
          <w:cantSplit/>
        </w:trPr>
        <w:tc>
          <w:tcPr>
            <w:tcW w:type="dxa" w:w="2880"/>
            <w:vAlign w:val="center"/>
            <w:shd w:fill="FFFFFF"/>
          </w:tcPr>
          <w:p>
            <w:pPr>
              <w:spacing w:after="0"/>
            </w:pPr>
            <w:r/>
            <w:r>
              <w:rPr>
                <w:rFonts w:ascii="Aptos" w:hAnsi="Aptos"/>
                <w:b w:val="0"/>
                <w:sz w:val="16"/>
              </w:rPr>
              <w:t>Next part</w:t>
            </w:r>
          </w:p>
        </w:tc>
        <w:tc>
          <w:tcPr>
            <w:tcW w:type="dxa" w:w="7488"/>
            <w:vAlign w:val="center"/>
            <w:shd w:fill="FFFFFF"/>
          </w:tcPr>
          <w:p>
            <w:pPr>
              <w:spacing w:after="0"/>
            </w:pPr>
            <w:r/>
            <w:r>
              <w:rPr>
                <w:rFonts w:ascii="Aptos" w:hAnsi="Aptos"/>
                <w:b w:val="0"/>
                <w:sz w:val="16"/>
              </w:rPr>
              <w:t>Part 11 – Maternal Warning Symptoms and Medical-History Conditions</w:t>
            </w:r>
          </w:p>
        </w:tc>
      </w:tr>
      <w:tr>
        <w:trPr>
          <w:cantSplit/>
        </w:trPr>
        <w:tc>
          <w:tcPr>
            <w:tcW w:type="dxa" w:w="2880"/>
            <w:vAlign w:val="center"/>
            <w:shd w:fill="F7F9FC"/>
          </w:tcPr>
          <w:p>
            <w:pPr>
              <w:spacing w:after="0"/>
            </w:pPr>
            <w:r/>
            <w:r>
              <w:rPr>
                <w:rFonts w:ascii="Aptos" w:hAnsi="Aptos"/>
                <w:b w:val="0"/>
                <w:sz w:val="16"/>
              </w:rPr>
              <w:t>Clinical limitation</w:t>
            </w:r>
          </w:p>
        </w:tc>
        <w:tc>
          <w:tcPr>
            <w:tcW w:type="dxa" w:w="7488"/>
            <w:vAlign w:val="center"/>
            <w:shd w:fill="F7F9FC"/>
          </w:tcPr>
          <w:p>
            <w:pPr>
              <w:spacing w:after="0"/>
            </w:pPr>
            <w:r/>
            <w:r>
              <w:rPr>
                <w:rFonts w:ascii="Aptos" w:hAnsi="Aptos"/>
                <w:b w:val="0"/>
                <w:sz w:val="16"/>
              </w:rPr>
              <w:t>Decision support only; not an ultrasound interpretation system or substitute for obstetric/fetal-medicine assessment and local emergency/referral protocol.</w:t>
            </w:r>
          </w:p>
        </w:tc>
      </w:tr>
    </w:tbl>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Document 1 • Part 10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MATERNITY CDSS • CLINICAL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ptos" w:hAnsi="Aptos"/>
      <w:b/>
      <w:i/>
      <w:iCs/>
      <w:color w:val="2F559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60"/>
      <w:ind w:left="230" w:right="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1 – Clinical Knowledge Base, Part 10</dc:title>
  <dc:subject>Fetal presentation, amniotic fluid, placenta, and ultrasound findings for maternity CDSS</dc:subject>
  <dc:creator>Maternity CDSS Research Project</dc:creator>
  <cp:keywords>ultrasound, breech, amniotic fluid, placenta previa, placenta accreta, vasa previa, CDSS</cp:keywords>
  <dc:description>generated by python-docx</dc:description>
  <cp:lastModifiedBy/>
  <cp:revision>1</cp:revision>
  <dcterms:created xsi:type="dcterms:W3CDTF">2013-12-23T23:15:00Z</dcterms:created>
  <dcterms:modified xsi:type="dcterms:W3CDTF">2013-12-23T23:15:00Z</dcterms:modified>
  <cp:category/>
</cp:coreProperties>
</file>