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b/>
          <w:sz w:val="36"/>
        </w:rPr>
        <w:t>DOCUMENT 1</w:t>
      </w:r>
    </w:p>
    <w:p>
      <w:pPr>
        <w:jc w:val="center"/>
      </w:pPr>
      <w:r>
        <w:rPr>
          <w:b/>
          <w:sz w:val="48"/>
        </w:rPr>
        <w:t>Clinical Knowledge Base</w:t>
      </w:r>
    </w:p>
    <w:p>
      <w:pPr>
        <w:jc w:val="center"/>
      </w:pPr>
      <w:r>
        <w:rPr>
          <w:sz w:val="30"/>
        </w:rPr>
        <w:t>Part 3: Diabetes in Pregnancy</w:t>
      </w:r>
    </w:p>
    <w:p>
      <w:r>
        <w:br/>
      </w:r>
    </w:p>
    <w:p>
      <w:pPr>
        <w:jc w:val="center"/>
      </w:pPr>
      <w:r>
        <w:rPr>
          <w:sz w:val="24"/>
        </w:rPr>
        <w:t>Web-Based Maternity Management System</w:t>
        <w:br/>
        <w:t>Clinical Decision Support System Design</w:t>
      </w:r>
    </w:p>
    <w:p>
      <w:r>
        <w:br/>
        <w:br/>
      </w:r>
    </w:p>
    <w:p>
      <w:pPr>
        <w:jc w:val="center"/>
      </w:pPr>
      <w:r>
        <w:rPr>
          <w:sz w:val="20"/>
        </w:rPr>
        <w:t>Version 1.0 | July 2026</w:t>
      </w:r>
    </w:p>
    <w:p>
      <w:r>
        <w:br/>
        <w:br/>
      </w:r>
    </w:p>
    <w:tbl>
      <w:tblPr>
        <w:tblStyle w:val="TableGrid"/>
        <w:tblW w:type="auto" w:w="0"/>
        <w:tblLook w:firstColumn="1" w:firstRow="1" w:lastColumn="0" w:lastRow="0" w:noHBand="0" w:noVBand="1" w:val="04A0"/>
      </w:tblPr>
      <w:tblGrid>
        <w:gridCol w:w="9878"/>
      </w:tblGrid>
      <w:tr>
        <w:tc>
          <w:tcPr>
            <w:tcW w:type="dxa" w:w="9878"/>
            <w:shd w:fill="FFF2CC"/>
          </w:tcPr>
          <w:p>
            <w:pPr>
              <w:jc w:val="center"/>
            </w:pPr>
            <w:r>
              <w:rPr>
                <w:b/>
              </w:rPr>
              <w:t>Clinical safety statement: This chapter supports referral-oriented CDSS design. It does not diagnose diabetes, prescribe medication, replace laboratory testing, or authorize management outside a qualified healthcare professional's scope.</w:t>
            </w:r>
          </w:p>
        </w:tc>
      </w:tr>
    </w:tbl>
    <w:p>
      <w:r>
        <w:br w:type="page"/>
      </w:r>
    </w:p>
    <w:p>
      <w:pPr>
        <w:pStyle w:val="Heading1"/>
      </w:pPr>
      <w:r>
        <w:t>Document Status and Scope</w:t>
      </w:r>
    </w:p>
    <w:p>
      <w:r>
        <w:t>This is Part 3 of Document 1. It evaluates how pre-existing diabetes, diabetes first identified during pregnancy, gestational diabetes, screening information, glucose results, treatment status, and diabetes-related warning findings should be represented in a future CDSS for a Philippine lying-in clinic.</w:t>
      </w:r>
    </w:p>
    <w:p>
      <w:r>
        <w:t>The chapter is based primarily on the World Health Organization's 2025 global guideline on diabetes during pregnancy, NICE Guideline NG3, current ACOG public and clinical guidance, and applicable Philippine maternal-health and referral principles. Where a Philippine national rule could not be verified from a current official source, the limitation is stated instead of creating a rule.</w:t>
      </w:r>
    </w:p>
    <w:p>
      <w:pPr>
        <w:pStyle w:val="Heading1"/>
      </w:pPr>
      <w:r>
        <w:t>Executive Decision</w:t>
      </w:r>
    </w:p>
    <w:p>
      <w:r>
        <w:t>Diabetes in pregnancy should be included in the CDSS as a major clinical and referral-planning factor. However, the system must distinguish a confirmed diagnosis from a risk factor, a screening result, a single glucose value, and a patient-reported history. A checkbox labeled 'diabetes' is not sufficient for safe automated reasoning.</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2880"/>
            <w:shd w:fill="D9EAF7"/>
            <w:vAlign w:val="center"/>
          </w:tcPr>
          <w:p>
            <w:pPr>
              <w:pStyle w:val="TableText"/>
            </w:pPr>
            <w:r>
              <w:rPr>
                <w:b/>
              </w:rPr>
              <w:t>Clinical state</w:t>
            </w:r>
          </w:p>
        </w:tc>
        <w:tc>
          <w:tcPr>
            <w:tcW w:type="dxa" w:w="4320"/>
            <w:shd w:fill="D9EAF7"/>
            <w:vAlign w:val="center"/>
          </w:tcPr>
          <w:p>
            <w:pPr>
              <w:pStyle w:val="TableText"/>
            </w:pPr>
            <w:r>
              <w:rPr>
                <w:b/>
              </w:rPr>
              <w:t>CDSS interpretation</w:t>
            </w:r>
          </w:p>
        </w:tc>
        <w:tc>
          <w:tcPr>
            <w:tcW w:type="dxa" w:w="3744"/>
            <w:shd w:fill="D9EAF7"/>
            <w:vAlign w:val="center"/>
          </w:tcPr>
          <w:p>
            <w:pPr>
              <w:pStyle w:val="TableText"/>
            </w:pPr>
            <w:r>
              <w:rPr>
                <w:b/>
              </w:rPr>
              <w:t>Recommended action class</w:t>
            </w:r>
          </w:p>
        </w:tc>
      </w:tr>
      <w:tr>
        <w:tc>
          <w:tcPr>
            <w:tcW w:type="dxa" w:w="2880"/>
            <w:vAlign w:val="top"/>
          </w:tcPr>
          <w:p>
            <w:pPr>
              <w:pStyle w:val="TableText"/>
            </w:pPr>
            <w:r>
              <w:t>Known type 1 or type 2 diabetes before pregnancy</w:t>
            </w:r>
          </w:p>
        </w:tc>
        <w:tc>
          <w:tcPr>
            <w:tcW w:type="dxa" w:w="4320"/>
            <w:vAlign w:val="top"/>
          </w:tcPr>
          <w:p>
            <w:pPr>
              <w:pStyle w:val="TableText"/>
            </w:pPr>
            <w:r>
              <w:t>Pre-existing diabetes requiring intensified multidisciplinary antenatal care and assessment for maternal and fetal complications.</w:t>
            </w:r>
          </w:p>
        </w:tc>
        <w:tc>
          <w:tcPr>
            <w:tcW w:type="dxa" w:w="3744"/>
            <w:vAlign w:val="top"/>
          </w:tcPr>
          <w:p>
            <w:pPr>
              <w:pStyle w:val="TableText"/>
            </w:pPr>
            <w:r>
              <w:t>Recommend prompt obstetric/diabetes-team co-management and documented delivery planning; assess for urgent symptoms.</w:t>
            </w:r>
          </w:p>
        </w:tc>
      </w:tr>
      <w:tr>
        <w:tc>
          <w:tcPr>
            <w:tcW w:type="dxa" w:w="2880"/>
            <w:vAlign w:val="top"/>
          </w:tcPr>
          <w:p>
            <w:pPr>
              <w:pStyle w:val="TableText"/>
            </w:pPr>
            <w:r>
              <w:t>Confirmed gestational diabetes</w:t>
            </w:r>
          </w:p>
        </w:tc>
        <w:tc>
          <w:tcPr>
            <w:tcW w:type="dxa" w:w="4320"/>
            <w:vAlign w:val="top"/>
          </w:tcPr>
          <w:p>
            <w:pPr>
              <w:pStyle w:val="TableText"/>
            </w:pPr>
            <w:r>
              <w:t>Pregnancy complication requiring more monitoring, glucose management, fetal assessment, and postnatal follow-up.</w:t>
            </w:r>
          </w:p>
        </w:tc>
        <w:tc>
          <w:tcPr>
            <w:tcW w:type="dxa" w:w="3744"/>
            <w:vAlign w:val="top"/>
          </w:tcPr>
          <w:p>
            <w:pPr>
              <w:pStyle w:val="TableText"/>
            </w:pPr>
            <w:r>
              <w:t>Recommend specialist or joint antenatal review according to the local pathway; urgency depends on control and complications.</w:t>
            </w:r>
          </w:p>
        </w:tc>
      </w:tr>
      <w:tr>
        <w:tc>
          <w:tcPr>
            <w:tcW w:type="dxa" w:w="2880"/>
            <w:vAlign w:val="top"/>
          </w:tcPr>
          <w:p>
            <w:pPr>
              <w:pStyle w:val="TableText"/>
            </w:pPr>
            <w:r>
              <w:t>Previous gestational diabetes, not yet tested this pregnancy</w:t>
            </w:r>
          </w:p>
        </w:tc>
        <w:tc>
          <w:tcPr>
            <w:tcW w:type="dxa" w:w="4320"/>
            <w:vAlign w:val="top"/>
          </w:tcPr>
          <w:p>
            <w:pPr>
              <w:pStyle w:val="TableText"/>
            </w:pPr>
            <w:r>
              <w:t>Strong risk marker for recurrence; not a current diagnosis.</w:t>
            </w:r>
          </w:p>
        </w:tc>
        <w:tc>
          <w:tcPr>
            <w:tcW w:type="dxa" w:w="3744"/>
            <w:vAlign w:val="top"/>
          </w:tcPr>
          <w:p>
            <w:pPr>
              <w:pStyle w:val="TableText"/>
            </w:pPr>
            <w:r>
              <w:t>Prompt early testing and repeat testing at the guideline-recommended gestation if early results are normal.</w:t>
            </w:r>
          </w:p>
        </w:tc>
      </w:tr>
      <w:tr>
        <w:tc>
          <w:tcPr>
            <w:tcW w:type="dxa" w:w="2880"/>
            <w:vAlign w:val="top"/>
          </w:tcPr>
          <w:p>
            <w:pPr>
              <w:pStyle w:val="TableText"/>
            </w:pPr>
            <w:r>
              <w:t>Risk factors only</w:t>
            </w:r>
          </w:p>
        </w:tc>
        <w:tc>
          <w:tcPr>
            <w:tcW w:type="dxa" w:w="4320"/>
            <w:vAlign w:val="top"/>
          </w:tcPr>
          <w:p>
            <w:pPr>
              <w:pStyle w:val="TableText"/>
            </w:pPr>
            <w:r>
              <w:t>Indicates eligibility for screening under the selected guideline; does not mean diabetes is present.</w:t>
            </w:r>
          </w:p>
        </w:tc>
        <w:tc>
          <w:tcPr>
            <w:tcW w:type="dxa" w:w="3744"/>
            <w:vAlign w:val="top"/>
          </w:tcPr>
          <w:p>
            <w:pPr>
              <w:pStyle w:val="TableText"/>
            </w:pPr>
            <w:r>
              <w:t>Prompt testing workflow, not a HIGH or referral diagnosis.</w:t>
            </w:r>
          </w:p>
        </w:tc>
      </w:tr>
      <w:tr>
        <w:tc>
          <w:tcPr>
            <w:tcW w:type="dxa" w:w="2880"/>
            <w:vAlign w:val="top"/>
          </w:tcPr>
          <w:p>
            <w:pPr>
              <w:pStyle w:val="TableText"/>
            </w:pPr>
            <w:r>
              <w:t>Abnormal screening or isolated glucose result</w:t>
            </w:r>
          </w:p>
        </w:tc>
        <w:tc>
          <w:tcPr>
            <w:tcW w:type="dxa" w:w="4320"/>
            <w:vAlign w:val="top"/>
          </w:tcPr>
          <w:p>
            <w:pPr>
              <w:pStyle w:val="TableText"/>
            </w:pPr>
            <w:r>
              <w:t>Possible hyperglycaemia requiring confirmation and clinical interpretation.</w:t>
            </w:r>
          </w:p>
        </w:tc>
        <w:tc>
          <w:tcPr>
            <w:tcW w:type="dxa" w:w="3744"/>
            <w:vAlign w:val="top"/>
          </w:tcPr>
          <w:p>
            <w:pPr>
              <w:pStyle w:val="TableText"/>
            </w:pPr>
            <w:r>
              <w:t>Flag for confirmatory testing or qualified review; never diagnose from an unsupported value.</w:t>
            </w:r>
          </w:p>
        </w:tc>
      </w:tr>
      <w:tr>
        <w:tc>
          <w:tcPr>
            <w:tcW w:type="dxa" w:w="2880"/>
            <w:vAlign w:val="top"/>
          </w:tcPr>
          <w:p>
            <w:pPr>
              <w:pStyle w:val="TableText"/>
            </w:pPr>
            <w:r>
              <w:t>Known diabetes with severe illness, vomiting, ketones, altered consciousness, or suspected ketoacidosis</w:t>
            </w:r>
          </w:p>
        </w:tc>
        <w:tc>
          <w:tcPr>
            <w:tcW w:type="dxa" w:w="4320"/>
            <w:vAlign w:val="top"/>
          </w:tcPr>
          <w:p>
            <w:pPr>
              <w:pStyle w:val="TableText"/>
            </w:pPr>
            <w:r>
              <w:t>Potential medical emergency.</w:t>
            </w:r>
          </w:p>
        </w:tc>
        <w:tc>
          <w:tcPr>
            <w:tcW w:type="dxa" w:w="3744"/>
            <w:vAlign w:val="top"/>
          </w:tcPr>
          <w:p>
            <w:pPr>
              <w:pStyle w:val="TableText"/>
            </w:pPr>
            <w:r>
              <w:t>Emergency pathway; do not wait for a score.</w:t>
            </w:r>
          </w:p>
        </w:tc>
      </w:tr>
    </w:tbl>
    <w:p/>
    <w:p>
      <w:r>
        <w:br w:type="page"/>
      </w:r>
    </w:p>
    <w:p>
      <w:pPr>
        <w:pStyle w:val="Heading1"/>
      </w:pPr>
      <w:r>
        <w:t>1. Clinical Question</w:t>
      </w:r>
    </w:p>
    <w:p>
      <w:r>
        <w:t>Should diabetes-related information be used by a Clinical Decision Support System in a lying-in clinic to support screening, monitoring, referral, and delivery planning, and how should the system distinguish risk, suspected disease, confirmed disease, treatment control, and emergencies?</w:t>
      </w:r>
    </w:p>
    <w:p>
      <w:pPr>
        <w:pStyle w:val="Heading1"/>
      </w:pPr>
      <w:r>
        <w:t>2. Definitions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3024"/>
            <w:shd w:fill="D9EAF7"/>
            <w:vAlign w:val="center"/>
          </w:tcPr>
          <w:p>
            <w:pPr>
              <w:pStyle w:val="TableText"/>
            </w:pPr>
            <w:r>
              <w:rPr>
                <w:b/>
              </w:rPr>
              <w:t>Term</w:t>
            </w:r>
          </w:p>
        </w:tc>
        <w:tc>
          <w:tcPr>
            <w:tcW w:type="dxa" w:w="7776"/>
            <w:shd w:fill="D9EAF7"/>
            <w:vAlign w:val="center"/>
          </w:tcPr>
          <w:p>
            <w:pPr>
              <w:pStyle w:val="TableText"/>
            </w:pPr>
            <w:r>
              <w:rPr>
                <w:b/>
              </w:rPr>
              <w:t>Working definition for the knowledge base</w:t>
            </w:r>
          </w:p>
        </w:tc>
      </w:tr>
      <w:tr>
        <w:tc>
          <w:tcPr>
            <w:tcW w:type="dxa" w:w="3024"/>
            <w:vAlign w:val="top"/>
          </w:tcPr>
          <w:p>
            <w:pPr>
              <w:pStyle w:val="TableText"/>
            </w:pPr>
            <w:r>
              <w:t>Pre-existing or pregestational diabetes</w:t>
            </w:r>
          </w:p>
        </w:tc>
        <w:tc>
          <w:tcPr>
            <w:tcW w:type="dxa" w:w="7776"/>
            <w:vAlign w:val="top"/>
          </w:tcPr>
          <w:p>
            <w:pPr>
              <w:pStyle w:val="TableText"/>
            </w:pPr>
            <w:r>
              <w:t>Type 1 or type 2 diabetes known before pregnancy, or diabetes identified in pregnancy that is judged to represent overt pre-existing disease by qualified clinicians.</w:t>
            </w:r>
          </w:p>
        </w:tc>
      </w:tr>
      <w:tr>
        <w:tc>
          <w:tcPr>
            <w:tcW w:type="dxa" w:w="3024"/>
            <w:vAlign w:val="top"/>
          </w:tcPr>
          <w:p>
            <w:pPr>
              <w:pStyle w:val="TableText"/>
            </w:pPr>
            <w:r>
              <w:t>Gestational diabetes mellitus (GDM)</w:t>
            </w:r>
          </w:p>
        </w:tc>
        <w:tc>
          <w:tcPr>
            <w:tcW w:type="dxa" w:w="7776"/>
            <w:vAlign w:val="top"/>
          </w:tcPr>
          <w:p>
            <w:pPr>
              <w:pStyle w:val="TableText"/>
            </w:pPr>
            <w:r>
              <w:t>Hyperglycaemia first recognized during pregnancy that meets the diagnostic criteria adopted by the responsible clinical guideline and facility.</w:t>
            </w:r>
          </w:p>
        </w:tc>
      </w:tr>
      <w:tr>
        <w:tc>
          <w:tcPr>
            <w:tcW w:type="dxa" w:w="3024"/>
            <w:vAlign w:val="top"/>
          </w:tcPr>
          <w:p>
            <w:pPr>
              <w:pStyle w:val="TableText"/>
            </w:pPr>
            <w:r>
              <w:t>Diabetes risk factor</w:t>
            </w:r>
          </w:p>
        </w:tc>
        <w:tc>
          <w:tcPr>
            <w:tcW w:type="dxa" w:w="7776"/>
            <w:vAlign w:val="top"/>
          </w:tcPr>
          <w:p>
            <w:pPr>
              <w:pStyle w:val="TableText"/>
            </w:pPr>
            <w:r>
              <w:t>A characteristic associated with greater likelihood of GDM, such as previous GDM, obesity, family history, previous large baby, or high-prevalence ethnicity. A risk factor is not a diagnosis.</w:t>
            </w:r>
          </w:p>
        </w:tc>
      </w:tr>
      <w:tr>
        <w:tc>
          <w:tcPr>
            <w:tcW w:type="dxa" w:w="3024"/>
            <w:vAlign w:val="top"/>
          </w:tcPr>
          <w:p>
            <w:pPr>
              <w:pStyle w:val="TableText"/>
            </w:pPr>
            <w:r>
              <w:t>Screening test</w:t>
            </w:r>
          </w:p>
        </w:tc>
        <w:tc>
          <w:tcPr>
            <w:tcW w:type="dxa" w:w="7776"/>
            <w:vAlign w:val="top"/>
          </w:tcPr>
          <w:p>
            <w:pPr>
              <w:pStyle w:val="TableText"/>
            </w:pPr>
            <w:r>
              <w:t>A test used to identify who may need diagnostic testing. A positive screen does not by itself confirm GDM.</w:t>
            </w:r>
          </w:p>
        </w:tc>
      </w:tr>
      <w:tr>
        <w:tc>
          <w:tcPr>
            <w:tcW w:type="dxa" w:w="3024"/>
            <w:vAlign w:val="top"/>
          </w:tcPr>
          <w:p>
            <w:pPr>
              <w:pStyle w:val="TableText"/>
            </w:pPr>
            <w:r>
              <w:t>Diagnostic test</w:t>
            </w:r>
          </w:p>
        </w:tc>
        <w:tc>
          <w:tcPr>
            <w:tcW w:type="dxa" w:w="7776"/>
            <w:vAlign w:val="top"/>
          </w:tcPr>
          <w:p>
            <w:pPr>
              <w:pStyle w:val="TableText"/>
            </w:pPr>
            <w:r>
              <w:t>A standardized laboratory procedure interpreted using a defined guideline, such as an oral glucose tolerance test.</w:t>
            </w:r>
          </w:p>
        </w:tc>
      </w:tr>
      <w:tr>
        <w:tc>
          <w:tcPr>
            <w:tcW w:type="dxa" w:w="3024"/>
            <w:vAlign w:val="top"/>
          </w:tcPr>
          <w:p>
            <w:pPr>
              <w:pStyle w:val="TableText"/>
            </w:pPr>
            <w:r>
              <w:t>Glucose control status</w:t>
            </w:r>
          </w:p>
        </w:tc>
        <w:tc>
          <w:tcPr>
            <w:tcW w:type="dxa" w:w="7776"/>
            <w:vAlign w:val="top"/>
          </w:tcPr>
          <w:p>
            <w:pPr>
              <w:pStyle w:val="TableText"/>
            </w:pPr>
            <w:r>
              <w:t>A clinical interpretation based on a pattern of glucose readings, treatment, hypoglycaemia risk, and the care team's individualized targets, not one isolated value.</w:t>
            </w:r>
          </w:p>
        </w:tc>
      </w:tr>
      <w:tr>
        <w:tc>
          <w:tcPr>
            <w:tcW w:type="dxa" w:w="3024"/>
            <w:vAlign w:val="top"/>
          </w:tcPr>
          <w:p>
            <w:pPr>
              <w:pStyle w:val="TableText"/>
            </w:pPr>
            <w:r>
              <w:t>Diabetes emergency</w:t>
            </w:r>
          </w:p>
        </w:tc>
        <w:tc>
          <w:tcPr>
            <w:tcW w:type="dxa" w:w="7776"/>
            <w:vAlign w:val="top"/>
          </w:tcPr>
          <w:p>
            <w:pPr>
              <w:pStyle w:val="TableText"/>
            </w:pPr>
            <w:r>
              <w:t>A potentially life-threatening state such as suspected diabetic ketoacidosis or severe hypoglycaemia requiring immediate clinical response.</w:t>
            </w:r>
          </w:p>
        </w:tc>
      </w:tr>
    </w:tbl>
    <w:p/>
    <w:p>
      <w:pPr>
        <w:pStyle w:val="Heading1"/>
      </w:pPr>
      <w:r>
        <w:t>3. Why Diabetes Matters in Pregnancy</w:t>
      </w:r>
    </w:p>
    <w:p>
      <w:r>
        <w:t>WHO reports that more than 21 million pregnancies are affected by diabetes worldwide. Diabetes during pregnancy includes both pre-existing diabetes and hyperglycaemia first detected during pregnancy. WHO's 2025 guideline states that these patients require intensified treatment and monitoring. Poorly controlled diabetes is associated with serious maternal and newborn complications, including hypertensive disorders, pre-eclampsia, stillbirth, excessive fetal growth, birth injury, neonatal hypoglycaemia, and longer-term cardiometabolic risk.</w:t>
      </w:r>
    </w:p>
    <w:p>
      <w:r>
        <w:t>NICE explains that good glucose control reduces, but does not eliminate, risks such as miscarriage, congenital malformation, stillbirth, neonatal death, large-for-gestational-age birth, birth trauma, operative delivery, and neonatal hypoglycaemia. ACOG similarly describes increased monitoring needs and greater risk of large fetal size, shoulder injury, cesarean birth, hypertensive disorders, neonatal hypoglycaemia, jaundice, respiratory problems, and stillbirth.</w:t>
      </w:r>
    </w:p>
    <w:p>
      <w:pPr>
        <w:pStyle w:val="Heading1"/>
      </w:pPr>
      <w:r>
        <w:t>4. Guideline Review</w:t>
      </w:r>
    </w:p>
    <w:p>
      <w:pPr>
        <w:pStyle w:val="Heading2"/>
      </w:pPr>
      <w:r>
        <w:t>4.1 World Health Organization</w:t>
      </w:r>
    </w:p>
    <w:p>
      <w:r>
        <w:t>WHO released its first global guideline specifically addressing diabetes during pregnancy in November 2025. The guideline applies to women with type 1 diabetes, type 2 diabetes, or hyperglycaemia first identified in pregnancy and is intended for policy-makers, obstetricians, midwives, nurses, general practitioners, dietitians, diabetes educators, and maternal-health programme managers. The guideline's existence supports treating diabetes as a dedicated care pathway rather than one binary risk checkbox.</w:t>
      </w:r>
    </w:p>
    <w:p>
      <w:r>
        <w:t>The WHO guideline emphasizes individualized care, intensified monitoring, and health-system protocols. For this project, the direct design implication is that the CDSS should coordinate recognition, referral, follow-up, and documentation. It should not independently select medication or substitute for a diabetes care team.</w:t>
      </w:r>
    </w:p>
    <w:p>
      <w:pPr>
        <w:pStyle w:val="Heading2"/>
      </w:pPr>
      <w:r>
        <w:t>4.2 NICE</w:t>
      </w:r>
    </w:p>
    <w:p>
      <w:r>
        <w:t>NICE NG3 separates preconception diabetes care, GDM risk assessment, diagnostic testing, antenatal management, intrapartum care, neonatal care, and postnatal follow-up. This structure is highly relevant to the CDSS because the same word 'diabetes' represents different clinical states and different actions.</w:t>
      </w:r>
    </w:p>
    <w:p>
      <w:r>
        <w:t>For GDM risk assessment, NICE lists BMI of 30 kg/m² or more, previous macrosomic baby of 4.5 kg or more, previous GDM, first-degree family history of diabetes, and an ethnicity with high diabetes prevalence. It recommends a 75-g two-hour oral glucose tolerance test for eligible patients and earlier testing for patients with previous GDM. NICE also states that several isolated measures should not be used merely to assess the risk of developing GDM, which reinforces the need to distinguish screening eligibility from diagnosis.</w:t>
      </w:r>
    </w:p>
    <w:p>
      <w:r>
        <w:t>NICE uses its own diagnostic thresholds for the 75-g OGTT. Because international organizations use different diagnostic strategies and thresholds, this CDSS must not silently mix NICE, WHO, ACOG, or local laboratory rules. The responsible facility must select and document one approved diagnostic pathway.</w:t>
      </w:r>
    </w:p>
    <w:p>
      <w:pPr>
        <w:pStyle w:val="Heading2"/>
      </w:pPr>
      <w:r>
        <w:t>4.3 ACOG</w:t>
      </w:r>
    </w:p>
    <w:p>
      <w:r>
        <w:t>ACOG states that all pregnant patients should be screened for gestational diabetes. Patients with risk factors may be tested early; otherwise testing is usually performed between 24 and 28 weeks. ACOG distinguishes the screening process from confirmatory glucose testing and notes that GDM may occur even when no recognized risk factors are present.</w:t>
      </w:r>
    </w:p>
    <w:p>
      <w:r>
        <w:t>ACOG describes pregestational diabetes as requiring frequent monitoring and adjustment of treatment. Its clinical bulletins on GDM and pregestational diabetes remain professional guidance, while its public guidance emphasizes that patients with confirmed GDM require additional prenatal surveillance, glucose monitoring, individualized treatment, and postpartum testing.</w:t>
      </w:r>
    </w:p>
    <w:p>
      <w:pPr>
        <w:pStyle w:val="Heading2"/>
      </w:pPr>
      <w:r>
        <w:t>4.4 Philippine Applicability</w:t>
      </w:r>
    </w:p>
    <w:p>
      <w:r>
        <w:t>Philippine maternal-health law and policy require regular antenatal care, identification of high-risk pregnancy, and proper referral. These principles support referral-oriented handling of confirmed diabetes in a lying-in clinic. However, this review did not verify a single current, publicly accessible Philippine DOH document that establishes one national diagnostic glucose algorithm for direct software implementation across all lying-in clinics.</w:t>
      </w:r>
    </w:p>
    <w:p>
      <w:r>
        <w:t>Therefore, the CDSS should record the diagnostic standard used by the clinic and laboratory. Before deployment, the clinic must validate the chosen screening schedule, test method, thresholds, referral destination, and delivery-facility rules with a qualified obstetrician or the controlling local health authority.</w:t>
      </w:r>
    </w:p>
    <w:p>
      <w:pPr>
        <w:pStyle w:val="Heading1"/>
      </w:pPr>
      <w:r>
        <w:t>5. Critical Distinctions for Safe Logic</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2880"/>
            <w:shd w:fill="D9EAF7"/>
            <w:vAlign w:val="center"/>
          </w:tcPr>
          <w:p>
            <w:pPr>
              <w:pStyle w:val="TableText"/>
            </w:pPr>
            <w:r>
              <w:rPr>
                <w:b/>
              </w:rPr>
              <w:t>Do not confuse</w:t>
            </w:r>
          </w:p>
        </w:tc>
        <w:tc>
          <w:tcPr>
            <w:tcW w:type="dxa" w:w="4320"/>
            <w:shd w:fill="D9EAF7"/>
            <w:vAlign w:val="center"/>
          </w:tcPr>
          <w:p>
            <w:pPr>
              <w:pStyle w:val="TableText"/>
            </w:pPr>
            <w:r>
              <w:rPr>
                <w:b/>
              </w:rPr>
              <w:t>Why the distinction matters</w:t>
            </w:r>
          </w:p>
        </w:tc>
        <w:tc>
          <w:tcPr>
            <w:tcW w:type="dxa" w:w="3744"/>
            <w:shd w:fill="D9EAF7"/>
            <w:vAlign w:val="center"/>
          </w:tcPr>
          <w:p>
            <w:pPr>
              <w:pStyle w:val="TableText"/>
            </w:pPr>
            <w:r>
              <w:rPr>
                <w:b/>
              </w:rPr>
              <w:t>Safe system behavior</w:t>
            </w:r>
          </w:p>
        </w:tc>
      </w:tr>
      <w:tr>
        <w:tc>
          <w:tcPr>
            <w:tcW w:type="dxa" w:w="2880"/>
            <w:vAlign w:val="top"/>
          </w:tcPr>
          <w:p>
            <w:pPr>
              <w:pStyle w:val="TableText"/>
            </w:pPr>
            <w:r>
              <w:t>Risk factor vs diagnosis</w:t>
            </w:r>
          </w:p>
        </w:tc>
        <w:tc>
          <w:tcPr>
            <w:tcW w:type="dxa" w:w="4320"/>
            <w:vAlign w:val="top"/>
          </w:tcPr>
          <w:p>
            <w:pPr>
              <w:pStyle w:val="TableText"/>
            </w:pPr>
            <w:r>
              <w:t>A patient can have risk factors without diabetes, and GDM can occur without recognized risk factors.</w:t>
            </w:r>
          </w:p>
        </w:tc>
        <w:tc>
          <w:tcPr>
            <w:tcW w:type="dxa" w:w="3744"/>
            <w:vAlign w:val="top"/>
          </w:tcPr>
          <w:p>
            <w:pPr>
              <w:pStyle w:val="TableText"/>
            </w:pPr>
            <w:r>
              <w:t>Use risk factors to prompt screening, never to assign diabetes.</w:t>
            </w:r>
          </w:p>
        </w:tc>
      </w:tr>
      <w:tr>
        <w:tc>
          <w:tcPr>
            <w:tcW w:type="dxa" w:w="2880"/>
            <w:vAlign w:val="top"/>
          </w:tcPr>
          <w:p>
            <w:pPr>
              <w:pStyle w:val="TableText"/>
            </w:pPr>
            <w:r>
              <w:t>Screening result vs diagnostic result</w:t>
            </w:r>
          </w:p>
        </w:tc>
        <w:tc>
          <w:tcPr>
            <w:tcW w:type="dxa" w:w="4320"/>
            <w:vAlign w:val="top"/>
          </w:tcPr>
          <w:p>
            <w:pPr>
              <w:pStyle w:val="TableText"/>
            </w:pPr>
            <w:r>
              <w:t>A screening test identifies possible disease; a diagnostic test applies an accepted protocol.</w:t>
            </w:r>
          </w:p>
        </w:tc>
        <w:tc>
          <w:tcPr>
            <w:tcW w:type="dxa" w:w="3744"/>
            <w:vAlign w:val="top"/>
          </w:tcPr>
          <w:p>
            <w:pPr>
              <w:pStyle w:val="TableText"/>
            </w:pPr>
            <w:r>
              <w:t>Store test type, timing, sample status, and interpretation separately.</w:t>
            </w:r>
          </w:p>
        </w:tc>
      </w:tr>
      <w:tr>
        <w:tc>
          <w:tcPr>
            <w:tcW w:type="dxa" w:w="2880"/>
            <w:vAlign w:val="top"/>
          </w:tcPr>
          <w:p>
            <w:pPr>
              <w:pStyle w:val="TableText"/>
            </w:pPr>
            <w:r>
              <w:t>One glucose value vs control pattern</w:t>
            </w:r>
          </w:p>
        </w:tc>
        <w:tc>
          <w:tcPr>
            <w:tcW w:type="dxa" w:w="4320"/>
            <w:vAlign w:val="top"/>
          </w:tcPr>
          <w:p>
            <w:pPr>
              <w:pStyle w:val="TableText"/>
            </w:pPr>
            <w:r>
              <w:t>Control is based on repeated measurements, timing relative to meals, treatment, and individualized targets.</w:t>
            </w:r>
          </w:p>
        </w:tc>
        <w:tc>
          <w:tcPr>
            <w:tcW w:type="dxa" w:w="3744"/>
            <w:vAlign w:val="top"/>
          </w:tcPr>
          <w:p>
            <w:pPr>
              <w:pStyle w:val="TableText"/>
            </w:pPr>
            <w:r>
              <w:t>Do not label controlled or uncontrolled from a single unsupported number.</w:t>
            </w:r>
          </w:p>
        </w:tc>
      </w:tr>
      <w:tr>
        <w:tc>
          <w:tcPr>
            <w:tcW w:type="dxa" w:w="2880"/>
            <w:vAlign w:val="top"/>
          </w:tcPr>
          <w:p>
            <w:pPr>
              <w:pStyle w:val="TableText"/>
            </w:pPr>
            <w:r>
              <w:t>Pre-existing diabetes vs GDM</w:t>
            </w:r>
          </w:p>
        </w:tc>
        <w:tc>
          <w:tcPr>
            <w:tcW w:type="dxa" w:w="4320"/>
            <w:vAlign w:val="top"/>
          </w:tcPr>
          <w:p>
            <w:pPr>
              <w:pStyle w:val="TableText"/>
            </w:pPr>
            <w:r>
              <w:t>They differ in timing, complication assessment, treatment planning, and postnatal implications.</w:t>
            </w:r>
          </w:p>
        </w:tc>
        <w:tc>
          <w:tcPr>
            <w:tcW w:type="dxa" w:w="3744"/>
            <w:vAlign w:val="top"/>
          </w:tcPr>
          <w:p>
            <w:pPr>
              <w:pStyle w:val="TableText"/>
            </w:pPr>
            <w:r>
              <w:t>Use separate structured statuses.</w:t>
            </w:r>
          </w:p>
        </w:tc>
      </w:tr>
      <w:tr>
        <w:tc>
          <w:tcPr>
            <w:tcW w:type="dxa" w:w="2880"/>
            <w:vAlign w:val="top"/>
          </w:tcPr>
          <w:p>
            <w:pPr>
              <w:pStyle w:val="TableText"/>
            </w:pPr>
            <w:r>
              <w:t>Patient report vs clinician-confirmed record</w:t>
            </w:r>
          </w:p>
        </w:tc>
        <w:tc>
          <w:tcPr>
            <w:tcW w:type="dxa" w:w="4320"/>
            <w:vAlign w:val="top"/>
          </w:tcPr>
          <w:p>
            <w:pPr>
              <w:pStyle w:val="TableText"/>
            </w:pPr>
            <w:r>
              <w:t>A patient may report diabetes without accessible documentation, or records may be incomplete.</w:t>
            </w:r>
          </w:p>
        </w:tc>
        <w:tc>
          <w:tcPr>
            <w:tcW w:type="dxa" w:w="3744"/>
            <w:vAlign w:val="top"/>
          </w:tcPr>
          <w:p>
            <w:pPr>
              <w:pStyle w:val="TableText"/>
            </w:pPr>
            <w:r>
              <w:t>Flag history as reported/confirmed/unknown; arrange verification.</w:t>
            </w:r>
          </w:p>
        </w:tc>
      </w:tr>
      <w:tr>
        <w:tc>
          <w:tcPr>
            <w:tcW w:type="dxa" w:w="2880"/>
            <w:vAlign w:val="top"/>
          </w:tcPr>
          <w:p>
            <w:pPr>
              <w:pStyle w:val="TableText"/>
            </w:pPr>
            <w:r>
              <w:t>Routine referral vs emergency</w:t>
            </w:r>
          </w:p>
        </w:tc>
        <w:tc>
          <w:tcPr>
            <w:tcW w:type="dxa" w:w="4320"/>
            <w:vAlign w:val="top"/>
          </w:tcPr>
          <w:p>
            <w:pPr>
              <w:pStyle w:val="TableText"/>
            </w:pPr>
            <w:r>
              <w:t>Most diabetes care requires planned co-management; ketoacidosis, severe hypoglycaemia, or serious illness can be emergencies.</w:t>
            </w:r>
          </w:p>
        </w:tc>
        <w:tc>
          <w:tcPr>
            <w:tcW w:type="dxa" w:w="3744"/>
            <w:vAlign w:val="top"/>
          </w:tcPr>
          <w:p>
            <w:pPr>
              <w:pStyle w:val="TableText"/>
            </w:pPr>
            <w:r>
              <w:t>Urgent symptoms bypass the routine risk index.</w:t>
            </w:r>
          </w:p>
        </w:tc>
      </w:tr>
    </w:tbl>
    <w:p/>
    <w:p>
      <w:r>
        <w:br w:type="page"/>
      </w:r>
    </w:p>
    <w:p>
      <w:pPr>
        <w:pStyle w:val="Heading1"/>
      </w:pPr>
      <w:r>
        <w:t>6. Screening and Diagnostic Knowledge Rules</w:t>
      </w:r>
    </w:p>
    <w:p>
      <w:r>
        <w:t>The CDSS may support a screening workflow, but it must not diagnose GDM unless the recorded test, specimen timing, units, and interpretation match the clinic's approved standard.</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1152"/>
            <w:shd w:fill="D9EAF7"/>
            <w:vAlign w:val="center"/>
          </w:tcPr>
          <w:p>
            <w:pPr>
              <w:pStyle w:val="TableText"/>
            </w:pPr>
            <w:r>
              <w:rPr>
                <w:b/>
              </w:rPr>
              <w:t>Rule ID</w:t>
            </w:r>
          </w:p>
        </w:tc>
        <w:tc>
          <w:tcPr>
            <w:tcW w:type="dxa" w:w="3024"/>
            <w:shd w:fill="D9EAF7"/>
            <w:vAlign w:val="center"/>
          </w:tcPr>
          <w:p>
            <w:pPr>
              <w:pStyle w:val="TableText"/>
            </w:pPr>
            <w:r>
              <w:rPr>
                <w:b/>
              </w:rPr>
              <w:t>Condition</w:t>
            </w:r>
          </w:p>
        </w:tc>
        <w:tc>
          <w:tcPr>
            <w:tcW w:type="dxa" w:w="3312"/>
            <w:shd w:fill="D9EAF7"/>
            <w:vAlign w:val="center"/>
          </w:tcPr>
          <w:p>
            <w:pPr>
              <w:pStyle w:val="TableText"/>
            </w:pPr>
            <w:r>
              <w:rPr>
                <w:b/>
              </w:rPr>
              <w:t>CDSS meaning</w:t>
            </w:r>
          </w:p>
        </w:tc>
        <w:tc>
          <w:tcPr>
            <w:tcW w:type="dxa" w:w="3744"/>
            <w:shd w:fill="D9EAF7"/>
            <w:vAlign w:val="center"/>
          </w:tcPr>
          <w:p>
            <w:pPr>
              <w:pStyle w:val="TableText"/>
            </w:pPr>
            <w:r>
              <w:rPr>
                <w:b/>
              </w:rPr>
              <w:t>System response</w:t>
            </w:r>
          </w:p>
        </w:tc>
      </w:tr>
      <w:tr>
        <w:tc>
          <w:tcPr>
            <w:tcW w:type="dxa" w:w="1152"/>
            <w:vAlign w:val="top"/>
          </w:tcPr>
          <w:p>
            <w:pPr>
              <w:pStyle w:val="TableText"/>
            </w:pPr>
            <w:r>
              <w:t>DM-S1</w:t>
            </w:r>
          </w:p>
        </w:tc>
        <w:tc>
          <w:tcPr>
            <w:tcW w:type="dxa" w:w="3024"/>
            <w:vAlign w:val="top"/>
          </w:tcPr>
          <w:p>
            <w:pPr>
              <w:pStyle w:val="TableText"/>
            </w:pPr>
            <w:r>
              <w:t>Known type 1 or type 2 diabetes</w:t>
            </w:r>
          </w:p>
        </w:tc>
        <w:tc>
          <w:tcPr>
            <w:tcW w:type="dxa" w:w="3312"/>
            <w:vAlign w:val="top"/>
          </w:tcPr>
          <w:p>
            <w:pPr>
              <w:pStyle w:val="TableText"/>
            </w:pPr>
            <w:r>
              <w:t>Confirmed pre-existing disease.</w:t>
            </w:r>
          </w:p>
        </w:tc>
        <w:tc>
          <w:tcPr>
            <w:tcW w:type="dxa" w:w="3744"/>
            <w:vAlign w:val="top"/>
          </w:tcPr>
          <w:p>
            <w:pPr>
              <w:pStyle w:val="TableText"/>
            </w:pPr>
            <w:r>
              <w:t>Open diabetes-in-pregnancy pathway; recommend prompt specialist co-management and complication review.</w:t>
            </w:r>
          </w:p>
        </w:tc>
      </w:tr>
      <w:tr>
        <w:tc>
          <w:tcPr>
            <w:tcW w:type="dxa" w:w="1152"/>
            <w:vAlign w:val="top"/>
          </w:tcPr>
          <w:p>
            <w:pPr>
              <w:pStyle w:val="TableText"/>
            </w:pPr>
            <w:r>
              <w:t>DM-S2</w:t>
            </w:r>
          </w:p>
        </w:tc>
        <w:tc>
          <w:tcPr>
            <w:tcW w:type="dxa" w:w="3024"/>
            <w:vAlign w:val="top"/>
          </w:tcPr>
          <w:p>
            <w:pPr>
              <w:pStyle w:val="TableText"/>
            </w:pPr>
            <w:r>
              <w:t>Previous GDM, current pregnancy not yet tested</w:t>
            </w:r>
          </w:p>
        </w:tc>
        <w:tc>
          <w:tcPr>
            <w:tcW w:type="dxa" w:w="3312"/>
            <w:vAlign w:val="top"/>
          </w:tcPr>
          <w:p>
            <w:pPr>
              <w:pStyle w:val="TableText"/>
            </w:pPr>
            <w:r>
              <w:t>High recurrence risk and eligibility for early testing.</w:t>
            </w:r>
          </w:p>
        </w:tc>
        <w:tc>
          <w:tcPr>
            <w:tcW w:type="dxa" w:w="3744"/>
            <w:vAlign w:val="top"/>
          </w:tcPr>
          <w:p>
            <w:pPr>
              <w:pStyle w:val="TableText"/>
            </w:pPr>
            <w:r>
              <w:t>Prompt early testing and later repeat testing if required by the chosen guideline.</w:t>
            </w:r>
          </w:p>
        </w:tc>
      </w:tr>
      <w:tr>
        <w:tc>
          <w:tcPr>
            <w:tcW w:type="dxa" w:w="1152"/>
            <w:vAlign w:val="top"/>
          </w:tcPr>
          <w:p>
            <w:pPr>
              <w:pStyle w:val="TableText"/>
            </w:pPr>
            <w:r>
              <w:t>DM-S3</w:t>
            </w:r>
          </w:p>
        </w:tc>
        <w:tc>
          <w:tcPr>
            <w:tcW w:type="dxa" w:w="3024"/>
            <w:vAlign w:val="top"/>
          </w:tcPr>
          <w:p>
            <w:pPr>
              <w:pStyle w:val="TableText"/>
            </w:pPr>
            <w:r>
              <w:t>Risk factor present but no test</w:t>
            </w:r>
          </w:p>
        </w:tc>
        <w:tc>
          <w:tcPr>
            <w:tcW w:type="dxa" w:w="3312"/>
            <w:vAlign w:val="top"/>
          </w:tcPr>
          <w:p>
            <w:pPr>
              <w:pStyle w:val="TableText"/>
            </w:pPr>
            <w:r>
              <w:t>Screening is due or should be considered.</w:t>
            </w:r>
          </w:p>
        </w:tc>
        <w:tc>
          <w:tcPr>
            <w:tcW w:type="dxa" w:w="3744"/>
            <w:vAlign w:val="top"/>
          </w:tcPr>
          <w:p>
            <w:pPr>
              <w:pStyle w:val="TableText"/>
            </w:pPr>
            <w:r>
              <w:t>Generate a screening reminder, not a diagnosis or HIGH label.</w:t>
            </w:r>
          </w:p>
        </w:tc>
      </w:tr>
      <w:tr>
        <w:tc>
          <w:tcPr>
            <w:tcW w:type="dxa" w:w="1152"/>
            <w:vAlign w:val="top"/>
          </w:tcPr>
          <w:p>
            <w:pPr>
              <w:pStyle w:val="TableText"/>
            </w:pPr>
            <w:r>
              <w:t>DM-S4</w:t>
            </w:r>
          </w:p>
        </w:tc>
        <w:tc>
          <w:tcPr>
            <w:tcW w:type="dxa" w:w="3024"/>
            <w:vAlign w:val="top"/>
          </w:tcPr>
          <w:p>
            <w:pPr>
              <w:pStyle w:val="TableText"/>
            </w:pPr>
            <w:r>
              <w:t>Positive screening test without diagnostic confirmation</w:t>
            </w:r>
          </w:p>
        </w:tc>
        <w:tc>
          <w:tcPr>
            <w:tcW w:type="dxa" w:w="3312"/>
            <w:vAlign w:val="top"/>
          </w:tcPr>
          <w:p>
            <w:pPr>
              <w:pStyle w:val="TableText"/>
            </w:pPr>
            <w:r>
              <w:t>Possible GDM.</w:t>
            </w:r>
          </w:p>
        </w:tc>
        <w:tc>
          <w:tcPr>
            <w:tcW w:type="dxa" w:w="3744"/>
            <w:vAlign w:val="top"/>
          </w:tcPr>
          <w:p>
            <w:pPr>
              <w:pStyle w:val="TableText"/>
            </w:pPr>
            <w:r>
              <w:t>Recommend confirmatory testing and mark diabetes assessment pending.</w:t>
            </w:r>
          </w:p>
        </w:tc>
      </w:tr>
      <w:tr>
        <w:tc>
          <w:tcPr>
            <w:tcW w:type="dxa" w:w="1152"/>
            <w:vAlign w:val="top"/>
          </w:tcPr>
          <w:p>
            <w:pPr>
              <w:pStyle w:val="TableText"/>
            </w:pPr>
            <w:r>
              <w:t>DM-S5</w:t>
            </w:r>
          </w:p>
        </w:tc>
        <w:tc>
          <w:tcPr>
            <w:tcW w:type="dxa" w:w="3024"/>
            <w:vAlign w:val="top"/>
          </w:tcPr>
          <w:p>
            <w:pPr>
              <w:pStyle w:val="TableText"/>
            </w:pPr>
            <w:r>
              <w:t>Diagnostic OGTT result recorded with complete metadata and clinician interpretation</w:t>
            </w:r>
          </w:p>
        </w:tc>
        <w:tc>
          <w:tcPr>
            <w:tcW w:type="dxa" w:w="3312"/>
            <w:vAlign w:val="top"/>
          </w:tcPr>
          <w:p>
            <w:pPr>
              <w:pStyle w:val="TableText"/>
            </w:pPr>
            <w:r>
              <w:t>Confirmed or excluded according to the selected protocol.</w:t>
            </w:r>
          </w:p>
        </w:tc>
        <w:tc>
          <w:tcPr>
            <w:tcW w:type="dxa" w:w="3744"/>
            <w:vAlign w:val="top"/>
          </w:tcPr>
          <w:p>
            <w:pPr>
              <w:pStyle w:val="TableText"/>
            </w:pPr>
            <w:r>
              <w:t>Use the documented interpretation; preserve source values and standard used.</w:t>
            </w:r>
          </w:p>
        </w:tc>
      </w:tr>
      <w:tr>
        <w:tc>
          <w:tcPr>
            <w:tcW w:type="dxa" w:w="1152"/>
            <w:vAlign w:val="top"/>
          </w:tcPr>
          <w:p>
            <w:pPr>
              <w:pStyle w:val="TableText"/>
            </w:pPr>
            <w:r>
              <w:t>DM-S6</w:t>
            </w:r>
          </w:p>
        </w:tc>
        <w:tc>
          <w:tcPr>
            <w:tcW w:type="dxa" w:w="3024"/>
            <w:vAlign w:val="top"/>
          </w:tcPr>
          <w:p>
            <w:pPr>
              <w:pStyle w:val="TableText"/>
            </w:pPr>
            <w:r>
              <w:t>Glucose value recorded without test type, fasting status, gestational age, or units</w:t>
            </w:r>
          </w:p>
        </w:tc>
        <w:tc>
          <w:tcPr>
            <w:tcW w:type="dxa" w:w="3312"/>
            <w:vAlign w:val="top"/>
          </w:tcPr>
          <w:p>
            <w:pPr>
              <w:pStyle w:val="TableText"/>
            </w:pPr>
            <w:r>
              <w:t>Clinically uninterpretable.</w:t>
            </w:r>
          </w:p>
        </w:tc>
        <w:tc>
          <w:tcPr>
            <w:tcW w:type="dxa" w:w="3744"/>
            <w:vAlign w:val="top"/>
          </w:tcPr>
          <w:p>
            <w:pPr>
              <w:pStyle w:val="TableText"/>
            </w:pPr>
            <w:r>
              <w:t>Do not classify; request missing information.</w:t>
            </w:r>
          </w:p>
        </w:tc>
      </w:tr>
      <w:tr>
        <w:tc>
          <w:tcPr>
            <w:tcW w:type="dxa" w:w="1152"/>
            <w:vAlign w:val="top"/>
          </w:tcPr>
          <w:p>
            <w:pPr>
              <w:pStyle w:val="TableText"/>
            </w:pPr>
            <w:r>
              <w:t>DM-S7</w:t>
            </w:r>
          </w:p>
        </w:tc>
        <w:tc>
          <w:tcPr>
            <w:tcW w:type="dxa" w:w="3024"/>
            <w:vAlign w:val="top"/>
          </w:tcPr>
          <w:p>
            <w:pPr>
              <w:pStyle w:val="TableText"/>
            </w:pPr>
            <w:r>
              <w:t>Glycosuria noted</w:t>
            </w:r>
          </w:p>
        </w:tc>
        <w:tc>
          <w:tcPr>
            <w:tcW w:type="dxa" w:w="3312"/>
            <w:vAlign w:val="top"/>
          </w:tcPr>
          <w:p>
            <w:pPr>
              <w:pStyle w:val="TableText"/>
            </w:pPr>
            <w:r>
              <w:t>May justify further testing under some guidelines but is not a diagnosis.</w:t>
            </w:r>
          </w:p>
        </w:tc>
        <w:tc>
          <w:tcPr>
            <w:tcW w:type="dxa" w:w="3744"/>
            <w:vAlign w:val="top"/>
          </w:tcPr>
          <w:p>
            <w:pPr>
              <w:pStyle w:val="TableText"/>
            </w:pPr>
            <w:r>
              <w:t>Prompt clinical review/testing according to facility protocol.</w:t>
            </w:r>
          </w:p>
        </w:tc>
      </w:tr>
      <w:tr>
        <w:tc>
          <w:tcPr>
            <w:tcW w:type="dxa" w:w="1152"/>
            <w:vAlign w:val="top"/>
          </w:tcPr>
          <w:p>
            <w:pPr>
              <w:pStyle w:val="TableText"/>
            </w:pPr>
            <w:r>
              <w:t>DM-S8</w:t>
            </w:r>
          </w:p>
        </w:tc>
        <w:tc>
          <w:tcPr>
            <w:tcW w:type="dxa" w:w="3024"/>
            <w:vAlign w:val="top"/>
          </w:tcPr>
          <w:p>
            <w:pPr>
              <w:pStyle w:val="TableText"/>
            </w:pPr>
            <w:r>
              <w:t>No risk factors and no test result</w:t>
            </w:r>
          </w:p>
        </w:tc>
        <w:tc>
          <w:tcPr>
            <w:tcW w:type="dxa" w:w="3312"/>
            <w:vAlign w:val="top"/>
          </w:tcPr>
          <w:p>
            <w:pPr>
              <w:pStyle w:val="TableText"/>
            </w:pPr>
            <w:r>
              <w:t>Does not exclude GDM.</w:t>
            </w:r>
          </w:p>
        </w:tc>
        <w:tc>
          <w:tcPr>
            <w:tcW w:type="dxa" w:w="3744"/>
            <w:vAlign w:val="top"/>
          </w:tcPr>
          <w:p>
            <w:pPr>
              <w:pStyle w:val="TableText"/>
            </w:pPr>
            <w:r>
              <w:t>Follow universal or locally approved screening schedule; do not display 'no diabetes risk'.</w:t>
            </w:r>
          </w:p>
        </w:tc>
      </w:tr>
    </w:tbl>
    <w:p/>
    <w:p>
      <w:pPr>
        <w:pStyle w:val="Heading1"/>
      </w:pPr>
      <w:r>
        <w:t>7. Referral and Urgency Classification</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2304"/>
            <w:shd w:fill="D9EAF7"/>
            <w:vAlign w:val="center"/>
          </w:tcPr>
          <w:p>
            <w:pPr>
              <w:pStyle w:val="TableText"/>
            </w:pPr>
            <w:r>
              <w:rPr>
                <w:b/>
              </w:rPr>
              <w:t>Action level</w:t>
            </w:r>
          </w:p>
        </w:tc>
        <w:tc>
          <w:tcPr>
            <w:tcW w:type="dxa" w:w="5040"/>
            <w:shd w:fill="D9EAF7"/>
            <w:vAlign w:val="center"/>
          </w:tcPr>
          <w:p>
            <w:pPr>
              <w:pStyle w:val="TableText"/>
            </w:pPr>
            <w:r>
              <w:rPr>
                <w:b/>
              </w:rPr>
              <w:t>Examples</w:t>
            </w:r>
          </w:p>
        </w:tc>
        <w:tc>
          <w:tcPr>
            <w:tcW w:type="dxa" w:w="3600"/>
            <w:shd w:fill="D9EAF7"/>
            <w:vAlign w:val="center"/>
          </w:tcPr>
          <w:p>
            <w:pPr>
              <w:pStyle w:val="TableText"/>
            </w:pPr>
            <w:r>
              <w:rPr>
                <w:b/>
              </w:rPr>
              <w:t>CDSS output</w:t>
            </w:r>
          </w:p>
        </w:tc>
      </w:tr>
      <w:tr>
        <w:tc>
          <w:tcPr>
            <w:tcW w:type="dxa" w:w="2304"/>
            <w:vAlign w:val="top"/>
          </w:tcPr>
          <w:p>
            <w:pPr>
              <w:pStyle w:val="TableText"/>
            </w:pPr>
            <w:r>
              <w:t>Information / screening support</w:t>
            </w:r>
          </w:p>
        </w:tc>
        <w:tc>
          <w:tcPr>
            <w:tcW w:type="dxa" w:w="5040"/>
            <w:vAlign w:val="top"/>
          </w:tcPr>
          <w:p>
            <w:pPr>
              <w:pStyle w:val="TableText"/>
            </w:pPr>
            <w:r>
              <w:t>Risk factors present; screening due; previous GDM awaiting testing.</w:t>
            </w:r>
          </w:p>
        </w:tc>
        <w:tc>
          <w:tcPr>
            <w:tcW w:type="dxa" w:w="3600"/>
            <w:vAlign w:val="top"/>
          </w:tcPr>
          <w:p>
            <w:pPr>
              <w:pStyle w:val="TableText"/>
            </w:pPr>
            <w:r>
              <w:t>Testing recommended; no diagnosis stated.</w:t>
            </w:r>
          </w:p>
        </w:tc>
      </w:tr>
      <w:tr>
        <w:tc>
          <w:tcPr>
            <w:tcW w:type="dxa" w:w="2304"/>
            <w:vAlign w:val="top"/>
          </w:tcPr>
          <w:p>
            <w:pPr>
              <w:pStyle w:val="TableText"/>
            </w:pPr>
            <w:r>
              <w:t>Prompt planned referral or co-management</w:t>
            </w:r>
          </w:p>
        </w:tc>
        <w:tc>
          <w:tcPr>
            <w:tcW w:type="dxa" w:w="5040"/>
            <w:vAlign w:val="top"/>
          </w:tcPr>
          <w:p>
            <w:pPr>
              <w:pStyle w:val="TableText"/>
            </w:pPr>
            <w:r>
              <w:t>Known type 1 or type 2 diabetes; newly confirmed GDM; repeated glucose values outside agreed target; diabetes with pregnancy complications.</w:t>
            </w:r>
          </w:p>
        </w:tc>
        <w:tc>
          <w:tcPr>
            <w:tcW w:type="dxa" w:w="3600"/>
            <w:vAlign w:val="top"/>
          </w:tcPr>
          <w:p>
            <w:pPr>
              <w:pStyle w:val="TableText"/>
            </w:pPr>
            <w:r>
              <w:t>Recommend obstetric and diabetes-team review according to local pathway.</w:t>
            </w:r>
          </w:p>
        </w:tc>
      </w:tr>
      <w:tr>
        <w:tc>
          <w:tcPr>
            <w:tcW w:type="dxa" w:w="2304"/>
            <w:vAlign w:val="top"/>
          </w:tcPr>
          <w:p>
            <w:pPr>
              <w:pStyle w:val="TableText"/>
            </w:pPr>
            <w:r>
              <w:t>Same-day qualified review</w:t>
            </w:r>
          </w:p>
        </w:tc>
        <w:tc>
          <w:tcPr>
            <w:tcW w:type="dxa" w:w="5040"/>
            <w:vAlign w:val="top"/>
          </w:tcPr>
          <w:p>
            <w:pPr>
              <w:pStyle w:val="TableText"/>
            </w:pPr>
            <w:r>
              <w:t>Persistent marked hyperglycaemia, inability to maintain intake, recurrent symptomatic hypoglycaemia, intercurrent infection, concerning fetal or maternal findings.</w:t>
            </w:r>
          </w:p>
        </w:tc>
        <w:tc>
          <w:tcPr>
            <w:tcW w:type="dxa" w:w="3600"/>
            <w:vAlign w:val="top"/>
          </w:tcPr>
          <w:p>
            <w:pPr>
              <w:pStyle w:val="TableText"/>
            </w:pPr>
            <w:r>
              <w:t>Same-day assessment; clinician determines treatment and location.</w:t>
            </w:r>
          </w:p>
        </w:tc>
      </w:tr>
      <w:tr>
        <w:tc>
          <w:tcPr>
            <w:tcW w:type="dxa" w:w="2304"/>
            <w:vAlign w:val="top"/>
          </w:tcPr>
          <w:p>
            <w:pPr>
              <w:pStyle w:val="TableText"/>
            </w:pPr>
            <w:r>
              <w:t>Emergency pathway</w:t>
            </w:r>
          </w:p>
        </w:tc>
        <w:tc>
          <w:tcPr>
            <w:tcW w:type="dxa" w:w="5040"/>
            <w:vAlign w:val="top"/>
          </w:tcPr>
          <w:p>
            <w:pPr>
              <w:pStyle w:val="TableText"/>
            </w:pPr>
            <w:r>
              <w:t>Suspected ketoacidosis, altered consciousness, seizure, severe dehydration, rapid/deep breathing, severe weakness, or severe hypoglycaemia not responding to initial assistance.</w:t>
            </w:r>
          </w:p>
        </w:tc>
        <w:tc>
          <w:tcPr>
            <w:tcW w:type="dxa" w:w="3600"/>
            <w:vAlign w:val="top"/>
          </w:tcPr>
          <w:p>
            <w:pPr>
              <w:pStyle w:val="TableText"/>
            </w:pPr>
            <w:r>
              <w:t>Emergency transfer/response; do not wait for routine scoring.</w:t>
            </w:r>
          </w:p>
        </w:tc>
      </w:tr>
    </w:tbl>
    <w:p/>
    <w:p>
      <w:pPr>
        <w:pStyle w:val="Heading1"/>
      </w:pPr>
      <w:r>
        <w:t>8. Treatment and Control Status</w:t>
      </w:r>
    </w:p>
    <w:p>
      <w:r>
        <w:t>Treatment decisions are outside the CDSS's autonomous role. The system may record treatment and identify follow-up needs, but it should not prescribe insulin, metformin, dose adjustments, dietary plans, or glucose targets without clinician-entered orders and a validated protocol.</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2880"/>
            <w:shd w:fill="D9EAF7"/>
            <w:vAlign w:val="center"/>
          </w:tcPr>
          <w:p>
            <w:pPr>
              <w:pStyle w:val="TableText"/>
            </w:pPr>
            <w:r>
              <w:rPr>
                <w:b/>
              </w:rPr>
              <w:t>Data element</w:t>
            </w:r>
          </w:p>
        </w:tc>
        <w:tc>
          <w:tcPr>
            <w:tcW w:type="dxa" w:w="4320"/>
            <w:shd w:fill="D9EAF7"/>
            <w:vAlign w:val="center"/>
          </w:tcPr>
          <w:p>
            <w:pPr>
              <w:pStyle w:val="TableText"/>
            </w:pPr>
            <w:r>
              <w:rPr>
                <w:b/>
              </w:rPr>
              <w:t>Permitted use</w:t>
            </w:r>
          </w:p>
        </w:tc>
        <w:tc>
          <w:tcPr>
            <w:tcW w:type="dxa" w:w="3744"/>
            <w:shd w:fill="D9EAF7"/>
            <w:vAlign w:val="center"/>
          </w:tcPr>
          <w:p>
            <w:pPr>
              <w:pStyle w:val="TableText"/>
            </w:pPr>
            <w:r>
              <w:rPr>
                <w:b/>
              </w:rPr>
              <w:t>Prohibited inference</w:t>
            </w:r>
          </w:p>
        </w:tc>
      </w:tr>
      <w:tr>
        <w:tc>
          <w:tcPr>
            <w:tcW w:type="dxa" w:w="2880"/>
            <w:vAlign w:val="top"/>
          </w:tcPr>
          <w:p>
            <w:pPr>
              <w:pStyle w:val="TableText"/>
            </w:pPr>
            <w:r>
              <w:t>Diet and exercise management</w:t>
            </w:r>
          </w:p>
        </w:tc>
        <w:tc>
          <w:tcPr>
            <w:tcW w:type="dxa" w:w="4320"/>
            <w:vAlign w:val="top"/>
          </w:tcPr>
          <w:p>
            <w:pPr>
              <w:pStyle w:val="TableText"/>
            </w:pPr>
            <w:r>
              <w:t>Document management plan and follow-up date.</w:t>
            </w:r>
          </w:p>
        </w:tc>
        <w:tc>
          <w:tcPr>
            <w:tcW w:type="dxa" w:w="3744"/>
            <w:vAlign w:val="top"/>
          </w:tcPr>
          <w:p>
            <w:pPr>
              <w:pStyle w:val="TableText"/>
            </w:pPr>
            <w:r>
              <w:t>Do not assume diabetes is controlled.</w:t>
            </w:r>
          </w:p>
        </w:tc>
      </w:tr>
      <w:tr>
        <w:tc>
          <w:tcPr>
            <w:tcW w:type="dxa" w:w="2880"/>
            <w:vAlign w:val="top"/>
          </w:tcPr>
          <w:p>
            <w:pPr>
              <w:pStyle w:val="TableText"/>
            </w:pPr>
            <w:r>
              <w:t>Oral medication</w:t>
            </w:r>
          </w:p>
        </w:tc>
        <w:tc>
          <w:tcPr>
            <w:tcW w:type="dxa" w:w="4320"/>
            <w:vAlign w:val="top"/>
          </w:tcPr>
          <w:p>
            <w:pPr>
              <w:pStyle w:val="TableText"/>
            </w:pPr>
            <w:r>
              <w:t>Record medication, prescriber, dose, start date, and adherence concerns.</w:t>
            </w:r>
          </w:p>
        </w:tc>
        <w:tc>
          <w:tcPr>
            <w:tcW w:type="dxa" w:w="3744"/>
            <w:vAlign w:val="top"/>
          </w:tcPr>
          <w:p>
            <w:pPr>
              <w:pStyle w:val="TableText"/>
            </w:pPr>
            <w:r>
              <w:t>Do not recommend starting, stopping, or changing medication.</w:t>
            </w:r>
          </w:p>
        </w:tc>
      </w:tr>
      <w:tr>
        <w:tc>
          <w:tcPr>
            <w:tcW w:type="dxa" w:w="2880"/>
            <w:vAlign w:val="top"/>
          </w:tcPr>
          <w:p>
            <w:pPr>
              <w:pStyle w:val="TableText"/>
            </w:pPr>
            <w:r>
              <w:t>Insulin</w:t>
            </w:r>
          </w:p>
        </w:tc>
        <w:tc>
          <w:tcPr>
            <w:tcW w:type="dxa" w:w="4320"/>
            <w:vAlign w:val="top"/>
          </w:tcPr>
          <w:p>
            <w:pPr>
              <w:pStyle w:val="TableText"/>
            </w:pPr>
            <w:r>
              <w:t>Record regimen and identify missed follow-up or hypoglycaemia concerns.</w:t>
            </w:r>
          </w:p>
        </w:tc>
        <w:tc>
          <w:tcPr>
            <w:tcW w:type="dxa" w:w="3744"/>
            <w:vAlign w:val="top"/>
          </w:tcPr>
          <w:p>
            <w:pPr>
              <w:pStyle w:val="TableText"/>
            </w:pPr>
            <w:r>
              <w:t>Do not calculate or change doses.</w:t>
            </w:r>
          </w:p>
        </w:tc>
      </w:tr>
      <w:tr>
        <w:tc>
          <w:tcPr>
            <w:tcW w:type="dxa" w:w="2880"/>
            <w:vAlign w:val="top"/>
          </w:tcPr>
          <w:p>
            <w:pPr>
              <w:pStyle w:val="TableText"/>
            </w:pPr>
            <w:r>
              <w:t>Home glucose log</w:t>
            </w:r>
          </w:p>
        </w:tc>
        <w:tc>
          <w:tcPr>
            <w:tcW w:type="dxa" w:w="4320"/>
            <w:vAlign w:val="top"/>
          </w:tcPr>
          <w:p>
            <w:pPr>
              <w:pStyle w:val="TableText"/>
            </w:pPr>
            <w:r>
              <w:t>Display trends and flag values outside clinician-entered targets.</w:t>
            </w:r>
          </w:p>
        </w:tc>
        <w:tc>
          <w:tcPr>
            <w:tcW w:type="dxa" w:w="3744"/>
            <w:vAlign w:val="top"/>
          </w:tcPr>
          <w:p>
            <w:pPr>
              <w:pStyle w:val="TableText"/>
            </w:pPr>
            <w:r>
              <w:t>Do not create universal targets by mixing guidelines.</w:t>
            </w:r>
          </w:p>
        </w:tc>
      </w:tr>
      <w:tr>
        <w:tc>
          <w:tcPr>
            <w:tcW w:type="dxa" w:w="2880"/>
            <w:vAlign w:val="top"/>
          </w:tcPr>
          <w:p>
            <w:pPr>
              <w:pStyle w:val="TableText"/>
            </w:pPr>
            <w:r>
              <w:t>HbA1c</w:t>
            </w:r>
          </w:p>
        </w:tc>
        <w:tc>
          <w:tcPr>
            <w:tcW w:type="dxa" w:w="4320"/>
            <w:vAlign w:val="top"/>
          </w:tcPr>
          <w:p>
            <w:pPr>
              <w:pStyle w:val="TableText"/>
            </w:pPr>
            <w:r>
              <w:t>Store as supporting information with date and laboratory source.</w:t>
            </w:r>
          </w:p>
        </w:tc>
        <w:tc>
          <w:tcPr>
            <w:tcW w:type="dxa" w:w="3744"/>
            <w:vAlign w:val="top"/>
          </w:tcPr>
          <w:p>
            <w:pPr>
              <w:pStyle w:val="TableText"/>
            </w:pPr>
            <w:r>
              <w:t>Do not use alone to diagnose GDM in place of the approved pregnancy testing pathway.</w:t>
            </w:r>
          </w:p>
        </w:tc>
      </w:tr>
      <w:tr>
        <w:tc>
          <w:tcPr>
            <w:tcW w:type="dxa" w:w="2880"/>
            <w:vAlign w:val="top"/>
          </w:tcPr>
          <w:p>
            <w:pPr>
              <w:pStyle w:val="TableText"/>
            </w:pPr>
            <w:r>
              <w:t>Fetal growth or amniotic fluid concern</w:t>
            </w:r>
          </w:p>
        </w:tc>
        <w:tc>
          <w:tcPr>
            <w:tcW w:type="dxa" w:w="4320"/>
            <w:vAlign w:val="top"/>
          </w:tcPr>
          <w:p>
            <w:pPr>
              <w:pStyle w:val="TableText"/>
            </w:pPr>
            <w:r>
              <w:t>Treat as a separate clinical factor that may strengthen referral.</w:t>
            </w:r>
          </w:p>
        </w:tc>
        <w:tc>
          <w:tcPr>
            <w:tcW w:type="dxa" w:w="3744"/>
            <w:vAlign w:val="top"/>
          </w:tcPr>
          <w:p>
            <w:pPr>
              <w:pStyle w:val="TableText"/>
            </w:pPr>
            <w:r>
              <w:t>Do not infer macrosomia or hydramnios from diabetes status alone.</w:t>
            </w:r>
          </w:p>
        </w:tc>
      </w:tr>
    </w:tbl>
    <w:p/>
    <w:p>
      <w:pPr>
        <w:pStyle w:val="Heading1"/>
      </w:pPr>
      <w:r>
        <w:t>9. Interaction Rules</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024"/>
            <w:shd w:fill="D9EAF7"/>
            <w:vAlign w:val="center"/>
          </w:tcPr>
          <w:p>
            <w:pPr>
              <w:pStyle w:val="TableText"/>
            </w:pPr>
            <w:r>
              <w:rPr>
                <w:b/>
              </w:rPr>
              <w:t>Combination</w:t>
            </w:r>
          </w:p>
        </w:tc>
        <w:tc>
          <w:tcPr>
            <w:tcW w:type="dxa" w:w="4032"/>
            <w:shd w:fill="D9EAF7"/>
            <w:vAlign w:val="center"/>
          </w:tcPr>
          <w:p>
            <w:pPr>
              <w:pStyle w:val="TableText"/>
            </w:pPr>
            <w:r>
              <w:rPr>
                <w:b/>
              </w:rPr>
              <w:t>Clinical relevance</w:t>
            </w:r>
          </w:p>
        </w:tc>
        <w:tc>
          <w:tcPr>
            <w:tcW w:type="dxa" w:w="3888"/>
            <w:shd w:fill="D9EAF7"/>
            <w:vAlign w:val="center"/>
          </w:tcPr>
          <w:p>
            <w:pPr>
              <w:pStyle w:val="TableText"/>
            </w:pPr>
            <w:r>
              <w:rPr>
                <w:b/>
              </w:rPr>
              <w:t>Design response</w:t>
            </w:r>
          </w:p>
        </w:tc>
      </w:tr>
      <w:tr>
        <w:tc>
          <w:tcPr>
            <w:tcW w:type="dxa" w:w="3024"/>
            <w:vAlign w:val="top"/>
          </w:tcPr>
          <w:p>
            <w:pPr>
              <w:pStyle w:val="TableText"/>
            </w:pPr>
            <w:r>
              <w:t>Diabetes + hypertension or preeclampsia warning findings</w:t>
            </w:r>
          </w:p>
        </w:tc>
        <w:tc>
          <w:tcPr>
            <w:tcW w:type="dxa" w:w="4032"/>
            <w:vAlign w:val="top"/>
          </w:tcPr>
          <w:p>
            <w:pPr>
              <w:pStyle w:val="TableText"/>
            </w:pPr>
            <w:r>
              <w:t>Both conditions increase maternal and fetal concern.</w:t>
            </w:r>
          </w:p>
        </w:tc>
        <w:tc>
          <w:tcPr>
            <w:tcW w:type="dxa" w:w="3888"/>
            <w:vAlign w:val="top"/>
          </w:tcPr>
          <w:p>
            <w:pPr>
              <w:pStyle w:val="TableText"/>
            </w:pPr>
            <w:r>
              <w:t>Blood-pressure and symptom rules determine urgency; diabetes strengthens referral rationale.</w:t>
            </w:r>
          </w:p>
        </w:tc>
      </w:tr>
      <w:tr>
        <w:tc>
          <w:tcPr>
            <w:tcW w:type="dxa" w:w="3024"/>
            <w:vAlign w:val="top"/>
          </w:tcPr>
          <w:p>
            <w:pPr>
              <w:pStyle w:val="TableText"/>
            </w:pPr>
            <w:r>
              <w:t>Diabetes + suspected large fetus or abnormal growth</w:t>
            </w:r>
          </w:p>
        </w:tc>
        <w:tc>
          <w:tcPr>
            <w:tcW w:type="dxa" w:w="4032"/>
            <w:vAlign w:val="top"/>
          </w:tcPr>
          <w:p>
            <w:pPr>
              <w:pStyle w:val="TableText"/>
            </w:pPr>
            <w:r>
              <w:t>May affect surveillance and delivery planning.</w:t>
            </w:r>
          </w:p>
        </w:tc>
        <w:tc>
          <w:tcPr>
            <w:tcW w:type="dxa" w:w="3888"/>
            <w:vAlign w:val="top"/>
          </w:tcPr>
          <w:p>
            <w:pPr>
              <w:pStyle w:val="TableText"/>
            </w:pPr>
            <w:r>
              <w:t>Recommend qualified obstetric review; do not select delivery mode automatically.</w:t>
            </w:r>
          </w:p>
        </w:tc>
      </w:tr>
      <w:tr>
        <w:tc>
          <w:tcPr>
            <w:tcW w:type="dxa" w:w="3024"/>
            <w:vAlign w:val="top"/>
          </w:tcPr>
          <w:p>
            <w:pPr>
              <w:pStyle w:val="TableText"/>
            </w:pPr>
            <w:r>
              <w:t>Diabetes + abnormal amniotic fluid</w:t>
            </w:r>
          </w:p>
        </w:tc>
        <w:tc>
          <w:tcPr>
            <w:tcW w:type="dxa" w:w="4032"/>
            <w:vAlign w:val="top"/>
          </w:tcPr>
          <w:p>
            <w:pPr>
              <w:pStyle w:val="TableText"/>
            </w:pPr>
            <w:r>
              <w:t>Can indicate a pregnancy requiring specialist assessment.</w:t>
            </w:r>
          </w:p>
        </w:tc>
        <w:tc>
          <w:tcPr>
            <w:tcW w:type="dxa" w:w="3888"/>
            <w:vAlign w:val="top"/>
          </w:tcPr>
          <w:p>
            <w:pPr>
              <w:pStyle w:val="TableText"/>
            </w:pPr>
            <w:r>
              <w:t>Refer according to severity and gestation; retain ultrasound source.</w:t>
            </w:r>
          </w:p>
        </w:tc>
      </w:tr>
      <w:tr>
        <w:tc>
          <w:tcPr>
            <w:tcW w:type="dxa" w:w="3024"/>
            <w:vAlign w:val="top"/>
          </w:tcPr>
          <w:p>
            <w:pPr>
              <w:pStyle w:val="TableText"/>
            </w:pPr>
            <w:r>
              <w:t>Diabetes + reduced fetal movement or abnormal fetal assessment</w:t>
            </w:r>
          </w:p>
        </w:tc>
        <w:tc>
          <w:tcPr>
            <w:tcW w:type="dxa" w:w="4032"/>
            <w:vAlign w:val="top"/>
          </w:tcPr>
          <w:p>
            <w:pPr>
              <w:pStyle w:val="TableText"/>
            </w:pPr>
            <w:r>
              <w:t>Potential time-sensitive fetal concern.</w:t>
            </w:r>
          </w:p>
        </w:tc>
        <w:tc>
          <w:tcPr>
            <w:tcW w:type="dxa" w:w="3888"/>
            <w:vAlign w:val="top"/>
          </w:tcPr>
          <w:p>
            <w:pPr>
              <w:pStyle w:val="TableText"/>
            </w:pPr>
            <w:r>
              <w:t>Use fetal-warning pathway; do not wait for diabetes scoring.</w:t>
            </w:r>
          </w:p>
        </w:tc>
      </w:tr>
      <w:tr>
        <w:tc>
          <w:tcPr>
            <w:tcW w:type="dxa" w:w="3024"/>
            <w:vAlign w:val="top"/>
          </w:tcPr>
          <w:p>
            <w:pPr>
              <w:pStyle w:val="TableText"/>
            </w:pPr>
            <w:r>
              <w:t>Diabetes + vomiting, illness, or ketones</w:t>
            </w:r>
          </w:p>
        </w:tc>
        <w:tc>
          <w:tcPr>
            <w:tcW w:type="dxa" w:w="4032"/>
            <w:vAlign w:val="top"/>
          </w:tcPr>
          <w:p>
            <w:pPr>
              <w:pStyle w:val="TableText"/>
            </w:pPr>
            <w:r>
              <w:t>Raises concern for metabolic decompensation, especially in type 1 diabetes.</w:t>
            </w:r>
          </w:p>
        </w:tc>
        <w:tc>
          <w:tcPr>
            <w:tcW w:type="dxa" w:w="3888"/>
            <w:vAlign w:val="top"/>
          </w:tcPr>
          <w:p>
            <w:pPr>
              <w:pStyle w:val="TableText"/>
            </w:pPr>
            <w:r>
              <w:t>Same-day or emergency assessment according to symptoms and local protocol.</w:t>
            </w:r>
          </w:p>
        </w:tc>
      </w:tr>
      <w:tr>
        <w:tc>
          <w:tcPr>
            <w:tcW w:type="dxa" w:w="3024"/>
            <w:vAlign w:val="top"/>
          </w:tcPr>
          <w:p>
            <w:pPr>
              <w:pStyle w:val="TableText"/>
            </w:pPr>
            <w:r>
              <w:t>Diabetes + previous cesarean</w:t>
            </w:r>
          </w:p>
        </w:tc>
        <w:tc>
          <w:tcPr>
            <w:tcW w:type="dxa" w:w="4032"/>
            <w:vAlign w:val="top"/>
          </w:tcPr>
          <w:p>
            <w:pPr>
              <w:pStyle w:val="TableText"/>
            </w:pPr>
            <w:r>
              <w:t>Requires individualized delivery planning.</w:t>
            </w:r>
          </w:p>
        </w:tc>
        <w:tc>
          <w:tcPr>
            <w:tcW w:type="dxa" w:w="3888"/>
            <w:vAlign w:val="top"/>
          </w:tcPr>
          <w:p>
            <w:pPr>
              <w:pStyle w:val="TableText"/>
            </w:pPr>
            <w:r>
              <w:t>Prompt documented obstetric/facility plan.</w:t>
            </w:r>
          </w:p>
        </w:tc>
      </w:tr>
      <w:tr>
        <w:tc>
          <w:tcPr>
            <w:tcW w:type="dxa" w:w="3024"/>
            <w:vAlign w:val="top"/>
          </w:tcPr>
          <w:p>
            <w:pPr>
              <w:pStyle w:val="TableText"/>
            </w:pPr>
            <w:r>
              <w:t>Previous GDM + current normal early test</w:t>
            </w:r>
          </w:p>
        </w:tc>
        <w:tc>
          <w:tcPr>
            <w:tcW w:type="dxa" w:w="4032"/>
            <w:vAlign w:val="top"/>
          </w:tcPr>
          <w:p>
            <w:pPr>
              <w:pStyle w:val="TableText"/>
            </w:pPr>
            <w:r>
              <w:t>Does not always complete the pregnancy screening pathway.</w:t>
            </w:r>
          </w:p>
        </w:tc>
        <w:tc>
          <w:tcPr>
            <w:tcW w:type="dxa" w:w="3888"/>
            <w:vAlign w:val="top"/>
          </w:tcPr>
          <w:p>
            <w:pPr>
              <w:pStyle w:val="TableText"/>
            </w:pPr>
            <w:r>
              <w:t>Schedule later repeat testing according to approved guideline.</w:t>
            </w:r>
          </w:p>
        </w:tc>
      </w:tr>
    </w:tbl>
    <w:p/>
    <w:p>
      <w:r>
        <w:br w:type="page"/>
      </w:r>
    </w:p>
    <w:p>
      <w:pPr>
        <w:pStyle w:val="Heading1"/>
      </w:pPr>
      <w:r>
        <w:t>10. Required Database Redesign</w:t>
      </w:r>
    </w:p>
    <w:p>
      <w:r>
        <w:t>The current binary diabetes field is inadequate. The future database should separate history, screening, diagnosis, test results, treatment, monitoring, and follow-up.</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3600"/>
            <w:shd w:fill="D9EAF7"/>
            <w:vAlign w:val="center"/>
          </w:tcPr>
          <w:p>
            <w:pPr>
              <w:pStyle w:val="TableText"/>
            </w:pPr>
            <w:r>
              <w:rPr>
                <w:b/>
              </w:rPr>
              <w:t>Proposed field or record</w:t>
            </w:r>
          </w:p>
        </w:tc>
        <w:tc>
          <w:tcPr>
            <w:tcW w:type="dxa" w:w="7344"/>
            <w:shd w:fill="D9EAF7"/>
            <w:vAlign w:val="center"/>
          </w:tcPr>
          <w:p>
            <w:pPr>
              <w:pStyle w:val="TableText"/>
            </w:pPr>
            <w:r>
              <w:rPr>
                <w:b/>
              </w:rPr>
              <w:t>Purpose</w:t>
            </w:r>
          </w:p>
        </w:tc>
      </w:tr>
      <w:tr>
        <w:tc>
          <w:tcPr>
            <w:tcW w:type="dxa" w:w="3600"/>
            <w:vAlign w:val="top"/>
          </w:tcPr>
          <w:p>
            <w:pPr>
              <w:pStyle w:val="TableText"/>
            </w:pPr>
            <w:r>
              <w:t>diabetes_status</w:t>
            </w:r>
          </w:p>
        </w:tc>
        <w:tc>
          <w:tcPr>
            <w:tcW w:type="dxa" w:w="7344"/>
            <w:vAlign w:val="top"/>
          </w:tcPr>
          <w:p>
            <w:pPr>
              <w:pStyle w:val="TableText"/>
            </w:pPr>
            <w:r>
              <w:t>Structured value: none known, type 1, type 2, gestational diabetes, previous GDM, suspected/pending confirmation, unknown.</w:t>
            </w:r>
          </w:p>
        </w:tc>
      </w:tr>
      <w:tr>
        <w:tc>
          <w:tcPr>
            <w:tcW w:type="dxa" w:w="3600"/>
            <w:vAlign w:val="top"/>
          </w:tcPr>
          <w:p>
            <w:pPr>
              <w:pStyle w:val="TableText"/>
            </w:pPr>
            <w:r>
              <w:t>status_source</w:t>
            </w:r>
          </w:p>
        </w:tc>
        <w:tc>
          <w:tcPr>
            <w:tcW w:type="dxa" w:w="7344"/>
            <w:vAlign w:val="top"/>
          </w:tcPr>
          <w:p>
            <w:pPr>
              <w:pStyle w:val="TableText"/>
            </w:pPr>
            <w:r>
              <w:t>Patient-reported, external record, laboratory-confirmed, clinician-confirmed.</w:t>
            </w:r>
          </w:p>
        </w:tc>
      </w:tr>
      <w:tr>
        <w:tc>
          <w:tcPr>
            <w:tcW w:type="dxa" w:w="3600"/>
            <w:vAlign w:val="top"/>
          </w:tcPr>
          <w:p>
            <w:pPr>
              <w:pStyle w:val="TableText"/>
            </w:pPr>
            <w:r>
              <w:t>diagnosis_date and gestational_age_at_diagnosis</w:t>
            </w:r>
          </w:p>
        </w:tc>
        <w:tc>
          <w:tcPr>
            <w:tcW w:type="dxa" w:w="7344"/>
            <w:vAlign w:val="top"/>
          </w:tcPr>
          <w:p>
            <w:pPr>
              <w:pStyle w:val="TableText"/>
            </w:pPr>
            <w:r>
              <w:t>Distinguishes pre-existing disease, early pregnancy recognition, and later GDM.</w:t>
            </w:r>
          </w:p>
        </w:tc>
      </w:tr>
      <w:tr>
        <w:tc>
          <w:tcPr>
            <w:tcW w:type="dxa" w:w="3600"/>
            <w:vAlign w:val="top"/>
          </w:tcPr>
          <w:p>
            <w:pPr>
              <w:pStyle w:val="TableText"/>
            </w:pPr>
            <w:r>
              <w:t>screening_due_date and screening_status</w:t>
            </w:r>
          </w:p>
        </w:tc>
        <w:tc>
          <w:tcPr>
            <w:tcW w:type="dxa" w:w="7344"/>
            <w:vAlign w:val="top"/>
          </w:tcPr>
          <w:p>
            <w:pPr>
              <w:pStyle w:val="TableText"/>
            </w:pPr>
            <w:r>
              <w:t>Supports reminders without falsely diagnosing disease.</w:t>
            </w:r>
          </w:p>
        </w:tc>
      </w:tr>
      <w:tr>
        <w:tc>
          <w:tcPr>
            <w:tcW w:type="dxa" w:w="3600"/>
            <w:vAlign w:val="top"/>
          </w:tcPr>
          <w:p>
            <w:pPr>
              <w:pStyle w:val="TableText"/>
            </w:pPr>
            <w:r>
              <w:t>glucose_test table</w:t>
            </w:r>
          </w:p>
        </w:tc>
        <w:tc>
          <w:tcPr>
            <w:tcW w:type="dxa" w:w="7344"/>
            <w:vAlign w:val="top"/>
          </w:tcPr>
          <w:p>
            <w:pPr>
              <w:pStyle w:val="TableText"/>
            </w:pPr>
            <w:r>
              <w:t>Stores test type, specimen date/time, fasting status, glucose load, collection points, units, laboratory, raw results, and interpretation.</w:t>
            </w:r>
          </w:p>
        </w:tc>
      </w:tr>
      <w:tr>
        <w:tc>
          <w:tcPr>
            <w:tcW w:type="dxa" w:w="3600"/>
            <w:vAlign w:val="top"/>
          </w:tcPr>
          <w:p>
            <w:pPr>
              <w:pStyle w:val="TableText"/>
            </w:pPr>
            <w:r>
              <w:t>diagnostic_standard</w:t>
            </w:r>
          </w:p>
        </w:tc>
        <w:tc>
          <w:tcPr>
            <w:tcW w:type="dxa" w:w="7344"/>
            <w:vAlign w:val="top"/>
          </w:tcPr>
          <w:p>
            <w:pPr>
              <w:pStyle w:val="TableText"/>
            </w:pPr>
            <w:r>
              <w:t>Records WHO, NICE, ACOG/two-step, local DOH/facility, or other approved protocol and version.</w:t>
            </w:r>
          </w:p>
        </w:tc>
      </w:tr>
      <w:tr>
        <w:tc>
          <w:tcPr>
            <w:tcW w:type="dxa" w:w="3600"/>
            <w:vAlign w:val="top"/>
          </w:tcPr>
          <w:p>
            <w:pPr>
              <w:pStyle w:val="TableText"/>
            </w:pPr>
            <w:r>
              <w:t>treatment_status</w:t>
            </w:r>
          </w:p>
        </w:tc>
        <w:tc>
          <w:tcPr>
            <w:tcW w:type="dxa" w:w="7344"/>
            <w:vAlign w:val="top"/>
          </w:tcPr>
          <w:p>
            <w:pPr>
              <w:pStyle w:val="TableText"/>
            </w:pPr>
            <w:r>
              <w:t>Diet/exercise, oral medication, insulin, combination, unknown; clinician-entered.</w:t>
            </w:r>
          </w:p>
        </w:tc>
      </w:tr>
      <w:tr>
        <w:tc>
          <w:tcPr>
            <w:tcW w:type="dxa" w:w="3600"/>
            <w:vAlign w:val="top"/>
          </w:tcPr>
          <w:p>
            <w:pPr>
              <w:pStyle w:val="TableText"/>
            </w:pPr>
            <w:r>
              <w:t>care_team and referral_status</w:t>
            </w:r>
          </w:p>
        </w:tc>
        <w:tc>
          <w:tcPr>
            <w:tcW w:type="dxa" w:w="7344"/>
            <w:vAlign w:val="top"/>
          </w:tcPr>
          <w:p>
            <w:pPr>
              <w:pStyle w:val="TableText"/>
            </w:pPr>
            <w:r>
              <w:t>Tracks obstetric, diabetes, nutrition, and receiving-facility involvement.</w:t>
            </w:r>
          </w:p>
        </w:tc>
      </w:tr>
      <w:tr>
        <w:tc>
          <w:tcPr>
            <w:tcW w:type="dxa" w:w="3600"/>
            <w:vAlign w:val="top"/>
          </w:tcPr>
          <w:p>
            <w:pPr>
              <w:pStyle w:val="TableText"/>
            </w:pPr>
            <w:r>
              <w:t>glucose_monitoring_log</w:t>
            </w:r>
          </w:p>
        </w:tc>
        <w:tc>
          <w:tcPr>
            <w:tcW w:type="dxa" w:w="7344"/>
            <w:vAlign w:val="top"/>
          </w:tcPr>
          <w:p>
            <w:pPr>
              <w:pStyle w:val="TableText"/>
            </w:pPr>
            <w:r>
              <w:t>Stores fasting/pre-meal/post-meal/bedtime context, value, unit, target source, and symptoms.</w:t>
            </w:r>
          </w:p>
        </w:tc>
      </w:tr>
      <w:tr>
        <w:tc>
          <w:tcPr>
            <w:tcW w:type="dxa" w:w="3600"/>
            <w:vAlign w:val="top"/>
          </w:tcPr>
          <w:p>
            <w:pPr>
              <w:pStyle w:val="TableText"/>
            </w:pPr>
            <w:r>
              <w:t>hypoglycaemia_or_ketone_warning</w:t>
            </w:r>
          </w:p>
        </w:tc>
        <w:tc>
          <w:tcPr>
            <w:tcW w:type="dxa" w:w="7344"/>
            <w:vAlign w:val="top"/>
          </w:tcPr>
          <w:p>
            <w:pPr>
              <w:pStyle w:val="TableText"/>
            </w:pPr>
            <w:r>
              <w:t>Structured safety finding linked to urgent clinical review.</w:t>
            </w:r>
          </w:p>
        </w:tc>
      </w:tr>
      <w:tr>
        <w:tc>
          <w:tcPr>
            <w:tcW w:type="dxa" w:w="3600"/>
            <w:vAlign w:val="top"/>
          </w:tcPr>
          <w:p>
            <w:pPr>
              <w:pStyle w:val="TableText"/>
            </w:pPr>
            <w:r>
              <w:t>postpartum_follow_up</w:t>
            </w:r>
          </w:p>
        </w:tc>
        <w:tc>
          <w:tcPr>
            <w:tcW w:type="dxa" w:w="7344"/>
            <w:vAlign w:val="top"/>
          </w:tcPr>
          <w:p>
            <w:pPr>
              <w:pStyle w:val="TableText"/>
            </w:pPr>
            <w:r>
              <w:t>Records postpartum testing due/completed/result and long-term follow-up recommendation.</w:t>
            </w:r>
          </w:p>
        </w:tc>
      </w:tr>
    </w:tbl>
    <w:p/>
    <w:p>
      <w:pPr>
        <w:pStyle w:val="Heading1"/>
      </w:pPr>
      <w:r>
        <w:t>11. Explainable Output Language</w:t>
      </w:r>
    </w:p>
    <w:p>
      <w:r>
        <w:t>Acceptable example - previous gestational diabetes:</w:t>
      </w:r>
    </w:p>
    <w:p>
      <w:pPr>
        <w:pStyle w:val="Quote"/>
      </w:pPr>
      <w:r>
        <w:t>The patient has a history of gestational diabetes. This increases the need for early glucose testing in the current pregnancy. A previous diagnosis does not confirm diabetes in this pregnancy.</w:t>
      </w:r>
    </w:p>
    <w:p>
      <w:r>
        <w:t>Acceptable example - confirmed gestational diabetes:</w:t>
      </w:r>
    </w:p>
    <w:p>
      <w:pPr>
        <w:pStyle w:val="Quote"/>
      </w:pPr>
      <w:r>
        <w:t>Gestational diabetes is documented. Additional maternal glucose monitoring, fetal assessment, and coordinated antenatal care are recommended. Referral urgency depends on glucose control, symptoms, blood pressure, fetal findings, and the local pathway.</w:t>
      </w:r>
    </w:p>
    <w:p>
      <w:r>
        <w:t>Acceptable example - incomplete data:</w:t>
      </w:r>
    </w:p>
    <w:p>
      <w:pPr>
        <w:pStyle w:val="Quote"/>
      </w:pPr>
      <w:r>
        <w:t>A glucose result is recorded, but the test type, fasting status, units, or diagnostic standard is missing. The system cannot determine whether gestational diabetes is present. Clinical verification is required.</w:t>
      </w:r>
    </w:p>
    <w:p>
      <w:r>
        <w:t>Unacceptable outputs:</w:t>
      </w:r>
    </w:p>
    <w:p>
      <w:pPr>
        <w:pStyle w:val="ListBullet"/>
      </w:pPr>
      <w:r>
        <w:t>"Diabetes = HIGH."</w:t>
      </w:r>
    </w:p>
    <w:p>
      <w:pPr>
        <w:pStyle w:val="ListBullet"/>
      </w:pPr>
      <w:r>
        <w:t>"The patient has gestational diabetes" based only on obesity or family history.</w:t>
      </w:r>
    </w:p>
    <w:p>
      <w:pPr>
        <w:pStyle w:val="ListBullet"/>
      </w:pPr>
      <w:r>
        <w:t>"Diabetes is controlled" based on one normal glucose value.</w:t>
      </w:r>
    </w:p>
    <w:p>
      <w:pPr>
        <w:pStyle w:val="ListBullet"/>
      </w:pPr>
      <w:r>
        <w:t>"Cesarean delivery is required" solely because diabetes is present.</w:t>
      </w:r>
    </w:p>
    <w:p>
      <w:pPr>
        <w:pStyle w:val="ListBullet"/>
      </w:pPr>
      <w:r>
        <w:t>"No diabetes" because the patient has no risk factors.</w:t>
      </w:r>
    </w:p>
    <w:p>
      <w:pPr>
        <w:pStyle w:val="ListBullet"/>
      </w:pPr>
      <w:r>
        <w:t>Medication or insulin dose recommendations generated without an authorized clinical protocol.</w:t>
      </w:r>
    </w:p>
    <w:p>
      <w:pPr>
        <w:pStyle w:val="Heading1"/>
      </w:pPr>
      <w:r>
        <w:t>12. Missing Data and Safety Rules</w:t>
      </w:r>
    </w:p>
    <w:p>
      <w:pPr>
        <w:pStyle w:val="ListBullet"/>
      </w:pPr>
      <w:r>
        <w:t>Unknown diabetes status is not equivalent to no diabetes.</w:t>
      </w:r>
    </w:p>
    <w:p>
      <w:pPr>
        <w:pStyle w:val="ListBullet"/>
      </w:pPr>
      <w:r>
        <w:t>No recorded glucose test is not equivalent to a normal test.</w:t>
      </w:r>
    </w:p>
    <w:p>
      <w:pPr>
        <w:pStyle w:val="ListBullet"/>
      </w:pPr>
      <w:r>
        <w:t>A normal early test in a patient with previous GDM may not eliminate the need for later testing.</w:t>
      </w:r>
    </w:p>
    <w:p>
      <w:pPr>
        <w:pStyle w:val="ListBullet"/>
      </w:pPr>
      <w:r>
        <w:t>A laboratory value without units must not be interpreted.</w:t>
      </w:r>
    </w:p>
    <w:p>
      <w:pPr>
        <w:pStyle w:val="ListBullet"/>
      </w:pPr>
      <w:r>
        <w:t>A result without fasting status or collection time must not be compared with a fasting or post-meal threshold.</w:t>
      </w:r>
    </w:p>
    <w:p>
      <w:pPr>
        <w:pStyle w:val="ListBullet"/>
      </w:pPr>
      <w:r>
        <w:t>The system must preserve original laboratory values and never overwrite them with a derived category.</w:t>
      </w:r>
    </w:p>
    <w:p>
      <w:pPr>
        <w:pStyle w:val="ListBullet"/>
      </w:pPr>
      <w:r>
        <w:t>The selected diagnostic guideline and version must be stored with the interpretation.</w:t>
      </w:r>
    </w:p>
    <w:p>
      <w:pPr>
        <w:pStyle w:val="ListBullet"/>
      </w:pPr>
      <w:r>
        <w:t>Urgent maternal or fetal symptoms always override routine diabetes classification.</w:t>
      </w:r>
    </w:p>
    <w:p>
      <w:pPr>
        <w:pStyle w:val="ListBullet"/>
      </w:pPr>
      <w:r>
        <w:t>The CDSS must not delay emergency care while waiting for confirmatory glucose testing.</w:t>
      </w:r>
    </w:p>
    <w:p>
      <w:pPr>
        <w:pStyle w:val="ListBullet"/>
      </w:pPr>
      <w:r>
        <w:t>Postpartum follow-up must remain visible because GDM increases future diabetes risk.</w:t>
      </w:r>
    </w:p>
    <w:p>
      <w:pPr>
        <w:pStyle w:val="Heading1"/>
      </w:pPr>
      <w:r>
        <w:t>13. Final CDSS Classification</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3744"/>
            <w:shd w:fill="D9EAF7"/>
            <w:vAlign w:val="center"/>
          </w:tcPr>
          <w:p>
            <w:pPr>
              <w:pStyle w:val="TableText"/>
            </w:pPr>
            <w:r>
              <w:rPr>
                <w:b/>
              </w:rPr>
              <w:t>Property</w:t>
            </w:r>
          </w:p>
        </w:tc>
        <w:tc>
          <w:tcPr>
            <w:tcW w:type="dxa" w:w="7056"/>
            <w:shd w:fill="D9EAF7"/>
            <w:vAlign w:val="center"/>
          </w:tcPr>
          <w:p>
            <w:pPr>
              <w:pStyle w:val="TableText"/>
            </w:pPr>
            <w:r>
              <w:rPr>
                <w:b/>
              </w:rPr>
              <w:t>Decision</w:t>
            </w:r>
          </w:p>
        </w:tc>
      </w:tr>
      <w:tr>
        <w:tc>
          <w:tcPr>
            <w:tcW w:type="dxa" w:w="3744"/>
            <w:vAlign w:val="top"/>
          </w:tcPr>
          <w:p>
            <w:pPr>
              <w:pStyle w:val="TableText"/>
            </w:pPr>
            <w:r>
              <w:t>Include in knowledge engine?</w:t>
            </w:r>
          </w:p>
        </w:tc>
        <w:tc>
          <w:tcPr>
            <w:tcW w:type="dxa" w:w="7056"/>
            <w:vAlign w:val="top"/>
          </w:tcPr>
          <w:p>
            <w:pPr>
              <w:pStyle w:val="TableText"/>
            </w:pPr>
            <w:r>
              <w:t>Yes.</w:t>
            </w:r>
          </w:p>
        </w:tc>
      </w:tr>
      <w:tr>
        <w:tc>
          <w:tcPr>
            <w:tcW w:type="dxa" w:w="3744"/>
            <w:vAlign w:val="top"/>
          </w:tcPr>
          <w:p>
            <w:pPr>
              <w:pStyle w:val="TableText"/>
            </w:pPr>
            <w:r>
              <w:t>Overall role</w:t>
            </w:r>
          </w:p>
        </w:tc>
        <w:tc>
          <w:tcPr>
            <w:tcW w:type="dxa" w:w="7056"/>
            <w:vAlign w:val="top"/>
          </w:tcPr>
          <w:p>
            <w:pPr>
              <w:pStyle w:val="TableText"/>
            </w:pPr>
            <w:r>
              <w:t>Major clinical factor, screening pathway, referral-planning factor, and possible emergency context.</w:t>
            </w:r>
          </w:p>
        </w:tc>
      </w:tr>
      <w:tr>
        <w:tc>
          <w:tcPr>
            <w:tcW w:type="dxa" w:w="3744"/>
            <w:vAlign w:val="top"/>
          </w:tcPr>
          <w:p>
            <w:pPr>
              <w:pStyle w:val="TableText"/>
            </w:pPr>
            <w:r>
              <w:t>Automatic urgent override by diagnosis alone?</w:t>
            </w:r>
          </w:p>
        </w:tc>
        <w:tc>
          <w:tcPr>
            <w:tcW w:type="dxa" w:w="7056"/>
            <w:vAlign w:val="top"/>
          </w:tcPr>
          <w:p>
            <w:pPr>
              <w:pStyle w:val="TableText"/>
            </w:pPr>
            <w:r>
              <w:t>No.</w:t>
            </w:r>
          </w:p>
        </w:tc>
      </w:tr>
      <w:tr>
        <w:tc>
          <w:tcPr>
            <w:tcW w:type="dxa" w:w="3744"/>
            <w:vAlign w:val="top"/>
          </w:tcPr>
          <w:p>
            <w:pPr>
              <w:pStyle w:val="TableText"/>
            </w:pPr>
            <w:r>
              <w:t>Automatic referral/co-management recommendation?</w:t>
            </w:r>
          </w:p>
        </w:tc>
        <w:tc>
          <w:tcPr>
            <w:tcW w:type="dxa" w:w="7056"/>
            <w:vAlign w:val="top"/>
          </w:tcPr>
          <w:p>
            <w:pPr>
              <w:pStyle w:val="TableText"/>
            </w:pPr>
            <w:r>
              <w:t>Yes for confirmed pre-existing diabetes and confirmed GDM, subject to local pathway.</w:t>
            </w:r>
          </w:p>
        </w:tc>
      </w:tr>
      <w:tr>
        <w:tc>
          <w:tcPr>
            <w:tcW w:type="dxa" w:w="3744"/>
            <w:vAlign w:val="top"/>
          </w:tcPr>
          <w:p>
            <w:pPr>
              <w:pStyle w:val="TableText"/>
            </w:pPr>
            <w:r>
              <w:t>Can risk factors diagnose GDM?</w:t>
            </w:r>
          </w:p>
        </w:tc>
        <w:tc>
          <w:tcPr>
            <w:tcW w:type="dxa" w:w="7056"/>
            <w:vAlign w:val="top"/>
          </w:tcPr>
          <w:p>
            <w:pPr>
              <w:pStyle w:val="TableText"/>
            </w:pPr>
            <w:r>
              <w:t>No.</w:t>
            </w:r>
          </w:p>
        </w:tc>
      </w:tr>
      <w:tr>
        <w:tc>
          <w:tcPr>
            <w:tcW w:type="dxa" w:w="3744"/>
            <w:vAlign w:val="top"/>
          </w:tcPr>
          <w:p>
            <w:pPr>
              <w:pStyle w:val="TableText"/>
            </w:pPr>
            <w:r>
              <w:t>Can a single unsupported glucose value diagnose GDM?</w:t>
            </w:r>
          </w:p>
        </w:tc>
        <w:tc>
          <w:tcPr>
            <w:tcW w:type="dxa" w:w="7056"/>
            <w:vAlign w:val="top"/>
          </w:tcPr>
          <w:p>
            <w:pPr>
              <w:pStyle w:val="TableText"/>
            </w:pPr>
            <w:r>
              <w:t>No.</w:t>
            </w:r>
          </w:p>
        </w:tc>
      </w:tr>
      <w:tr>
        <w:tc>
          <w:tcPr>
            <w:tcW w:type="dxa" w:w="3744"/>
            <w:vAlign w:val="top"/>
          </w:tcPr>
          <w:p>
            <w:pPr>
              <w:pStyle w:val="TableText"/>
            </w:pPr>
            <w:r>
              <w:t>Can urgent symptoms bypass scoring?</w:t>
            </w:r>
          </w:p>
        </w:tc>
        <w:tc>
          <w:tcPr>
            <w:tcW w:type="dxa" w:w="7056"/>
            <w:vAlign w:val="top"/>
          </w:tcPr>
          <w:p>
            <w:pPr>
              <w:pStyle w:val="TableText"/>
            </w:pPr>
            <w:r>
              <w:t>Yes.</w:t>
            </w:r>
          </w:p>
        </w:tc>
      </w:tr>
      <w:tr>
        <w:tc>
          <w:tcPr>
            <w:tcW w:type="dxa" w:w="3744"/>
            <w:vAlign w:val="top"/>
          </w:tcPr>
          <w:p>
            <w:pPr>
              <w:pStyle w:val="TableText"/>
            </w:pPr>
            <w:r>
              <w:t>Can the CDSS prescribe treatment?</w:t>
            </w:r>
          </w:p>
        </w:tc>
        <w:tc>
          <w:tcPr>
            <w:tcW w:type="dxa" w:w="7056"/>
            <w:vAlign w:val="top"/>
          </w:tcPr>
          <w:p>
            <w:pPr>
              <w:pStyle w:val="TableText"/>
            </w:pPr>
            <w:r>
              <w:t>No.</w:t>
            </w:r>
          </w:p>
        </w:tc>
      </w:tr>
      <w:tr>
        <w:tc>
          <w:tcPr>
            <w:tcW w:type="dxa" w:w="3744"/>
            <w:vAlign w:val="top"/>
          </w:tcPr>
          <w:p>
            <w:pPr>
              <w:pStyle w:val="TableText"/>
            </w:pPr>
            <w:r>
              <w:t>Required clinical validation</w:t>
            </w:r>
          </w:p>
        </w:tc>
        <w:tc>
          <w:tcPr>
            <w:tcW w:type="dxa" w:w="7056"/>
            <w:vAlign w:val="top"/>
          </w:tcPr>
          <w:p>
            <w:pPr>
              <w:pStyle w:val="TableText"/>
            </w:pPr>
            <w:r>
              <w:t>Diagnostic protocol, thresholds, screening schedule, target ranges, referral pathway, and delivery policy.</w:t>
            </w:r>
          </w:p>
        </w:tc>
      </w:tr>
      <w:tr>
        <w:tc>
          <w:tcPr>
            <w:tcW w:type="dxa" w:w="3744"/>
            <w:vAlign w:val="top"/>
          </w:tcPr>
          <w:p>
            <w:pPr>
              <w:pStyle w:val="TableText"/>
            </w:pPr>
            <w:r>
              <w:t>Required explanation</w:t>
            </w:r>
          </w:p>
        </w:tc>
        <w:tc>
          <w:tcPr>
            <w:tcW w:type="dxa" w:w="7056"/>
            <w:vAlign w:val="top"/>
          </w:tcPr>
          <w:p>
            <w:pPr>
              <w:pStyle w:val="TableText"/>
            </w:pPr>
            <w:r>
              <w:t>State whether the evidence is risk, screening, confirmed diagnosis, control concern, or emergency warning.</w:t>
            </w:r>
          </w:p>
        </w:tc>
      </w:tr>
    </w:tbl>
    <w:p/>
    <w:p>
      <w:pPr>
        <w:pStyle w:val="Heading1"/>
      </w:pPr>
      <w:r>
        <w:t>14. Evidence Traceability Matrix</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4176"/>
            <w:shd w:fill="D9EAF7"/>
            <w:vAlign w:val="center"/>
          </w:tcPr>
          <w:p>
            <w:pPr>
              <w:pStyle w:val="TableText"/>
            </w:pPr>
            <w:r>
              <w:rPr>
                <w:b/>
              </w:rPr>
              <w:t>Knowledge claim</w:t>
            </w:r>
          </w:p>
        </w:tc>
        <w:tc>
          <w:tcPr>
            <w:tcW w:type="dxa" w:w="3456"/>
            <w:shd w:fill="D9EAF7"/>
            <w:vAlign w:val="center"/>
          </w:tcPr>
          <w:p>
            <w:pPr>
              <w:pStyle w:val="TableText"/>
            </w:pPr>
            <w:r>
              <w:rPr>
                <w:b/>
              </w:rPr>
              <w:t>Primary evidence source</w:t>
            </w:r>
          </w:p>
        </w:tc>
        <w:tc>
          <w:tcPr>
            <w:tcW w:type="dxa" w:w="3312"/>
            <w:shd w:fill="D9EAF7"/>
            <w:vAlign w:val="center"/>
          </w:tcPr>
          <w:p>
            <w:pPr>
              <w:pStyle w:val="TableText"/>
            </w:pPr>
            <w:r>
              <w:rPr>
                <w:b/>
              </w:rPr>
              <w:t>Rule implication</w:t>
            </w:r>
          </w:p>
        </w:tc>
      </w:tr>
      <w:tr>
        <w:tc>
          <w:tcPr>
            <w:tcW w:type="dxa" w:w="4176"/>
            <w:vAlign w:val="top"/>
          </w:tcPr>
          <w:p>
            <w:pPr>
              <w:pStyle w:val="TableText"/>
            </w:pPr>
            <w:r>
              <w:t>Diabetes in pregnancy includes pre-existing diabetes and hyperglycaemia first identified during pregnancy and requires intensified care.</w:t>
            </w:r>
          </w:p>
        </w:tc>
        <w:tc>
          <w:tcPr>
            <w:tcW w:type="dxa" w:w="3456"/>
            <w:vAlign w:val="top"/>
          </w:tcPr>
          <w:p>
            <w:pPr>
              <w:pStyle w:val="TableText"/>
            </w:pPr>
            <w:r>
              <w:t>WHO 2025 diabetes-in-pregnancy guideline.</w:t>
            </w:r>
          </w:p>
        </w:tc>
        <w:tc>
          <w:tcPr>
            <w:tcW w:type="dxa" w:w="3312"/>
            <w:vAlign w:val="top"/>
          </w:tcPr>
          <w:p>
            <w:pPr>
              <w:pStyle w:val="TableText"/>
            </w:pPr>
            <w:r>
              <w:t>Create separate structured pathways; recommend coordinated care.</w:t>
            </w:r>
          </w:p>
        </w:tc>
      </w:tr>
      <w:tr>
        <w:tc>
          <w:tcPr>
            <w:tcW w:type="dxa" w:w="4176"/>
            <w:vAlign w:val="top"/>
          </w:tcPr>
          <w:p>
            <w:pPr>
              <w:pStyle w:val="TableText"/>
            </w:pPr>
            <w:r>
              <w:t>Good glucose control reduces but does not eliminate adverse outcomes.</w:t>
            </w:r>
          </w:p>
        </w:tc>
        <w:tc>
          <w:tcPr>
            <w:tcW w:type="dxa" w:w="3456"/>
            <w:vAlign w:val="top"/>
          </w:tcPr>
          <w:p>
            <w:pPr>
              <w:pStyle w:val="TableText"/>
            </w:pPr>
            <w:r>
              <w:t>NICE NG3.</w:t>
            </w:r>
          </w:p>
        </w:tc>
        <w:tc>
          <w:tcPr>
            <w:tcW w:type="dxa" w:w="3312"/>
            <w:vAlign w:val="top"/>
          </w:tcPr>
          <w:p>
            <w:pPr>
              <w:pStyle w:val="TableText"/>
            </w:pPr>
            <w:r>
              <w:t>Do not promise safety based on control status.</w:t>
            </w:r>
          </w:p>
        </w:tc>
      </w:tr>
      <w:tr>
        <w:tc>
          <w:tcPr>
            <w:tcW w:type="dxa" w:w="4176"/>
            <w:vAlign w:val="top"/>
          </w:tcPr>
          <w:p>
            <w:pPr>
              <w:pStyle w:val="TableText"/>
            </w:pPr>
            <w:r>
              <w:t>GDM risk assessment and diagnostic testing are separate processes.</w:t>
            </w:r>
          </w:p>
        </w:tc>
        <w:tc>
          <w:tcPr>
            <w:tcW w:type="dxa" w:w="3456"/>
            <w:vAlign w:val="top"/>
          </w:tcPr>
          <w:p>
            <w:pPr>
              <w:pStyle w:val="TableText"/>
            </w:pPr>
            <w:r>
              <w:t>NICE NG3; ACOG gestational diabetes guidance.</w:t>
            </w:r>
          </w:p>
        </w:tc>
        <w:tc>
          <w:tcPr>
            <w:tcW w:type="dxa" w:w="3312"/>
            <w:vAlign w:val="top"/>
          </w:tcPr>
          <w:p>
            <w:pPr>
              <w:pStyle w:val="TableText"/>
            </w:pPr>
            <w:r>
              <w:t>Never diagnose from risk factors or a screening result alone.</w:t>
            </w:r>
          </w:p>
        </w:tc>
      </w:tr>
      <w:tr>
        <w:tc>
          <w:tcPr>
            <w:tcW w:type="dxa" w:w="4176"/>
            <w:vAlign w:val="top"/>
          </w:tcPr>
          <w:p>
            <w:pPr>
              <w:pStyle w:val="TableText"/>
            </w:pPr>
            <w:r>
              <w:t>Testing is generally performed at 24-28 weeks, with earlier testing for selected patients.</w:t>
            </w:r>
          </w:p>
        </w:tc>
        <w:tc>
          <w:tcPr>
            <w:tcW w:type="dxa" w:w="3456"/>
            <w:vAlign w:val="top"/>
          </w:tcPr>
          <w:p>
            <w:pPr>
              <w:pStyle w:val="TableText"/>
            </w:pPr>
            <w:r>
              <w:t>ACOG public guidance; NICE NG3 for risk-based timing.</w:t>
            </w:r>
          </w:p>
        </w:tc>
        <w:tc>
          <w:tcPr>
            <w:tcW w:type="dxa" w:w="3312"/>
            <w:vAlign w:val="top"/>
          </w:tcPr>
          <w:p>
            <w:pPr>
              <w:pStyle w:val="TableText"/>
            </w:pPr>
            <w:r>
              <w:t>Create gestational-age-aware reminders using the clinic's chosen protocol.</w:t>
            </w:r>
          </w:p>
        </w:tc>
      </w:tr>
      <w:tr>
        <w:tc>
          <w:tcPr>
            <w:tcW w:type="dxa" w:w="4176"/>
            <w:vAlign w:val="top"/>
          </w:tcPr>
          <w:p>
            <w:pPr>
              <w:pStyle w:val="TableText"/>
            </w:pPr>
            <w:r>
              <w:t>Previous GDM requires early and possibly repeat testing.</w:t>
            </w:r>
          </w:p>
        </w:tc>
        <w:tc>
          <w:tcPr>
            <w:tcW w:type="dxa" w:w="3456"/>
            <w:vAlign w:val="top"/>
          </w:tcPr>
          <w:p>
            <w:pPr>
              <w:pStyle w:val="TableText"/>
            </w:pPr>
            <w:r>
              <w:t>NICE NG3; ACOG guidance.</w:t>
            </w:r>
          </w:p>
        </w:tc>
        <w:tc>
          <w:tcPr>
            <w:tcW w:type="dxa" w:w="3312"/>
            <w:vAlign w:val="top"/>
          </w:tcPr>
          <w:p>
            <w:pPr>
              <w:pStyle w:val="TableText"/>
            </w:pPr>
            <w:r>
              <w:t>Previous GDM is a recurrence risk, not a current diagnosis.</w:t>
            </w:r>
          </w:p>
        </w:tc>
      </w:tr>
      <w:tr>
        <w:tc>
          <w:tcPr>
            <w:tcW w:type="dxa" w:w="4176"/>
            <w:vAlign w:val="top"/>
          </w:tcPr>
          <w:p>
            <w:pPr>
              <w:pStyle w:val="TableText"/>
            </w:pPr>
            <w:r>
              <w:t>GDM requires more monitoring and may require medication and fetal assessment.</w:t>
            </w:r>
          </w:p>
        </w:tc>
        <w:tc>
          <w:tcPr>
            <w:tcW w:type="dxa" w:w="3456"/>
            <w:vAlign w:val="top"/>
          </w:tcPr>
          <w:p>
            <w:pPr>
              <w:pStyle w:val="TableText"/>
            </w:pPr>
            <w:r>
              <w:t>WHO, NICE, ACOG.</w:t>
            </w:r>
          </w:p>
        </w:tc>
        <w:tc>
          <w:tcPr>
            <w:tcW w:type="dxa" w:w="3312"/>
            <w:vAlign w:val="top"/>
          </w:tcPr>
          <w:p>
            <w:pPr>
              <w:pStyle w:val="TableText"/>
            </w:pPr>
            <w:r>
              <w:t>Recommend co-management, not autonomous treatment.</w:t>
            </w:r>
          </w:p>
        </w:tc>
      </w:tr>
      <w:tr>
        <w:tc>
          <w:tcPr>
            <w:tcW w:type="dxa" w:w="4176"/>
            <w:vAlign w:val="top"/>
          </w:tcPr>
          <w:p>
            <w:pPr>
              <w:pStyle w:val="TableText"/>
            </w:pPr>
            <w:r>
              <w:t>Diabetes is associated with maternal and neonatal complications.</w:t>
            </w:r>
          </w:p>
        </w:tc>
        <w:tc>
          <w:tcPr>
            <w:tcW w:type="dxa" w:w="3456"/>
            <w:vAlign w:val="top"/>
          </w:tcPr>
          <w:p>
            <w:pPr>
              <w:pStyle w:val="TableText"/>
            </w:pPr>
            <w:r>
              <w:t>WHO, NICE, ACOG.</w:t>
            </w:r>
          </w:p>
        </w:tc>
        <w:tc>
          <w:tcPr>
            <w:tcW w:type="dxa" w:w="3312"/>
            <w:vAlign w:val="top"/>
          </w:tcPr>
          <w:p>
            <w:pPr>
              <w:pStyle w:val="TableText"/>
            </w:pPr>
            <w:r>
              <w:t>Use diabetes as a major referral-planning factor.</w:t>
            </w:r>
          </w:p>
        </w:tc>
      </w:tr>
      <w:tr>
        <w:tc>
          <w:tcPr>
            <w:tcW w:type="dxa" w:w="4176"/>
            <w:vAlign w:val="top"/>
          </w:tcPr>
          <w:p>
            <w:pPr>
              <w:pStyle w:val="TableText"/>
            </w:pPr>
            <w:r>
              <w:t>Postpartum testing and long-term follow-up are required after GDM.</w:t>
            </w:r>
          </w:p>
        </w:tc>
        <w:tc>
          <w:tcPr>
            <w:tcW w:type="dxa" w:w="3456"/>
            <w:vAlign w:val="top"/>
          </w:tcPr>
          <w:p>
            <w:pPr>
              <w:pStyle w:val="TableText"/>
            </w:pPr>
            <w:r>
              <w:t>NICE NG3; ACOG.</w:t>
            </w:r>
          </w:p>
        </w:tc>
        <w:tc>
          <w:tcPr>
            <w:tcW w:type="dxa" w:w="3312"/>
            <w:vAlign w:val="top"/>
          </w:tcPr>
          <w:p>
            <w:pPr>
              <w:pStyle w:val="TableText"/>
            </w:pPr>
            <w:r>
              <w:t>Maintain postpartum reminders and history across pregnancies.</w:t>
            </w:r>
          </w:p>
        </w:tc>
      </w:tr>
      <w:tr>
        <w:tc>
          <w:tcPr>
            <w:tcW w:type="dxa" w:w="4176"/>
            <w:vAlign w:val="top"/>
          </w:tcPr>
          <w:p>
            <w:pPr>
              <w:pStyle w:val="TableText"/>
            </w:pPr>
            <w:r>
              <w:t>Philippine maternal-care frameworks require identification and referral of high-risk pregnancy.</w:t>
            </w:r>
          </w:p>
        </w:tc>
        <w:tc>
          <w:tcPr>
            <w:tcW w:type="dxa" w:w="3456"/>
            <w:vAlign w:val="top"/>
          </w:tcPr>
          <w:p>
            <w:pPr>
              <w:pStyle w:val="TableText"/>
            </w:pPr>
            <w:r>
              <w:t>Republic Act No. 11148 and applicable maternal-health policy.</w:t>
            </w:r>
          </w:p>
        </w:tc>
        <w:tc>
          <w:tcPr>
            <w:tcW w:type="dxa" w:w="3312"/>
            <w:vAlign w:val="top"/>
          </w:tcPr>
          <w:p>
            <w:pPr>
              <w:pStyle w:val="TableText"/>
            </w:pPr>
            <w:r>
              <w:t>Local referral pathway must be validated before deployment.</w:t>
            </w:r>
          </w:p>
        </w:tc>
      </w:tr>
    </w:tbl>
    <w:p/>
    <w:p>
      <w:pPr>
        <w:pStyle w:val="Heading1"/>
      </w:pPr>
      <w:r>
        <w:t>15. Limitations and Required Validation</w:t>
      </w:r>
    </w:p>
    <w:p>
      <w:pPr>
        <w:pStyle w:val="ListBullet"/>
      </w:pPr>
      <w:r>
        <w:t>Diagnostic thresholds differ among international guidelines; this chapter intentionally does not merge them into one universal rule.</w:t>
      </w:r>
    </w:p>
    <w:p>
      <w:pPr>
        <w:pStyle w:val="ListBullet"/>
      </w:pPr>
      <w:r>
        <w:t>Professional ACOG practice bulletins contain detailed recommendations that may require subscription access; public ACOG materials were used only within their available scope.</w:t>
      </w:r>
    </w:p>
    <w:p>
      <w:pPr>
        <w:pStyle w:val="ListBullet"/>
      </w:pPr>
      <w:r>
        <w:t>The WHO 2025 guideline is new and local Philippine adoption may not yet be uniform.</w:t>
      </w:r>
    </w:p>
    <w:p>
      <w:pPr>
        <w:pStyle w:val="ListBullet"/>
      </w:pPr>
      <w:r>
        <w:t>No current official Philippine national diagnostic algorithm suitable for direct coding was verified during this review.</w:t>
      </w:r>
    </w:p>
    <w:p>
      <w:pPr>
        <w:pStyle w:val="ListBullet"/>
      </w:pPr>
      <w:r>
        <w:t>Laboratory quality, sample handling, glucose units, and local test availability affect interpretation.</w:t>
      </w:r>
    </w:p>
    <w:p>
      <w:pPr>
        <w:pStyle w:val="ListBullet"/>
      </w:pPr>
      <w:r>
        <w:t>A lying-in clinic's ability to monitor or deliver a patient with diabetes depends on its license, staff, emergency capacity, referral agreements, and supervising medical arrangements.</w:t>
      </w:r>
    </w:p>
    <w:p>
      <w:pPr>
        <w:pStyle w:val="ListBullet"/>
      </w:pPr>
      <w:r>
        <w:t>All logic must be clinically reviewed before live use and tested for missed cases, over-referral, false reassurance, and workflow burden.</w:t>
      </w:r>
    </w:p>
    <w:p>
      <w:pPr>
        <w:pStyle w:val="Heading1"/>
      </w:pPr>
      <w:r>
        <w:t>16. Final Recommendation</w:t>
      </w:r>
    </w:p>
    <w:p>
      <w:r>
        <w:t>Diabetes in pregnancy should be treated as a dedicated clinical pathway in the CDSS. Confirmed pre-existing diabetes and confirmed GDM should normally lead to documented obstetric or multidisciplinary co-management and delivery planning. Risk factors should prompt screening rather than disease classification. Incomplete or ambiguous glucose data should produce an 'assessment pending' state. Severe illness, suspected ketoacidosis, severe hypoglycaemia, or time-sensitive maternal or fetal warning findings must bypass the ordinary risk index and activate the urgent referral pathway.</w:t>
      </w:r>
    </w:p>
    <w:p>
      <w:pPr>
        <w:pStyle w:val="Heading1"/>
      </w:pPr>
      <w:r>
        <w:t>17. Next Knowledge-Base Chapter</w:t>
      </w:r>
    </w:p>
    <w:p>
      <w:r>
        <w:t>Part 4 will evaluate anemia in pregnancy. It will distinguish symptoms, screening, hemoglobin concentration, severity, gestational timing, nutritional causes, bleeding, treatment status, and urgent referral indicators. The current binary 'anemia: yes/no' field will be evaluated against evidence-based thresholds and data-quality requirements.</w:t>
      </w:r>
    </w:p>
    <w:p>
      <w:r>
        <w:br w:type="page"/>
      </w:r>
    </w:p>
    <w:p>
      <w:pPr>
        <w:pStyle w:val="Heading1"/>
      </w:pPr>
      <w:r>
        <w:t>References</w:t>
      </w:r>
    </w:p>
    <w:p>
      <w:pPr>
        <w:ind w:left="432" w:hanging="432"/>
      </w:pPr>
      <w:r>
        <w:t>American College of Obstetricians and Gynecologists. (2018). Gestational diabetes mellitus: Practice Bulletin No. 190. Obstetrics &amp; Gynecology, 131(2), e49-e64. Reaffirmed 2024. https://www.acog.org/clinical/clinical-guidance/practice-bulletin/articles/2018/02/gestational-diabetes-mellitus</w:t>
      </w:r>
    </w:p>
    <w:p>
      <w:pPr>
        <w:ind w:left="432" w:hanging="432"/>
      </w:pPr>
      <w:r>
        <w:t>American College of Obstetricians and Gynecologists. (2018). Pregestational diabetes mellitus: Practice Bulletin No. 201. Obstetrics &amp; Gynecology, 132(6), e228-e248. Reaffirmed 2025. https://www.acog.org/clinical/clinical-guidance/practice-bulletin/articles/2018/12/pregestational-diabetes-mellitus</w:t>
      </w:r>
    </w:p>
    <w:p>
      <w:pPr>
        <w:ind w:left="432" w:hanging="432"/>
      </w:pPr>
      <w:r>
        <w:t>American College of Obstetricians and Gynecologists. (2020). Gestational diabetes. FAQ177. Last reviewed April 2026. https://www.acog.org/womens-health/faqs/gestational-diabetes</w:t>
      </w:r>
    </w:p>
    <w:p>
      <w:pPr>
        <w:ind w:left="432" w:hanging="432"/>
      </w:pPr>
      <w:r>
        <w:t>American College of Obstetricians and Gynecologists. (n.d.). Pregnancy with type 1 or type 2 diabetes. https://www.acog.org/womens-health/faqs/pregnancy-with-type-1-or-type-2-diabetes</w:t>
      </w:r>
    </w:p>
    <w:p>
      <w:pPr>
        <w:ind w:left="432" w:hanging="432"/>
      </w:pPr>
      <w:r>
        <w:t>American College of Obstetricians and Gynecologists. (n.d.). Routine tests during pregnancy. https://www.acog.org/womens-health/faqs/routine-tests-during-pregnancy</w:t>
      </w:r>
    </w:p>
    <w:p>
      <w:pPr>
        <w:ind w:left="432" w:hanging="432"/>
      </w:pPr>
      <w:r>
        <w:t>National Institute for Health and Care Excellence. (2015). Diabetes in pregnancy: Management from preconception to the postnatal period (NICE Guideline NG3). Updated December 2020. https://www.nice.org.uk/guidance/ng3</w:t>
      </w:r>
    </w:p>
    <w:p>
      <w:pPr>
        <w:ind w:left="432" w:hanging="432"/>
      </w:pPr>
      <w:r>
        <w:t>Republic of the Philippines. (2018). Republic Act No. 11148: Kalusugan at Nutrisyon ng Mag-Nanay Act. https://lawphil.net/statutes/repacts/ra2018/ra_11148_2018.html</w:t>
      </w:r>
    </w:p>
    <w:p>
      <w:pPr>
        <w:ind w:left="432" w:hanging="432"/>
      </w:pPr>
      <w:r>
        <w:t>World Health Organization. (2025). WHO recommendations on care for women with diabetes during pregnancy. World Health Organization. https://www.who.int/publications/i/item/9789240117044</w:t>
      </w:r>
    </w:p>
    <w:p>
      <w:pPr>
        <w:ind w:left="432" w:hanging="432"/>
      </w:pPr>
      <w:r>
        <w:t>World Health Organization. (2025, November 14). WHO launches global guidelines on diabetes during pregnancy on World Diabetes Day. https://www.who.int/news/item/14-11-2025-who-launches-global-guidelines-on-diabetes-during-pregnancy-on-world-diabetes-day</w:t>
      </w:r>
    </w:p>
    <w:p>
      <w:pPr>
        <w:ind w:left="432" w:hanging="432"/>
      </w:pPr>
      <w:r>
        <w:t>World Health Organization. (2025). WHO recommendations on maternal health: Guidelines approved by the WHO Guidelines Review Committee (2nd ed.). https://www.who.int/publications/i/item/9789240080591</w:t>
      </w:r>
    </w:p>
    <w:p>
      <w:pPr>
        <w:pStyle w:val="Heading2"/>
      </w:pPr>
      <w:r>
        <w:t>Reference Integrity Note</w:t>
      </w:r>
    </w:p>
    <w:p>
      <w:r>
        <w:t>Every clinical statement in this chapter was limited to the scope of the sources listed above. The chapter does not claim that NICE diagnostic thresholds are Philippine national thresholds, does not infer inaccessible details from gated ACOG content, and does not invent a Philippine DOH diagnostic rule. Before thesis submission, bibliographic formatting should be checked against the university's required citation style.</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pPr>
    <w:rPr>
      <w:rFonts w:ascii="Arial" w:hAnsi="Arial"/>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