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C69C38"/>
          <w:sz w:val="30"/>
        </w:rPr>
        <w:t>DOCUMENT 1</w:t>
      </w:r>
    </w:p>
    <w:p>
      <w:pPr>
        <w:pStyle w:val="Title"/>
        <w:jc w:val="center"/>
      </w:pPr>
      <w:r>
        <w:t>Clinical Knowledge Base</w:t>
      </w:r>
    </w:p>
    <w:p>
      <w:pPr>
        <w:pStyle w:val="Subtitle"/>
        <w:jc w:val="center"/>
      </w:pPr>
      <w:r>
        <w:t>Part 8: Gestational Age, Last Menstrual Period, and Estimated Due Date</w:t>
      </w:r>
    </w:p>
    <w:p/>
    <w:tbl>
      <w:tblPr>
        <w:tblW w:type="auto" w:w="0"/>
        <w:jc w:val="center"/>
        <w:tblLook w:firstColumn="1" w:firstRow="1" w:lastColumn="0" w:lastRow="0" w:noHBand="0" w:noVBand="1" w:val="04A0"/>
      </w:tblPr>
      <w:tblGrid>
        <w:gridCol w:w="9994"/>
      </w:tblGrid>
      <w:tr>
        <w:trPr>
          <w:cantSplit/>
        </w:trPr>
        <w:tc>
          <w:tcPr>
            <w:tcW w:type="dxa" w:w="9994"/>
            <w:shd w:fill="EAF2F8"/>
            <w:tcBorders>
              <w:top w:val="single" w:sz="8" w:color="17365D"/>
              <w:left w:val="single" w:sz="8" w:color="17365D"/>
              <w:bottom w:val="single" w:sz="8" w:color="17365D"/>
              <w:right w:val="single" w:sz="8" w:color="17365D"/>
            </w:tcBorders>
          </w:tcPr>
          <w:p>
            <w:pPr>
              <w:pStyle w:val="Callout"/>
            </w:pPr>
            <w:r>
              <w:rPr>
                <w:b/>
                <w:color w:val="17365D"/>
              </w:rPr>
              <w:t xml:space="preserve">Purpose. </w:t>
            </w:r>
            <w:r>
              <w:t>Evidence synthesis and software-design specification for an explainable maternity Clinical Decision Support System (CDSS) used in a Philippine lying-in clinic. The CDSS supports documentation, recognition of uncertainty, and timely referral; it does not diagnose, prescribe, independently re-date a pregnancy, or replace qualified clinical judgment.</w:t>
            </w:r>
          </w:p>
        </w:tc>
      </w:tr>
    </w:tbl>
    <w:p/>
    <w:p>
      <w:pPr>
        <w:jc w:val="center"/>
      </w:pPr>
      <w:r>
        <w:rPr>
          <w:b/>
        </w:rPr>
        <w:t>Prepared for the Web-Based Maternity Management System</w:t>
        <w:br/>
      </w:r>
      <w:r>
        <w:rPr>
          <w:color w:val="666666"/>
        </w:rPr>
        <w:t>Evidence reviewed through July 2026</w:t>
      </w:r>
    </w:p>
    <w:p>
      <w:r>
        <w:br w:type="page"/>
      </w:r>
    </w:p>
    <w:p>
      <w:pPr>
        <w:pStyle w:val="Heading1"/>
      </w:pPr>
      <w:r>
        <w:t>Executive Summary</w:t>
      </w:r>
    </w:p>
    <w:p>
      <w:r>
        <w:t>Gestational age is a foundational clinical variable because it determines how nearly every antenatal finding is interpreted. The meaning of blood pressure, fetal heart activity, fundal height, fetal movement, fetal presentation, ultrasound biometry, preterm symptoms, and timing of referral depends on a reliable estimate of pregnancy age. A CDSS must therefore treat gestational age as a versioned clinical estimate with a documented source and confidence—not as a simple number calculated repeatedly from any available date.</w:t>
      </w:r>
    </w:p>
    <w:tbl>
      <w:tblPr>
        <w:tblW w:type="auto" w:w="0"/>
        <w:jc w:val="center"/>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Core decision. </w:t>
            </w:r>
            <w:r>
              <w:t>The system should maintain one current “best obstetric estimate” of gestational age and EDD, preserve all source observations, record who confirmed or changed the estimate, and prevent silent or automatic re-dating from later ultrasound measurements.</w:t>
            </w:r>
          </w:p>
        </w:tc>
      </w:tr>
    </w:tbl>
    <w:p/>
    <w:p>
      <w:pPr>
        <w:pStyle w:val="ListBullet"/>
        <w:spacing w:after="50"/>
      </w:pPr>
      <w:r>
        <w:rPr>
          <w:b/>
        </w:rPr>
        <w:t xml:space="preserve">LMP is useful but conditional. </w:t>
      </w:r>
      <w:r>
        <w:t>It assumes reliable recall, a reasonably regular cycle, and no circumstances that make menstrual dating unreliable.</w:t>
      </w:r>
    </w:p>
    <w:p>
      <w:pPr>
        <w:pStyle w:val="ListBullet"/>
        <w:spacing w:after="50"/>
      </w:pPr>
      <w:r>
        <w:rPr>
          <w:b/>
        </w:rPr>
        <w:t xml:space="preserve">Early ultrasound is preferred for confirmation. </w:t>
      </w:r>
      <w:r>
        <w:t>WHO recommends one ultrasound before 24 weeks; NICE offers a dating scan at 11+2 to 14+1 weeks; ACOG identifies first-trimester CRL dating as the most accurate method.</w:t>
      </w:r>
    </w:p>
    <w:p>
      <w:pPr>
        <w:pStyle w:val="ListBullet"/>
        <w:spacing w:after="50"/>
      </w:pPr>
      <w:r>
        <w:rPr>
          <w:b/>
        </w:rPr>
        <w:t xml:space="preserve">Later ultrasound is less precise. </w:t>
      </w:r>
      <w:r>
        <w:t>Third-trimester ultrasound should not casually overwrite an established EDD because fetal size variation or growth restriction can be mistaken for a dating error.</w:t>
      </w:r>
    </w:p>
    <w:p>
      <w:pPr>
        <w:pStyle w:val="ListBullet"/>
        <w:spacing w:after="50"/>
      </w:pPr>
      <w:r>
        <w:rPr>
          <w:b/>
        </w:rPr>
        <w:t xml:space="preserve">Uncertain dating is not a diagnosis. </w:t>
      </w:r>
      <w:r>
        <w:t>It is a data-quality and management concern that should generate a visible uncertainty flag and appropriate review, not an automatic HIGH label.</w:t>
      </w:r>
    </w:p>
    <w:p>
      <w:pPr>
        <w:pStyle w:val="ListBullet"/>
        <w:spacing w:after="50"/>
      </w:pPr>
      <w:r>
        <w:rPr>
          <w:b/>
        </w:rPr>
        <w:t xml:space="preserve">The EDD should be stable. </w:t>
      </w:r>
      <w:r>
        <w:t>Changes should be uncommon, clinically authorized, explained, and auditable.</w:t>
      </w:r>
    </w:p>
    <w:p>
      <w:pPr>
        <w:pStyle w:val="Heading2"/>
      </w:pPr>
      <w:r>
        <w:t>Principal CDSS outcome</w:t>
      </w:r>
    </w:p>
    <w:p>
      <w:r>
        <w:t>Part 8 replaces the unsafe pattern “LMP → calculated EDD → permanent truth” with a transparent workflow: collect dating evidence, assess source reliability, establish the best obstetric estimate, document uncertainty, preserve an audit trail, and trigger review when evidence is missing or materially discordant.</w:t>
      </w:r>
    </w:p>
    <w:p>
      <w:pPr>
        <w:pStyle w:val="Heading1"/>
      </w:pPr>
      <w:r>
        <w:t>1. Scope and Clinical Questions</w:t>
      </w:r>
    </w:p>
    <w:p>
      <w:r>
        <w:t>This chapter addresses the following questions:</w:t>
      </w:r>
    </w:p>
    <w:p>
      <w:pPr>
        <w:pStyle w:val="ListNumber"/>
        <w:spacing w:after="60"/>
      </w:pPr>
      <w:r>
        <w:t>What data are required to estimate gestational age and EDD safely?</w:t>
      </w:r>
    </w:p>
    <w:p>
      <w:pPr>
        <w:pStyle w:val="ListNumber"/>
        <w:spacing w:after="60"/>
      </w:pPr>
      <w:r>
        <w:t>When is LMP-based dating sufficiently reliable for a working estimate?</w:t>
      </w:r>
    </w:p>
    <w:p>
      <w:pPr>
        <w:pStyle w:val="ListNumber"/>
        <w:spacing w:after="60"/>
      </w:pPr>
      <w:r>
        <w:t>How should early and later ultrasound evidence be represented?</w:t>
      </w:r>
    </w:p>
    <w:p>
      <w:pPr>
        <w:pStyle w:val="ListNumber"/>
        <w:spacing w:after="60"/>
      </w:pPr>
      <w:r>
        <w:t>When should a discrepancy prompt clinical review or possible re-dating?</w:t>
      </w:r>
    </w:p>
    <w:p>
      <w:pPr>
        <w:pStyle w:val="ListNumber"/>
        <w:spacing w:after="60"/>
      </w:pPr>
      <w:r>
        <w:t>How should the system represent uncertain, unknown, or suboptimally confirmed dating?</w:t>
      </w:r>
    </w:p>
    <w:p>
      <w:pPr>
        <w:pStyle w:val="ListNumber"/>
        <w:spacing w:after="60"/>
      </w:pPr>
      <w:r>
        <w:t>What actions are appropriate for a lying-in clinic, and what decisions remain outside its scope?</w:t>
      </w:r>
    </w:p>
    <w:p>
      <w:pPr>
        <w:pStyle w:val="ListNumber"/>
        <w:spacing w:after="60"/>
      </w:pPr>
      <w:r>
        <w:t>How should the database preserve the best estimate, its source, confidence, and history?</w:t>
      </w:r>
    </w:p>
    <w:tbl>
      <w:tblPr>
        <w:tblW w:type="auto" w:w="0"/>
        <w:jc w:val="center"/>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Out of scope. </w:t>
            </w:r>
            <w:r>
              <w:t>The CDSS must not interpret ultrasound images, perform fetal biometry, determine viability, diagnose growth restriction, schedule induction or cesarean delivery, or authorize re-dating without a qualified clinician.</w:t>
            </w:r>
          </w:p>
        </w:tc>
      </w:tr>
    </w:tbl>
    <w:p/>
    <w:p>
      <w:pPr>
        <w:pStyle w:val="Heading1"/>
      </w:pPr>
      <w:r>
        <w:t>2. Definitions and Concepts</w:t>
      </w:r>
    </w:p>
    <w:tbl>
      <w:tblPr>
        <w:tblStyle w:val="TableGrid"/>
        <w:tblW w:type="auto" w:w="0"/>
        <w:jc w:val="center"/>
        <w:tblLook w:firstColumn="1" w:firstRow="1" w:lastColumn="0" w:lastRow="0" w:noHBand="0" w:noVBand="1" w:val="04A0"/>
      </w:tblPr>
      <w:tblGrid>
        <w:gridCol w:w="4997"/>
        <w:gridCol w:w="4997"/>
      </w:tblGrid>
      <w:tr>
        <w:trPr>
          <w:cantSplit/>
        </w:trPr>
        <w:tc>
          <w:tcPr>
            <w:tcW w:type="dxa" w:w="2232"/>
            <w:vAlign w:val="center"/>
            <w:shd w:fill="17365D"/>
          </w:tcPr>
          <w:p>
            <w:pPr>
              <w:spacing w:after="0"/>
            </w:pPr>
            <w:r/>
            <w:r>
              <w:rPr>
                <w:rFonts w:ascii="Aptos" w:hAnsi="Aptos"/>
                <w:b/>
                <w:color w:val="FFFFFF"/>
                <w:sz w:val="16"/>
              </w:rPr>
              <w:t>Term</w:t>
            </w:r>
          </w:p>
        </w:tc>
        <w:tc>
          <w:tcPr>
            <w:tcW w:type="dxa" w:w="8136"/>
            <w:vAlign w:val="center"/>
            <w:shd w:fill="17365D"/>
          </w:tcPr>
          <w:p>
            <w:pPr>
              <w:spacing w:after="0"/>
            </w:pPr>
            <w:r/>
            <w:r>
              <w:rPr>
                <w:rFonts w:ascii="Aptos" w:hAnsi="Aptos"/>
                <w:b/>
                <w:color w:val="FFFFFF"/>
                <w:sz w:val="16"/>
              </w:rPr>
              <w:t>Operational meaning for the CDSS</w:t>
            </w:r>
          </w:p>
        </w:tc>
      </w:tr>
      <w:tr>
        <w:trPr>
          <w:cantSplit/>
        </w:trPr>
        <w:tc>
          <w:tcPr>
            <w:tcW w:type="dxa" w:w="2232"/>
            <w:vAlign w:val="center"/>
          </w:tcPr>
          <w:p>
            <w:pPr>
              <w:spacing w:after="0"/>
            </w:pPr>
            <w:r/>
            <w:r>
              <w:rPr>
                <w:rFonts w:ascii="Aptos" w:hAnsi="Aptos"/>
                <w:b w:val="0"/>
                <w:sz w:val="16"/>
              </w:rPr>
              <w:t>Gestational age (GA)</w:t>
            </w:r>
          </w:p>
        </w:tc>
        <w:tc>
          <w:tcPr>
            <w:tcW w:type="dxa" w:w="8136"/>
            <w:vAlign w:val="center"/>
          </w:tcPr>
          <w:p>
            <w:pPr>
              <w:spacing w:after="0"/>
            </w:pPr>
            <w:r/>
            <w:r>
              <w:rPr>
                <w:rFonts w:ascii="Aptos" w:hAnsi="Aptos"/>
                <w:b w:val="0"/>
                <w:sz w:val="16"/>
              </w:rPr>
              <w:t>Elapsed pregnancy time expressed in completed weeks and days, conventionally counted from the first day of the LMP or an accepted equivalent dating method.</w:t>
            </w:r>
          </w:p>
        </w:tc>
      </w:tr>
      <w:tr>
        <w:trPr>
          <w:cantSplit/>
        </w:trPr>
        <w:tc>
          <w:tcPr>
            <w:tcW w:type="dxa" w:w="2232"/>
            <w:vAlign w:val="center"/>
            <w:shd w:fill="F7F9FC"/>
          </w:tcPr>
          <w:p>
            <w:pPr>
              <w:spacing w:after="0"/>
            </w:pPr>
            <w:r/>
            <w:r>
              <w:rPr>
                <w:rFonts w:ascii="Aptos" w:hAnsi="Aptos"/>
                <w:b w:val="0"/>
                <w:sz w:val="16"/>
              </w:rPr>
              <w:t>Last menstrual period (LMP)</w:t>
            </w:r>
          </w:p>
        </w:tc>
        <w:tc>
          <w:tcPr>
            <w:tcW w:type="dxa" w:w="8136"/>
            <w:vAlign w:val="center"/>
            <w:shd w:fill="F7F9FC"/>
          </w:tcPr>
          <w:p>
            <w:pPr>
              <w:spacing w:after="0"/>
            </w:pPr>
            <w:r/>
            <w:r>
              <w:rPr>
                <w:rFonts w:ascii="Aptos" w:hAnsi="Aptos"/>
                <w:b w:val="0"/>
                <w:sz w:val="16"/>
              </w:rPr>
              <w:t>The first day of the last normal menstrual bleeding episode reported by the patient; reliability must be assessed rather than assumed.</w:t>
            </w:r>
          </w:p>
        </w:tc>
      </w:tr>
      <w:tr>
        <w:trPr>
          <w:cantSplit/>
        </w:trPr>
        <w:tc>
          <w:tcPr>
            <w:tcW w:type="dxa" w:w="2232"/>
            <w:vAlign w:val="center"/>
          </w:tcPr>
          <w:p>
            <w:pPr>
              <w:spacing w:after="0"/>
            </w:pPr>
            <w:r/>
            <w:r>
              <w:rPr>
                <w:rFonts w:ascii="Aptos" w:hAnsi="Aptos"/>
                <w:b w:val="0"/>
                <w:sz w:val="16"/>
              </w:rPr>
              <w:t>Estimated due date (EDD)</w:t>
            </w:r>
          </w:p>
        </w:tc>
        <w:tc>
          <w:tcPr>
            <w:tcW w:type="dxa" w:w="8136"/>
            <w:vAlign w:val="center"/>
          </w:tcPr>
          <w:p>
            <w:pPr>
              <w:spacing w:after="0"/>
            </w:pPr>
            <w:r/>
            <w:r>
              <w:rPr>
                <w:rFonts w:ascii="Aptos" w:hAnsi="Aptos"/>
                <w:b w:val="0"/>
                <w:sz w:val="16"/>
              </w:rPr>
              <w:t>The calendar date corresponding to 40 weeks (280 days) from the accepted dating origin, or the date derived from an accepted ultrasound/ART method.</w:t>
            </w:r>
          </w:p>
        </w:tc>
      </w:tr>
      <w:tr>
        <w:trPr>
          <w:cantSplit/>
        </w:trPr>
        <w:tc>
          <w:tcPr>
            <w:tcW w:type="dxa" w:w="2232"/>
            <w:vAlign w:val="center"/>
            <w:shd w:fill="F7F9FC"/>
          </w:tcPr>
          <w:p>
            <w:pPr>
              <w:spacing w:after="0"/>
            </w:pPr>
            <w:r/>
            <w:r>
              <w:rPr>
                <w:rFonts w:ascii="Aptos" w:hAnsi="Aptos"/>
                <w:b w:val="0"/>
                <w:sz w:val="16"/>
              </w:rPr>
              <w:t>Best obstetric estimate</w:t>
            </w:r>
          </w:p>
        </w:tc>
        <w:tc>
          <w:tcPr>
            <w:tcW w:type="dxa" w:w="8136"/>
            <w:vAlign w:val="center"/>
            <w:shd w:fill="F7F9FC"/>
          </w:tcPr>
          <w:p>
            <w:pPr>
              <w:spacing w:after="0"/>
            </w:pPr>
            <w:r/>
            <w:r>
              <w:rPr>
                <w:rFonts w:ascii="Aptos" w:hAnsi="Aptos"/>
                <w:b w:val="0"/>
                <w:sz w:val="16"/>
              </w:rPr>
              <w:t>The currently accepted GA/EDD used for care after considering LMP, ultrasound, ART dates, and clinical reliability.</w:t>
            </w:r>
          </w:p>
        </w:tc>
      </w:tr>
      <w:tr>
        <w:trPr>
          <w:cantSplit/>
        </w:trPr>
        <w:tc>
          <w:tcPr>
            <w:tcW w:type="dxa" w:w="2232"/>
            <w:vAlign w:val="center"/>
          </w:tcPr>
          <w:p>
            <w:pPr>
              <w:spacing w:after="0"/>
            </w:pPr>
            <w:r/>
            <w:r>
              <w:rPr>
                <w:rFonts w:ascii="Aptos" w:hAnsi="Aptos"/>
                <w:b w:val="0"/>
                <w:sz w:val="16"/>
              </w:rPr>
              <w:t>Dating source</w:t>
            </w:r>
          </w:p>
        </w:tc>
        <w:tc>
          <w:tcPr>
            <w:tcW w:type="dxa" w:w="8136"/>
            <w:vAlign w:val="center"/>
          </w:tcPr>
          <w:p>
            <w:pPr>
              <w:spacing w:after="0"/>
            </w:pPr>
            <w:r/>
            <w:r>
              <w:rPr>
                <w:rFonts w:ascii="Aptos" w:hAnsi="Aptos"/>
                <w:b w:val="0"/>
                <w:sz w:val="16"/>
              </w:rPr>
              <w:t>The evidence used to establish the estimate, such as reliable LMP, first-trimester CRL, second-trimester composite biometry, ART dating, or clinician synthesis.</w:t>
            </w:r>
          </w:p>
        </w:tc>
      </w:tr>
      <w:tr>
        <w:trPr>
          <w:cantSplit/>
        </w:trPr>
        <w:tc>
          <w:tcPr>
            <w:tcW w:type="dxa" w:w="2232"/>
            <w:vAlign w:val="center"/>
            <w:shd w:fill="F7F9FC"/>
          </w:tcPr>
          <w:p>
            <w:pPr>
              <w:spacing w:after="0"/>
            </w:pPr>
            <w:r/>
            <w:r>
              <w:rPr>
                <w:rFonts w:ascii="Aptos" w:hAnsi="Aptos"/>
                <w:b w:val="0"/>
                <w:sz w:val="16"/>
              </w:rPr>
              <w:t>Dating confidence</w:t>
            </w:r>
          </w:p>
        </w:tc>
        <w:tc>
          <w:tcPr>
            <w:tcW w:type="dxa" w:w="8136"/>
            <w:vAlign w:val="center"/>
            <w:shd w:fill="F7F9FC"/>
          </w:tcPr>
          <w:p>
            <w:pPr>
              <w:spacing w:after="0"/>
            </w:pPr>
            <w:r/>
            <w:r>
              <w:rPr>
                <w:rFonts w:ascii="Aptos" w:hAnsi="Aptos"/>
                <w:b w:val="0"/>
                <w:sz w:val="16"/>
              </w:rPr>
              <w:t>A structured status such as confirmed early, working estimate, uncertain, or suboptimally dated.</w:t>
            </w:r>
          </w:p>
        </w:tc>
      </w:tr>
      <w:tr>
        <w:trPr>
          <w:cantSplit/>
        </w:trPr>
        <w:tc>
          <w:tcPr>
            <w:tcW w:type="dxa" w:w="2232"/>
            <w:vAlign w:val="center"/>
          </w:tcPr>
          <w:p>
            <w:pPr>
              <w:spacing w:after="0"/>
            </w:pPr>
            <w:r/>
            <w:r>
              <w:rPr>
                <w:rFonts w:ascii="Aptos" w:hAnsi="Aptos"/>
                <w:b w:val="0"/>
                <w:sz w:val="16"/>
              </w:rPr>
              <w:t>Re-dating</w:t>
            </w:r>
          </w:p>
        </w:tc>
        <w:tc>
          <w:tcPr>
            <w:tcW w:type="dxa" w:w="8136"/>
            <w:vAlign w:val="center"/>
          </w:tcPr>
          <w:p>
            <w:pPr>
              <w:spacing w:after="0"/>
            </w:pPr>
            <w:r/>
            <w:r>
              <w:rPr>
                <w:rFonts w:ascii="Aptos" w:hAnsi="Aptos"/>
                <w:b w:val="0"/>
                <w:sz w:val="16"/>
              </w:rPr>
              <w:t>A documented clinical decision to replace the previously accepted EDD using a defined evidence source and rationale.</w:t>
            </w:r>
          </w:p>
        </w:tc>
      </w:tr>
      <w:tr>
        <w:trPr>
          <w:cantSplit/>
        </w:trPr>
        <w:tc>
          <w:tcPr>
            <w:tcW w:type="dxa" w:w="2232"/>
            <w:vAlign w:val="center"/>
            <w:shd w:fill="F7F9FC"/>
          </w:tcPr>
          <w:p>
            <w:pPr>
              <w:spacing w:after="0"/>
            </w:pPr>
            <w:r/>
            <w:r>
              <w:rPr>
                <w:rFonts w:ascii="Aptos" w:hAnsi="Aptos"/>
                <w:b w:val="0"/>
                <w:sz w:val="16"/>
              </w:rPr>
              <w:t>Suboptimally dated pregnancy</w:t>
            </w:r>
          </w:p>
        </w:tc>
        <w:tc>
          <w:tcPr>
            <w:tcW w:type="dxa" w:w="8136"/>
            <w:vAlign w:val="center"/>
            <w:shd w:fill="F7F9FC"/>
          </w:tcPr>
          <w:p>
            <w:pPr>
              <w:spacing w:after="0"/>
            </w:pPr>
            <w:r/>
            <w:r>
              <w:rPr>
                <w:rFonts w:ascii="Aptos" w:hAnsi="Aptos"/>
                <w:b w:val="0"/>
                <w:sz w:val="16"/>
              </w:rPr>
              <w:t>ACOG terminology for a pregnancy without ultrasound confirmation or revision of the EDD before 22+0 weeks.</w:t>
            </w:r>
          </w:p>
        </w:tc>
      </w:tr>
    </w:tbl>
    <w:p/>
    <w:p>
      <w:pPr>
        <w:pStyle w:val="Heading1"/>
      </w:pPr>
      <w:r>
        <w:t>3. Evidence Review</w:t>
      </w:r>
    </w:p>
    <w:p>
      <w:pPr>
        <w:pStyle w:val="Heading2"/>
      </w:pPr>
      <w:r>
        <w:t>3.1 World Health Organization</w:t>
      </w:r>
    </w:p>
    <w:p>
      <w:r>
        <w:t>WHO recommends one imaging ultrasound before 24 weeks of pregnancy. Its purposes include estimating gestational age, detecting multiple pregnancy and fetal anomalies, reducing unnecessary induction for presumed post-term pregnancy, and improving the pregnancy experience. The 2022 update reaffirmed this recommendation and emphasized implementation within routine antenatal care.</w:t>
      </w:r>
    </w:p>
    <w:p>
      <w:r>
        <w:t>For a digital system, the WHO Digital Adaptation Kit is especially relevant: it treats guideline content as structured data elements, workflows, decision logic, indicators, and functional requirements. This supports storing the dating source, observation date, and decision status separately instead of hiding them in free text.</w:t>
      </w:r>
    </w:p>
    <w:p>
      <w:pPr>
        <w:pStyle w:val="Heading2"/>
      </w:pPr>
      <w:r>
        <w:t>3.2 NICE antenatal care guidance</w:t>
      </w:r>
    </w:p>
    <w:p>
      <w:r>
        <w:t>NICE recommends offering an ultrasound scan between 11+2 and 14+1 weeks to determine gestational age and detect multiple pregnancy, with optional aneuploidy screening. The timing supports early dating when crown–rump length is most accurate and allows the dating result to become the stable reference for later care.</w:t>
      </w:r>
    </w:p>
    <w:p>
      <w:pPr>
        <w:pStyle w:val="Heading2"/>
      </w:pPr>
      <w:r>
        <w:t>3.3 ACOG, AIUM, and SMFM</w:t>
      </w:r>
    </w:p>
    <w:p>
      <w:r>
        <w:t>ACOG Committee Opinion No. 700 states that first-trimester ultrasound, through 13+6 weeks, is the most accurate method to establish or confirm gestational age. Once LMP data, the first accurate ultrasound, or both are available, the EDD should be determined, discussed, and clearly documented. Later changes should be rare and documented.</w:t>
      </w:r>
    </w:p>
    <w:p>
      <w:r>
        <w:t>ACOG also defines pregnancies without ultrasound confirmation or revision before 22+0 weeks as suboptimally dated. In such pregnancies, management should use the best clinical estimate, elective delivery has no role, and interval ultrasound may be considered by the responsible clinical team. These management recommendations exceed the autonomous scope of a lying-in CDSS but justify a prominent uncertainty/referral flag.</w:t>
      </w:r>
    </w:p>
    <w:p>
      <w:pPr>
        <w:pStyle w:val="Heading2"/>
      </w:pPr>
      <w:r>
        <w:t>3.4 Convergence and differences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cantSplit/>
        </w:trPr>
        <w:tc>
          <w:tcPr>
            <w:tcW w:type="dxa" w:w="1656"/>
            <w:vAlign w:val="center"/>
            <w:shd w:fill="17365D"/>
          </w:tcPr>
          <w:p>
            <w:pPr>
              <w:spacing w:after="0"/>
            </w:pPr>
            <w:r/>
            <w:r>
              <w:rPr>
                <w:rFonts w:ascii="Aptos" w:hAnsi="Aptos"/>
                <w:b/>
                <w:color w:val="FFFFFF"/>
                <w:sz w:val="16"/>
              </w:rPr>
              <w:t>Issue</w:t>
            </w:r>
          </w:p>
        </w:tc>
        <w:tc>
          <w:tcPr>
            <w:tcW w:type="dxa" w:w="1944"/>
            <w:vAlign w:val="center"/>
            <w:shd w:fill="17365D"/>
          </w:tcPr>
          <w:p>
            <w:pPr>
              <w:spacing w:after="0"/>
            </w:pPr>
            <w:r/>
            <w:r>
              <w:rPr>
                <w:rFonts w:ascii="Aptos" w:hAnsi="Aptos"/>
                <w:b/>
                <w:color w:val="FFFFFF"/>
                <w:sz w:val="16"/>
              </w:rPr>
              <w:t>WHO</w:t>
            </w:r>
          </w:p>
        </w:tc>
        <w:tc>
          <w:tcPr>
            <w:tcW w:type="dxa" w:w="1944"/>
            <w:vAlign w:val="center"/>
            <w:shd w:fill="17365D"/>
          </w:tcPr>
          <w:p>
            <w:pPr>
              <w:spacing w:after="0"/>
            </w:pPr>
            <w:r/>
            <w:r>
              <w:rPr>
                <w:rFonts w:ascii="Aptos" w:hAnsi="Aptos"/>
                <w:b/>
                <w:color w:val="FFFFFF"/>
                <w:sz w:val="16"/>
              </w:rPr>
              <w:t>NICE</w:t>
            </w:r>
          </w:p>
        </w:tc>
        <w:tc>
          <w:tcPr>
            <w:tcW w:type="dxa" w:w="2376"/>
            <w:vAlign w:val="center"/>
            <w:shd w:fill="17365D"/>
          </w:tcPr>
          <w:p>
            <w:pPr>
              <w:spacing w:after="0"/>
            </w:pPr>
            <w:r/>
            <w:r>
              <w:rPr>
                <w:rFonts w:ascii="Aptos" w:hAnsi="Aptos"/>
                <w:b/>
                <w:color w:val="FFFFFF"/>
                <w:sz w:val="16"/>
              </w:rPr>
              <w:t>ACOG/AIUM/SMFM</w:t>
            </w:r>
          </w:p>
        </w:tc>
        <w:tc>
          <w:tcPr>
            <w:tcW w:type="dxa" w:w="3384"/>
            <w:vAlign w:val="center"/>
            <w:shd w:fill="17365D"/>
          </w:tcPr>
          <w:p>
            <w:pPr>
              <w:spacing w:after="0"/>
            </w:pPr>
            <w:r/>
            <w:r>
              <w:rPr>
                <w:rFonts w:ascii="Aptos" w:hAnsi="Aptos"/>
                <w:b/>
                <w:color w:val="FFFFFF"/>
                <w:sz w:val="16"/>
              </w:rPr>
              <w:t>CDSS interpretation</w:t>
            </w:r>
          </w:p>
        </w:tc>
      </w:tr>
      <w:tr>
        <w:trPr>
          <w:cantSplit/>
        </w:trPr>
        <w:tc>
          <w:tcPr>
            <w:tcW w:type="dxa" w:w="1656"/>
            <w:vAlign w:val="center"/>
          </w:tcPr>
          <w:p>
            <w:pPr>
              <w:spacing w:after="0"/>
            </w:pPr>
            <w:r/>
            <w:r>
              <w:rPr>
                <w:rFonts w:ascii="Aptos" w:hAnsi="Aptos"/>
                <w:b w:val="0"/>
                <w:sz w:val="15"/>
              </w:rPr>
              <w:t>Early ultrasound</w:t>
            </w:r>
          </w:p>
        </w:tc>
        <w:tc>
          <w:tcPr>
            <w:tcW w:type="dxa" w:w="1944"/>
            <w:vAlign w:val="center"/>
          </w:tcPr>
          <w:p>
            <w:pPr>
              <w:spacing w:after="0"/>
            </w:pPr>
            <w:r/>
            <w:r>
              <w:rPr>
                <w:rFonts w:ascii="Aptos" w:hAnsi="Aptos"/>
                <w:b w:val="0"/>
                <w:sz w:val="15"/>
              </w:rPr>
              <w:t>One scan before 24 weeks</w:t>
            </w:r>
          </w:p>
        </w:tc>
        <w:tc>
          <w:tcPr>
            <w:tcW w:type="dxa" w:w="1944"/>
            <w:vAlign w:val="center"/>
          </w:tcPr>
          <w:p>
            <w:pPr>
              <w:spacing w:after="0"/>
            </w:pPr>
            <w:r/>
            <w:r>
              <w:rPr>
                <w:rFonts w:ascii="Aptos" w:hAnsi="Aptos"/>
                <w:b w:val="0"/>
                <w:sz w:val="15"/>
              </w:rPr>
              <w:t>Offer 11+2 to 14+1 weeks</w:t>
            </w:r>
          </w:p>
        </w:tc>
        <w:tc>
          <w:tcPr>
            <w:tcW w:type="dxa" w:w="2376"/>
            <w:vAlign w:val="center"/>
          </w:tcPr>
          <w:p>
            <w:pPr>
              <w:spacing w:after="0"/>
            </w:pPr>
            <w:r/>
            <w:r>
              <w:rPr>
                <w:rFonts w:ascii="Aptos" w:hAnsi="Aptos"/>
                <w:b w:val="0"/>
                <w:sz w:val="15"/>
              </w:rPr>
              <w:t>First trimester most accurate</w:t>
            </w:r>
          </w:p>
        </w:tc>
        <w:tc>
          <w:tcPr>
            <w:tcW w:type="dxa" w:w="3384"/>
            <w:vAlign w:val="center"/>
          </w:tcPr>
          <w:p>
            <w:pPr>
              <w:spacing w:after="0"/>
            </w:pPr>
            <w:r/>
            <w:r>
              <w:rPr>
                <w:rFonts w:ascii="Aptos" w:hAnsi="Aptos"/>
                <w:b w:val="0"/>
                <w:sz w:val="15"/>
              </w:rPr>
              <w:t>Promote early dating; record actual scan timing and method.</w:t>
            </w:r>
          </w:p>
        </w:tc>
      </w:tr>
      <w:tr>
        <w:trPr>
          <w:cantSplit/>
        </w:trPr>
        <w:tc>
          <w:tcPr>
            <w:tcW w:type="dxa" w:w="1656"/>
            <w:vAlign w:val="center"/>
            <w:shd w:fill="F7F9FC"/>
          </w:tcPr>
          <w:p>
            <w:pPr>
              <w:spacing w:after="0"/>
            </w:pPr>
            <w:r/>
            <w:r>
              <w:rPr>
                <w:rFonts w:ascii="Aptos" w:hAnsi="Aptos"/>
                <w:b w:val="0"/>
                <w:sz w:val="15"/>
              </w:rPr>
              <w:t>LMP</w:t>
            </w:r>
          </w:p>
        </w:tc>
        <w:tc>
          <w:tcPr>
            <w:tcW w:type="dxa" w:w="1944"/>
            <w:vAlign w:val="center"/>
            <w:shd w:fill="F7F9FC"/>
          </w:tcPr>
          <w:p>
            <w:pPr>
              <w:spacing w:after="0"/>
            </w:pPr>
            <w:r/>
            <w:r>
              <w:rPr>
                <w:rFonts w:ascii="Aptos" w:hAnsi="Aptos"/>
                <w:b w:val="0"/>
                <w:sz w:val="15"/>
              </w:rPr>
              <w:t>Part of routine history; ultrasound improves GA estimate</w:t>
            </w:r>
          </w:p>
        </w:tc>
        <w:tc>
          <w:tcPr>
            <w:tcW w:type="dxa" w:w="1944"/>
            <w:vAlign w:val="center"/>
            <w:shd w:fill="F7F9FC"/>
          </w:tcPr>
          <w:p>
            <w:pPr>
              <w:spacing w:after="0"/>
            </w:pPr>
            <w:r/>
            <w:r>
              <w:rPr>
                <w:rFonts w:ascii="Aptos" w:hAnsi="Aptos"/>
                <w:b w:val="0"/>
                <w:sz w:val="15"/>
              </w:rPr>
              <w:t>Dating established at scan</w:t>
            </w:r>
          </w:p>
        </w:tc>
        <w:tc>
          <w:tcPr>
            <w:tcW w:type="dxa" w:w="2376"/>
            <w:vAlign w:val="center"/>
            <w:shd w:fill="F7F9FC"/>
          </w:tcPr>
          <w:p>
            <w:pPr>
              <w:spacing w:after="0"/>
            </w:pPr>
            <w:r/>
            <w:r>
              <w:rPr>
                <w:rFonts w:ascii="Aptos" w:hAnsi="Aptos"/>
                <w:b w:val="0"/>
                <w:sz w:val="15"/>
              </w:rPr>
              <w:t>Useful but vulnerable to recall/cycle assumptions</w:t>
            </w:r>
          </w:p>
        </w:tc>
        <w:tc>
          <w:tcPr>
            <w:tcW w:type="dxa" w:w="3384"/>
            <w:vAlign w:val="center"/>
            <w:shd w:fill="F7F9FC"/>
          </w:tcPr>
          <w:p>
            <w:pPr>
              <w:spacing w:after="0"/>
            </w:pPr>
            <w:r/>
            <w:r>
              <w:rPr>
                <w:rFonts w:ascii="Aptos" w:hAnsi="Aptos"/>
                <w:b w:val="0"/>
                <w:sz w:val="15"/>
              </w:rPr>
              <w:t>Require LMP reliability fields; never treat a date alone as certain.</w:t>
            </w:r>
          </w:p>
        </w:tc>
      </w:tr>
      <w:tr>
        <w:trPr>
          <w:cantSplit/>
        </w:trPr>
        <w:tc>
          <w:tcPr>
            <w:tcW w:type="dxa" w:w="1656"/>
            <w:vAlign w:val="center"/>
          </w:tcPr>
          <w:p>
            <w:pPr>
              <w:spacing w:after="0"/>
            </w:pPr>
            <w:r/>
            <w:r>
              <w:rPr>
                <w:rFonts w:ascii="Aptos" w:hAnsi="Aptos"/>
                <w:b w:val="0"/>
                <w:sz w:val="15"/>
              </w:rPr>
              <w:t>EDD stability</w:t>
            </w:r>
          </w:p>
        </w:tc>
        <w:tc>
          <w:tcPr>
            <w:tcW w:type="dxa" w:w="1944"/>
            <w:vAlign w:val="center"/>
          </w:tcPr>
          <w:p>
            <w:pPr>
              <w:spacing w:after="0"/>
            </w:pPr>
            <w:r/>
            <w:r>
              <w:rPr>
                <w:rFonts w:ascii="Aptos" w:hAnsi="Aptos"/>
                <w:b w:val="0"/>
                <w:sz w:val="15"/>
              </w:rPr>
              <w:t>Implementation-focused</w:t>
            </w:r>
          </w:p>
        </w:tc>
        <w:tc>
          <w:tcPr>
            <w:tcW w:type="dxa" w:w="1944"/>
            <w:vAlign w:val="center"/>
          </w:tcPr>
          <w:p>
            <w:pPr>
              <w:spacing w:after="0"/>
            </w:pPr>
            <w:r/>
            <w:r>
              <w:rPr>
                <w:rFonts w:ascii="Aptos" w:hAnsi="Aptos"/>
                <w:b w:val="0"/>
                <w:sz w:val="15"/>
              </w:rPr>
              <w:t>Dating result guides care</w:t>
            </w:r>
          </w:p>
        </w:tc>
        <w:tc>
          <w:tcPr>
            <w:tcW w:type="dxa" w:w="2376"/>
            <w:vAlign w:val="center"/>
          </w:tcPr>
          <w:p>
            <w:pPr>
              <w:spacing w:after="0"/>
            </w:pPr>
            <w:r/>
            <w:r>
              <w:rPr>
                <w:rFonts w:ascii="Aptos" w:hAnsi="Aptos"/>
                <w:b w:val="0"/>
                <w:sz w:val="15"/>
              </w:rPr>
              <w:t>Changes should be rare and documented</w:t>
            </w:r>
          </w:p>
        </w:tc>
        <w:tc>
          <w:tcPr>
            <w:tcW w:type="dxa" w:w="3384"/>
            <w:vAlign w:val="center"/>
          </w:tcPr>
          <w:p>
            <w:pPr>
              <w:spacing w:after="0"/>
            </w:pPr>
            <w:r/>
            <w:r>
              <w:rPr>
                <w:rFonts w:ascii="Aptos" w:hAnsi="Aptos"/>
                <w:b w:val="0"/>
                <w:sz w:val="15"/>
              </w:rPr>
              <w:t>Use versioning, authorization, rationale, and audit trail.</w:t>
            </w:r>
          </w:p>
        </w:tc>
      </w:tr>
      <w:tr>
        <w:trPr>
          <w:cantSplit/>
        </w:trPr>
        <w:tc>
          <w:tcPr>
            <w:tcW w:type="dxa" w:w="1656"/>
            <w:vAlign w:val="center"/>
            <w:shd w:fill="F7F9FC"/>
          </w:tcPr>
          <w:p>
            <w:pPr>
              <w:spacing w:after="0"/>
            </w:pPr>
            <w:r/>
            <w:r>
              <w:rPr>
                <w:rFonts w:ascii="Aptos" w:hAnsi="Aptos"/>
                <w:b w:val="0"/>
                <w:sz w:val="15"/>
              </w:rPr>
              <w:t>Late/no early scan</w:t>
            </w:r>
          </w:p>
        </w:tc>
        <w:tc>
          <w:tcPr>
            <w:tcW w:type="dxa" w:w="1944"/>
            <w:vAlign w:val="center"/>
            <w:shd w:fill="F7F9FC"/>
          </w:tcPr>
          <w:p>
            <w:pPr>
              <w:spacing w:after="0"/>
            </w:pPr>
            <w:r/>
            <w:r>
              <w:rPr>
                <w:rFonts w:ascii="Aptos" w:hAnsi="Aptos"/>
                <w:b w:val="0"/>
                <w:sz w:val="15"/>
              </w:rPr>
              <w:t>Recognize access limitations</w:t>
            </w:r>
          </w:p>
        </w:tc>
        <w:tc>
          <w:tcPr>
            <w:tcW w:type="dxa" w:w="1944"/>
            <w:vAlign w:val="center"/>
            <w:shd w:fill="F7F9FC"/>
          </w:tcPr>
          <w:p>
            <w:pPr>
              <w:spacing w:after="0"/>
            </w:pPr>
            <w:r/>
            <w:r>
              <w:rPr>
                <w:rFonts w:ascii="Aptos" w:hAnsi="Aptos"/>
                <w:b w:val="0"/>
                <w:sz w:val="15"/>
              </w:rPr>
              <w:t>Routine pathway expects early scan</w:t>
            </w:r>
          </w:p>
        </w:tc>
        <w:tc>
          <w:tcPr>
            <w:tcW w:type="dxa" w:w="2376"/>
            <w:vAlign w:val="center"/>
            <w:shd w:fill="F7F9FC"/>
          </w:tcPr>
          <w:p>
            <w:pPr>
              <w:spacing w:after="0"/>
            </w:pPr>
            <w:r/>
            <w:r>
              <w:rPr>
                <w:rFonts w:ascii="Aptos" w:hAnsi="Aptos"/>
                <w:b w:val="0"/>
                <w:sz w:val="15"/>
              </w:rPr>
              <w:t>No confirming scan before 22+0 = suboptimally dated</w:t>
            </w:r>
          </w:p>
        </w:tc>
        <w:tc>
          <w:tcPr>
            <w:tcW w:type="dxa" w:w="3384"/>
            <w:vAlign w:val="center"/>
            <w:shd w:fill="F7F9FC"/>
          </w:tcPr>
          <w:p>
            <w:pPr>
              <w:spacing w:after="0"/>
            </w:pPr>
            <w:r/>
            <w:r>
              <w:rPr>
                <w:rFonts w:ascii="Aptos" w:hAnsi="Aptos"/>
                <w:b w:val="0"/>
                <w:sz w:val="15"/>
              </w:rPr>
              <w:t>Flag uncertainty; do not automatically classify clinical risk.</w:t>
            </w:r>
          </w:p>
        </w:tc>
      </w:tr>
      <w:tr>
        <w:trPr>
          <w:cantSplit/>
        </w:trPr>
        <w:tc>
          <w:tcPr>
            <w:tcW w:type="dxa" w:w="1656"/>
            <w:vAlign w:val="center"/>
          </w:tcPr>
          <w:p>
            <w:pPr>
              <w:spacing w:after="0"/>
            </w:pPr>
            <w:r/>
            <w:r>
              <w:rPr>
                <w:rFonts w:ascii="Aptos" w:hAnsi="Aptos"/>
                <w:b w:val="0"/>
                <w:sz w:val="15"/>
              </w:rPr>
              <w:t>Exact re-dating cutoffs</w:t>
            </w:r>
          </w:p>
        </w:tc>
        <w:tc>
          <w:tcPr>
            <w:tcW w:type="dxa" w:w="1944"/>
            <w:vAlign w:val="center"/>
          </w:tcPr>
          <w:p>
            <w:pPr>
              <w:spacing w:after="0"/>
            </w:pPr>
            <w:r/>
            <w:r>
              <w:rPr>
                <w:rFonts w:ascii="Aptos" w:hAnsi="Aptos"/>
                <w:b w:val="0"/>
                <w:sz w:val="15"/>
              </w:rPr>
              <w:t>Not the main focus of recommendation</w:t>
            </w:r>
          </w:p>
        </w:tc>
        <w:tc>
          <w:tcPr>
            <w:tcW w:type="dxa" w:w="1944"/>
            <w:vAlign w:val="center"/>
          </w:tcPr>
          <w:p>
            <w:pPr>
              <w:spacing w:after="0"/>
            </w:pPr>
            <w:r/>
            <w:r>
              <w:rPr>
                <w:rFonts w:ascii="Aptos" w:hAnsi="Aptos"/>
                <w:b w:val="0"/>
                <w:sz w:val="15"/>
              </w:rPr>
              <w:t>Not expressed as a full cutoff table in NG201</w:t>
            </w:r>
          </w:p>
        </w:tc>
        <w:tc>
          <w:tcPr>
            <w:tcW w:type="dxa" w:w="2376"/>
            <w:vAlign w:val="center"/>
          </w:tcPr>
          <w:p>
            <w:pPr>
              <w:spacing w:after="0"/>
            </w:pPr>
            <w:r/>
            <w:r>
              <w:rPr>
                <w:rFonts w:ascii="Aptos" w:hAnsi="Aptos"/>
                <w:b w:val="0"/>
                <w:sz w:val="15"/>
              </w:rPr>
              <w:t>Provides trimester-specific discrepancy thresholds</w:t>
            </w:r>
          </w:p>
        </w:tc>
        <w:tc>
          <w:tcPr>
            <w:tcW w:type="dxa" w:w="3384"/>
            <w:vAlign w:val="center"/>
          </w:tcPr>
          <w:p>
            <w:pPr>
              <w:spacing w:after="0"/>
            </w:pPr>
            <w:r/>
            <w:r>
              <w:rPr>
                <w:rFonts w:ascii="Aptos" w:hAnsi="Aptos"/>
                <w:b w:val="0"/>
                <w:sz w:val="15"/>
              </w:rPr>
              <w:t>Store thresholds as configurable clinician-review rules, not autonomous re-dating.</w:t>
            </w:r>
          </w:p>
        </w:tc>
      </w:tr>
    </w:tbl>
    <w:p/>
    <w:p>
      <w:pPr>
        <w:pStyle w:val="Heading1"/>
      </w:pPr>
      <w:r>
        <w:t>4. LMP-Based Dating</w:t>
      </w:r>
    </w:p>
    <w:p>
      <w:r>
        <w:t>By convention, an EDD calculated from LMP is 280 days after the first day of the LMP. This convention assumes a 28-day cycle with ovulation around day 14. Because actual cycles and ovulation vary, a CDSS must distinguish a calculated provisional EDD from a clinically accepted EDD.</w:t>
      </w:r>
    </w:p>
    <w:p>
      <w:pPr>
        <w:pStyle w:val="Heading2"/>
      </w:pPr>
      <w:r>
        <w:t>4.1 Minimum LMP data</w:t>
      </w:r>
    </w:p>
    <w:p>
      <w:pPr>
        <w:pStyle w:val="ListBullet"/>
        <w:spacing w:after="50"/>
      </w:pPr>
      <w:r>
        <w:t>First day of the last normal menstrual period.</w:t>
      </w:r>
    </w:p>
    <w:p>
      <w:pPr>
        <w:pStyle w:val="ListBullet"/>
        <w:spacing w:after="50"/>
      </w:pPr>
      <w:r>
        <w:t>Whether the date is exact, approximate, or unknown.</w:t>
      </w:r>
    </w:p>
    <w:p>
      <w:pPr>
        <w:pStyle w:val="ListBullet"/>
        <w:spacing w:after="50"/>
      </w:pPr>
      <w:r>
        <w:t>Usual cycle length and whether cycles are regular.</w:t>
      </w:r>
    </w:p>
    <w:p>
      <w:pPr>
        <w:pStyle w:val="ListBullet"/>
        <w:spacing w:after="50"/>
      </w:pPr>
      <w:r>
        <w:t>Recent hormonal contraception, postpartum status, breastfeeding, or recent pregnancy loss.</w:t>
      </w:r>
    </w:p>
    <w:p>
      <w:pPr>
        <w:pStyle w:val="ListBullet"/>
        <w:spacing w:after="50"/>
      </w:pPr>
      <w:r>
        <w:t>Abnormal bleeding that may have been mistaken for menstruation.</w:t>
      </w:r>
    </w:p>
    <w:p>
      <w:pPr>
        <w:pStyle w:val="ListBullet"/>
        <w:spacing w:after="50"/>
      </w:pPr>
      <w:r>
        <w:t>Known conception, ovulation, insemination, or embryo-transfer dates when applicable.</w:t>
      </w:r>
    </w:p>
    <w:p>
      <w:pPr>
        <w:pStyle w:val="ListBullet"/>
        <w:spacing w:after="50"/>
      </w:pPr>
      <w:r>
        <w:t>Person who entered the data and date/time of entry.</w:t>
      </w:r>
    </w:p>
    <w:p>
      <w:pPr>
        <w:pStyle w:val="Heading2"/>
      </w:pPr>
      <w:r>
        <w:t>4.2 LMP reliability</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728"/>
            <w:vAlign w:val="center"/>
            <w:shd w:fill="17365D"/>
          </w:tcPr>
          <w:p>
            <w:pPr>
              <w:spacing w:after="0"/>
            </w:pPr>
            <w:r/>
            <w:r>
              <w:rPr>
                <w:rFonts w:ascii="Aptos" w:hAnsi="Aptos"/>
                <w:b/>
                <w:color w:val="FFFFFF"/>
                <w:sz w:val="16"/>
              </w:rPr>
              <w:t>Status</w:t>
            </w:r>
          </w:p>
        </w:tc>
        <w:tc>
          <w:tcPr>
            <w:tcW w:type="dxa" w:w="4320"/>
            <w:vAlign w:val="center"/>
            <w:shd w:fill="17365D"/>
          </w:tcPr>
          <w:p>
            <w:pPr>
              <w:spacing w:after="0"/>
            </w:pPr>
            <w:r/>
            <w:r>
              <w:rPr>
                <w:rFonts w:ascii="Aptos" w:hAnsi="Aptos"/>
                <w:b/>
                <w:color w:val="FFFFFF"/>
                <w:sz w:val="16"/>
              </w:rPr>
              <w:t>Examples</w:t>
            </w:r>
          </w:p>
        </w:tc>
        <w:tc>
          <w:tcPr>
            <w:tcW w:type="dxa" w:w="4320"/>
            <w:vAlign w:val="center"/>
            <w:shd w:fill="17365D"/>
          </w:tcPr>
          <w:p>
            <w:pPr>
              <w:spacing w:after="0"/>
            </w:pPr>
            <w:r/>
            <w:r>
              <w:rPr>
                <w:rFonts w:ascii="Aptos" w:hAnsi="Aptos"/>
                <w:b/>
                <w:color w:val="FFFFFF"/>
                <w:sz w:val="16"/>
              </w:rPr>
              <w:t>System behavior</w:t>
            </w:r>
          </w:p>
        </w:tc>
      </w:tr>
      <w:tr>
        <w:trPr>
          <w:cantSplit/>
        </w:trPr>
        <w:tc>
          <w:tcPr>
            <w:tcW w:type="dxa" w:w="1728"/>
            <w:vAlign w:val="center"/>
          </w:tcPr>
          <w:p>
            <w:pPr>
              <w:spacing w:after="0"/>
            </w:pPr>
            <w:r/>
            <w:r>
              <w:rPr>
                <w:rFonts w:ascii="Aptos" w:hAnsi="Aptos"/>
                <w:b w:val="0"/>
                <w:sz w:val="16"/>
              </w:rPr>
              <w:t>Reliable</w:t>
            </w:r>
          </w:p>
        </w:tc>
        <w:tc>
          <w:tcPr>
            <w:tcW w:type="dxa" w:w="4320"/>
            <w:vAlign w:val="center"/>
          </w:tcPr>
          <w:p>
            <w:pPr>
              <w:spacing w:after="0"/>
            </w:pPr>
            <w:r/>
            <w:r>
              <w:rPr>
                <w:rFonts w:ascii="Aptos" w:hAnsi="Aptos"/>
                <w:b w:val="0"/>
                <w:sz w:val="16"/>
              </w:rPr>
              <w:t>Exact date recalled; cycles usually regular; bleeding described as normal; no major confounder</w:t>
            </w:r>
          </w:p>
        </w:tc>
        <w:tc>
          <w:tcPr>
            <w:tcW w:type="dxa" w:w="4320"/>
            <w:vAlign w:val="center"/>
          </w:tcPr>
          <w:p>
            <w:pPr>
              <w:spacing w:after="0"/>
            </w:pPr>
            <w:r/>
            <w:r>
              <w:rPr>
                <w:rFonts w:ascii="Aptos" w:hAnsi="Aptos"/>
                <w:b w:val="0"/>
                <w:sz w:val="16"/>
              </w:rPr>
              <w:t>Calculate a provisional EDD and await confirmation according to local workflow.</w:t>
            </w:r>
          </w:p>
        </w:tc>
      </w:tr>
      <w:tr>
        <w:trPr>
          <w:cantSplit/>
        </w:trPr>
        <w:tc>
          <w:tcPr>
            <w:tcW w:type="dxa" w:w="1728"/>
            <w:vAlign w:val="center"/>
            <w:shd w:fill="F7F9FC"/>
          </w:tcPr>
          <w:p>
            <w:pPr>
              <w:spacing w:after="0"/>
            </w:pPr>
            <w:r/>
            <w:r>
              <w:rPr>
                <w:rFonts w:ascii="Aptos" w:hAnsi="Aptos"/>
                <w:b w:val="0"/>
                <w:sz w:val="16"/>
              </w:rPr>
              <w:t>Possibly unreliable</w:t>
            </w:r>
          </w:p>
        </w:tc>
        <w:tc>
          <w:tcPr>
            <w:tcW w:type="dxa" w:w="4320"/>
            <w:vAlign w:val="center"/>
            <w:shd w:fill="F7F9FC"/>
          </w:tcPr>
          <w:p>
            <w:pPr>
              <w:spacing w:after="0"/>
            </w:pPr>
            <w:r/>
            <w:r>
              <w:rPr>
                <w:rFonts w:ascii="Aptos" w:hAnsi="Aptos"/>
                <w:b w:val="0"/>
                <w:sz w:val="16"/>
              </w:rPr>
              <w:t>Approximate date; variable cycle length; recent contraception; lactational amenorrhea; atypical bleeding</w:t>
            </w:r>
          </w:p>
        </w:tc>
        <w:tc>
          <w:tcPr>
            <w:tcW w:type="dxa" w:w="4320"/>
            <w:vAlign w:val="center"/>
            <w:shd w:fill="F7F9FC"/>
          </w:tcPr>
          <w:p>
            <w:pPr>
              <w:spacing w:after="0"/>
            </w:pPr>
            <w:r/>
            <w:r>
              <w:rPr>
                <w:rFonts w:ascii="Aptos" w:hAnsi="Aptos"/>
                <w:b w:val="0"/>
                <w:sz w:val="16"/>
              </w:rPr>
              <w:t>Display calculated value as provisional and request dating review/ultrasound.</w:t>
            </w:r>
          </w:p>
        </w:tc>
      </w:tr>
      <w:tr>
        <w:trPr>
          <w:cantSplit/>
        </w:trPr>
        <w:tc>
          <w:tcPr>
            <w:tcW w:type="dxa" w:w="1728"/>
            <w:vAlign w:val="center"/>
          </w:tcPr>
          <w:p>
            <w:pPr>
              <w:spacing w:after="0"/>
            </w:pPr>
            <w:r/>
            <w:r>
              <w:rPr>
                <w:rFonts w:ascii="Aptos" w:hAnsi="Aptos"/>
                <w:b w:val="0"/>
                <w:sz w:val="16"/>
              </w:rPr>
              <w:t>Unknown</w:t>
            </w:r>
          </w:p>
        </w:tc>
        <w:tc>
          <w:tcPr>
            <w:tcW w:type="dxa" w:w="4320"/>
            <w:vAlign w:val="center"/>
          </w:tcPr>
          <w:p>
            <w:pPr>
              <w:spacing w:after="0"/>
            </w:pPr>
            <w:r/>
            <w:r>
              <w:rPr>
                <w:rFonts w:ascii="Aptos" w:hAnsi="Aptos"/>
                <w:b w:val="0"/>
                <w:sz w:val="16"/>
              </w:rPr>
              <w:t>Patient cannot identify the date or no menstrual periods</w:t>
            </w:r>
          </w:p>
        </w:tc>
        <w:tc>
          <w:tcPr>
            <w:tcW w:type="dxa" w:w="4320"/>
            <w:vAlign w:val="center"/>
          </w:tcPr>
          <w:p>
            <w:pPr>
              <w:spacing w:after="0"/>
            </w:pPr>
            <w:r/>
            <w:r>
              <w:rPr>
                <w:rFonts w:ascii="Aptos" w:hAnsi="Aptos"/>
                <w:b w:val="0"/>
                <w:sz w:val="16"/>
              </w:rPr>
              <w:t>Do not fabricate LMP or derive a false-precision EDD.</w:t>
            </w:r>
          </w:p>
        </w:tc>
      </w:tr>
      <w:tr>
        <w:trPr>
          <w:cantSplit/>
        </w:trPr>
        <w:tc>
          <w:tcPr>
            <w:tcW w:type="dxa" w:w="1728"/>
            <w:vAlign w:val="center"/>
            <w:shd w:fill="F7F9FC"/>
          </w:tcPr>
          <w:p>
            <w:pPr>
              <w:spacing w:after="0"/>
            </w:pPr>
            <w:r/>
            <w:r>
              <w:rPr>
                <w:rFonts w:ascii="Aptos" w:hAnsi="Aptos"/>
                <w:b w:val="0"/>
                <w:sz w:val="16"/>
              </w:rPr>
              <w:t>Not applicable as primary source</w:t>
            </w:r>
          </w:p>
        </w:tc>
        <w:tc>
          <w:tcPr>
            <w:tcW w:type="dxa" w:w="4320"/>
            <w:vAlign w:val="center"/>
            <w:shd w:fill="F7F9FC"/>
          </w:tcPr>
          <w:p>
            <w:pPr>
              <w:spacing w:after="0"/>
            </w:pPr>
            <w:r/>
            <w:r>
              <w:rPr>
                <w:rFonts w:ascii="Aptos" w:hAnsi="Aptos"/>
                <w:b w:val="0"/>
                <w:sz w:val="16"/>
              </w:rPr>
              <w:t>ART pregnancy with known embryo age and transfer date</w:t>
            </w:r>
          </w:p>
        </w:tc>
        <w:tc>
          <w:tcPr>
            <w:tcW w:type="dxa" w:w="4320"/>
            <w:vAlign w:val="center"/>
            <w:shd w:fill="F7F9FC"/>
          </w:tcPr>
          <w:p>
            <w:pPr>
              <w:spacing w:after="0"/>
            </w:pPr>
            <w:r/>
            <w:r>
              <w:rPr>
                <w:rFonts w:ascii="Aptos" w:hAnsi="Aptos"/>
                <w:b w:val="0"/>
                <w:sz w:val="16"/>
              </w:rPr>
              <w:t>Use the ART-derived method under clinician-approved rules.</w:t>
            </w:r>
          </w:p>
        </w:tc>
      </w:tr>
    </w:tbl>
    <w:p/>
    <w:tbl>
      <w:tblPr>
        <w:tblW w:type="auto" w:w="0"/>
        <w:jc w:val="center"/>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Prohibited shortcut. </w:t>
            </w:r>
            <w:r>
              <w:t>The presence of any date in the LMP field must not automatically set dating confidence to “confirmed.” The system must ask whether the date and menstrual pattern are reliable.</w:t>
            </w:r>
          </w:p>
        </w:tc>
      </w:tr>
    </w:tbl>
    <w:p/>
    <w:p>
      <w:pPr>
        <w:pStyle w:val="Heading1"/>
      </w:pPr>
      <w:r>
        <w:t>5. Ultrasound Dating and Re-Dating</w:t>
      </w:r>
    </w:p>
    <w:p>
      <w:pPr>
        <w:pStyle w:val="Heading2"/>
      </w:pPr>
      <w:r>
        <w:t>5.1 Accuracy changes with gestation</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232"/>
            <w:vAlign w:val="center"/>
            <w:shd w:fill="17365D"/>
          </w:tcPr>
          <w:p>
            <w:pPr>
              <w:spacing w:after="0"/>
            </w:pPr>
            <w:r/>
            <w:r>
              <w:rPr>
                <w:rFonts w:ascii="Aptos" w:hAnsi="Aptos"/>
                <w:b/>
                <w:color w:val="FFFFFF"/>
                <w:sz w:val="16"/>
              </w:rPr>
              <w:t>Timing / method</w:t>
            </w:r>
          </w:p>
        </w:tc>
        <w:tc>
          <w:tcPr>
            <w:tcW w:type="dxa" w:w="3456"/>
            <w:vAlign w:val="center"/>
            <w:shd w:fill="17365D"/>
          </w:tcPr>
          <w:p>
            <w:pPr>
              <w:spacing w:after="0"/>
            </w:pPr>
            <w:r/>
            <w:r>
              <w:rPr>
                <w:rFonts w:ascii="Aptos" w:hAnsi="Aptos"/>
                <w:b/>
                <w:color w:val="FFFFFF"/>
                <w:sz w:val="16"/>
              </w:rPr>
              <w:t>Typical role</w:t>
            </w:r>
          </w:p>
        </w:tc>
        <w:tc>
          <w:tcPr>
            <w:tcW w:type="dxa" w:w="2232"/>
            <w:vAlign w:val="center"/>
            <w:shd w:fill="17365D"/>
          </w:tcPr>
          <w:p>
            <w:pPr>
              <w:spacing w:after="0"/>
            </w:pPr>
            <w:r/>
            <w:r>
              <w:rPr>
                <w:rFonts w:ascii="Aptos" w:hAnsi="Aptos"/>
                <w:b/>
                <w:color w:val="FFFFFF"/>
                <w:sz w:val="16"/>
              </w:rPr>
              <w:t>Approximate accuracy reported by ACOG</w:t>
            </w:r>
          </w:p>
        </w:tc>
        <w:tc>
          <w:tcPr>
            <w:tcW w:type="dxa" w:w="3240"/>
            <w:vAlign w:val="center"/>
            <w:shd w:fill="17365D"/>
          </w:tcPr>
          <w:p>
            <w:pPr>
              <w:spacing w:after="0"/>
            </w:pPr>
            <w:r/>
            <w:r>
              <w:rPr>
                <w:rFonts w:ascii="Aptos" w:hAnsi="Aptos"/>
                <w:b/>
                <w:color w:val="FFFFFF"/>
                <w:sz w:val="16"/>
              </w:rPr>
              <w:t>CDSS rule</w:t>
            </w:r>
          </w:p>
        </w:tc>
      </w:tr>
      <w:tr>
        <w:trPr>
          <w:cantSplit/>
        </w:trPr>
        <w:tc>
          <w:tcPr>
            <w:tcW w:type="dxa" w:w="2232"/>
            <w:vAlign w:val="center"/>
          </w:tcPr>
          <w:p>
            <w:pPr>
              <w:spacing w:after="0"/>
            </w:pPr>
            <w:r/>
            <w:r>
              <w:rPr>
                <w:rFonts w:ascii="Aptos" w:hAnsi="Aptos"/>
                <w:b w:val="0"/>
                <w:sz w:val="15"/>
              </w:rPr>
              <w:t>First trimester, CRL through 13+6</w:t>
            </w:r>
          </w:p>
        </w:tc>
        <w:tc>
          <w:tcPr>
            <w:tcW w:type="dxa" w:w="3456"/>
            <w:vAlign w:val="center"/>
          </w:tcPr>
          <w:p>
            <w:pPr>
              <w:spacing w:after="0"/>
            </w:pPr>
            <w:r/>
            <w:r>
              <w:rPr>
                <w:rFonts w:ascii="Aptos" w:hAnsi="Aptos"/>
                <w:b w:val="0"/>
                <w:sz w:val="15"/>
              </w:rPr>
              <w:t>Preferred establishment or confirmation of GA</w:t>
            </w:r>
          </w:p>
        </w:tc>
        <w:tc>
          <w:tcPr>
            <w:tcW w:type="dxa" w:w="2232"/>
            <w:vAlign w:val="center"/>
          </w:tcPr>
          <w:p>
            <w:pPr>
              <w:spacing w:after="0"/>
            </w:pPr>
            <w:r/>
            <w:r>
              <w:rPr>
                <w:rFonts w:ascii="Aptos" w:hAnsi="Aptos"/>
                <w:b w:val="0"/>
                <w:sz w:val="15"/>
              </w:rPr>
              <w:t>About ±5–7 days</w:t>
            </w:r>
          </w:p>
        </w:tc>
        <w:tc>
          <w:tcPr>
            <w:tcW w:type="dxa" w:w="3240"/>
            <w:vAlign w:val="center"/>
          </w:tcPr>
          <w:p>
            <w:pPr>
              <w:spacing w:after="0"/>
            </w:pPr>
            <w:r/>
            <w:r>
              <w:rPr>
                <w:rFonts w:ascii="Aptos" w:hAnsi="Aptos"/>
                <w:b w:val="0"/>
                <w:sz w:val="15"/>
              </w:rPr>
              <w:t>Highest-priority ultrasound source when technically valid and clinician accepted.</w:t>
            </w:r>
          </w:p>
        </w:tc>
      </w:tr>
      <w:tr>
        <w:trPr>
          <w:cantSplit/>
        </w:trPr>
        <w:tc>
          <w:tcPr>
            <w:tcW w:type="dxa" w:w="2232"/>
            <w:vAlign w:val="center"/>
            <w:shd w:fill="F7F9FC"/>
          </w:tcPr>
          <w:p>
            <w:pPr>
              <w:spacing w:after="0"/>
            </w:pPr>
            <w:r/>
            <w:r>
              <w:rPr>
                <w:rFonts w:ascii="Aptos" w:hAnsi="Aptos"/>
                <w:b w:val="0"/>
                <w:sz w:val="15"/>
              </w:rPr>
              <w:t>14+0 to 21+6, composite biometry</w:t>
            </w:r>
          </w:p>
        </w:tc>
        <w:tc>
          <w:tcPr>
            <w:tcW w:type="dxa" w:w="3456"/>
            <w:vAlign w:val="center"/>
            <w:shd w:fill="F7F9FC"/>
          </w:tcPr>
          <w:p>
            <w:pPr>
              <w:spacing w:after="0"/>
            </w:pPr>
            <w:r/>
            <w:r>
              <w:rPr>
                <w:rFonts w:ascii="Aptos" w:hAnsi="Aptos"/>
                <w:b w:val="0"/>
                <w:sz w:val="15"/>
              </w:rPr>
              <w:t>Second-trimester dating when no reliable earlier estimate</w:t>
            </w:r>
          </w:p>
        </w:tc>
        <w:tc>
          <w:tcPr>
            <w:tcW w:type="dxa" w:w="2232"/>
            <w:vAlign w:val="center"/>
            <w:shd w:fill="F7F9FC"/>
          </w:tcPr>
          <w:p>
            <w:pPr>
              <w:spacing w:after="0"/>
            </w:pPr>
            <w:r/>
            <w:r>
              <w:rPr>
                <w:rFonts w:ascii="Aptos" w:hAnsi="Aptos"/>
                <w:b w:val="0"/>
                <w:sz w:val="15"/>
              </w:rPr>
              <w:t>About ±7–10 days</w:t>
            </w:r>
          </w:p>
        </w:tc>
        <w:tc>
          <w:tcPr>
            <w:tcW w:type="dxa" w:w="3240"/>
            <w:vAlign w:val="center"/>
            <w:shd w:fill="F7F9FC"/>
          </w:tcPr>
          <w:p>
            <w:pPr>
              <w:spacing w:after="0"/>
            </w:pPr>
            <w:r/>
            <w:r>
              <w:rPr>
                <w:rFonts w:ascii="Aptos" w:hAnsi="Aptos"/>
                <w:b w:val="0"/>
                <w:sz w:val="15"/>
              </w:rPr>
              <w:t>May support establishment/review; do not overwrite a valid first-trimester date.</w:t>
            </w:r>
          </w:p>
        </w:tc>
      </w:tr>
      <w:tr>
        <w:trPr>
          <w:cantSplit/>
        </w:trPr>
        <w:tc>
          <w:tcPr>
            <w:tcW w:type="dxa" w:w="2232"/>
            <w:vAlign w:val="center"/>
          </w:tcPr>
          <w:p>
            <w:pPr>
              <w:spacing w:after="0"/>
            </w:pPr>
            <w:r/>
            <w:r>
              <w:rPr>
                <w:rFonts w:ascii="Aptos" w:hAnsi="Aptos"/>
                <w:b w:val="0"/>
                <w:sz w:val="15"/>
              </w:rPr>
              <w:t>22+0 to 27+6, composite biometry</w:t>
            </w:r>
          </w:p>
        </w:tc>
        <w:tc>
          <w:tcPr>
            <w:tcW w:type="dxa" w:w="3456"/>
            <w:vAlign w:val="center"/>
          </w:tcPr>
          <w:p>
            <w:pPr>
              <w:spacing w:after="0"/>
            </w:pPr>
            <w:r/>
            <w:r>
              <w:rPr>
                <w:rFonts w:ascii="Aptos" w:hAnsi="Aptos"/>
                <w:b w:val="0"/>
                <w:sz w:val="15"/>
              </w:rPr>
              <w:t>Later second-trimester estimate</w:t>
            </w:r>
          </w:p>
        </w:tc>
        <w:tc>
          <w:tcPr>
            <w:tcW w:type="dxa" w:w="2232"/>
            <w:vAlign w:val="center"/>
          </w:tcPr>
          <w:p>
            <w:pPr>
              <w:spacing w:after="0"/>
            </w:pPr>
            <w:r/>
            <w:r>
              <w:rPr>
                <w:rFonts w:ascii="Aptos" w:hAnsi="Aptos"/>
                <w:b w:val="0"/>
                <w:sz w:val="15"/>
              </w:rPr>
              <w:t>About ±10–14 days</w:t>
            </w:r>
          </w:p>
        </w:tc>
        <w:tc>
          <w:tcPr>
            <w:tcW w:type="dxa" w:w="3240"/>
            <w:vAlign w:val="center"/>
          </w:tcPr>
          <w:p>
            <w:pPr>
              <w:spacing w:after="0"/>
            </w:pPr>
            <w:r/>
            <w:r>
              <w:rPr>
                <w:rFonts w:ascii="Aptos" w:hAnsi="Aptos"/>
                <w:b w:val="0"/>
                <w:sz w:val="15"/>
              </w:rPr>
              <w:t>Show reduced confidence and require clinician review for any change.</w:t>
            </w:r>
          </w:p>
        </w:tc>
      </w:tr>
      <w:tr>
        <w:trPr>
          <w:cantSplit/>
        </w:trPr>
        <w:tc>
          <w:tcPr>
            <w:tcW w:type="dxa" w:w="2232"/>
            <w:vAlign w:val="center"/>
            <w:shd w:fill="F7F9FC"/>
          </w:tcPr>
          <w:p>
            <w:pPr>
              <w:spacing w:after="0"/>
            </w:pPr>
            <w:r/>
            <w:r>
              <w:rPr>
                <w:rFonts w:ascii="Aptos" w:hAnsi="Aptos"/>
                <w:b w:val="0"/>
                <w:sz w:val="15"/>
              </w:rPr>
              <w:t>28+0 and later</w:t>
            </w:r>
          </w:p>
        </w:tc>
        <w:tc>
          <w:tcPr>
            <w:tcW w:type="dxa" w:w="3456"/>
            <w:vAlign w:val="center"/>
            <w:shd w:fill="F7F9FC"/>
          </w:tcPr>
          <w:p>
            <w:pPr>
              <w:spacing w:after="0"/>
            </w:pPr>
            <w:r/>
            <w:r>
              <w:rPr>
                <w:rFonts w:ascii="Aptos" w:hAnsi="Aptos"/>
                <w:b w:val="0"/>
                <w:sz w:val="15"/>
              </w:rPr>
              <w:t>Least reliable for dating</w:t>
            </w:r>
          </w:p>
        </w:tc>
        <w:tc>
          <w:tcPr>
            <w:tcW w:type="dxa" w:w="2232"/>
            <w:vAlign w:val="center"/>
            <w:shd w:fill="F7F9FC"/>
          </w:tcPr>
          <w:p>
            <w:pPr>
              <w:spacing w:after="0"/>
            </w:pPr>
            <w:r/>
            <w:r>
              <w:rPr>
                <w:rFonts w:ascii="Aptos" w:hAnsi="Aptos"/>
                <w:b w:val="0"/>
                <w:sz w:val="15"/>
              </w:rPr>
              <w:t>About ±21–30 days</w:t>
            </w:r>
          </w:p>
        </w:tc>
        <w:tc>
          <w:tcPr>
            <w:tcW w:type="dxa" w:w="3240"/>
            <w:vAlign w:val="center"/>
            <w:shd w:fill="F7F9FC"/>
          </w:tcPr>
          <w:p>
            <w:pPr>
              <w:spacing w:after="0"/>
            </w:pPr>
            <w:r/>
            <w:r>
              <w:rPr>
                <w:rFonts w:ascii="Aptos" w:hAnsi="Aptos"/>
                <w:b w:val="0"/>
                <w:sz w:val="15"/>
              </w:rPr>
              <w:t>Never autonomously re-date; protect against confusing fetal size or growth restriction with gestational age.</w:t>
            </w:r>
          </w:p>
        </w:tc>
      </w:tr>
    </w:tbl>
    <w:p/>
    <w:p>
      <w:pPr>
        <w:pStyle w:val="Heading2"/>
      </w:pPr>
      <w:r>
        <w:t>5.2 ACOG discrepancy thresholds for review</w:t>
      </w:r>
    </w:p>
    <w:p>
      <w:r>
        <w:t>The following thresholds are derived from ACOG's standardized dating framework. They should be implemented as review prompts only. The final EDD change must be made or confirmed by an authorized clinician.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736"/>
            <w:vAlign w:val="center"/>
            <w:shd w:fill="17365D"/>
          </w:tcPr>
          <w:p>
            <w:pPr>
              <w:spacing w:after="0"/>
            </w:pPr>
            <w:r/>
            <w:r>
              <w:rPr>
                <w:rFonts w:ascii="Aptos" w:hAnsi="Aptos"/>
                <w:b/>
                <w:color w:val="FFFFFF"/>
                <w:sz w:val="16"/>
              </w:rPr>
              <w:t>Ultrasound gestational age</w:t>
            </w:r>
          </w:p>
        </w:tc>
        <w:tc>
          <w:tcPr>
            <w:tcW w:type="dxa" w:w="4320"/>
            <w:vAlign w:val="center"/>
            <w:shd w:fill="17365D"/>
          </w:tcPr>
          <w:p>
            <w:pPr>
              <w:spacing w:after="0"/>
            </w:pPr>
            <w:r/>
            <w:r>
              <w:rPr>
                <w:rFonts w:ascii="Aptos" w:hAnsi="Aptos"/>
                <w:b/>
                <w:color w:val="FFFFFF"/>
                <w:sz w:val="16"/>
              </w:rPr>
              <w:t>Difference from LMP that supports re-dating under ACOG</w:t>
            </w:r>
          </w:p>
        </w:tc>
        <w:tc>
          <w:tcPr>
            <w:tcW w:type="dxa" w:w="4104"/>
            <w:vAlign w:val="center"/>
            <w:shd w:fill="17365D"/>
          </w:tcPr>
          <w:p>
            <w:pPr>
              <w:spacing w:after="0"/>
            </w:pPr>
            <w:r/>
            <w:r>
              <w:rPr>
                <w:rFonts w:ascii="Aptos" w:hAnsi="Aptos"/>
                <w:b/>
                <w:color w:val="FFFFFF"/>
                <w:sz w:val="16"/>
              </w:rPr>
              <w:t>CDSS action</w:t>
            </w:r>
          </w:p>
        </w:tc>
      </w:tr>
      <w:tr>
        <w:trPr>
          <w:cantSplit/>
        </w:trPr>
        <w:tc>
          <w:tcPr>
            <w:tcW w:type="dxa" w:w="2736"/>
            <w:vAlign w:val="center"/>
          </w:tcPr>
          <w:p>
            <w:pPr>
              <w:spacing w:after="0"/>
            </w:pPr>
            <w:r/>
            <w:r>
              <w:rPr>
                <w:rFonts w:ascii="Aptos" w:hAnsi="Aptos"/>
                <w:b w:val="0"/>
                <w:sz w:val="16"/>
              </w:rPr>
              <w:t>≤ 8+6 weeks</w:t>
            </w:r>
          </w:p>
        </w:tc>
        <w:tc>
          <w:tcPr>
            <w:tcW w:type="dxa" w:w="4320"/>
            <w:vAlign w:val="center"/>
          </w:tcPr>
          <w:p>
            <w:pPr>
              <w:spacing w:after="0"/>
            </w:pPr>
            <w:r/>
            <w:r>
              <w:rPr>
                <w:rFonts w:ascii="Aptos" w:hAnsi="Aptos"/>
                <w:b w:val="0"/>
                <w:sz w:val="16"/>
              </w:rPr>
              <w:t>&gt; 5 days</w:t>
            </w:r>
          </w:p>
        </w:tc>
        <w:tc>
          <w:tcPr>
            <w:tcW w:type="dxa" w:w="4104"/>
            <w:vAlign w:val="center"/>
          </w:tcPr>
          <w:p>
            <w:pPr>
              <w:spacing w:after="0"/>
            </w:pPr>
            <w:r/>
            <w:r>
              <w:rPr>
                <w:rFonts w:ascii="Aptos" w:hAnsi="Aptos"/>
                <w:b w:val="0"/>
                <w:sz w:val="16"/>
              </w:rPr>
              <w:t>Create high-priority dating discrepancy task; show both dates and reliability evidence.</w:t>
            </w:r>
          </w:p>
        </w:tc>
      </w:tr>
      <w:tr>
        <w:trPr>
          <w:cantSplit/>
        </w:trPr>
        <w:tc>
          <w:tcPr>
            <w:tcW w:type="dxa" w:w="2736"/>
            <w:vAlign w:val="center"/>
            <w:shd w:fill="F7F9FC"/>
          </w:tcPr>
          <w:p>
            <w:pPr>
              <w:spacing w:after="0"/>
            </w:pPr>
            <w:r/>
            <w:r>
              <w:rPr>
                <w:rFonts w:ascii="Aptos" w:hAnsi="Aptos"/>
                <w:b w:val="0"/>
                <w:sz w:val="16"/>
              </w:rPr>
              <w:t>9+0 to 13+6 weeks</w:t>
            </w:r>
          </w:p>
        </w:tc>
        <w:tc>
          <w:tcPr>
            <w:tcW w:type="dxa" w:w="4320"/>
            <w:vAlign w:val="center"/>
            <w:shd w:fill="F7F9FC"/>
          </w:tcPr>
          <w:p>
            <w:pPr>
              <w:spacing w:after="0"/>
            </w:pPr>
            <w:r/>
            <w:r>
              <w:rPr>
                <w:rFonts w:ascii="Aptos" w:hAnsi="Aptos"/>
                <w:b w:val="0"/>
                <w:sz w:val="16"/>
              </w:rPr>
              <w:t>&gt; 7 days</w:t>
            </w:r>
          </w:p>
        </w:tc>
        <w:tc>
          <w:tcPr>
            <w:tcW w:type="dxa" w:w="4104"/>
            <w:vAlign w:val="center"/>
            <w:shd w:fill="F7F9FC"/>
          </w:tcPr>
          <w:p>
            <w:pPr>
              <w:spacing w:after="0"/>
            </w:pPr>
            <w:r/>
            <w:r>
              <w:rPr>
                <w:rFonts w:ascii="Aptos" w:hAnsi="Aptos"/>
                <w:b w:val="0"/>
                <w:sz w:val="16"/>
              </w:rPr>
              <w:t>Create dating discrepancy task.</w:t>
            </w:r>
          </w:p>
        </w:tc>
      </w:tr>
      <w:tr>
        <w:trPr>
          <w:cantSplit/>
        </w:trPr>
        <w:tc>
          <w:tcPr>
            <w:tcW w:type="dxa" w:w="2736"/>
            <w:vAlign w:val="center"/>
          </w:tcPr>
          <w:p>
            <w:pPr>
              <w:spacing w:after="0"/>
            </w:pPr>
            <w:r/>
            <w:r>
              <w:rPr>
                <w:rFonts w:ascii="Aptos" w:hAnsi="Aptos"/>
                <w:b w:val="0"/>
                <w:sz w:val="16"/>
              </w:rPr>
              <w:t>14+0 to 15+6 weeks</w:t>
            </w:r>
          </w:p>
        </w:tc>
        <w:tc>
          <w:tcPr>
            <w:tcW w:type="dxa" w:w="4320"/>
            <w:vAlign w:val="center"/>
          </w:tcPr>
          <w:p>
            <w:pPr>
              <w:spacing w:after="0"/>
            </w:pPr>
            <w:r/>
            <w:r>
              <w:rPr>
                <w:rFonts w:ascii="Aptos" w:hAnsi="Aptos"/>
                <w:b w:val="0"/>
                <w:sz w:val="16"/>
              </w:rPr>
              <w:t>&gt; 7 days</w:t>
            </w:r>
          </w:p>
        </w:tc>
        <w:tc>
          <w:tcPr>
            <w:tcW w:type="dxa" w:w="4104"/>
            <w:vAlign w:val="center"/>
          </w:tcPr>
          <w:p>
            <w:pPr>
              <w:spacing w:after="0"/>
            </w:pPr>
            <w:r/>
            <w:r>
              <w:rPr>
                <w:rFonts w:ascii="Aptos" w:hAnsi="Aptos"/>
                <w:b w:val="0"/>
                <w:sz w:val="16"/>
              </w:rPr>
              <w:t>Create dating discrepancy task.</w:t>
            </w:r>
          </w:p>
        </w:tc>
      </w:tr>
      <w:tr>
        <w:trPr>
          <w:cantSplit/>
        </w:trPr>
        <w:tc>
          <w:tcPr>
            <w:tcW w:type="dxa" w:w="2736"/>
            <w:vAlign w:val="center"/>
            <w:shd w:fill="F7F9FC"/>
          </w:tcPr>
          <w:p>
            <w:pPr>
              <w:spacing w:after="0"/>
            </w:pPr>
            <w:r/>
            <w:r>
              <w:rPr>
                <w:rFonts w:ascii="Aptos" w:hAnsi="Aptos"/>
                <w:b w:val="0"/>
                <w:sz w:val="16"/>
              </w:rPr>
              <w:t>16+0 to 21+6 weeks</w:t>
            </w:r>
          </w:p>
        </w:tc>
        <w:tc>
          <w:tcPr>
            <w:tcW w:type="dxa" w:w="4320"/>
            <w:vAlign w:val="center"/>
            <w:shd w:fill="F7F9FC"/>
          </w:tcPr>
          <w:p>
            <w:pPr>
              <w:spacing w:after="0"/>
            </w:pPr>
            <w:r/>
            <w:r>
              <w:rPr>
                <w:rFonts w:ascii="Aptos" w:hAnsi="Aptos"/>
                <w:b w:val="0"/>
                <w:sz w:val="16"/>
              </w:rPr>
              <w:t>&gt; 10 days</w:t>
            </w:r>
          </w:p>
        </w:tc>
        <w:tc>
          <w:tcPr>
            <w:tcW w:type="dxa" w:w="4104"/>
            <w:vAlign w:val="center"/>
            <w:shd w:fill="F7F9FC"/>
          </w:tcPr>
          <w:p>
            <w:pPr>
              <w:spacing w:after="0"/>
            </w:pPr>
            <w:r/>
            <w:r>
              <w:rPr>
                <w:rFonts w:ascii="Aptos" w:hAnsi="Aptos"/>
                <w:b w:val="0"/>
                <w:sz w:val="16"/>
              </w:rPr>
              <w:t>Create dating discrepancy task.</w:t>
            </w:r>
          </w:p>
        </w:tc>
      </w:tr>
      <w:tr>
        <w:trPr>
          <w:cantSplit/>
        </w:trPr>
        <w:tc>
          <w:tcPr>
            <w:tcW w:type="dxa" w:w="2736"/>
            <w:vAlign w:val="center"/>
          </w:tcPr>
          <w:p>
            <w:pPr>
              <w:spacing w:after="0"/>
            </w:pPr>
            <w:r/>
            <w:r>
              <w:rPr>
                <w:rFonts w:ascii="Aptos" w:hAnsi="Aptos"/>
                <w:b w:val="0"/>
                <w:sz w:val="16"/>
              </w:rPr>
              <w:t>22+0 to 27+6 weeks</w:t>
            </w:r>
          </w:p>
        </w:tc>
        <w:tc>
          <w:tcPr>
            <w:tcW w:type="dxa" w:w="4320"/>
            <w:vAlign w:val="center"/>
          </w:tcPr>
          <w:p>
            <w:pPr>
              <w:spacing w:after="0"/>
            </w:pPr>
            <w:r/>
            <w:r>
              <w:rPr>
                <w:rFonts w:ascii="Aptos" w:hAnsi="Aptos"/>
                <w:b w:val="0"/>
                <w:sz w:val="16"/>
              </w:rPr>
              <w:t>&gt; 14 days</w:t>
            </w:r>
          </w:p>
        </w:tc>
        <w:tc>
          <w:tcPr>
            <w:tcW w:type="dxa" w:w="4104"/>
            <w:vAlign w:val="center"/>
          </w:tcPr>
          <w:p>
            <w:pPr>
              <w:spacing w:after="0"/>
            </w:pPr>
            <w:r/>
            <w:r>
              <w:rPr>
                <w:rFonts w:ascii="Aptos" w:hAnsi="Aptos"/>
                <w:b w:val="0"/>
                <w:sz w:val="16"/>
              </w:rPr>
              <w:t>Create dating discrepancy task and mark lower dating precision.</w:t>
            </w:r>
          </w:p>
        </w:tc>
      </w:tr>
      <w:tr>
        <w:trPr>
          <w:cantSplit/>
        </w:trPr>
        <w:tc>
          <w:tcPr>
            <w:tcW w:type="dxa" w:w="2736"/>
            <w:vAlign w:val="center"/>
            <w:shd w:fill="F7F9FC"/>
          </w:tcPr>
          <w:p>
            <w:pPr>
              <w:spacing w:after="0"/>
            </w:pPr>
            <w:r/>
            <w:r>
              <w:rPr>
                <w:rFonts w:ascii="Aptos" w:hAnsi="Aptos"/>
                <w:b w:val="0"/>
                <w:sz w:val="16"/>
              </w:rPr>
              <w:t>≥ 28+0 weeks</w:t>
            </w:r>
          </w:p>
        </w:tc>
        <w:tc>
          <w:tcPr>
            <w:tcW w:type="dxa" w:w="4320"/>
            <w:vAlign w:val="center"/>
            <w:shd w:fill="F7F9FC"/>
          </w:tcPr>
          <w:p>
            <w:pPr>
              <w:spacing w:after="0"/>
            </w:pPr>
            <w:r/>
            <w:r>
              <w:rPr>
                <w:rFonts w:ascii="Aptos" w:hAnsi="Aptos"/>
                <w:b w:val="0"/>
                <w:sz w:val="16"/>
              </w:rPr>
              <w:t>&gt; 21 days when this is the first ultrasound</w:t>
            </w:r>
          </w:p>
        </w:tc>
        <w:tc>
          <w:tcPr>
            <w:tcW w:type="dxa" w:w="4104"/>
            <w:vAlign w:val="center"/>
            <w:shd w:fill="F7F9FC"/>
          </w:tcPr>
          <w:p>
            <w:pPr>
              <w:spacing w:after="0"/>
            </w:pPr>
            <w:r/>
            <w:r>
              <w:rPr>
                <w:rFonts w:ascii="Aptos" w:hAnsi="Aptos"/>
                <w:b w:val="0"/>
                <w:sz w:val="16"/>
              </w:rPr>
              <w:t>Escalate for obstetric review; never auto-change because late biometry may reflect abnormal growth.</w:t>
            </w:r>
          </w:p>
        </w:tc>
      </w:tr>
    </w:tbl>
    <w:p/>
    <w:tbl>
      <w:tblPr>
        <w:tblW w:type="auto" w:w="0"/>
        <w:jc w:val="center"/>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Important safeguard. </w:t>
            </w:r>
            <w:r>
              <w:t>A later ultrasound should not repeatedly move the EDD. Once an early, technically valid estimate is accepted, later size measurements are primarily interpreted as growth observations, not new clocks.</w:t>
            </w:r>
          </w:p>
        </w:tc>
      </w:tr>
    </w:tbl>
    <w:p/>
    <w:p>
      <w:pPr>
        <w:pStyle w:val="Heading1"/>
      </w:pPr>
      <w:r>
        <w:t>6. Special Dating Situations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7365D"/>
          </w:tcPr>
          <w:p>
            <w:pPr>
              <w:spacing w:after="0"/>
            </w:pPr>
            <w:r/>
            <w:r>
              <w:rPr>
                <w:rFonts w:ascii="Aptos" w:hAnsi="Aptos"/>
                <w:b/>
                <w:color w:val="FFFFFF"/>
                <w:sz w:val="16"/>
              </w:rPr>
              <w:t>Situation</w:t>
            </w:r>
          </w:p>
        </w:tc>
        <w:tc>
          <w:tcPr>
            <w:tcW w:type="dxa" w:w="7560"/>
            <w:vAlign w:val="center"/>
            <w:shd w:fill="17365D"/>
          </w:tcPr>
          <w:p>
            <w:pPr>
              <w:spacing w:after="0"/>
            </w:pPr>
            <w:r/>
            <w:r>
              <w:rPr>
                <w:rFonts w:ascii="Aptos" w:hAnsi="Aptos"/>
                <w:b/>
                <w:color w:val="FFFFFF"/>
                <w:sz w:val="16"/>
              </w:rPr>
              <w:t>CDSS handling</w:t>
            </w:r>
          </w:p>
        </w:tc>
      </w:tr>
      <w:tr>
        <w:trPr>
          <w:cantSplit/>
        </w:trPr>
        <w:tc>
          <w:tcPr>
            <w:tcW w:type="dxa" w:w="2880"/>
            <w:vAlign w:val="center"/>
          </w:tcPr>
          <w:p>
            <w:pPr>
              <w:spacing w:after="0"/>
            </w:pPr>
            <w:r/>
            <w:r>
              <w:rPr>
                <w:rFonts w:ascii="Aptos" w:hAnsi="Aptos"/>
                <w:b w:val="0"/>
                <w:sz w:val="16"/>
              </w:rPr>
              <w:t>Assisted reproductive technology</w:t>
            </w:r>
          </w:p>
        </w:tc>
        <w:tc>
          <w:tcPr>
            <w:tcW w:type="dxa" w:w="7560"/>
            <w:vAlign w:val="center"/>
          </w:tcPr>
          <w:p>
            <w:pPr>
              <w:spacing w:after="0"/>
            </w:pPr>
            <w:r/>
            <w:r>
              <w:rPr>
                <w:rFonts w:ascii="Aptos" w:hAnsi="Aptos"/>
                <w:b w:val="0"/>
                <w:sz w:val="16"/>
              </w:rPr>
              <w:t>Store procedure type, embryo age, transfer/insemination date, and clinician-confirmed ART-derived EDD. Do not replace it with LMP.</w:t>
            </w:r>
          </w:p>
        </w:tc>
      </w:tr>
      <w:tr>
        <w:trPr>
          <w:cantSplit/>
        </w:trPr>
        <w:tc>
          <w:tcPr>
            <w:tcW w:type="dxa" w:w="2880"/>
            <w:vAlign w:val="center"/>
            <w:shd w:fill="F7F9FC"/>
          </w:tcPr>
          <w:p>
            <w:pPr>
              <w:spacing w:after="0"/>
            </w:pPr>
            <w:r/>
            <w:r>
              <w:rPr>
                <w:rFonts w:ascii="Aptos" w:hAnsi="Aptos"/>
                <w:b w:val="0"/>
                <w:sz w:val="16"/>
              </w:rPr>
              <w:t>Unknown LMP with early ultrasound</w:t>
            </w:r>
          </w:p>
        </w:tc>
        <w:tc>
          <w:tcPr>
            <w:tcW w:type="dxa" w:w="7560"/>
            <w:vAlign w:val="center"/>
            <w:shd w:fill="F7F9FC"/>
          </w:tcPr>
          <w:p>
            <w:pPr>
              <w:spacing w:after="0"/>
            </w:pPr>
            <w:r/>
            <w:r>
              <w:rPr>
                <w:rFonts w:ascii="Aptos" w:hAnsi="Aptos"/>
                <w:b w:val="0"/>
                <w:sz w:val="16"/>
              </w:rPr>
              <w:t>Use the accepted early ultrasound estimate; retain LMP as unknown rather than inventing a date.</w:t>
            </w:r>
          </w:p>
        </w:tc>
      </w:tr>
      <w:tr>
        <w:trPr>
          <w:cantSplit/>
        </w:trPr>
        <w:tc>
          <w:tcPr>
            <w:tcW w:type="dxa" w:w="2880"/>
            <w:vAlign w:val="center"/>
          </w:tcPr>
          <w:p>
            <w:pPr>
              <w:spacing w:after="0"/>
            </w:pPr>
            <w:r/>
            <w:r>
              <w:rPr>
                <w:rFonts w:ascii="Aptos" w:hAnsi="Aptos"/>
                <w:b w:val="0"/>
                <w:sz w:val="16"/>
              </w:rPr>
              <w:t>No early ultrasound</w:t>
            </w:r>
          </w:p>
        </w:tc>
        <w:tc>
          <w:tcPr>
            <w:tcW w:type="dxa" w:w="7560"/>
            <w:vAlign w:val="center"/>
          </w:tcPr>
          <w:p>
            <w:pPr>
              <w:spacing w:after="0"/>
            </w:pPr>
            <w:r/>
            <w:r>
              <w:rPr>
                <w:rFonts w:ascii="Aptos" w:hAnsi="Aptos"/>
                <w:b w:val="0"/>
                <w:sz w:val="16"/>
              </w:rPr>
              <w:t>Mark dating as unconfirmed/suboptimal according to configured standard and route for clinical review.</w:t>
            </w:r>
          </w:p>
        </w:tc>
      </w:tr>
      <w:tr>
        <w:trPr>
          <w:cantSplit/>
        </w:trPr>
        <w:tc>
          <w:tcPr>
            <w:tcW w:type="dxa" w:w="2880"/>
            <w:vAlign w:val="center"/>
            <w:shd w:fill="F7F9FC"/>
          </w:tcPr>
          <w:p>
            <w:pPr>
              <w:spacing w:after="0"/>
            </w:pPr>
            <w:r/>
            <w:r>
              <w:rPr>
                <w:rFonts w:ascii="Aptos" w:hAnsi="Aptos"/>
                <w:b w:val="0"/>
                <w:sz w:val="16"/>
              </w:rPr>
              <w:t>Late first presentation</w:t>
            </w:r>
          </w:p>
        </w:tc>
        <w:tc>
          <w:tcPr>
            <w:tcW w:type="dxa" w:w="7560"/>
            <w:vAlign w:val="center"/>
            <w:shd w:fill="F7F9FC"/>
          </w:tcPr>
          <w:p>
            <w:pPr>
              <w:spacing w:after="0"/>
            </w:pPr>
            <w:r/>
            <w:r>
              <w:rPr>
                <w:rFonts w:ascii="Aptos" w:hAnsi="Aptos"/>
                <w:b w:val="0"/>
                <w:sz w:val="16"/>
              </w:rPr>
              <w:t>Record late booking and dating uncertainty separately; do not label the woman clinically high risk solely because she booked late.</w:t>
            </w:r>
          </w:p>
        </w:tc>
      </w:tr>
      <w:tr>
        <w:trPr>
          <w:cantSplit/>
        </w:trPr>
        <w:tc>
          <w:tcPr>
            <w:tcW w:type="dxa" w:w="2880"/>
            <w:vAlign w:val="center"/>
          </w:tcPr>
          <w:p>
            <w:pPr>
              <w:spacing w:after="0"/>
            </w:pPr>
            <w:r/>
            <w:r>
              <w:rPr>
                <w:rFonts w:ascii="Aptos" w:hAnsi="Aptos"/>
                <w:b w:val="0"/>
                <w:sz w:val="16"/>
              </w:rPr>
              <w:t>Irregular cycles / postpartum / breastfeeding</w:t>
            </w:r>
          </w:p>
        </w:tc>
        <w:tc>
          <w:tcPr>
            <w:tcW w:type="dxa" w:w="7560"/>
            <w:vAlign w:val="center"/>
          </w:tcPr>
          <w:p>
            <w:pPr>
              <w:spacing w:after="0"/>
            </w:pPr>
            <w:r/>
            <w:r>
              <w:rPr>
                <w:rFonts w:ascii="Aptos" w:hAnsi="Aptos"/>
                <w:b w:val="0"/>
                <w:sz w:val="16"/>
              </w:rPr>
              <w:t>Treat LMP estimate as potentially unreliable; request confirmation.</w:t>
            </w:r>
          </w:p>
        </w:tc>
      </w:tr>
      <w:tr>
        <w:trPr>
          <w:cantSplit/>
        </w:trPr>
        <w:tc>
          <w:tcPr>
            <w:tcW w:type="dxa" w:w="2880"/>
            <w:vAlign w:val="center"/>
            <w:shd w:fill="F7F9FC"/>
          </w:tcPr>
          <w:p>
            <w:pPr>
              <w:spacing w:after="0"/>
            </w:pPr>
            <w:r/>
            <w:r>
              <w:rPr>
                <w:rFonts w:ascii="Aptos" w:hAnsi="Aptos"/>
                <w:b w:val="0"/>
                <w:sz w:val="16"/>
              </w:rPr>
              <w:t>Bleeding mistaken for LMP</w:t>
            </w:r>
          </w:p>
        </w:tc>
        <w:tc>
          <w:tcPr>
            <w:tcW w:type="dxa" w:w="7560"/>
            <w:vAlign w:val="center"/>
            <w:shd w:fill="F7F9FC"/>
          </w:tcPr>
          <w:p>
            <w:pPr>
              <w:spacing w:after="0"/>
            </w:pPr>
            <w:r/>
            <w:r>
              <w:rPr>
                <w:rFonts w:ascii="Aptos" w:hAnsi="Aptos"/>
                <w:b w:val="0"/>
                <w:sz w:val="16"/>
              </w:rPr>
              <w:t>Do not assume the bleeding episode is a true menstrual period; preserve uncertainty.</w:t>
            </w:r>
          </w:p>
        </w:tc>
      </w:tr>
      <w:tr>
        <w:trPr>
          <w:cantSplit/>
        </w:trPr>
        <w:tc>
          <w:tcPr>
            <w:tcW w:type="dxa" w:w="2880"/>
            <w:vAlign w:val="center"/>
          </w:tcPr>
          <w:p>
            <w:pPr>
              <w:spacing w:after="0"/>
            </w:pPr>
            <w:r/>
            <w:r>
              <w:rPr>
                <w:rFonts w:ascii="Aptos" w:hAnsi="Aptos"/>
                <w:b w:val="0"/>
                <w:sz w:val="16"/>
              </w:rPr>
              <w:t>Multiple pregnancy</w:t>
            </w:r>
          </w:p>
        </w:tc>
        <w:tc>
          <w:tcPr>
            <w:tcW w:type="dxa" w:w="7560"/>
            <w:vAlign w:val="center"/>
          </w:tcPr>
          <w:p>
            <w:pPr>
              <w:spacing w:after="0"/>
            </w:pPr>
            <w:r/>
            <w:r>
              <w:rPr>
                <w:rFonts w:ascii="Aptos" w:hAnsi="Aptos"/>
                <w:b w:val="0"/>
                <w:sz w:val="16"/>
              </w:rPr>
              <w:t>Dating is generally based on the most appropriate early measurement according to specialist protocol; the lying-in CDSS should store the report result, not invent a twin-specific method.</w:t>
            </w:r>
          </w:p>
        </w:tc>
      </w:tr>
      <w:tr>
        <w:trPr>
          <w:cantSplit/>
        </w:trPr>
        <w:tc>
          <w:tcPr>
            <w:tcW w:type="dxa" w:w="2880"/>
            <w:vAlign w:val="center"/>
            <w:shd w:fill="F7F9FC"/>
          </w:tcPr>
          <w:p>
            <w:pPr>
              <w:spacing w:after="0"/>
            </w:pPr>
            <w:r/>
            <w:r>
              <w:rPr>
                <w:rFonts w:ascii="Aptos" w:hAnsi="Aptos"/>
                <w:b w:val="0"/>
                <w:sz w:val="16"/>
              </w:rPr>
              <w:t>Conflicting records</w:t>
            </w:r>
          </w:p>
        </w:tc>
        <w:tc>
          <w:tcPr>
            <w:tcW w:type="dxa" w:w="7560"/>
            <w:vAlign w:val="center"/>
            <w:shd w:fill="F7F9FC"/>
          </w:tcPr>
          <w:p>
            <w:pPr>
              <w:spacing w:after="0"/>
            </w:pPr>
            <w:r/>
            <w:r>
              <w:rPr>
                <w:rFonts w:ascii="Aptos" w:hAnsi="Aptos"/>
                <w:b w:val="0"/>
                <w:sz w:val="16"/>
              </w:rPr>
              <w:t>Display all source dates, identify the currently accepted estimate, and require authorized reconciliation.</w:t>
            </w:r>
          </w:p>
        </w:tc>
      </w:tr>
    </w:tbl>
    <w:p/>
    <w:p>
      <w:pPr>
        <w:pStyle w:val="Heading1"/>
      </w:pPr>
      <w:r>
        <w:t>7. Gestational-Age Categories</w:t>
      </w:r>
    </w:p>
    <w:p>
      <w:r>
        <w:t>Gestational-age categories are useful for communication and workflow, but the CDSS must not turn a category into a diagnosis or delivery plan. The category must be generated from the accepted best obstetric estimate and recalculated for the encounter date.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944"/>
            <w:vAlign w:val="center"/>
            <w:shd w:fill="17365D"/>
          </w:tcPr>
          <w:p>
            <w:pPr>
              <w:spacing w:after="0"/>
            </w:pPr>
            <w:r/>
            <w:r>
              <w:rPr>
                <w:rFonts w:ascii="Aptos" w:hAnsi="Aptos"/>
                <w:b/>
                <w:color w:val="FFFFFF"/>
                <w:sz w:val="16"/>
              </w:rPr>
              <w:t>Category</w:t>
            </w:r>
          </w:p>
        </w:tc>
        <w:tc>
          <w:tcPr>
            <w:tcW w:type="dxa" w:w="2520"/>
            <w:vAlign w:val="center"/>
            <w:shd w:fill="17365D"/>
          </w:tcPr>
          <w:p>
            <w:pPr>
              <w:spacing w:after="0"/>
            </w:pPr>
            <w:r/>
            <w:r>
              <w:rPr>
                <w:rFonts w:ascii="Aptos" w:hAnsi="Aptos"/>
                <w:b/>
                <w:color w:val="FFFFFF"/>
                <w:sz w:val="16"/>
              </w:rPr>
              <w:t>Common gestational range</w:t>
            </w:r>
          </w:p>
        </w:tc>
        <w:tc>
          <w:tcPr>
            <w:tcW w:type="dxa" w:w="5976"/>
            <w:vAlign w:val="center"/>
            <w:shd w:fill="17365D"/>
          </w:tcPr>
          <w:p>
            <w:pPr>
              <w:spacing w:after="0"/>
            </w:pPr>
            <w:r/>
            <w:r>
              <w:rPr>
                <w:rFonts w:ascii="Aptos" w:hAnsi="Aptos"/>
                <w:b/>
                <w:color w:val="FFFFFF"/>
                <w:sz w:val="16"/>
              </w:rPr>
              <w:t>Safe CDSS use</w:t>
            </w:r>
          </w:p>
        </w:tc>
      </w:tr>
      <w:tr>
        <w:trPr>
          <w:cantSplit/>
        </w:trPr>
        <w:tc>
          <w:tcPr>
            <w:tcW w:type="dxa" w:w="1944"/>
            <w:vAlign w:val="center"/>
          </w:tcPr>
          <w:p>
            <w:pPr>
              <w:spacing w:after="0"/>
            </w:pPr>
            <w:r/>
            <w:r>
              <w:rPr>
                <w:rFonts w:ascii="Aptos" w:hAnsi="Aptos"/>
                <w:b w:val="0"/>
                <w:sz w:val="16"/>
              </w:rPr>
              <w:t>Preterm</w:t>
            </w:r>
          </w:p>
        </w:tc>
        <w:tc>
          <w:tcPr>
            <w:tcW w:type="dxa" w:w="2520"/>
            <w:vAlign w:val="center"/>
          </w:tcPr>
          <w:p>
            <w:pPr>
              <w:spacing w:after="0"/>
            </w:pPr>
            <w:r/>
            <w:r>
              <w:rPr>
                <w:rFonts w:ascii="Aptos" w:hAnsi="Aptos"/>
                <w:b w:val="0"/>
                <w:sz w:val="16"/>
              </w:rPr>
              <w:t>Before 37+0 weeks</w:t>
            </w:r>
          </w:p>
        </w:tc>
        <w:tc>
          <w:tcPr>
            <w:tcW w:type="dxa" w:w="5976"/>
            <w:vAlign w:val="center"/>
          </w:tcPr>
          <w:p>
            <w:pPr>
              <w:spacing w:after="0"/>
            </w:pPr>
            <w:r/>
            <w:r>
              <w:rPr>
                <w:rFonts w:ascii="Aptos" w:hAnsi="Aptos"/>
                <w:b w:val="0"/>
                <w:sz w:val="16"/>
              </w:rPr>
              <w:t>Context for symptoms, referral urgency, and interpretation of fetal/maternal findings.</w:t>
            </w:r>
          </w:p>
        </w:tc>
      </w:tr>
      <w:tr>
        <w:trPr>
          <w:cantSplit/>
        </w:trPr>
        <w:tc>
          <w:tcPr>
            <w:tcW w:type="dxa" w:w="1944"/>
            <w:vAlign w:val="center"/>
            <w:shd w:fill="F7F9FC"/>
          </w:tcPr>
          <w:p>
            <w:pPr>
              <w:spacing w:after="0"/>
            </w:pPr>
            <w:r/>
            <w:r>
              <w:rPr>
                <w:rFonts w:ascii="Aptos" w:hAnsi="Aptos"/>
                <w:b w:val="0"/>
                <w:sz w:val="16"/>
              </w:rPr>
              <w:t>Early term</w:t>
            </w:r>
          </w:p>
        </w:tc>
        <w:tc>
          <w:tcPr>
            <w:tcW w:type="dxa" w:w="2520"/>
            <w:vAlign w:val="center"/>
            <w:shd w:fill="F7F9FC"/>
          </w:tcPr>
          <w:p>
            <w:pPr>
              <w:spacing w:after="0"/>
            </w:pPr>
            <w:r/>
            <w:r>
              <w:rPr>
                <w:rFonts w:ascii="Aptos" w:hAnsi="Aptos"/>
                <w:b w:val="0"/>
                <w:sz w:val="16"/>
              </w:rPr>
              <w:t>37+0 to 38+6</w:t>
            </w:r>
          </w:p>
        </w:tc>
        <w:tc>
          <w:tcPr>
            <w:tcW w:type="dxa" w:w="5976"/>
            <w:vAlign w:val="center"/>
            <w:shd w:fill="F7F9FC"/>
          </w:tcPr>
          <w:p>
            <w:pPr>
              <w:spacing w:after="0"/>
            </w:pPr>
            <w:r/>
            <w:r>
              <w:rPr>
                <w:rFonts w:ascii="Aptos" w:hAnsi="Aptos"/>
                <w:b w:val="0"/>
                <w:sz w:val="16"/>
              </w:rPr>
              <w:t>Display category; do not infer readiness for elective delivery.</w:t>
            </w:r>
          </w:p>
        </w:tc>
      </w:tr>
      <w:tr>
        <w:trPr>
          <w:cantSplit/>
        </w:trPr>
        <w:tc>
          <w:tcPr>
            <w:tcW w:type="dxa" w:w="1944"/>
            <w:vAlign w:val="center"/>
          </w:tcPr>
          <w:p>
            <w:pPr>
              <w:spacing w:after="0"/>
            </w:pPr>
            <w:r/>
            <w:r>
              <w:rPr>
                <w:rFonts w:ascii="Aptos" w:hAnsi="Aptos"/>
                <w:b w:val="0"/>
                <w:sz w:val="16"/>
              </w:rPr>
              <w:t>Full term</w:t>
            </w:r>
          </w:p>
        </w:tc>
        <w:tc>
          <w:tcPr>
            <w:tcW w:type="dxa" w:w="2520"/>
            <w:vAlign w:val="center"/>
          </w:tcPr>
          <w:p>
            <w:pPr>
              <w:spacing w:after="0"/>
            </w:pPr>
            <w:r/>
            <w:r>
              <w:rPr>
                <w:rFonts w:ascii="Aptos" w:hAnsi="Aptos"/>
                <w:b w:val="0"/>
                <w:sz w:val="16"/>
              </w:rPr>
              <w:t>39+0 to 40+6</w:t>
            </w:r>
          </w:p>
        </w:tc>
        <w:tc>
          <w:tcPr>
            <w:tcW w:type="dxa" w:w="5976"/>
            <w:vAlign w:val="center"/>
          </w:tcPr>
          <w:p>
            <w:pPr>
              <w:spacing w:after="0"/>
            </w:pPr>
            <w:r/>
            <w:r>
              <w:rPr>
                <w:rFonts w:ascii="Aptos" w:hAnsi="Aptos"/>
                <w:b w:val="0"/>
                <w:sz w:val="16"/>
              </w:rPr>
              <w:t>Display category and routine timing context.</w:t>
            </w:r>
          </w:p>
        </w:tc>
      </w:tr>
      <w:tr>
        <w:trPr>
          <w:cantSplit/>
        </w:trPr>
        <w:tc>
          <w:tcPr>
            <w:tcW w:type="dxa" w:w="1944"/>
            <w:vAlign w:val="center"/>
            <w:shd w:fill="F7F9FC"/>
          </w:tcPr>
          <w:p>
            <w:pPr>
              <w:spacing w:after="0"/>
            </w:pPr>
            <w:r/>
            <w:r>
              <w:rPr>
                <w:rFonts w:ascii="Aptos" w:hAnsi="Aptos"/>
                <w:b w:val="0"/>
                <w:sz w:val="16"/>
              </w:rPr>
              <w:t>Late term</w:t>
            </w:r>
          </w:p>
        </w:tc>
        <w:tc>
          <w:tcPr>
            <w:tcW w:type="dxa" w:w="2520"/>
            <w:vAlign w:val="center"/>
            <w:shd w:fill="F7F9FC"/>
          </w:tcPr>
          <w:p>
            <w:pPr>
              <w:spacing w:after="0"/>
            </w:pPr>
            <w:r/>
            <w:r>
              <w:rPr>
                <w:rFonts w:ascii="Aptos" w:hAnsi="Aptos"/>
                <w:b w:val="0"/>
                <w:sz w:val="16"/>
              </w:rPr>
              <w:t>41+0 to 41+6</w:t>
            </w:r>
          </w:p>
        </w:tc>
        <w:tc>
          <w:tcPr>
            <w:tcW w:type="dxa" w:w="5976"/>
            <w:vAlign w:val="center"/>
            <w:shd w:fill="F7F9FC"/>
          </w:tcPr>
          <w:p>
            <w:pPr>
              <w:spacing w:after="0"/>
            </w:pPr>
            <w:r/>
            <w:r>
              <w:rPr>
                <w:rFonts w:ascii="Aptos" w:hAnsi="Aptos"/>
                <w:b w:val="0"/>
                <w:sz w:val="16"/>
              </w:rPr>
              <w:t>Prompt review of ongoing pregnancy plan and facility pathway.</w:t>
            </w:r>
          </w:p>
        </w:tc>
      </w:tr>
      <w:tr>
        <w:trPr>
          <w:cantSplit/>
        </w:trPr>
        <w:tc>
          <w:tcPr>
            <w:tcW w:type="dxa" w:w="1944"/>
            <w:vAlign w:val="center"/>
          </w:tcPr>
          <w:p>
            <w:pPr>
              <w:spacing w:after="0"/>
            </w:pPr>
            <w:r/>
            <w:r>
              <w:rPr>
                <w:rFonts w:ascii="Aptos" w:hAnsi="Aptos"/>
                <w:b w:val="0"/>
                <w:sz w:val="16"/>
              </w:rPr>
              <w:t>Post-term</w:t>
            </w:r>
          </w:p>
        </w:tc>
        <w:tc>
          <w:tcPr>
            <w:tcW w:type="dxa" w:w="2520"/>
            <w:vAlign w:val="center"/>
          </w:tcPr>
          <w:p>
            <w:pPr>
              <w:spacing w:after="0"/>
            </w:pPr>
            <w:r/>
            <w:r>
              <w:rPr>
                <w:rFonts w:ascii="Aptos" w:hAnsi="Aptos"/>
                <w:b w:val="0"/>
                <w:sz w:val="16"/>
              </w:rPr>
              <w:t>42+0 weeks or later</w:t>
            </w:r>
          </w:p>
        </w:tc>
        <w:tc>
          <w:tcPr>
            <w:tcW w:type="dxa" w:w="5976"/>
            <w:vAlign w:val="center"/>
          </w:tcPr>
          <w:p>
            <w:pPr>
              <w:spacing w:after="0"/>
            </w:pPr>
            <w:r/>
            <w:r>
              <w:rPr>
                <w:rFonts w:ascii="Aptos" w:hAnsi="Aptos"/>
                <w:b w:val="0"/>
                <w:sz w:val="16"/>
              </w:rPr>
              <w:t>Prompt urgent obstetric review according to local protocol; no autonomous induction recommendation.</w:t>
            </w:r>
          </w:p>
        </w:tc>
      </w:tr>
      <w:tr>
        <w:trPr>
          <w:cantSplit/>
        </w:trPr>
        <w:tc>
          <w:tcPr>
            <w:tcW w:type="dxa" w:w="1944"/>
            <w:vAlign w:val="center"/>
            <w:shd w:fill="F7F9FC"/>
          </w:tcPr>
          <w:p>
            <w:pPr>
              <w:spacing w:after="0"/>
            </w:pPr>
            <w:r/>
            <w:r>
              <w:rPr>
                <w:rFonts w:ascii="Aptos" w:hAnsi="Aptos"/>
                <w:b w:val="0"/>
                <w:sz w:val="16"/>
              </w:rPr>
              <w:t>Uncertain category</w:t>
            </w:r>
          </w:p>
        </w:tc>
        <w:tc>
          <w:tcPr>
            <w:tcW w:type="dxa" w:w="2520"/>
            <w:vAlign w:val="center"/>
            <w:shd w:fill="F7F9FC"/>
          </w:tcPr>
          <w:p>
            <w:pPr>
              <w:spacing w:after="0"/>
            </w:pPr>
            <w:r/>
            <w:r>
              <w:rPr>
                <w:rFonts w:ascii="Aptos" w:hAnsi="Aptos"/>
                <w:b w:val="0"/>
                <w:sz w:val="16"/>
              </w:rPr>
              <w:t>Dating confidence insufficient</w:t>
            </w:r>
          </w:p>
        </w:tc>
        <w:tc>
          <w:tcPr>
            <w:tcW w:type="dxa" w:w="5976"/>
            <w:vAlign w:val="center"/>
            <w:shd w:fill="F7F9FC"/>
          </w:tcPr>
          <w:p>
            <w:pPr>
              <w:spacing w:after="0"/>
            </w:pPr>
            <w:r/>
            <w:r>
              <w:rPr>
                <w:rFonts w:ascii="Aptos" w:hAnsi="Aptos"/>
                <w:b w:val="0"/>
                <w:sz w:val="16"/>
              </w:rPr>
              <w:t>Show uncertainty prominently; prevent false-precision recommendations.</w:t>
            </w:r>
          </w:p>
        </w:tc>
      </w:tr>
    </w:tbl>
    <w:p/>
    <w:p>
      <w:pPr>
        <w:pStyle w:val="Heading1"/>
      </w:pPr>
      <w:r>
        <w:t>8. Lying-In Clinic Applicability</w:t>
      </w:r>
    </w:p>
    <w:p>
      <w:r>
        <w:t>A lying-in clinic may collect menstrual history, calculate a provisional EDD, record ultrasound report findings, identify inconsistency, educate the patient, and coordinate referral. It should not independently resolve complex dating conflicts that may affect preterm treatment, delivery timing, induction, or operative planning.</w:t>
      </w:r>
    </w:p>
    <w:tbl>
      <w:tblPr>
        <w:tblStyle w:val="TableGrid"/>
        <w:tblW w:type="auto" w:w="0"/>
        <w:jc w:val="center"/>
        <w:tblLook w:firstColumn="1" w:firstRow="1" w:lastColumn="0" w:lastRow="0" w:noHBand="0" w:noVBand="1" w:val="04A0"/>
      </w:tblPr>
      <w:tblGrid>
        <w:gridCol w:w="4997"/>
        <w:gridCol w:w="4997"/>
      </w:tblGrid>
      <w:tr>
        <w:trPr>
          <w:cantSplit/>
        </w:trPr>
        <w:tc>
          <w:tcPr>
            <w:tcW w:type="dxa" w:w="5112"/>
            <w:vAlign w:val="center"/>
            <w:shd w:fill="17365D"/>
          </w:tcPr>
          <w:p>
            <w:pPr>
              <w:spacing w:after="0"/>
            </w:pPr>
            <w:r/>
            <w:r>
              <w:rPr>
                <w:rFonts w:ascii="Aptos" w:hAnsi="Aptos"/>
                <w:b/>
                <w:color w:val="FFFFFF"/>
                <w:sz w:val="16"/>
              </w:rPr>
              <w:t>Appropriate within the system</w:t>
            </w:r>
          </w:p>
        </w:tc>
        <w:tc>
          <w:tcPr>
            <w:tcW w:type="dxa" w:w="5112"/>
            <w:vAlign w:val="center"/>
            <w:shd w:fill="17365D"/>
          </w:tcPr>
          <w:p>
            <w:pPr>
              <w:spacing w:after="0"/>
            </w:pPr>
            <w:r/>
            <w:r>
              <w:rPr>
                <w:rFonts w:ascii="Aptos" w:hAnsi="Aptos"/>
                <w:b/>
                <w:color w:val="FFFFFF"/>
                <w:sz w:val="16"/>
              </w:rPr>
              <w:t>Requires obstetric/authorized clinical review</w:t>
            </w:r>
          </w:p>
        </w:tc>
      </w:tr>
      <w:tr>
        <w:trPr>
          <w:cantSplit/>
        </w:trPr>
        <w:tc>
          <w:tcPr>
            <w:tcW w:type="dxa" w:w="5112"/>
            <w:vAlign w:val="center"/>
          </w:tcPr>
          <w:p>
            <w:pPr>
              <w:spacing w:after="0"/>
            </w:pPr>
            <w:r/>
            <w:r>
              <w:rPr>
                <w:rFonts w:ascii="Aptos" w:hAnsi="Aptos"/>
                <w:b w:val="0"/>
                <w:sz w:val="16"/>
              </w:rPr>
              <w:t>Collect LMP details and reliability indicators</w:t>
            </w:r>
          </w:p>
        </w:tc>
        <w:tc>
          <w:tcPr>
            <w:tcW w:type="dxa" w:w="5112"/>
            <w:vAlign w:val="center"/>
          </w:tcPr>
          <w:p>
            <w:pPr>
              <w:spacing w:after="0"/>
            </w:pPr>
            <w:r/>
            <w:r>
              <w:rPr>
                <w:rFonts w:ascii="Aptos" w:hAnsi="Aptos"/>
                <w:b w:val="0"/>
                <w:sz w:val="16"/>
              </w:rPr>
              <w:t>Approve a material re-dating decision</w:t>
            </w:r>
          </w:p>
        </w:tc>
      </w:tr>
      <w:tr>
        <w:trPr>
          <w:cantSplit/>
        </w:trPr>
        <w:tc>
          <w:tcPr>
            <w:tcW w:type="dxa" w:w="5112"/>
            <w:vAlign w:val="center"/>
            <w:shd w:fill="F7F9FC"/>
          </w:tcPr>
          <w:p>
            <w:pPr>
              <w:spacing w:after="0"/>
            </w:pPr>
            <w:r/>
            <w:r>
              <w:rPr>
                <w:rFonts w:ascii="Aptos" w:hAnsi="Aptos"/>
                <w:b w:val="0"/>
                <w:sz w:val="16"/>
              </w:rPr>
              <w:t>Calculate transparent provisional EDD</w:t>
            </w:r>
          </w:p>
        </w:tc>
        <w:tc>
          <w:tcPr>
            <w:tcW w:type="dxa" w:w="5112"/>
            <w:vAlign w:val="center"/>
            <w:shd w:fill="F7F9FC"/>
          </w:tcPr>
          <w:p>
            <w:pPr>
              <w:spacing w:after="0"/>
            </w:pPr>
            <w:r/>
            <w:r>
              <w:rPr>
                <w:rFonts w:ascii="Aptos" w:hAnsi="Aptos"/>
                <w:b w:val="0"/>
                <w:sz w:val="16"/>
              </w:rPr>
              <w:t>Interpret fetal biometry or ultrasound image quality</w:t>
            </w:r>
          </w:p>
        </w:tc>
      </w:tr>
      <w:tr>
        <w:trPr>
          <w:cantSplit/>
        </w:trPr>
        <w:tc>
          <w:tcPr>
            <w:tcW w:type="dxa" w:w="5112"/>
            <w:vAlign w:val="center"/>
          </w:tcPr>
          <w:p>
            <w:pPr>
              <w:spacing w:after="0"/>
            </w:pPr>
            <w:r/>
            <w:r>
              <w:rPr>
                <w:rFonts w:ascii="Aptos" w:hAnsi="Aptos"/>
                <w:b w:val="0"/>
                <w:sz w:val="16"/>
              </w:rPr>
              <w:t>Record ultrasound GA, date, method, and report source</w:t>
            </w:r>
          </w:p>
        </w:tc>
        <w:tc>
          <w:tcPr>
            <w:tcW w:type="dxa" w:w="5112"/>
            <w:vAlign w:val="center"/>
          </w:tcPr>
          <w:p>
            <w:pPr>
              <w:spacing w:after="0"/>
            </w:pPr>
            <w:r/>
            <w:r>
              <w:rPr>
                <w:rFonts w:ascii="Aptos" w:hAnsi="Aptos"/>
                <w:b w:val="0"/>
                <w:sz w:val="16"/>
              </w:rPr>
              <w:t>Distinguish dating error from fetal growth restriction</w:t>
            </w:r>
          </w:p>
        </w:tc>
      </w:tr>
      <w:tr>
        <w:trPr>
          <w:cantSplit/>
        </w:trPr>
        <w:tc>
          <w:tcPr>
            <w:tcW w:type="dxa" w:w="5112"/>
            <w:vAlign w:val="center"/>
            <w:shd w:fill="F7F9FC"/>
          </w:tcPr>
          <w:p>
            <w:pPr>
              <w:spacing w:after="0"/>
            </w:pPr>
            <w:r/>
            <w:r>
              <w:rPr>
                <w:rFonts w:ascii="Aptos" w:hAnsi="Aptos"/>
                <w:b w:val="0"/>
                <w:sz w:val="16"/>
              </w:rPr>
              <w:t>Flag absent early dating confirmation</w:t>
            </w:r>
          </w:p>
        </w:tc>
        <w:tc>
          <w:tcPr>
            <w:tcW w:type="dxa" w:w="5112"/>
            <w:vAlign w:val="center"/>
            <w:shd w:fill="F7F9FC"/>
          </w:tcPr>
          <w:p>
            <w:pPr>
              <w:spacing w:after="0"/>
            </w:pPr>
            <w:r/>
            <w:r>
              <w:rPr>
                <w:rFonts w:ascii="Aptos" w:hAnsi="Aptos"/>
                <w:b w:val="0"/>
                <w:sz w:val="16"/>
              </w:rPr>
              <w:t>Plan induction, corticosteroids, or delivery timing</w:t>
            </w:r>
          </w:p>
        </w:tc>
      </w:tr>
      <w:tr>
        <w:trPr>
          <w:cantSplit/>
        </w:trPr>
        <w:tc>
          <w:tcPr>
            <w:tcW w:type="dxa" w:w="5112"/>
            <w:vAlign w:val="center"/>
          </w:tcPr>
          <w:p>
            <w:pPr>
              <w:spacing w:after="0"/>
            </w:pPr>
            <w:r/>
            <w:r>
              <w:rPr>
                <w:rFonts w:ascii="Aptos" w:hAnsi="Aptos"/>
                <w:b w:val="0"/>
                <w:sz w:val="16"/>
              </w:rPr>
              <w:t>Display current GA at each encounter</w:t>
            </w:r>
          </w:p>
        </w:tc>
        <w:tc>
          <w:tcPr>
            <w:tcW w:type="dxa" w:w="5112"/>
            <w:vAlign w:val="center"/>
          </w:tcPr>
          <w:p>
            <w:pPr>
              <w:spacing w:after="0"/>
            </w:pPr>
            <w:r/>
            <w:r>
              <w:rPr>
                <w:rFonts w:ascii="Aptos" w:hAnsi="Aptos"/>
                <w:b w:val="0"/>
                <w:sz w:val="16"/>
              </w:rPr>
              <w:t>Manage a suboptimally dated pregnancy near term</w:t>
            </w:r>
          </w:p>
        </w:tc>
      </w:tr>
      <w:tr>
        <w:trPr>
          <w:cantSplit/>
        </w:trPr>
        <w:tc>
          <w:tcPr>
            <w:tcW w:type="dxa" w:w="5112"/>
            <w:vAlign w:val="center"/>
            <w:shd w:fill="F7F9FC"/>
          </w:tcPr>
          <w:p>
            <w:pPr>
              <w:spacing w:after="0"/>
            </w:pPr>
            <w:r/>
            <w:r>
              <w:rPr>
                <w:rFonts w:ascii="Aptos" w:hAnsi="Aptos"/>
                <w:b w:val="0"/>
                <w:sz w:val="16"/>
              </w:rPr>
              <w:t>Generate referral/documentation prompts</w:t>
            </w:r>
          </w:p>
        </w:tc>
        <w:tc>
          <w:tcPr>
            <w:tcW w:type="dxa" w:w="5112"/>
            <w:vAlign w:val="center"/>
            <w:shd w:fill="F7F9FC"/>
          </w:tcPr>
          <w:p>
            <w:pPr>
              <w:spacing w:after="0"/>
            </w:pPr>
            <w:r/>
            <w:r>
              <w:rPr>
                <w:rFonts w:ascii="Aptos" w:hAnsi="Aptos"/>
                <w:b w:val="0"/>
                <w:sz w:val="16"/>
              </w:rPr>
              <w:t>Resolve conflicting ART, LMP, and ultrasound evidence</w:t>
            </w:r>
          </w:p>
        </w:tc>
      </w:tr>
    </w:tbl>
    <w:p/>
    <w:p>
      <w:pPr>
        <w:pStyle w:val="Heading1"/>
      </w:pPr>
      <w:r>
        <w:t>9. CDSS Knowledge Rules</w:t>
      </w:r>
    </w:p>
    <w:p>
      <w:r>
        <w:t>These rules are knowledge-base specifications. They are intentionally phrased as documentation, review, or referral actions rather than diagnoses.</w:t>
      </w:r>
    </w:p>
    <w:tbl>
      <w:tblPr>
        <w:tblStyle w:val="TableGrid"/>
        <w:tblW w:type="auto" w:w="0"/>
        <w:jc w:val="center"/>
        <w:tblLook w:firstColumn="1" w:firstRow="1" w:lastColumn="0" w:lastRow="0" w:noHBand="0" w:noVBand="1" w:val="04A0"/>
      </w:tblPr>
      <w:tblGrid>
        <w:gridCol w:w="4997"/>
        <w:gridCol w:w="4997"/>
      </w:tblGrid>
      <w:tr>
        <w:trPr>
          <w:cantSplit/>
        </w:trPr>
        <w:tc>
          <w:tcPr>
            <w:tcW w:type="dxa" w:w="1224"/>
            <w:vAlign w:val="center"/>
            <w:shd w:fill="17365D"/>
          </w:tcPr>
          <w:p>
            <w:pPr>
              <w:spacing w:after="0"/>
            </w:pPr>
            <w:r/>
            <w:r>
              <w:rPr>
                <w:rFonts w:ascii="Aptos" w:hAnsi="Aptos"/>
                <w:b/>
                <w:color w:val="FFFFFF"/>
                <w:sz w:val="16"/>
              </w:rPr>
              <w:t>Rule ID</w:t>
            </w:r>
          </w:p>
        </w:tc>
        <w:tc>
          <w:tcPr>
            <w:tcW w:type="dxa" w:w="9072"/>
            <w:vAlign w:val="center"/>
            <w:shd w:fill="17365D"/>
          </w:tcPr>
          <w:p>
            <w:pPr>
              <w:spacing w:after="0"/>
            </w:pPr>
            <w:r/>
            <w:r>
              <w:rPr>
                <w:rFonts w:ascii="Aptos" w:hAnsi="Aptos"/>
                <w:b/>
                <w:color w:val="FFFFFF"/>
                <w:sz w:val="16"/>
              </w:rPr>
              <w:t>Specification</w:t>
            </w:r>
          </w:p>
        </w:tc>
      </w:tr>
      <w:tr>
        <w:trPr>
          <w:cantSplit/>
        </w:trPr>
        <w:tc>
          <w:tcPr>
            <w:tcW w:type="dxa" w:w="1224"/>
            <w:vAlign w:val="center"/>
          </w:tcPr>
          <w:p>
            <w:pPr>
              <w:spacing w:after="0"/>
            </w:pPr>
            <w:r/>
            <w:r>
              <w:rPr>
                <w:rFonts w:ascii="Aptos" w:hAnsi="Aptos"/>
                <w:b w:val="0"/>
                <w:sz w:val="16"/>
              </w:rPr>
              <w:t>GA-01</w:t>
            </w:r>
          </w:p>
        </w:tc>
        <w:tc>
          <w:tcPr>
            <w:tcW w:type="dxa" w:w="9072"/>
            <w:vAlign w:val="center"/>
          </w:tcPr>
          <w:p>
            <w:pPr>
              <w:spacing w:after="0"/>
            </w:pPr>
            <w:r/>
            <w:r>
              <w:rPr>
                <w:rFonts w:ascii="Aptos" w:hAnsi="Aptos"/>
                <w:b w:val="0"/>
                <w:sz w:val="16"/>
              </w:rPr>
              <w:t>When an exact LMP is entered, require cycle regularity and reliability questions before assigning confidence.</w:t>
            </w:r>
          </w:p>
        </w:tc>
      </w:tr>
      <w:tr>
        <w:trPr>
          <w:cantSplit/>
        </w:trPr>
        <w:tc>
          <w:tcPr>
            <w:tcW w:type="dxa" w:w="1224"/>
            <w:vAlign w:val="center"/>
            <w:shd w:fill="F7F9FC"/>
          </w:tcPr>
          <w:p>
            <w:pPr>
              <w:spacing w:after="0"/>
            </w:pPr>
            <w:r/>
            <w:r>
              <w:rPr>
                <w:rFonts w:ascii="Aptos" w:hAnsi="Aptos"/>
                <w:b w:val="0"/>
                <w:sz w:val="16"/>
              </w:rPr>
              <w:t>GA-02</w:t>
            </w:r>
          </w:p>
        </w:tc>
        <w:tc>
          <w:tcPr>
            <w:tcW w:type="dxa" w:w="9072"/>
            <w:vAlign w:val="center"/>
            <w:shd w:fill="F7F9FC"/>
          </w:tcPr>
          <w:p>
            <w:pPr>
              <w:spacing w:after="0"/>
            </w:pPr>
            <w:r/>
            <w:r>
              <w:rPr>
                <w:rFonts w:ascii="Aptos" w:hAnsi="Aptos"/>
                <w:b w:val="0"/>
                <w:sz w:val="16"/>
              </w:rPr>
              <w:t>Calculate LMP-derived EDD transparently as a provisional estimate; retain the source inputs.</w:t>
            </w:r>
          </w:p>
        </w:tc>
      </w:tr>
      <w:tr>
        <w:trPr>
          <w:cantSplit/>
        </w:trPr>
        <w:tc>
          <w:tcPr>
            <w:tcW w:type="dxa" w:w="1224"/>
            <w:vAlign w:val="center"/>
          </w:tcPr>
          <w:p>
            <w:pPr>
              <w:spacing w:after="0"/>
            </w:pPr>
            <w:r/>
            <w:r>
              <w:rPr>
                <w:rFonts w:ascii="Aptos" w:hAnsi="Aptos"/>
                <w:b w:val="0"/>
                <w:sz w:val="16"/>
              </w:rPr>
              <w:t>GA-03</w:t>
            </w:r>
          </w:p>
        </w:tc>
        <w:tc>
          <w:tcPr>
            <w:tcW w:type="dxa" w:w="9072"/>
            <w:vAlign w:val="center"/>
          </w:tcPr>
          <w:p>
            <w:pPr>
              <w:spacing w:after="0"/>
            </w:pPr>
            <w:r/>
            <w:r>
              <w:rPr>
                <w:rFonts w:ascii="Aptos" w:hAnsi="Aptos"/>
                <w:b w:val="0"/>
                <w:sz w:val="16"/>
              </w:rPr>
              <w:t>When a clinician-accepted first-trimester CRL date exists, use it as the preferred ultrasound dating source.</w:t>
            </w:r>
          </w:p>
        </w:tc>
      </w:tr>
      <w:tr>
        <w:trPr>
          <w:cantSplit/>
        </w:trPr>
        <w:tc>
          <w:tcPr>
            <w:tcW w:type="dxa" w:w="1224"/>
            <w:vAlign w:val="center"/>
            <w:shd w:fill="F7F9FC"/>
          </w:tcPr>
          <w:p>
            <w:pPr>
              <w:spacing w:after="0"/>
            </w:pPr>
            <w:r/>
            <w:r>
              <w:rPr>
                <w:rFonts w:ascii="Aptos" w:hAnsi="Aptos"/>
                <w:b w:val="0"/>
                <w:sz w:val="16"/>
              </w:rPr>
              <w:t>GA-04</w:t>
            </w:r>
          </w:p>
        </w:tc>
        <w:tc>
          <w:tcPr>
            <w:tcW w:type="dxa" w:w="9072"/>
            <w:vAlign w:val="center"/>
            <w:shd w:fill="F7F9FC"/>
          </w:tcPr>
          <w:p>
            <w:pPr>
              <w:spacing w:after="0"/>
            </w:pPr>
            <w:r/>
            <w:r>
              <w:rPr>
                <w:rFonts w:ascii="Aptos" w:hAnsi="Aptos"/>
                <w:b w:val="0"/>
                <w:sz w:val="16"/>
              </w:rPr>
              <w:t>Do not allow a later ultrasound to silently overwrite an accepted early EDD.</w:t>
            </w:r>
          </w:p>
        </w:tc>
      </w:tr>
      <w:tr>
        <w:trPr>
          <w:cantSplit/>
        </w:trPr>
        <w:tc>
          <w:tcPr>
            <w:tcW w:type="dxa" w:w="1224"/>
            <w:vAlign w:val="center"/>
          </w:tcPr>
          <w:p>
            <w:pPr>
              <w:spacing w:after="0"/>
            </w:pPr>
            <w:r/>
            <w:r>
              <w:rPr>
                <w:rFonts w:ascii="Aptos" w:hAnsi="Aptos"/>
                <w:b w:val="0"/>
                <w:sz w:val="16"/>
              </w:rPr>
              <w:t>GA-05</w:t>
            </w:r>
          </w:p>
        </w:tc>
        <w:tc>
          <w:tcPr>
            <w:tcW w:type="dxa" w:w="9072"/>
            <w:vAlign w:val="center"/>
          </w:tcPr>
          <w:p>
            <w:pPr>
              <w:spacing w:after="0"/>
            </w:pPr>
            <w:r/>
            <w:r>
              <w:rPr>
                <w:rFonts w:ascii="Aptos" w:hAnsi="Aptos"/>
                <w:b w:val="0"/>
                <w:sz w:val="16"/>
              </w:rPr>
              <w:t>When the discrepancy exceeds the configured guideline threshold, generate a review task—not an automatic re-dating event.</w:t>
            </w:r>
          </w:p>
        </w:tc>
      </w:tr>
      <w:tr>
        <w:trPr>
          <w:cantSplit/>
        </w:trPr>
        <w:tc>
          <w:tcPr>
            <w:tcW w:type="dxa" w:w="1224"/>
            <w:vAlign w:val="center"/>
            <w:shd w:fill="F7F9FC"/>
          </w:tcPr>
          <w:p>
            <w:pPr>
              <w:spacing w:after="0"/>
            </w:pPr>
            <w:r/>
            <w:r>
              <w:rPr>
                <w:rFonts w:ascii="Aptos" w:hAnsi="Aptos"/>
                <w:b w:val="0"/>
                <w:sz w:val="16"/>
              </w:rPr>
              <w:t>GA-06</w:t>
            </w:r>
          </w:p>
        </w:tc>
        <w:tc>
          <w:tcPr>
            <w:tcW w:type="dxa" w:w="9072"/>
            <w:vAlign w:val="center"/>
            <w:shd w:fill="F7F9FC"/>
          </w:tcPr>
          <w:p>
            <w:pPr>
              <w:spacing w:after="0"/>
            </w:pPr>
            <w:r/>
            <w:r>
              <w:rPr>
                <w:rFonts w:ascii="Aptos" w:hAnsi="Aptos"/>
                <w:b w:val="0"/>
                <w:sz w:val="16"/>
              </w:rPr>
              <w:t>Every EDD change requires previous EDD, new EDD, source, rationale, authorizer, and timestamp.</w:t>
            </w:r>
          </w:p>
        </w:tc>
      </w:tr>
      <w:tr>
        <w:trPr>
          <w:cantSplit/>
        </w:trPr>
        <w:tc>
          <w:tcPr>
            <w:tcW w:type="dxa" w:w="1224"/>
            <w:vAlign w:val="center"/>
          </w:tcPr>
          <w:p>
            <w:pPr>
              <w:spacing w:after="0"/>
            </w:pPr>
            <w:r/>
            <w:r>
              <w:rPr>
                <w:rFonts w:ascii="Aptos" w:hAnsi="Aptos"/>
                <w:b w:val="0"/>
                <w:sz w:val="16"/>
              </w:rPr>
              <w:t>GA-07</w:t>
            </w:r>
          </w:p>
        </w:tc>
        <w:tc>
          <w:tcPr>
            <w:tcW w:type="dxa" w:w="9072"/>
            <w:vAlign w:val="center"/>
          </w:tcPr>
          <w:p>
            <w:pPr>
              <w:spacing w:after="0"/>
            </w:pPr>
            <w:r/>
            <w:r>
              <w:rPr>
                <w:rFonts w:ascii="Aptos" w:hAnsi="Aptos"/>
                <w:b w:val="0"/>
                <w:sz w:val="16"/>
              </w:rPr>
              <w:t>When LMP is unknown, store UNKNOWN and do not fabricate a date from the EDD solely for appearance.</w:t>
            </w:r>
          </w:p>
        </w:tc>
      </w:tr>
      <w:tr>
        <w:trPr>
          <w:cantSplit/>
        </w:trPr>
        <w:tc>
          <w:tcPr>
            <w:tcW w:type="dxa" w:w="1224"/>
            <w:vAlign w:val="center"/>
            <w:shd w:fill="F7F9FC"/>
          </w:tcPr>
          <w:p>
            <w:pPr>
              <w:spacing w:after="0"/>
            </w:pPr>
            <w:r/>
            <w:r>
              <w:rPr>
                <w:rFonts w:ascii="Aptos" w:hAnsi="Aptos"/>
                <w:b w:val="0"/>
                <w:sz w:val="16"/>
              </w:rPr>
              <w:t>GA-08</w:t>
            </w:r>
          </w:p>
        </w:tc>
        <w:tc>
          <w:tcPr>
            <w:tcW w:type="dxa" w:w="9072"/>
            <w:vAlign w:val="center"/>
            <w:shd w:fill="F7F9FC"/>
          </w:tcPr>
          <w:p>
            <w:pPr>
              <w:spacing w:after="0"/>
            </w:pPr>
            <w:r/>
            <w:r>
              <w:rPr>
                <w:rFonts w:ascii="Aptos" w:hAnsi="Aptos"/>
                <w:b w:val="0"/>
                <w:sz w:val="16"/>
              </w:rPr>
              <w:t>When no ultrasound confirms/revises dating before the configured cutoff, flag dating as suboptimal/uncertain.</w:t>
            </w:r>
          </w:p>
        </w:tc>
      </w:tr>
      <w:tr>
        <w:trPr>
          <w:cantSplit/>
        </w:trPr>
        <w:tc>
          <w:tcPr>
            <w:tcW w:type="dxa" w:w="1224"/>
            <w:vAlign w:val="center"/>
          </w:tcPr>
          <w:p>
            <w:pPr>
              <w:spacing w:after="0"/>
            </w:pPr>
            <w:r/>
            <w:r>
              <w:rPr>
                <w:rFonts w:ascii="Aptos" w:hAnsi="Aptos"/>
                <w:b w:val="0"/>
                <w:sz w:val="16"/>
              </w:rPr>
              <w:t>GA-09</w:t>
            </w:r>
          </w:p>
        </w:tc>
        <w:tc>
          <w:tcPr>
            <w:tcW w:type="dxa" w:w="9072"/>
            <w:vAlign w:val="center"/>
          </w:tcPr>
          <w:p>
            <w:pPr>
              <w:spacing w:after="0"/>
            </w:pPr>
            <w:r/>
            <w:r>
              <w:rPr>
                <w:rFonts w:ascii="Aptos" w:hAnsi="Aptos"/>
                <w:b w:val="0"/>
                <w:sz w:val="16"/>
              </w:rPr>
              <w:t>When the first ultrasound occurs in the third trimester, label the estimate low precision and require obstetric review.</w:t>
            </w:r>
          </w:p>
        </w:tc>
      </w:tr>
      <w:tr>
        <w:trPr>
          <w:cantSplit/>
        </w:trPr>
        <w:tc>
          <w:tcPr>
            <w:tcW w:type="dxa" w:w="1224"/>
            <w:vAlign w:val="center"/>
            <w:shd w:fill="F7F9FC"/>
          </w:tcPr>
          <w:p>
            <w:pPr>
              <w:spacing w:after="0"/>
            </w:pPr>
            <w:r/>
            <w:r>
              <w:rPr>
                <w:rFonts w:ascii="Aptos" w:hAnsi="Aptos"/>
                <w:b w:val="0"/>
                <w:sz w:val="16"/>
              </w:rPr>
              <w:t>GA-10</w:t>
            </w:r>
          </w:p>
        </w:tc>
        <w:tc>
          <w:tcPr>
            <w:tcW w:type="dxa" w:w="9072"/>
            <w:vAlign w:val="center"/>
            <w:shd w:fill="F7F9FC"/>
          </w:tcPr>
          <w:p>
            <w:pPr>
              <w:spacing w:after="0"/>
            </w:pPr>
            <w:r/>
            <w:r>
              <w:rPr>
                <w:rFonts w:ascii="Aptos" w:hAnsi="Aptos"/>
                <w:b w:val="0"/>
                <w:sz w:val="16"/>
              </w:rPr>
              <w:t>Calculate encounter GA from the single accepted EDD and encounter date; never store conflicting manually typed GA values as equal truths.</w:t>
            </w:r>
          </w:p>
        </w:tc>
      </w:tr>
      <w:tr>
        <w:trPr>
          <w:cantSplit/>
        </w:trPr>
        <w:tc>
          <w:tcPr>
            <w:tcW w:type="dxa" w:w="1224"/>
            <w:vAlign w:val="center"/>
          </w:tcPr>
          <w:p>
            <w:pPr>
              <w:spacing w:after="0"/>
            </w:pPr>
            <w:r/>
            <w:r>
              <w:rPr>
                <w:rFonts w:ascii="Aptos" w:hAnsi="Aptos"/>
                <w:b w:val="0"/>
                <w:sz w:val="16"/>
              </w:rPr>
              <w:t>GA-11</w:t>
            </w:r>
          </w:p>
        </w:tc>
        <w:tc>
          <w:tcPr>
            <w:tcW w:type="dxa" w:w="9072"/>
            <w:vAlign w:val="center"/>
          </w:tcPr>
          <w:p>
            <w:pPr>
              <w:spacing w:after="0"/>
            </w:pPr>
            <w:r/>
            <w:r>
              <w:rPr>
                <w:rFonts w:ascii="Aptos" w:hAnsi="Aptos"/>
                <w:b w:val="0"/>
                <w:sz w:val="16"/>
              </w:rPr>
              <w:t>If a manually entered GA conflicts with the accepted EDD, block finalization until reconciled or document an override.</w:t>
            </w:r>
          </w:p>
        </w:tc>
      </w:tr>
      <w:tr>
        <w:trPr>
          <w:cantSplit/>
        </w:trPr>
        <w:tc>
          <w:tcPr>
            <w:tcW w:type="dxa" w:w="1224"/>
            <w:vAlign w:val="center"/>
            <w:shd w:fill="F7F9FC"/>
          </w:tcPr>
          <w:p>
            <w:pPr>
              <w:spacing w:after="0"/>
            </w:pPr>
            <w:r/>
            <w:r>
              <w:rPr>
                <w:rFonts w:ascii="Aptos" w:hAnsi="Aptos"/>
                <w:b w:val="0"/>
                <w:sz w:val="16"/>
              </w:rPr>
              <w:t>GA-12</w:t>
            </w:r>
          </w:p>
        </w:tc>
        <w:tc>
          <w:tcPr>
            <w:tcW w:type="dxa" w:w="9072"/>
            <w:vAlign w:val="center"/>
            <w:shd w:fill="F7F9FC"/>
          </w:tcPr>
          <w:p>
            <w:pPr>
              <w:spacing w:after="0"/>
            </w:pPr>
            <w:r/>
            <w:r>
              <w:rPr>
                <w:rFonts w:ascii="Aptos" w:hAnsi="Aptos"/>
                <w:b w:val="0"/>
                <w:sz w:val="16"/>
              </w:rPr>
              <w:t>Uncertain dating alone must not produce HIGH risk; it should modify confidence and management/referral prompts.</w:t>
            </w:r>
          </w:p>
        </w:tc>
      </w:tr>
      <w:tr>
        <w:trPr>
          <w:cantSplit/>
        </w:trPr>
        <w:tc>
          <w:tcPr>
            <w:tcW w:type="dxa" w:w="1224"/>
            <w:vAlign w:val="center"/>
          </w:tcPr>
          <w:p>
            <w:pPr>
              <w:spacing w:after="0"/>
            </w:pPr>
            <w:r/>
            <w:r>
              <w:rPr>
                <w:rFonts w:ascii="Aptos" w:hAnsi="Aptos"/>
                <w:b w:val="0"/>
                <w:sz w:val="16"/>
              </w:rPr>
              <w:t>GA-13</w:t>
            </w:r>
          </w:p>
        </w:tc>
        <w:tc>
          <w:tcPr>
            <w:tcW w:type="dxa" w:w="9072"/>
            <w:vAlign w:val="center"/>
          </w:tcPr>
          <w:p>
            <w:pPr>
              <w:spacing w:after="0"/>
            </w:pPr>
            <w:r/>
            <w:r>
              <w:rPr>
                <w:rFonts w:ascii="Aptos" w:hAnsi="Aptos"/>
                <w:b w:val="0"/>
                <w:sz w:val="16"/>
              </w:rPr>
              <w:t>If current symptoms suggest labor, bleeding, fluid loss, severe pain, or reduced fetal movement, emergency rules override ordinary dating workflows.</w:t>
            </w:r>
          </w:p>
        </w:tc>
      </w:tr>
      <w:tr>
        <w:trPr>
          <w:cantSplit/>
        </w:trPr>
        <w:tc>
          <w:tcPr>
            <w:tcW w:type="dxa" w:w="1224"/>
            <w:vAlign w:val="center"/>
            <w:shd w:fill="F7F9FC"/>
          </w:tcPr>
          <w:p>
            <w:pPr>
              <w:spacing w:after="0"/>
            </w:pPr>
            <w:r/>
            <w:r>
              <w:rPr>
                <w:rFonts w:ascii="Aptos" w:hAnsi="Aptos"/>
                <w:b w:val="0"/>
                <w:sz w:val="16"/>
              </w:rPr>
              <w:t>GA-14</w:t>
            </w:r>
          </w:p>
        </w:tc>
        <w:tc>
          <w:tcPr>
            <w:tcW w:type="dxa" w:w="9072"/>
            <w:vAlign w:val="center"/>
            <w:shd w:fill="F7F9FC"/>
          </w:tcPr>
          <w:p>
            <w:pPr>
              <w:spacing w:after="0"/>
            </w:pPr>
            <w:r/>
            <w:r>
              <w:rPr>
                <w:rFonts w:ascii="Aptos" w:hAnsi="Aptos"/>
                <w:b w:val="0"/>
                <w:sz w:val="16"/>
              </w:rPr>
              <w:t>ART-derived dating, when documented and accepted, takes priority over LMP calculation.</w:t>
            </w:r>
          </w:p>
        </w:tc>
      </w:tr>
      <w:tr>
        <w:trPr>
          <w:cantSplit/>
        </w:trPr>
        <w:tc>
          <w:tcPr>
            <w:tcW w:type="dxa" w:w="1224"/>
            <w:vAlign w:val="center"/>
          </w:tcPr>
          <w:p>
            <w:pPr>
              <w:spacing w:after="0"/>
            </w:pPr>
            <w:r/>
            <w:r>
              <w:rPr>
                <w:rFonts w:ascii="Aptos" w:hAnsi="Aptos"/>
                <w:b w:val="0"/>
                <w:sz w:val="16"/>
              </w:rPr>
              <w:t>GA-15</w:t>
            </w:r>
          </w:p>
        </w:tc>
        <w:tc>
          <w:tcPr>
            <w:tcW w:type="dxa" w:w="9072"/>
            <w:vAlign w:val="center"/>
          </w:tcPr>
          <w:p>
            <w:pPr>
              <w:spacing w:after="0"/>
            </w:pPr>
            <w:r/>
            <w:r>
              <w:rPr>
                <w:rFonts w:ascii="Aptos" w:hAnsi="Aptos"/>
                <w:b w:val="0"/>
                <w:sz w:val="16"/>
              </w:rPr>
              <w:t>The user interface must always show the dating source and confidence beside GA/EDD.</w:t>
            </w:r>
          </w:p>
        </w:tc>
      </w:tr>
    </w:tbl>
    <w:p/>
    <w:p>
      <w:pPr>
        <w:pStyle w:val="Heading1"/>
      </w:pPr>
      <w:r>
        <w:t>10. Decision Flow</w:t>
      </w:r>
    </w:p>
    <w:p>
      <w:pPr>
        <w:pStyle w:val="ListNumber"/>
        <w:spacing w:after="60"/>
      </w:pPr>
      <w:r>
        <w:t>Collect the LMP date and reliability indicators; collect ART dates when relevant.</w:t>
      </w:r>
    </w:p>
    <w:p>
      <w:pPr>
        <w:pStyle w:val="ListNumber"/>
        <w:spacing w:after="60"/>
      </w:pPr>
      <w:r>
        <w:t>Calculate a provisional LMP-derived estimate only when sufficient input exists.</w:t>
      </w:r>
    </w:p>
    <w:p>
      <w:pPr>
        <w:pStyle w:val="ListNumber"/>
        <w:spacing w:after="60"/>
      </w:pPr>
      <w:r>
        <w:t>Capture the earliest available ultrasound report: scan date, GA on scan, dating method, measurements/report, and provider/facility.</w:t>
      </w:r>
    </w:p>
    <w:p>
      <w:pPr>
        <w:pStyle w:val="ListNumber"/>
        <w:spacing w:after="60"/>
      </w:pPr>
      <w:r>
        <w:t>Check whether an accepted best obstetric estimate already exists.</w:t>
      </w:r>
    </w:p>
    <w:p>
      <w:pPr>
        <w:pStyle w:val="ListNumber"/>
        <w:spacing w:after="60"/>
      </w:pPr>
      <w:r>
        <w:t>Compare new evidence against the current estimate using a configured guideline standard.</w:t>
      </w:r>
    </w:p>
    <w:p>
      <w:pPr>
        <w:pStyle w:val="ListNumber"/>
        <w:spacing w:after="60"/>
      </w:pPr>
      <w:r>
        <w:t>If concordant, confirm or retain the estimate and update confidence.</w:t>
      </w:r>
    </w:p>
    <w:p>
      <w:pPr>
        <w:pStyle w:val="ListNumber"/>
        <w:spacing w:after="60"/>
      </w:pPr>
      <w:r>
        <w:t>If materially discordant, create an explainable review task showing the exact difference and evidence sources.</w:t>
      </w:r>
    </w:p>
    <w:p>
      <w:pPr>
        <w:pStyle w:val="ListNumber"/>
        <w:spacing w:after="60"/>
      </w:pPr>
      <w:r>
        <w:t>Allow only an authorized user to confirm re-dating; preserve the complete prior version.</w:t>
      </w:r>
    </w:p>
    <w:p>
      <w:pPr>
        <w:pStyle w:val="ListNumber"/>
        <w:spacing w:after="60"/>
      </w:pPr>
      <w:r>
        <w:t>At every encounter, calculate GA from the accepted estimate and encounter date.</w:t>
      </w:r>
    </w:p>
    <w:p>
      <w:pPr>
        <w:pStyle w:val="ListNumber"/>
        <w:spacing w:after="60"/>
      </w:pPr>
      <w:r>
        <w:t>Apply downstream clinical rules only after checking dating confidence; show uncertainty whenever timing-dependent recommendations may be affected.</w:t>
      </w:r>
    </w:p>
    <w:p>
      <w:pPr>
        <w:pStyle w:val="Heading1"/>
      </w:pPr>
      <w:r>
        <w:t>11. Interaction Matrix</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16"/>
            <w:vAlign w:val="center"/>
            <w:shd w:fill="17365D"/>
          </w:tcPr>
          <w:p>
            <w:pPr>
              <w:spacing w:after="0"/>
            </w:pPr>
            <w:r/>
            <w:r>
              <w:rPr>
                <w:rFonts w:ascii="Aptos" w:hAnsi="Aptos"/>
                <w:b/>
                <w:color w:val="FFFFFF"/>
                <w:sz w:val="16"/>
              </w:rPr>
              <w:t>Interacting factor</w:t>
            </w:r>
          </w:p>
        </w:tc>
        <w:tc>
          <w:tcPr>
            <w:tcW w:type="dxa" w:w="4320"/>
            <w:vAlign w:val="center"/>
            <w:shd w:fill="17365D"/>
          </w:tcPr>
          <w:p>
            <w:pPr>
              <w:spacing w:after="0"/>
            </w:pPr>
            <w:r/>
            <w:r>
              <w:rPr>
                <w:rFonts w:ascii="Aptos" w:hAnsi="Aptos"/>
                <w:b/>
                <w:color w:val="FFFFFF"/>
                <w:sz w:val="16"/>
              </w:rPr>
              <w:t>Why dating matters</w:t>
            </w:r>
          </w:p>
        </w:tc>
        <w:tc>
          <w:tcPr>
            <w:tcW w:type="dxa" w:w="4032"/>
            <w:vAlign w:val="center"/>
            <w:shd w:fill="17365D"/>
          </w:tcPr>
          <w:p>
            <w:pPr>
              <w:spacing w:after="0"/>
            </w:pPr>
            <w:r/>
            <w:r>
              <w:rPr>
                <w:rFonts w:ascii="Aptos" w:hAnsi="Aptos"/>
                <w:b/>
                <w:color w:val="FFFFFF"/>
                <w:sz w:val="16"/>
              </w:rPr>
              <w:t>Required CDSS behavior</w:t>
            </w:r>
          </w:p>
        </w:tc>
      </w:tr>
      <w:tr>
        <w:trPr>
          <w:cantSplit/>
        </w:trPr>
        <w:tc>
          <w:tcPr>
            <w:tcW w:type="dxa" w:w="2016"/>
            <w:vAlign w:val="center"/>
          </w:tcPr>
          <w:p>
            <w:pPr>
              <w:spacing w:after="0"/>
            </w:pPr>
            <w:r/>
            <w:r>
              <w:rPr>
                <w:rFonts w:ascii="Aptos" w:hAnsi="Aptos"/>
                <w:b w:val="0"/>
                <w:sz w:val="15"/>
              </w:rPr>
              <w:t>Blood pressure / hypertensive disorders</w:t>
            </w:r>
          </w:p>
        </w:tc>
        <w:tc>
          <w:tcPr>
            <w:tcW w:type="dxa" w:w="4320"/>
            <w:vAlign w:val="center"/>
          </w:tcPr>
          <w:p>
            <w:pPr>
              <w:spacing w:after="0"/>
            </w:pPr>
            <w:r/>
            <w:r>
              <w:rPr>
                <w:rFonts w:ascii="Aptos" w:hAnsi="Aptos"/>
                <w:b w:val="0"/>
                <w:sz w:val="15"/>
              </w:rPr>
              <w:t>Gestational age helps distinguish chronic hypertension context and timing of pregnancy-related disorders.</w:t>
            </w:r>
          </w:p>
        </w:tc>
        <w:tc>
          <w:tcPr>
            <w:tcW w:type="dxa" w:w="4032"/>
            <w:vAlign w:val="center"/>
          </w:tcPr>
          <w:p>
            <w:pPr>
              <w:spacing w:after="0"/>
            </w:pPr>
            <w:r/>
            <w:r>
              <w:rPr>
                <w:rFonts w:ascii="Aptos" w:hAnsi="Aptos"/>
                <w:b w:val="0"/>
                <w:sz w:val="15"/>
              </w:rPr>
              <w:t>Use accepted GA; do not infer a disorder from timing alone.</w:t>
            </w:r>
          </w:p>
        </w:tc>
      </w:tr>
      <w:tr>
        <w:trPr>
          <w:cantSplit/>
        </w:trPr>
        <w:tc>
          <w:tcPr>
            <w:tcW w:type="dxa" w:w="2016"/>
            <w:vAlign w:val="center"/>
            <w:shd w:fill="F7F9FC"/>
          </w:tcPr>
          <w:p>
            <w:pPr>
              <w:spacing w:after="0"/>
            </w:pPr>
            <w:r/>
            <w:r>
              <w:rPr>
                <w:rFonts w:ascii="Aptos" w:hAnsi="Aptos"/>
                <w:b w:val="0"/>
                <w:sz w:val="15"/>
              </w:rPr>
              <w:t>Diabetes</w:t>
            </w:r>
          </w:p>
        </w:tc>
        <w:tc>
          <w:tcPr>
            <w:tcW w:type="dxa" w:w="4320"/>
            <w:vAlign w:val="center"/>
            <w:shd w:fill="F7F9FC"/>
          </w:tcPr>
          <w:p>
            <w:pPr>
              <w:spacing w:after="0"/>
            </w:pPr>
            <w:r/>
            <w:r>
              <w:rPr>
                <w:rFonts w:ascii="Aptos" w:hAnsi="Aptos"/>
                <w:b w:val="0"/>
                <w:sz w:val="15"/>
              </w:rPr>
              <w:t>Screening windows and interpretation of fetal growth depend on GA.</w:t>
            </w:r>
          </w:p>
        </w:tc>
        <w:tc>
          <w:tcPr>
            <w:tcW w:type="dxa" w:w="4032"/>
            <w:vAlign w:val="center"/>
            <w:shd w:fill="F7F9FC"/>
          </w:tcPr>
          <w:p>
            <w:pPr>
              <w:spacing w:after="0"/>
            </w:pPr>
            <w:r/>
            <w:r>
              <w:rPr>
                <w:rFonts w:ascii="Aptos" w:hAnsi="Aptos"/>
                <w:b w:val="0"/>
                <w:sz w:val="15"/>
              </w:rPr>
              <w:t>Warn when dating uncertainty affects timing; do not diagnose from schedule deviation.</w:t>
            </w:r>
          </w:p>
        </w:tc>
      </w:tr>
      <w:tr>
        <w:trPr>
          <w:cantSplit/>
        </w:trPr>
        <w:tc>
          <w:tcPr>
            <w:tcW w:type="dxa" w:w="2016"/>
            <w:vAlign w:val="center"/>
          </w:tcPr>
          <w:p>
            <w:pPr>
              <w:spacing w:after="0"/>
            </w:pPr>
            <w:r/>
            <w:r>
              <w:rPr>
                <w:rFonts w:ascii="Aptos" w:hAnsi="Aptos"/>
                <w:b w:val="0"/>
                <w:sz w:val="15"/>
              </w:rPr>
              <w:t>Anemia</w:t>
            </w:r>
          </w:p>
        </w:tc>
        <w:tc>
          <w:tcPr>
            <w:tcW w:type="dxa" w:w="4320"/>
            <w:vAlign w:val="center"/>
          </w:tcPr>
          <w:p>
            <w:pPr>
              <w:spacing w:after="0"/>
            </w:pPr>
            <w:r/>
            <w:r>
              <w:rPr>
                <w:rFonts w:ascii="Aptos" w:hAnsi="Aptos"/>
                <w:b w:val="0"/>
                <w:sz w:val="15"/>
              </w:rPr>
              <w:t>Trimester may affect threshold interpretation under the selected standard.</w:t>
            </w:r>
          </w:p>
        </w:tc>
        <w:tc>
          <w:tcPr>
            <w:tcW w:type="dxa" w:w="4032"/>
            <w:vAlign w:val="center"/>
          </w:tcPr>
          <w:p>
            <w:pPr>
              <w:spacing w:after="0"/>
            </w:pPr>
            <w:r/>
            <w:r>
              <w:rPr>
                <w:rFonts w:ascii="Aptos" w:hAnsi="Aptos"/>
                <w:b w:val="0"/>
                <w:sz w:val="15"/>
              </w:rPr>
              <w:t>Apply only the configured standard and show dating confidence.</w:t>
            </w:r>
          </w:p>
        </w:tc>
      </w:tr>
      <w:tr>
        <w:trPr>
          <w:cantSplit/>
        </w:trPr>
        <w:tc>
          <w:tcPr>
            <w:tcW w:type="dxa" w:w="2016"/>
            <w:vAlign w:val="center"/>
            <w:shd w:fill="F7F9FC"/>
          </w:tcPr>
          <w:p>
            <w:pPr>
              <w:spacing w:after="0"/>
            </w:pPr>
            <w:r/>
            <w:r>
              <w:rPr>
                <w:rFonts w:ascii="Aptos" w:hAnsi="Aptos"/>
                <w:b w:val="0"/>
                <w:sz w:val="15"/>
              </w:rPr>
              <w:t>Previous cesarean</w:t>
            </w:r>
          </w:p>
        </w:tc>
        <w:tc>
          <w:tcPr>
            <w:tcW w:type="dxa" w:w="4320"/>
            <w:vAlign w:val="center"/>
            <w:shd w:fill="F7F9FC"/>
          </w:tcPr>
          <w:p>
            <w:pPr>
              <w:spacing w:after="0"/>
            </w:pPr>
            <w:r/>
            <w:r>
              <w:rPr>
                <w:rFonts w:ascii="Aptos" w:hAnsi="Aptos"/>
                <w:b w:val="0"/>
                <w:sz w:val="15"/>
              </w:rPr>
              <w:t>Delivery planning and labor timing are sensitive to GA.</w:t>
            </w:r>
          </w:p>
        </w:tc>
        <w:tc>
          <w:tcPr>
            <w:tcW w:type="dxa" w:w="4032"/>
            <w:vAlign w:val="center"/>
            <w:shd w:fill="F7F9FC"/>
          </w:tcPr>
          <w:p>
            <w:pPr>
              <w:spacing w:after="0"/>
            </w:pPr>
            <w:r/>
            <w:r>
              <w:rPr>
                <w:rFonts w:ascii="Aptos" w:hAnsi="Aptos"/>
                <w:b w:val="0"/>
                <w:sz w:val="15"/>
              </w:rPr>
              <w:t>Refer timing decisions; never use uncertain GA to schedule repeat CS autonomously.</w:t>
            </w:r>
          </w:p>
        </w:tc>
      </w:tr>
      <w:tr>
        <w:trPr>
          <w:cantSplit/>
        </w:trPr>
        <w:tc>
          <w:tcPr>
            <w:tcW w:type="dxa" w:w="2016"/>
            <w:vAlign w:val="center"/>
          </w:tcPr>
          <w:p>
            <w:pPr>
              <w:spacing w:after="0"/>
            </w:pPr>
            <w:r/>
            <w:r>
              <w:rPr>
                <w:rFonts w:ascii="Aptos" w:hAnsi="Aptos"/>
                <w:b w:val="0"/>
                <w:sz w:val="15"/>
              </w:rPr>
              <w:t>Miscarriage/adverse history</w:t>
            </w:r>
          </w:p>
        </w:tc>
        <w:tc>
          <w:tcPr>
            <w:tcW w:type="dxa" w:w="4320"/>
            <w:vAlign w:val="center"/>
          </w:tcPr>
          <w:p>
            <w:pPr>
              <w:spacing w:after="0"/>
            </w:pPr>
            <w:r/>
            <w:r>
              <w:rPr>
                <w:rFonts w:ascii="Aptos" w:hAnsi="Aptos"/>
                <w:b w:val="0"/>
                <w:sz w:val="15"/>
              </w:rPr>
              <w:t>Prior loss timing must be separated from current GA.</w:t>
            </w:r>
          </w:p>
        </w:tc>
        <w:tc>
          <w:tcPr>
            <w:tcW w:type="dxa" w:w="4032"/>
            <w:vAlign w:val="center"/>
          </w:tcPr>
          <w:p>
            <w:pPr>
              <w:spacing w:after="0"/>
            </w:pPr>
            <w:r/>
            <w:r>
              <w:rPr>
                <w:rFonts w:ascii="Aptos" w:hAnsi="Aptos"/>
                <w:b w:val="0"/>
                <w:sz w:val="15"/>
              </w:rPr>
              <w:t>Keep historical event GA distinct from current pregnancy dating.</w:t>
            </w:r>
          </w:p>
        </w:tc>
      </w:tr>
      <w:tr>
        <w:trPr>
          <w:cantSplit/>
        </w:trPr>
        <w:tc>
          <w:tcPr>
            <w:tcW w:type="dxa" w:w="2016"/>
            <w:vAlign w:val="center"/>
            <w:shd w:fill="F7F9FC"/>
          </w:tcPr>
          <w:p>
            <w:pPr>
              <w:spacing w:after="0"/>
            </w:pPr>
            <w:r/>
            <w:r>
              <w:rPr>
                <w:rFonts w:ascii="Aptos" w:hAnsi="Aptos"/>
                <w:b w:val="0"/>
                <w:sz w:val="15"/>
              </w:rPr>
              <w:t>Gravida/para</w:t>
            </w:r>
          </w:p>
        </w:tc>
        <w:tc>
          <w:tcPr>
            <w:tcW w:type="dxa" w:w="4320"/>
            <w:vAlign w:val="center"/>
            <w:shd w:fill="F7F9FC"/>
          </w:tcPr>
          <w:p>
            <w:pPr>
              <w:spacing w:after="0"/>
            </w:pPr>
            <w:r/>
            <w:r>
              <w:rPr>
                <w:rFonts w:ascii="Aptos" w:hAnsi="Aptos"/>
                <w:b w:val="0"/>
                <w:sz w:val="15"/>
              </w:rPr>
              <w:t>Obstetric counts do not establish GA.</w:t>
            </w:r>
          </w:p>
        </w:tc>
        <w:tc>
          <w:tcPr>
            <w:tcW w:type="dxa" w:w="4032"/>
            <w:vAlign w:val="center"/>
            <w:shd w:fill="F7F9FC"/>
          </w:tcPr>
          <w:p>
            <w:pPr>
              <w:spacing w:after="0"/>
            </w:pPr>
            <w:r/>
            <w:r>
              <w:rPr>
                <w:rFonts w:ascii="Aptos" w:hAnsi="Aptos"/>
                <w:b w:val="0"/>
                <w:sz w:val="15"/>
              </w:rPr>
              <w:t>No direct dating inference.</w:t>
            </w:r>
          </w:p>
        </w:tc>
      </w:tr>
      <w:tr>
        <w:trPr>
          <w:cantSplit/>
        </w:trPr>
        <w:tc>
          <w:tcPr>
            <w:tcW w:type="dxa" w:w="2016"/>
            <w:vAlign w:val="center"/>
          </w:tcPr>
          <w:p>
            <w:pPr>
              <w:spacing w:after="0"/>
            </w:pPr>
            <w:r/>
            <w:r>
              <w:rPr>
                <w:rFonts w:ascii="Aptos" w:hAnsi="Aptos"/>
                <w:b w:val="0"/>
                <w:sz w:val="15"/>
              </w:rPr>
              <w:t>Fundic height</w:t>
            </w:r>
          </w:p>
        </w:tc>
        <w:tc>
          <w:tcPr>
            <w:tcW w:type="dxa" w:w="4320"/>
            <w:vAlign w:val="center"/>
          </w:tcPr>
          <w:p>
            <w:pPr>
              <w:spacing w:after="0"/>
            </w:pPr>
            <w:r/>
            <w:r>
              <w:rPr>
                <w:rFonts w:ascii="Aptos" w:hAnsi="Aptos"/>
                <w:b w:val="0"/>
                <w:sz w:val="15"/>
              </w:rPr>
              <w:t>Discordance may reflect dating error, growth variation, fibroids, multiple pregnancy, or technique.</w:t>
            </w:r>
          </w:p>
        </w:tc>
        <w:tc>
          <w:tcPr>
            <w:tcW w:type="dxa" w:w="4032"/>
            <w:vAlign w:val="center"/>
          </w:tcPr>
          <w:p>
            <w:pPr>
              <w:spacing w:after="0"/>
            </w:pPr>
            <w:r/>
            <w:r>
              <w:rPr>
                <w:rFonts w:ascii="Aptos" w:hAnsi="Aptos"/>
                <w:b w:val="0"/>
                <w:sz w:val="15"/>
              </w:rPr>
              <w:t>Generate assessment prompt; never automatically re-date.</w:t>
            </w:r>
          </w:p>
        </w:tc>
      </w:tr>
      <w:tr>
        <w:trPr>
          <w:cantSplit/>
        </w:trPr>
        <w:tc>
          <w:tcPr>
            <w:tcW w:type="dxa" w:w="2016"/>
            <w:vAlign w:val="center"/>
            <w:shd w:fill="F7F9FC"/>
          </w:tcPr>
          <w:p>
            <w:pPr>
              <w:spacing w:after="0"/>
            </w:pPr>
            <w:r/>
            <w:r>
              <w:rPr>
                <w:rFonts w:ascii="Aptos" w:hAnsi="Aptos"/>
                <w:b w:val="0"/>
                <w:sz w:val="15"/>
              </w:rPr>
              <w:t>Fetal heart rate / movement</w:t>
            </w:r>
          </w:p>
        </w:tc>
        <w:tc>
          <w:tcPr>
            <w:tcW w:type="dxa" w:w="4320"/>
            <w:vAlign w:val="center"/>
            <w:shd w:fill="F7F9FC"/>
          </w:tcPr>
          <w:p>
            <w:pPr>
              <w:spacing w:after="0"/>
            </w:pPr>
            <w:r/>
            <w:r>
              <w:rPr>
                <w:rFonts w:ascii="Aptos" w:hAnsi="Aptos"/>
                <w:b w:val="0"/>
                <w:sz w:val="15"/>
              </w:rPr>
              <w:t>Expected findings and urgency depend on GA.</w:t>
            </w:r>
          </w:p>
        </w:tc>
        <w:tc>
          <w:tcPr>
            <w:tcW w:type="dxa" w:w="4032"/>
            <w:vAlign w:val="center"/>
            <w:shd w:fill="F7F9FC"/>
          </w:tcPr>
          <w:p>
            <w:pPr>
              <w:spacing w:after="0"/>
            </w:pPr>
            <w:r/>
            <w:r>
              <w:rPr>
                <w:rFonts w:ascii="Aptos" w:hAnsi="Aptos"/>
                <w:b w:val="0"/>
                <w:sz w:val="15"/>
              </w:rPr>
              <w:t>Apply GA-appropriate wording and uncertainty notice.</w:t>
            </w:r>
          </w:p>
        </w:tc>
      </w:tr>
      <w:tr>
        <w:trPr>
          <w:cantSplit/>
        </w:trPr>
        <w:tc>
          <w:tcPr>
            <w:tcW w:type="dxa" w:w="2016"/>
            <w:vAlign w:val="center"/>
          </w:tcPr>
          <w:p>
            <w:pPr>
              <w:spacing w:after="0"/>
            </w:pPr>
            <w:r/>
            <w:r>
              <w:rPr>
                <w:rFonts w:ascii="Aptos" w:hAnsi="Aptos"/>
                <w:b w:val="0"/>
                <w:sz w:val="15"/>
              </w:rPr>
              <w:t>Presentation</w:t>
            </w:r>
          </w:p>
        </w:tc>
        <w:tc>
          <w:tcPr>
            <w:tcW w:type="dxa" w:w="4320"/>
            <w:vAlign w:val="center"/>
          </w:tcPr>
          <w:p>
            <w:pPr>
              <w:spacing w:after="0"/>
            </w:pPr>
            <w:r/>
            <w:r>
              <w:rPr>
                <w:rFonts w:ascii="Aptos" w:hAnsi="Aptos"/>
                <w:b w:val="0"/>
                <w:sz w:val="15"/>
              </w:rPr>
              <w:t>Clinical importance rises later in pregnancy.</w:t>
            </w:r>
          </w:p>
        </w:tc>
        <w:tc>
          <w:tcPr>
            <w:tcW w:type="dxa" w:w="4032"/>
            <w:vAlign w:val="center"/>
          </w:tcPr>
          <w:p>
            <w:pPr>
              <w:spacing w:after="0"/>
            </w:pPr>
            <w:r/>
            <w:r>
              <w:rPr>
                <w:rFonts w:ascii="Aptos" w:hAnsi="Aptos"/>
                <w:b w:val="0"/>
                <w:sz w:val="15"/>
              </w:rPr>
              <w:t>Do not escalate solely on early, transient presentation.</w:t>
            </w:r>
          </w:p>
        </w:tc>
      </w:tr>
      <w:tr>
        <w:trPr>
          <w:cantSplit/>
        </w:trPr>
        <w:tc>
          <w:tcPr>
            <w:tcW w:type="dxa" w:w="2016"/>
            <w:vAlign w:val="center"/>
            <w:shd w:fill="F7F9FC"/>
          </w:tcPr>
          <w:p>
            <w:pPr>
              <w:spacing w:after="0"/>
            </w:pPr>
            <w:r/>
            <w:r>
              <w:rPr>
                <w:rFonts w:ascii="Aptos" w:hAnsi="Aptos"/>
                <w:b w:val="0"/>
                <w:sz w:val="15"/>
              </w:rPr>
              <w:t>Ultrasound growth</w:t>
            </w:r>
          </w:p>
        </w:tc>
        <w:tc>
          <w:tcPr>
            <w:tcW w:type="dxa" w:w="4320"/>
            <w:vAlign w:val="center"/>
            <w:shd w:fill="F7F9FC"/>
          </w:tcPr>
          <w:p>
            <w:pPr>
              <w:spacing w:after="0"/>
            </w:pPr>
            <w:r/>
            <w:r>
              <w:rPr>
                <w:rFonts w:ascii="Aptos" w:hAnsi="Aptos"/>
                <w:b w:val="0"/>
                <w:sz w:val="15"/>
              </w:rPr>
              <w:t>Late size may reflect growth restriction or macrosomia rather than wrong dates.</w:t>
            </w:r>
          </w:p>
        </w:tc>
        <w:tc>
          <w:tcPr>
            <w:tcW w:type="dxa" w:w="4032"/>
            <w:vAlign w:val="center"/>
            <w:shd w:fill="F7F9FC"/>
          </w:tcPr>
          <w:p>
            <w:pPr>
              <w:spacing w:after="0"/>
            </w:pPr>
            <w:r/>
            <w:r>
              <w:rPr>
                <w:rFonts w:ascii="Aptos" w:hAnsi="Aptos"/>
                <w:b w:val="0"/>
                <w:sz w:val="15"/>
              </w:rPr>
              <w:t>Protect the accepted EDD; refer discordance for clinical review.</w:t>
            </w:r>
          </w:p>
        </w:tc>
      </w:tr>
      <w:tr>
        <w:trPr>
          <w:cantSplit/>
        </w:trPr>
        <w:tc>
          <w:tcPr>
            <w:tcW w:type="dxa" w:w="2016"/>
            <w:vAlign w:val="center"/>
          </w:tcPr>
          <w:p>
            <w:pPr>
              <w:spacing w:after="0"/>
            </w:pPr>
            <w:r/>
            <w:r>
              <w:rPr>
                <w:rFonts w:ascii="Aptos" w:hAnsi="Aptos"/>
                <w:b w:val="0"/>
                <w:sz w:val="15"/>
              </w:rPr>
              <w:t>Birth preparedness</w:t>
            </w:r>
          </w:p>
        </w:tc>
        <w:tc>
          <w:tcPr>
            <w:tcW w:type="dxa" w:w="4320"/>
            <w:vAlign w:val="center"/>
          </w:tcPr>
          <w:p>
            <w:pPr>
              <w:spacing w:after="0"/>
            </w:pPr>
            <w:r/>
            <w:r>
              <w:rPr>
                <w:rFonts w:ascii="Aptos" w:hAnsi="Aptos"/>
                <w:b w:val="0"/>
                <w:sz w:val="15"/>
              </w:rPr>
              <w:t>Timing of plans and referral readiness depends on proximity to term.</w:t>
            </w:r>
          </w:p>
        </w:tc>
        <w:tc>
          <w:tcPr>
            <w:tcW w:type="dxa" w:w="4032"/>
            <w:vAlign w:val="center"/>
          </w:tcPr>
          <w:p>
            <w:pPr>
              <w:spacing w:after="0"/>
            </w:pPr>
            <w:r/>
            <w:r>
              <w:rPr>
                <w:rFonts w:ascii="Aptos" w:hAnsi="Aptos"/>
                <w:b w:val="0"/>
                <w:sz w:val="15"/>
              </w:rPr>
              <w:t>Use current best estimate and display confidence.</w:t>
            </w:r>
          </w:p>
        </w:tc>
      </w:tr>
    </w:tbl>
    <w:p/>
    <w:p>
      <w:pPr>
        <w:pStyle w:val="Heading1"/>
      </w:pPr>
      <w:r>
        <w:t>12. Database Redesign Specification</w:t>
      </w:r>
    </w:p>
    <w:p>
      <w:r>
        <w:t>The current system should not rely on one editable LMP field and one editable EDD field. The recommended design separates observations, derived calculations, accepted estimates, and estimate history.</w:t>
      </w:r>
    </w:p>
    <w:p>
      <w:pPr>
        <w:pStyle w:val="Heading2"/>
      </w:pPr>
      <w:r>
        <w:t>12.1 Proposed pregnancy_dating_assessments table</w:t>
      </w:r>
    </w:p>
    <w:tbl>
      <w:tblPr>
        <w:tblStyle w:val="TableGrid"/>
        <w:tblW w:type="auto" w:w="0"/>
        <w:jc w:val="center"/>
        <w:tblLook w:firstColumn="1" w:firstRow="1" w:lastColumn="0" w:lastRow="0" w:noHBand="0" w:noVBand="1" w:val="04A0"/>
      </w:tblPr>
      <w:tblGrid>
        <w:gridCol w:w="4997"/>
        <w:gridCol w:w="4997"/>
      </w:tblGrid>
      <w:tr>
        <w:trPr>
          <w:cantSplit/>
        </w:trPr>
        <w:tc>
          <w:tcPr>
            <w:tcW w:type="dxa" w:w="3384"/>
            <w:vAlign w:val="center"/>
            <w:shd w:fill="17365D"/>
          </w:tcPr>
          <w:p>
            <w:pPr>
              <w:spacing w:after="0"/>
            </w:pPr>
            <w:r/>
            <w:r>
              <w:rPr>
                <w:rFonts w:ascii="Aptos" w:hAnsi="Aptos"/>
                <w:b/>
                <w:color w:val="FFFFFF"/>
                <w:sz w:val="16"/>
              </w:rPr>
              <w:t>Field</w:t>
            </w:r>
          </w:p>
        </w:tc>
        <w:tc>
          <w:tcPr>
            <w:tcW w:type="dxa" w:w="6984"/>
            <w:vAlign w:val="center"/>
            <w:shd w:fill="17365D"/>
          </w:tcPr>
          <w:p>
            <w:pPr>
              <w:spacing w:after="0"/>
            </w:pPr>
            <w:r/>
            <w:r>
              <w:rPr>
                <w:rFonts w:ascii="Aptos" w:hAnsi="Aptos"/>
                <w:b/>
                <w:color w:val="FFFFFF"/>
                <w:sz w:val="16"/>
              </w:rPr>
              <w:t>Purpose</w:t>
            </w:r>
          </w:p>
        </w:tc>
      </w:tr>
      <w:tr>
        <w:trPr>
          <w:cantSplit/>
        </w:trPr>
        <w:tc>
          <w:tcPr>
            <w:tcW w:type="dxa" w:w="3384"/>
            <w:vAlign w:val="center"/>
          </w:tcPr>
          <w:p>
            <w:pPr>
              <w:spacing w:after="0"/>
            </w:pPr>
            <w:r/>
            <w:r>
              <w:rPr>
                <w:rFonts w:ascii="Aptos" w:hAnsi="Aptos"/>
                <w:b w:val="0"/>
                <w:sz w:val="15"/>
              </w:rPr>
              <w:t>id, patient_id, pregnancy_id</w:t>
            </w:r>
          </w:p>
        </w:tc>
        <w:tc>
          <w:tcPr>
            <w:tcW w:type="dxa" w:w="6984"/>
            <w:vAlign w:val="center"/>
          </w:tcPr>
          <w:p>
            <w:pPr>
              <w:spacing w:after="0"/>
            </w:pPr>
            <w:r/>
            <w:r>
              <w:rPr>
                <w:rFonts w:ascii="Aptos" w:hAnsi="Aptos"/>
                <w:b w:val="0"/>
                <w:sz w:val="15"/>
              </w:rPr>
              <w:t>Record identity and linkage to a specific pregnancy episode.</w:t>
            </w:r>
          </w:p>
        </w:tc>
      </w:tr>
      <w:tr>
        <w:trPr>
          <w:cantSplit/>
        </w:trPr>
        <w:tc>
          <w:tcPr>
            <w:tcW w:type="dxa" w:w="3384"/>
            <w:vAlign w:val="center"/>
            <w:shd w:fill="F7F9FC"/>
          </w:tcPr>
          <w:p>
            <w:pPr>
              <w:spacing w:after="0"/>
            </w:pPr>
            <w:r/>
            <w:r>
              <w:rPr>
                <w:rFonts w:ascii="Aptos" w:hAnsi="Aptos"/>
                <w:b w:val="0"/>
                <w:sz w:val="15"/>
              </w:rPr>
              <w:t>assessment_date</w:t>
            </w:r>
          </w:p>
        </w:tc>
        <w:tc>
          <w:tcPr>
            <w:tcW w:type="dxa" w:w="6984"/>
            <w:vAlign w:val="center"/>
            <w:shd w:fill="F7F9FC"/>
          </w:tcPr>
          <w:p>
            <w:pPr>
              <w:spacing w:after="0"/>
            </w:pPr>
            <w:r/>
            <w:r>
              <w:rPr>
                <w:rFonts w:ascii="Aptos" w:hAnsi="Aptos"/>
                <w:b w:val="0"/>
                <w:sz w:val="15"/>
              </w:rPr>
              <w:t>Date the dating assessment was made.</w:t>
            </w:r>
          </w:p>
        </w:tc>
      </w:tr>
      <w:tr>
        <w:trPr>
          <w:cantSplit/>
        </w:trPr>
        <w:tc>
          <w:tcPr>
            <w:tcW w:type="dxa" w:w="3384"/>
            <w:vAlign w:val="center"/>
          </w:tcPr>
          <w:p>
            <w:pPr>
              <w:spacing w:after="0"/>
            </w:pPr>
            <w:r/>
            <w:r>
              <w:rPr>
                <w:rFonts w:ascii="Aptos" w:hAnsi="Aptos"/>
                <w:b w:val="0"/>
                <w:sz w:val="15"/>
              </w:rPr>
              <w:t>lmp_date</w:t>
            </w:r>
          </w:p>
        </w:tc>
        <w:tc>
          <w:tcPr>
            <w:tcW w:type="dxa" w:w="6984"/>
            <w:vAlign w:val="center"/>
          </w:tcPr>
          <w:p>
            <w:pPr>
              <w:spacing w:after="0"/>
            </w:pPr>
            <w:r/>
            <w:r>
              <w:rPr>
                <w:rFonts w:ascii="Aptos" w:hAnsi="Aptos"/>
                <w:b w:val="0"/>
                <w:sz w:val="15"/>
              </w:rPr>
              <w:t>Reported first day of LMP; nullable.</w:t>
            </w:r>
          </w:p>
        </w:tc>
      </w:tr>
      <w:tr>
        <w:trPr>
          <w:cantSplit/>
        </w:trPr>
        <w:tc>
          <w:tcPr>
            <w:tcW w:type="dxa" w:w="3384"/>
            <w:vAlign w:val="center"/>
            <w:shd w:fill="F7F9FC"/>
          </w:tcPr>
          <w:p>
            <w:pPr>
              <w:spacing w:after="0"/>
            </w:pPr>
            <w:r/>
            <w:r>
              <w:rPr>
                <w:rFonts w:ascii="Aptos" w:hAnsi="Aptos"/>
                <w:b w:val="0"/>
                <w:sz w:val="15"/>
              </w:rPr>
              <w:t>lmp_precision</w:t>
            </w:r>
          </w:p>
        </w:tc>
        <w:tc>
          <w:tcPr>
            <w:tcW w:type="dxa" w:w="6984"/>
            <w:vAlign w:val="center"/>
            <w:shd w:fill="F7F9FC"/>
          </w:tcPr>
          <w:p>
            <w:pPr>
              <w:spacing w:after="0"/>
            </w:pPr>
            <w:r/>
            <w:r>
              <w:rPr>
                <w:rFonts w:ascii="Aptos" w:hAnsi="Aptos"/>
                <w:b w:val="0"/>
                <w:sz w:val="15"/>
              </w:rPr>
              <w:t>exact / approximate / unknown.</w:t>
            </w:r>
          </w:p>
        </w:tc>
      </w:tr>
      <w:tr>
        <w:trPr>
          <w:cantSplit/>
        </w:trPr>
        <w:tc>
          <w:tcPr>
            <w:tcW w:type="dxa" w:w="3384"/>
            <w:vAlign w:val="center"/>
          </w:tcPr>
          <w:p>
            <w:pPr>
              <w:spacing w:after="0"/>
            </w:pPr>
            <w:r/>
            <w:r>
              <w:rPr>
                <w:rFonts w:ascii="Aptos" w:hAnsi="Aptos"/>
                <w:b w:val="0"/>
                <w:sz w:val="15"/>
              </w:rPr>
              <w:t>cycle_length_days</w:t>
            </w:r>
          </w:p>
        </w:tc>
        <w:tc>
          <w:tcPr>
            <w:tcW w:type="dxa" w:w="6984"/>
            <w:vAlign w:val="center"/>
          </w:tcPr>
          <w:p>
            <w:pPr>
              <w:spacing w:after="0"/>
            </w:pPr>
            <w:r/>
            <w:r>
              <w:rPr>
                <w:rFonts w:ascii="Aptos" w:hAnsi="Aptos"/>
                <w:b w:val="0"/>
                <w:sz w:val="15"/>
              </w:rPr>
              <w:t>Usual cycle length; nullable.</w:t>
            </w:r>
          </w:p>
        </w:tc>
      </w:tr>
      <w:tr>
        <w:trPr>
          <w:cantSplit/>
        </w:trPr>
        <w:tc>
          <w:tcPr>
            <w:tcW w:type="dxa" w:w="3384"/>
            <w:vAlign w:val="center"/>
            <w:shd w:fill="F7F9FC"/>
          </w:tcPr>
          <w:p>
            <w:pPr>
              <w:spacing w:after="0"/>
            </w:pPr>
            <w:r/>
            <w:r>
              <w:rPr>
                <w:rFonts w:ascii="Aptos" w:hAnsi="Aptos"/>
                <w:b w:val="0"/>
                <w:sz w:val="15"/>
              </w:rPr>
              <w:t>cycle_regularity</w:t>
            </w:r>
          </w:p>
        </w:tc>
        <w:tc>
          <w:tcPr>
            <w:tcW w:type="dxa" w:w="6984"/>
            <w:vAlign w:val="center"/>
            <w:shd w:fill="F7F9FC"/>
          </w:tcPr>
          <w:p>
            <w:pPr>
              <w:spacing w:after="0"/>
            </w:pPr>
            <w:r/>
            <w:r>
              <w:rPr>
                <w:rFonts w:ascii="Aptos" w:hAnsi="Aptos"/>
                <w:b w:val="0"/>
                <w:sz w:val="15"/>
              </w:rPr>
              <w:t>regular / irregular / unknown.</w:t>
            </w:r>
          </w:p>
        </w:tc>
      </w:tr>
      <w:tr>
        <w:trPr>
          <w:cantSplit/>
        </w:trPr>
        <w:tc>
          <w:tcPr>
            <w:tcW w:type="dxa" w:w="3384"/>
            <w:vAlign w:val="center"/>
          </w:tcPr>
          <w:p>
            <w:pPr>
              <w:spacing w:after="0"/>
            </w:pPr>
            <w:r/>
            <w:r>
              <w:rPr>
                <w:rFonts w:ascii="Aptos" w:hAnsi="Aptos"/>
                <w:b w:val="0"/>
                <w:sz w:val="15"/>
              </w:rPr>
              <w:t>lmp_reliability_status</w:t>
            </w:r>
          </w:p>
        </w:tc>
        <w:tc>
          <w:tcPr>
            <w:tcW w:type="dxa" w:w="6984"/>
            <w:vAlign w:val="center"/>
          </w:tcPr>
          <w:p>
            <w:pPr>
              <w:spacing w:after="0"/>
            </w:pPr>
            <w:r/>
            <w:r>
              <w:rPr>
                <w:rFonts w:ascii="Aptos" w:hAnsi="Aptos"/>
                <w:b w:val="0"/>
                <w:sz w:val="15"/>
              </w:rPr>
              <w:t>reliable / possibly_unreliable / unknown / not_primary_source.</w:t>
            </w:r>
          </w:p>
        </w:tc>
      </w:tr>
      <w:tr>
        <w:trPr>
          <w:cantSplit/>
        </w:trPr>
        <w:tc>
          <w:tcPr>
            <w:tcW w:type="dxa" w:w="3384"/>
            <w:vAlign w:val="center"/>
            <w:shd w:fill="F7F9FC"/>
          </w:tcPr>
          <w:p>
            <w:pPr>
              <w:spacing w:after="0"/>
            </w:pPr>
            <w:r/>
            <w:r>
              <w:rPr>
                <w:rFonts w:ascii="Aptos" w:hAnsi="Aptos"/>
                <w:b w:val="0"/>
                <w:sz w:val="15"/>
              </w:rPr>
              <w:t>lmp_reliability_reasons</w:t>
            </w:r>
          </w:p>
        </w:tc>
        <w:tc>
          <w:tcPr>
            <w:tcW w:type="dxa" w:w="6984"/>
            <w:vAlign w:val="center"/>
            <w:shd w:fill="F7F9FC"/>
          </w:tcPr>
          <w:p>
            <w:pPr>
              <w:spacing w:after="0"/>
            </w:pPr>
            <w:r/>
            <w:r>
              <w:rPr>
                <w:rFonts w:ascii="Aptos" w:hAnsi="Aptos"/>
                <w:b w:val="0"/>
                <w:sz w:val="15"/>
              </w:rPr>
              <w:t>Structured flags plus optional narrative.</w:t>
            </w:r>
          </w:p>
        </w:tc>
      </w:tr>
      <w:tr>
        <w:trPr>
          <w:cantSplit/>
        </w:trPr>
        <w:tc>
          <w:tcPr>
            <w:tcW w:type="dxa" w:w="3384"/>
            <w:vAlign w:val="center"/>
          </w:tcPr>
          <w:p>
            <w:pPr>
              <w:spacing w:after="0"/>
            </w:pPr>
            <w:r/>
            <w:r>
              <w:rPr>
                <w:rFonts w:ascii="Aptos" w:hAnsi="Aptos"/>
                <w:b w:val="0"/>
                <w:sz w:val="15"/>
              </w:rPr>
              <w:t>provisional_edd_from_lmp</w:t>
            </w:r>
          </w:p>
        </w:tc>
        <w:tc>
          <w:tcPr>
            <w:tcW w:type="dxa" w:w="6984"/>
            <w:vAlign w:val="center"/>
          </w:tcPr>
          <w:p>
            <w:pPr>
              <w:spacing w:after="0"/>
            </w:pPr>
            <w:r/>
            <w:r>
              <w:rPr>
                <w:rFonts w:ascii="Aptos" w:hAnsi="Aptos"/>
                <w:b w:val="0"/>
                <w:sz w:val="15"/>
              </w:rPr>
              <w:t>System-derived value; never the only evidence of acceptance.</w:t>
            </w:r>
          </w:p>
        </w:tc>
      </w:tr>
      <w:tr>
        <w:trPr>
          <w:cantSplit/>
        </w:trPr>
        <w:tc>
          <w:tcPr>
            <w:tcW w:type="dxa" w:w="3384"/>
            <w:vAlign w:val="center"/>
            <w:shd w:fill="F7F9FC"/>
          </w:tcPr>
          <w:p>
            <w:pPr>
              <w:spacing w:after="0"/>
            </w:pPr>
            <w:r/>
            <w:r>
              <w:rPr>
                <w:rFonts w:ascii="Aptos" w:hAnsi="Aptos"/>
                <w:b w:val="0"/>
                <w:sz w:val="15"/>
              </w:rPr>
              <w:t>art_method, art_date, embryo_age_days</w:t>
            </w:r>
          </w:p>
        </w:tc>
        <w:tc>
          <w:tcPr>
            <w:tcW w:type="dxa" w:w="6984"/>
            <w:vAlign w:val="center"/>
            <w:shd w:fill="F7F9FC"/>
          </w:tcPr>
          <w:p>
            <w:pPr>
              <w:spacing w:after="0"/>
            </w:pPr>
            <w:r/>
            <w:r>
              <w:rPr>
                <w:rFonts w:ascii="Aptos" w:hAnsi="Aptos"/>
                <w:b w:val="0"/>
                <w:sz w:val="15"/>
              </w:rPr>
              <w:t>Structured ART dating inputs where applicable.</w:t>
            </w:r>
          </w:p>
        </w:tc>
      </w:tr>
      <w:tr>
        <w:trPr>
          <w:cantSplit/>
        </w:trPr>
        <w:tc>
          <w:tcPr>
            <w:tcW w:type="dxa" w:w="3384"/>
            <w:vAlign w:val="center"/>
          </w:tcPr>
          <w:p>
            <w:pPr>
              <w:spacing w:after="0"/>
            </w:pPr>
            <w:r/>
            <w:r>
              <w:rPr>
                <w:rFonts w:ascii="Aptos" w:hAnsi="Aptos"/>
                <w:b w:val="0"/>
                <w:sz w:val="15"/>
              </w:rPr>
              <w:t>ultrasound_date</w:t>
            </w:r>
          </w:p>
        </w:tc>
        <w:tc>
          <w:tcPr>
            <w:tcW w:type="dxa" w:w="6984"/>
            <w:vAlign w:val="center"/>
          </w:tcPr>
          <w:p>
            <w:pPr>
              <w:spacing w:after="0"/>
            </w:pPr>
            <w:r/>
            <w:r>
              <w:rPr>
                <w:rFonts w:ascii="Aptos" w:hAnsi="Aptos"/>
                <w:b w:val="0"/>
                <w:sz w:val="15"/>
              </w:rPr>
              <w:t>Date of the dating scan.</w:t>
            </w:r>
          </w:p>
        </w:tc>
      </w:tr>
      <w:tr>
        <w:trPr>
          <w:cantSplit/>
        </w:trPr>
        <w:tc>
          <w:tcPr>
            <w:tcW w:type="dxa" w:w="3384"/>
            <w:vAlign w:val="center"/>
            <w:shd w:fill="F7F9FC"/>
          </w:tcPr>
          <w:p>
            <w:pPr>
              <w:spacing w:after="0"/>
            </w:pPr>
            <w:r/>
            <w:r>
              <w:rPr>
                <w:rFonts w:ascii="Aptos" w:hAnsi="Aptos"/>
                <w:b w:val="0"/>
                <w:sz w:val="15"/>
              </w:rPr>
              <w:t>ultrasound_ga_weeks, ultrasound_ga_days</w:t>
            </w:r>
          </w:p>
        </w:tc>
        <w:tc>
          <w:tcPr>
            <w:tcW w:type="dxa" w:w="6984"/>
            <w:vAlign w:val="center"/>
            <w:shd w:fill="F7F9FC"/>
          </w:tcPr>
          <w:p>
            <w:pPr>
              <w:spacing w:after="0"/>
            </w:pPr>
            <w:r/>
            <w:r>
              <w:rPr>
                <w:rFonts w:ascii="Aptos" w:hAnsi="Aptos"/>
                <w:b w:val="0"/>
                <w:sz w:val="15"/>
              </w:rPr>
              <w:t>GA stated in the report on scan date.</w:t>
            </w:r>
          </w:p>
        </w:tc>
      </w:tr>
      <w:tr>
        <w:trPr>
          <w:cantSplit/>
        </w:trPr>
        <w:tc>
          <w:tcPr>
            <w:tcW w:type="dxa" w:w="3384"/>
            <w:vAlign w:val="center"/>
          </w:tcPr>
          <w:p>
            <w:pPr>
              <w:spacing w:after="0"/>
            </w:pPr>
            <w:r/>
            <w:r>
              <w:rPr>
                <w:rFonts w:ascii="Aptos" w:hAnsi="Aptos"/>
                <w:b w:val="0"/>
                <w:sz w:val="15"/>
              </w:rPr>
              <w:t>ultrasound_method</w:t>
            </w:r>
          </w:p>
        </w:tc>
        <w:tc>
          <w:tcPr>
            <w:tcW w:type="dxa" w:w="6984"/>
            <w:vAlign w:val="center"/>
          </w:tcPr>
          <w:p>
            <w:pPr>
              <w:spacing w:after="0"/>
            </w:pPr>
            <w:r/>
            <w:r>
              <w:rPr>
                <w:rFonts w:ascii="Aptos" w:hAnsi="Aptos"/>
                <w:b w:val="0"/>
                <w:sz w:val="15"/>
              </w:rPr>
              <w:t>CRL / composite biometry / report_only / other.</w:t>
            </w:r>
          </w:p>
        </w:tc>
      </w:tr>
      <w:tr>
        <w:trPr>
          <w:cantSplit/>
        </w:trPr>
        <w:tc>
          <w:tcPr>
            <w:tcW w:type="dxa" w:w="3384"/>
            <w:vAlign w:val="center"/>
            <w:shd w:fill="F7F9FC"/>
          </w:tcPr>
          <w:p>
            <w:pPr>
              <w:spacing w:after="0"/>
            </w:pPr>
            <w:r/>
            <w:r>
              <w:rPr>
                <w:rFonts w:ascii="Aptos" w:hAnsi="Aptos"/>
                <w:b w:val="0"/>
                <w:sz w:val="15"/>
              </w:rPr>
              <w:t>ultrasound_report_source</w:t>
            </w:r>
          </w:p>
        </w:tc>
        <w:tc>
          <w:tcPr>
            <w:tcW w:type="dxa" w:w="6984"/>
            <w:vAlign w:val="center"/>
            <w:shd w:fill="F7F9FC"/>
          </w:tcPr>
          <w:p>
            <w:pPr>
              <w:spacing w:after="0"/>
            </w:pPr>
            <w:r/>
            <w:r>
              <w:rPr>
                <w:rFonts w:ascii="Aptos" w:hAnsi="Aptos"/>
                <w:b w:val="0"/>
                <w:sz w:val="15"/>
              </w:rPr>
              <w:t>Facility/provider/document reference.</w:t>
            </w:r>
          </w:p>
        </w:tc>
      </w:tr>
      <w:tr>
        <w:trPr>
          <w:cantSplit/>
        </w:trPr>
        <w:tc>
          <w:tcPr>
            <w:tcW w:type="dxa" w:w="3384"/>
            <w:vAlign w:val="center"/>
          </w:tcPr>
          <w:p>
            <w:pPr>
              <w:spacing w:after="0"/>
            </w:pPr>
            <w:r/>
            <w:r>
              <w:rPr>
                <w:rFonts w:ascii="Aptos" w:hAnsi="Aptos"/>
                <w:b w:val="0"/>
                <w:sz w:val="15"/>
              </w:rPr>
              <w:t>dating_source_type</w:t>
            </w:r>
          </w:p>
        </w:tc>
        <w:tc>
          <w:tcPr>
            <w:tcW w:type="dxa" w:w="6984"/>
            <w:vAlign w:val="center"/>
          </w:tcPr>
          <w:p>
            <w:pPr>
              <w:spacing w:after="0"/>
            </w:pPr>
            <w:r/>
            <w:r>
              <w:rPr>
                <w:rFonts w:ascii="Aptos" w:hAnsi="Aptos"/>
                <w:b w:val="0"/>
                <w:sz w:val="15"/>
              </w:rPr>
              <w:t>LMP / first_trimester_ultrasound / second_trimester_ultrasound / ART / clinician_synthesis.</w:t>
            </w:r>
          </w:p>
        </w:tc>
      </w:tr>
      <w:tr>
        <w:trPr>
          <w:cantSplit/>
        </w:trPr>
        <w:tc>
          <w:tcPr>
            <w:tcW w:type="dxa" w:w="3384"/>
            <w:vAlign w:val="center"/>
            <w:shd w:fill="F7F9FC"/>
          </w:tcPr>
          <w:p>
            <w:pPr>
              <w:spacing w:after="0"/>
            </w:pPr>
            <w:r/>
            <w:r>
              <w:rPr>
                <w:rFonts w:ascii="Aptos" w:hAnsi="Aptos"/>
                <w:b w:val="0"/>
                <w:sz w:val="15"/>
              </w:rPr>
              <w:t>proposed_edd</w:t>
            </w:r>
          </w:p>
        </w:tc>
        <w:tc>
          <w:tcPr>
            <w:tcW w:type="dxa" w:w="6984"/>
            <w:vAlign w:val="center"/>
            <w:shd w:fill="F7F9FC"/>
          </w:tcPr>
          <w:p>
            <w:pPr>
              <w:spacing w:after="0"/>
            </w:pPr>
            <w:r/>
            <w:r>
              <w:rPr>
                <w:rFonts w:ascii="Aptos" w:hAnsi="Aptos"/>
                <w:b w:val="0"/>
                <w:sz w:val="15"/>
              </w:rPr>
              <w:t>EDD supported by this assessment.</w:t>
            </w:r>
          </w:p>
        </w:tc>
      </w:tr>
      <w:tr>
        <w:trPr>
          <w:cantSplit/>
        </w:trPr>
        <w:tc>
          <w:tcPr>
            <w:tcW w:type="dxa" w:w="3384"/>
            <w:vAlign w:val="center"/>
          </w:tcPr>
          <w:p>
            <w:pPr>
              <w:spacing w:after="0"/>
            </w:pPr>
            <w:r/>
            <w:r>
              <w:rPr>
                <w:rFonts w:ascii="Aptos" w:hAnsi="Aptos"/>
                <w:b w:val="0"/>
                <w:sz w:val="15"/>
              </w:rPr>
              <w:t>difference_from_current_days</w:t>
            </w:r>
          </w:p>
        </w:tc>
        <w:tc>
          <w:tcPr>
            <w:tcW w:type="dxa" w:w="6984"/>
            <w:vAlign w:val="center"/>
          </w:tcPr>
          <w:p>
            <w:pPr>
              <w:spacing w:after="0"/>
            </w:pPr>
            <w:r/>
            <w:r>
              <w:rPr>
                <w:rFonts w:ascii="Aptos" w:hAnsi="Aptos"/>
                <w:b w:val="0"/>
                <w:sz w:val="15"/>
              </w:rPr>
              <w:t>Calculated discrepancy from the accepted EDD.</w:t>
            </w:r>
          </w:p>
        </w:tc>
      </w:tr>
      <w:tr>
        <w:trPr>
          <w:cantSplit/>
        </w:trPr>
        <w:tc>
          <w:tcPr>
            <w:tcW w:type="dxa" w:w="3384"/>
            <w:vAlign w:val="center"/>
            <w:shd w:fill="F7F9FC"/>
          </w:tcPr>
          <w:p>
            <w:pPr>
              <w:spacing w:after="0"/>
            </w:pPr>
            <w:r/>
            <w:r>
              <w:rPr>
                <w:rFonts w:ascii="Aptos" w:hAnsi="Aptos"/>
                <w:b w:val="0"/>
                <w:sz w:val="15"/>
              </w:rPr>
              <w:t>guideline_standard_version</w:t>
            </w:r>
          </w:p>
        </w:tc>
        <w:tc>
          <w:tcPr>
            <w:tcW w:type="dxa" w:w="6984"/>
            <w:vAlign w:val="center"/>
            <w:shd w:fill="F7F9FC"/>
          </w:tcPr>
          <w:p>
            <w:pPr>
              <w:spacing w:after="0"/>
            </w:pPr>
            <w:r/>
            <w:r>
              <w:rPr>
                <w:rFonts w:ascii="Aptos" w:hAnsi="Aptos"/>
                <w:b w:val="0"/>
                <w:sz w:val="15"/>
              </w:rPr>
              <w:t>Name/version of the configured dating rule set.</w:t>
            </w:r>
          </w:p>
        </w:tc>
      </w:tr>
      <w:tr>
        <w:trPr>
          <w:cantSplit/>
        </w:trPr>
        <w:tc>
          <w:tcPr>
            <w:tcW w:type="dxa" w:w="3384"/>
            <w:vAlign w:val="center"/>
          </w:tcPr>
          <w:p>
            <w:pPr>
              <w:spacing w:after="0"/>
            </w:pPr>
            <w:r/>
            <w:r>
              <w:rPr>
                <w:rFonts w:ascii="Aptos" w:hAnsi="Aptos"/>
                <w:b w:val="0"/>
                <w:sz w:val="15"/>
              </w:rPr>
              <w:t>review_status</w:t>
            </w:r>
          </w:p>
        </w:tc>
        <w:tc>
          <w:tcPr>
            <w:tcW w:type="dxa" w:w="6984"/>
            <w:vAlign w:val="center"/>
          </w:tcPr>
          <w:p>
            <w:pPr>
              <w:spacing w:after="0"/>
            </w:pPr>
            <w:r/>
            <w:r>
              <w:rPr>
                <w:rFonts w:ascii="Aptos" w:hAnsi="Aptos"/>
                <w:b w:val="0"/>
                <w:sz w:val="15"/>
              </w:rPr>
              <w:t>pending / accepted / rejected / superseded.</w:t>
            </w:r>
          </w:p>
        </w:tc>
      </w:tr>
      <w:tr>
        <w:trPr>
          <w:cantSplit/>
        </w:trPr>
        <w:tc>
          <w:tcPr>
            <w:tcW w:type="dxa" w:w="3384"/>
            <w:vAlign w:val="center"/>
            <w:shd w:fill="F7F9FC"/>
          </w:tcPr>
          <w:p>
            <w:pPr>
              <w:spacing w:after="0"/>
            </w:pPr>
            <w:r/>
            <w:r>
              <w:rPr>
                <w:rFonts w:ascii="Aptos" w:hAnsi="Aptos"/>
                <w:b w:val="0"/>
                <w:sz w:val="15"/>
              </w:rPr>
              <w:t>reviewed_by, reviewed_at, rationale</w:t>
            </w:r>
          </w:p>
        </w:tc>
        <w:tc>
          <w:tcPr>
            <w:tcW w:type="dxa" w:w="6984"/>
            <w:vAlign w:val="center"/>
            <w:shd w:fill="F7F9FC"/>
          </w:tcPr>
          <w:p>
            <w:pPr>
              <w:spacing w:after="0"/>
            </w:pPr>
            <w:r/>
            <w:r>
              <w:rPr>
                <w:rFonts w:ascii="Aptos" w:hAnsi="Aptos"/>
                <w:b w:val="0"/>
                <w:sz w:val="15"/>
              </w:rPr>
              <w:t>Authorization and reasoning.</w:t>
            </w:r>
          </w:p>
        </w:tc>
      </w:tr>
      <w:tr>
        <w:trPr>
          <w:cantSplit/>
        </w:trPr>
        <w:tc>
          <w:tcPr>
            <w:tcW w:type="dxa" w:w="3384"/>
            <w:vAlign w:val="center"/>
          </w:tcPr>
          <w:p>
            <w:pPr>
              <w:spacing w:after="0"/>
            </w:pPr>
            <w:r/>
            <w:r>
              <w:rPr>
                <w:rFonts w:ascii="Aptos" w:hAnsi="Aptos"/>
                <w:b w:val="0"/>
                <w:sz w:val="15"/>
              </w:rPr>
              <w:t>created_by, created_at, updated_at</w:t>
            </w:r>
          </w:p>
        </w:tc>
        <w:tc>
          <w:tcPr>
            <w:tcW w:type="dxa" w:w="6984"/>
            <w:vAlign w:val="center"/>
          </w:tcPr>
          <w:p>
            <w:pPr>
              <w:spacing w:after="0"/>
            </w:pPr>
            <w:r/>
            <w:r>
              <w:rPr>
                <w:rFonts w:ascii="Aptos" w:hAnsi="Aptos"/>
                <w:b w:val="0"/>
                <w:sz w:val="15"/>
              </w:rPr>
              <w:t>Audit fields.</w:t>
            </w:r>
          </w:p>
        </w:tc>
      </w:tr>
    </w:tbl>
    <w:p/>
    <w:p>
      <w:pPr>
        <w:pStyle w:val="Heading2"/>
      </w:pPr>
      <w:r>
        <w:t>12.2 Proposed pregnancies dating summary fields</w:t>
      </w:r>
    </w:p>
    <w:tbl>
      <w:tblPr>
        <w:tblStyle w:val="TableGrid"/>
        <w:tblW w:type="auto" w:w="0"/>
        <w:jc w:val="center"/>
        <w:tblLook w:firstColumn="1" w:firstRow="1" w:lastColumn="0" w:lastRow="0" w:noHBand="0" w:noVBand="1" w:val="04A0"/>
      </w:tblPr>
      <w:tblGrid>
        <w:gridCol w:w="4997"/>
        <w:gridCol w:w="4997"/>
      </w:tblGrid>
      <w:tr>
        <w:trPr>
          <w:cantSplit/>
        </w:trPr>
        <w:tc>
          <w:tcPr>
            <w:tcW w:type="dxa" w:w="3600"/>
            <w:vAlign w:val="center"/>
            <w:shd w:fill="17365D"/>
          </w:tcPr>
          <w:p>
            <w:pPr>
              <w:spacing w:after="0"/>
            </w:pPr>
            <w:r/>
            <w:r>
              <w:rPr>
                <w:rFonts w:ascii="Aptos" w:hAnsi="Aptos"/>
                <w:b/>
                <w:color w:val="FFFFFF"/>
                <w:sz w:val="16"/>
              </w:rPr>
              <w:t>Field</w:t>
            </w:r>
          </w:p>
        </w:tc>
        <w:tc>
          <w:tcPr>
            <w:tcW w:type="dxa" w:w="6768"/>
            <w:vAlign w:val="center"/>
            <w:shd w:fill="17365D"/>
          </w:tcPr>
          <w:p>
            <w:pPr>
              <w:spacing w:after="0"/>
            </w:pPr>
            <w:r/>
            <w:r>
              <w:rPr>
                <w:rFonts w:ascii="Aptos" w:hAnsi="Aptos"/>
                <w:b/>
                <w:color w:val="FFFFFF"/>
                <w:sz w:val="16"/>
              </w:rPr>
              <w:t>Purpose</w:t>
            </w:r>
          </w:p>
        </w:tc>
      </w:tr>
      <w:tr>
        <w:trPr>
          <w:cantSplit/>
        </w:trPr>
        <w:tc>
          <w:tcPr>
            <w:tcW w:type="dxa" w:w="3600"/>
            <w:vAlign w:val="center"/>
          </w:tcPr>
          <w:p>
            <w:pPr>
              <w:spacing w:after="0"/>
            </w:pPr>
            <w:r/>
            <w:r>
              <w:rPr>
                <w:rFonts w:ascii="Aptos" w:hAnsi="Aptos"/>
                <w:b w:val="0"/>
                <w:sz w:val="16"/>
              </w:rPr>
              <w:t>best_obstetric_edd</w:t>
            </w:r>
          </w:p>
        </w:tc>
        <w:tc>
          <w:tcPr>
            <w:tcW w:type="dxa" w:w="6768"/>
            <w:vAlign w:val="center"/>
          </w:tcPr>
          <w:p>
            <w:pPr>
              <w:spacing w:after="0"/>
            </w:pPr>
            <w:r/>
            <w:r>
              <w:rPr>
                <w:rFonts w:ascii="Aptos" w:hAnsi="Aptos"/>
                <w:b w:val="0"/>
                <w:sz w:val="16"/>
              </w:rPr>
              <w:t>Single currently accepted EDD.</w:t>
            </w:r>
          </w:p>
        </w:tc>
      </w:tr>
      <w:tr>
        <w:trPr>
          <w:cantSplit/>
        </w:trPr>
        <w:tc>
          <w:tcPr>
            <w:tcW w:type="dxa" w:w="3600"/>
            <w:vAlign w:val="center"/>
            <w:shd w:fill="F7F9FC"/>
          </w:tcPr>
          <w:p>
            <w:pPr>
              <w:spacing w:after="0"/>
            </w:pPr>
            <w:r/>
            <w:r>
              <w:rPr>
                <w:rFonts w:ascii="Aptos" w:hAnsi="Aptos"/>
                <w:b w:val="0"/>
                <w:sz w:val="16"/>
              </w:rPr>
              <w:t>dating_source_type</w:t>
            </w:r>
          </w:p>
        </w:tc>
        <w:tc>
          <w:tcPr>
            <w:tcW w:type="dxa" w:w="6768"/>
            <w:vAlign w:val="center"/>
            <w:shd w:fill="F7F9FC"/>
          </w:tcPr>
          <w:p>
            <w:pPr>
              <w:spacing w:after="0"/>
            </w:pPr>
            <w:r/>
            <w:r>
              <w:rPr>
                <w:rFonts w:ascii="Aptos" w:hAnsi="Aptos"/>
                <w:b w:val="0"/>
                <w:sz w:val="16"/>
              </w:rPr>
              <w:t>Source supporting the accepted estimate.</w:t>
            </w:r>
          </w:p>
        </w:tc>
      </w:tr>
      <w:tr>
        <w:trPr>
          <w:cantSplit/>
        </w:trPr>
        <w:tc>
          <w:tcPr>
            <w:tcW w:type="dxa" w:w="3600"/>
            <w:vAlign w:val="center"/>
          </w:tcPr>
          <w:p>
            <w:pPr>
              <w:spacing w:after="0"/>
            </w:pPr>
            <w:r/>
            <w:r>
              <w:rPr>
                <w:rFonts w:ascii="Aptos" w:hAnsi="Aptos"/>
                <w:b w:val="0"/>
                <w:sz w:val="16"/>
              </w:rPr>
              <w:t>dating_source_record_id</w:t>
            </w:r>
          </w:p>
        </w:tc>
        <w:tc>
          <w:tcPr>
            <w:tcW w:type="dxa" w:w="6768"/>
            <w:vAlign w:val="center"/>
          </w:tcPr>
          <w:p>
            <w:pPr>
              <w:spacing w:after="0"/>
            </w:pPr>
            <w:r/>
            <w:r>
              <w:rPr>
                <w:rFonts w:ascii="Aptos" w:hAnsi="Aptos"/>
                <w:b w:val="0"/>
                <w:sz w:val="16"/>
              </w:rPr>
              <w:t>Link to the exact assessment/evidence record.</w:t>
            </w:r>
          </w:p>
        </w:tc>
      </w:tr>
      <w:tr>
        <w:trPr>
          <w:cantSplit/>
        </w:trPr>
        <w:tc>
          <w:tcPr>
            <w:tcW w:type="dxa" w:w="3600"/>
            <w:vAlign w:val="center"/>
            <w:shd w:fill="F7F9FC"/>
          </w:tcPr>
          <w:p>
            <w:pPr>
              <w:spacing w:after="0"/>
            </w:pPr>
            <w:r/>
            <w:r>
              <w:rPr>
                <w:rFonts w:ascii="Aptos" w:hAnsi="Aptos"/>
                <w:b w:val="0"/>
                <w:sz w:val="16"/>
              </w:rPr>
              <w:t>dating_confidence</w:t>
            </w:r>
          </w:p>
        </w:tc>
        <w:tc>
          <w:tcPr>
            <w:tcW w:type="dxa" w:w="6768"/>
            <w:vAlign w:val="center"/>
            <w:shd w:fill="F7F9FC"/>
          </w:tcPr>
          <w:p>
            <w:pPr>
              <w:spacing w:after="0"/>
            </w:pPr>
            <w:r/>
            <w:r>
              <w:rPr>
                <w:rFonts w:ascii="Aptos" w:hAnsi="Aptos"/>
                <w:b w:val="0"/>
                <w:sz w:val="16"/>
              </w:rPr>
              <w:t>confirmed_early / confirmed_later / working / uncertain / suboptimal.</w:t>
            </w:r>
          </w:p>
        </w:tc>
      </w:tr>
      <w:tr>
        <w:trPr>
          <w:cantSplit/>
        </w:trPr>
        <w:tc>
          <w:tcPr>
            <w:tcW w:type="dxa" w:w="3600"/>
            <w:vAlign w:val="center"/>
          </w:tcPr>
          <w:p>
            <w:pPr>
              <w:spacing w:after="0"/>
            </w:pPr>
            <w:r/>
            <w:r>
              <w:rPr>
                <w:rFonts w:ascii="Aptos" w:hAnsi="Aptos"/>
                <w:b w:val="0"/>
                <w:sz w:val="16"/>
              </w:rPr>
              <w:t>dating_confirmed_by, dating_confirmed_at</w:t>
            </w:r>
          </w:p>
        </w:tc>
        <w:tc>
          <w:tcPr>
            <w:tcW w:type="dxa" w:w="6768"/>
            <w:vAlign w:val="center"/>
          </w:tcPr>
          <w:p>
            <w:pPr>
              <w:spacing w:after="0"/>
            </w:pPr>
            <w:r/>
            <w:r>
              <w:rPr>
                <w:rFonts w:ascii="Aptos" w:hAnsi="Aptos"/>
                <w:b w:val="0"/>
                <w:sz w:val="16"/>
              </w:rPr>
              <w:t>Accountability.</w:t>
            </w:r>
          </w:p>
        </w:tc>
      </w:tr>
      <w:tr>
        <w:trPr>
          <w:cantSplit/>
        </w:trPr>
        <w:tc>
          <w:tcPr>
            <w:tcW w:type="dxa" w:w="3600"/>
            <w:vAlign w:val="center"/>
            <w:shd w:fill="F7F9FC"/>
          </w:tcPr>
          <w:p>
            <w:pPr>
              <w:spacing w:after="0"/>
            </w:pPr>
            <w:r/>
            <w:r>
              <w:rPr>
                <w:rFonts w:ascii="Aptos" w:hAnsi="Aptos"/>
                <w:b w:val="0"/>
                <w:sz w:val="16"/>
              </w:rPr>
              <w:t>dating_version</w:t>
            </w:r>
          </w:p>
        </w:tc>
        <w:tc>
          <w:tcPr>
            <w:tcW w:type="dxa" w:w="6768"/>
            <w:vAlign w:val="center"/>
            <w:shd w:fill="F7F9FC"/>
          </w:tcPr>
          <w:p>
            <w:pPr>
              <w:spacing w:after="0"/>
            </w:pPr>
            <w:r/>
            <w:r>
              <w:rPr>
                <w:rFonts w:ascii="Aptos" w:hAnsi="Aptos"/>
                <w:b w:val="0"/>
                <w:sz w:val="16"/>
              </w:rPr>
              <w:t>Incremented whenever the accepted estimate changes.</w:t>
            </w:r>
          </w:p>
        </w:tc>
      </w:tr>
      <w:tr>
        <w:trPr>
          <w:cantSplit/>
        </w:trPr>
        <w:tc>
          <w:tcPr>
            <w:tcW w:type="dxa" w:w="3600"/>
            <w:vAlign w:val="center"/>
          </w:tcPr>
          <w:p>
            <w:pPr>
              <w:spacing w:after="0"/>
            </w:pPr>
            <w:r/>
            <w:r>
              <w:rPr>
                <w:rFonts w:ascii="Aptos" w:hAnsi="Aptos"/>
                <w:b w:val="0"/>
                <w:sz w:val="16"/>
              </w:rPr>
              <w:t>dating_warning_status</w:t>
            </w:r>
          </w:p>
        </w:tc>
        <w:tc>
          <w:tcPr>
            <w:tcW w:type="dxa" w:w="6768"/>
            <w:vAlign w:val="center"/>
          </w:tcPr>
          <w:p>
            <w:pPr>
              <w:spacing w:after="0"/>
            </w:pPr>
            <w:r/>
            <w:r>
              <w:rPr>
                <w:rFonts w:ascii="Aptos" w:hAnsi="Aptos"/>
                <w:b w:val="0"/>
                <w:sz w:val="16"/>
              </w:rPr>
              <w:t>none / review_due / discordant / no_early_confirmation.</w:t>
            </w:r>
          </w:p>
        </w:tc>
      </w:tr>
      <w:tr>
        <w:trPr>
          <w:cantSplit/>
        </w:trPr>
        <w:tc>
          <w:tcPr>
            <w:tcW w:type="dxa" w:w="3600"/>
            <w:vAlign w:val="center"/>
            <w:shd w:fill="F7F9FC"/>
          </w:tcPr>
          <w:p>
            <w:pPr>
              <w:spacing w:after="0"/>
            </w:pPr>
            <w:r/>
            <w:r>
              <w:rPr>
                <w:rFonts w:ascii="Aptos" w:hAnsi="Aptos"/>
                <w:b w:val="0"/>
                <w:sz w:val="16"/>
              </w:rPr>
              <w:t>last_dating_review_at</w:t>
            </w:r>
          </w:p>
        </w:tc>
        <w:tc>
          <w:tcPr>
            <w:tcW w:type="dxa" w:w="6768"/>
            <w:vAlign w:val="center"/>
            <w:shd w:fill="F7F9FC"/>
          </w:tcPr>
          <w:p>
            <w:pPr>
              <w:spacing w:after="0"/>
            </w:pPr>
            <w:r/>
            <w:r>
              <w:rPr>
                <w:rFonts w:ascii="Aptos" w:hAnsi="Aptos"/>
                <w:b w:val="0"/>
                <w:sz w:val="16"/>
              </w:rPr>
              <w:t>Workflow monitoring.</w:t>
            </w:r>
          </w:p>
        </w:tc>
      </w:tr>
    </w:tbl>
    <w:p/>
    <w:tbl>
      <w:tblPr>
        <w:tblW w:type="auto" w:w="0"/>
        <w:jc w:val="center"/>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Migration principle. </w:t>
            </w:r>
            <w:r>
              <w:t>Existing LMP and EDD values should be preserved as legacy observations during migration. They should not automatically be labeled reliable or clinician-confirmed without evidence.</w:t>
            </w:r>
          </w:p>
        </w:tc>
      </w:tr>
    </w:tbl>
    <w:p/>
    <w:p>
      <w:pPr>
        <w:pStyle w:val="Heading1"/>
      </w:pPr>
      <w:r>
        <w:t>13. User Interface and Explainability</w:t>
      </w:r>
    </w:p>
    <w:p>
      <w:pPr>
        <w:pStyle w:val="Heading2"/>
      </w:pPr>
      <w:r>
        <w:t>13.1 Recommended dating card</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7365D"/>
          </w:tcPr>
          <w:p>
            <w:pPr>
              <w:spacing w:after="0"/>
            </w:pPr>
            <w:r/>
            <w:r>
              <w:rPr>
                <w:rFonts w:ascii="Aptos" w:hAnsi="Aptos"/>
                <w:b/>
                <w:color w:val="FFFFFF"/>
                <w:sz w:val="16"/>
              </w:rPr>
              <w:t>Displayed item</w:t>
            </w:r>
          </w:p>
        </w:tc>
        <w:tc>
          <w:tcPr>
            <w:tcW w:type="dxa" w:w="7488"/>
            <w:vAlign w:val="center"/>
            <w:shd w:fill="17365D"/>
          </w:tcPr>
          <w:p>
            <w:pPr>
              <w:spacing w:after="0"/>
            </w:pPr>
            <w:r/>
            <w:r>
              <w:rPr>
                <w:rFonts w:ascii="Aptos" w:hAnsi="Aptos"/>
                <w:b/>
                <w:color w:val="FFFFFF"/>
                <w:sz w:val="16"/>
              </w:rPr>
              <w:t>Example</w:t>
            </w:r>
          </w:p>
        </w:tc>
      </w:tr>
      <w:tr>
        <w:trPr>
          <w:cantSplit/>
        </w:trPr>
        <w:tc>
          <w:tcPr>
            <w:tcW w:type="dxa" w:w="2880"/>
            <w:vAlign w:val="center"/>
          </w:tcPr>
          <w:p>
            <w:pPr>
              <w:spacing w:after="0"/>
            </w:pPr>
            <w:r/>
            <w:r>
              <w:rPr>
                <w:rFonts w:ascii="Aptos" w:hAnsi="Aptos"/>
                <w:b w:val="0"/>
                <w:sz w:val="16"/>
              </w:rPr>
              <w:t>Current gestational age</w:t>
            </w:r>
          </w:p>
        </w:tc>
        <w:tc>
          <w:tcPr>
            <w:tcW w:type="dxa" w:w="7488"/>
            <w:vAlign w:val="center"/>
          </w:tcPr>
          <w:p>
            <w:pPr>
              <w:spacing w:after="0"/>
            </w:pPr>
            <w:r/>
            <w:r>
              <w:rPr>
                <w:rFonts w:ascii="Aptos" w:hAnsi="Aptos"/>
                <w:b w:val="0"/>
                <w:sz w:val="16"/>
              </w:rPr>
              <w:t>24 weeks + 3 days as of 19 July 2026</w:t>
            </w:r>
          </w:p>
        </w:tc>
      </w:tr>
      <w:tr>
        <w:trPr>
          <w:cantSplit/>
        </w:trPr>
        <w:tc>
          <w:tcPr>
            <w:tcW w:type="dxa" w:w="2880"/>
            <w:vAlign w:val="center"/>
            <w:shd w:fill="F7F9FC"/>
          </w:tcPr>
          <w:p>
            <w:pPr>
              <w:spacing w:after="0"/>
            </w:pPr>
            <w:r/>
            <w:r>
              <w:rPr>
                <w:rFonts w:ascii="Aptos" w:hAnsi="Aptos"/>
                <w:b w:val="0"/>
                <w:sz w:val="16"/>
              </w:rPr>
              <w:t>Accepted EDD</w:t>
            </w:r>
          </w:p>
        </w:tc>
        <w:tc>
          <w:tcPr>
            <w:tcW w:type="dxa" w:w="7488"/>
            <w:vAlign w:val="center"/>
            <w:shd w:fill="F7F9FC"/>
          </w:tcPr>
          <w:p>
            <w:pPr>
              <w:spacing w:after="0"/>
            </w:pPr>
            <w:r/>
            <w:r>
              <w:rPr>
                <w:rFonts w:ascii="Aptos" w:hAnsi="Aptos"/>
                <w:b w:val="0"/>
                <w:sz w:val="16"/>
              </w:rPr>
              <w:t>5 November 2026</w:t>
            </w:r>
          </w:p>
        </w:tc>
      </w:tr>
      <w:tr>
        <w:trPr>
          <w:cantSplit/>
        </w:trPr>
        <w:tc>
          <w:tcPr>
            <w:tcW w:type="dxa" w:w="2880"/>
            <w:vAlign w:val="center"/>
          </w:tcPr>
          <w:p>
            <w:pPr>
              <w:spacing w:after="0"/>
            </w:pPr>
            <w:r/>
            <w:r>
              <w:rPr>
                <w:rFonts w:ascii="Aptos" w:hAnsi="Aptos"/>
                <w:b w:val="0"/>
                <w:sz w:val="16"/>
              </w:rPr>
              <w:t>Source</w:t>
            </w:r>
          </w:p>
        </w:tc>
        <w:tc>
          <w:tcPr>
            <w:tcW w:type="dxa" w:w="7488"/>
            <w:vAlign w:val="center"/>
          </w:tcPr>
          <w:p>
            <w:pPr>
              <w:spacing w:after="0"/>
            </w:pPr>
            <w:r/>
            <w:r>
              <w:rPr>
                <w:rFonts w:ascii="Aptos" w:hAnsi="Aptos"/>
                <w:b w:val="0"/>
                <w:sz w:val="16"/>
              </w:rPr>
              <w:t>First-trimester ultrasound (CRL), scan dated 28 April 2026</w:t>
            </w:r>
          </w:p>
        </w:tc>
      </w:tr>
      <w:tr>
        <w:trPr>
          <w:cantSplit/>
        </w:trPr>
        <w:tc>
          <w:tcPr>
            <w:tcW w:type="dxa" w:w="2880"/>
            <w:vAlign w:val="center"/>
            <w:shd w:fill="F7F9FC"/>
          </w:tcPr>
          <w:p>
            <w:pPr>
              <w:spacing w:after="0"/>
            </w:pPr>
            <w:r/>
            <w:r>
              <w:rPr>
                <w:rFonts w:ascii="Aptos" w:hAnsi="Aptos"/>
                <w:b w:val="0"/>
                <w:sz w:val="16"/>
              </w:rPr>
              <w:t>Confidence</w:t>
            </w:r>
          </w:p>
        </w:tc>
        <w:tc>
          <w:tcPr>
            <w:tcW w:type="dxa" w:w="7488"/>
            <w:vAlign w:val="center"/>
            <w:shd w:fill="F7F9FC"/>
          </w:tcPr>
          <w:p>
            <w:pPr>
              <w:spacing w:after="0"/>
            </w:pPr>
            <w:r/>
            <w:r>
              <w:rPr>
                <w:rFonts w:ascii="Aptos" w:hAnsi="Aptos"/>
                <w:b w:val="0"/>
                <w:sz w:val="16"/>
              </w:rPr>
              <w:t>Confirmed early</w:t>
            </w:r>
          </w:p>
        </w:tc>
      </w:tr>
      <w:tr>
        <w:trPr>
          <w:cantSplit/>
        </w:trPr>
        <w:tc>
          <w:tcPr>
            <w:tcW w:type="dxa" w:w="2880"/>
            <w:vAlign w:val="center"/>
          </w:tcPr>
          <w:p>
            <w:pPr>
              <w:spacing w:after="0"/>
            </w:pPr>
            <w:r/>
            <w:r>
              <w:rPr>
                <w:rFonts w:ascii="Aptos" w:hAnsi="Aptos"/>
                <w:b w:val="0"/>
                <w:sz w:val="16"/>
              </w:rPr>
              <w:t>LMP comparison</w:t>
            </w:r>
          </w:p>
        </w:tc>
        <w:tc>
          <w:tcPr>
            <w:tcW w:type="dxa" w:w="7488"/>
            <w:vAlign w:val="center"/>
          </w:tcPr>
          <w:p>
            <w:pPr>
              <w:spacing w:after="0"/>
            </w:pPr>
            <w:r/>
            <w:r>
              <w:rPr>
                <w:rFonts w:ascii="Aptos" w:hAnsi="Aptos"/>
                <w:b w:val="0"/>
                <w:sz w:val="16"/>
              </w:rPr>
              <w:t>LMP estimate differed by 3 days; no re-dating required</w:t>
            </w:r>
          </w:p>
        </w:tc>
      </w:tr>
      <w:tr>
        <w:trPr>
          <w:cantSplit/>
        </w:trPr>
        <w:tc>
          <w:tcPr>
            <w:tcW w:type="dxa" w:w="2880"/>
            <w:vAlign w:val="center"/>
            <w:shd w:fill="F7F9FC"/>
          </w:tcPr>
          <w:p>
            <w:pPr>
              <w:spacing w:after="0"/>
            </w:pPr>
            <w:r/>
            <w:r>
              <w:rPr>
                <w:rFonts w:ascii="Aptos" w:hAnsi="Aptos"/>
                <w:b w:val="0"/>
                <w:sz w:val="16"/>
              </w:rPr>
              <w:t>Status</w:t>
            </w:r>
          </w:p>
        </w:tc>
        <w:tc>
          <w:tcPr>
            <w:tcW w:type="dxa" w:w="7488"/>
            <w:vAlign w:val="center"/>
            <w:shd w:fill="F7F9FC"/>
          </w:tcPr>
          <w:p>
            <w:pPr>
              <w:spacing w:after="0"/>
            </w:pPr>
            <w:r/>
            <w:r>
              <w:rPr>
                <w:rFonts w:ascii="Aptos" w:hAnsi="Aptos"/>
                <w:b w:val="0"/>
                <w:sz w:val="16"/>
              </w:rPr>
              <w:t>No unresolved dating review</w:t>
            </w:r>
          </w:p>
        </w:tc>
      </w:tr>
      <w:tr>
        <w:trPr>
          <w:cantSplit/>
        </w:trPr>
        <w:tc>
          <w:tcPr>
            <w:tcW w:type="dxa" w:w="2880"/>
            <w:vAlign w:val="center"/>
          </w:tcPr>
          <w:p>
            <w:pPr>
              <w:spacing w:after="0"/>
            </w:pPr>
            <w:r/>
            <w:r>
              <w:rPr>
                <w:rFonts w:ascii="Aptos" w:hAnsi="Aptos"/>
                <w:b w:val="0"/>
                <w:sz w:val="16"/>
              </w:rPr>
              <w:t>Audit access</w:t>
            </w:r>
          </w:p>
        </w:tc>
        <w:tc>
          <w:tcPr>
            <w:tcW w:type="dxa" w:w="7488"/>
            <w:vAlign w:val="center"/>
          </w:tcPr>
          <w:p>
            <w:pPr>
              <w:spacing w:after="0"/>
            </w:pPr>
            <w:r/>
            <w:r>
              <w:rPr>
                <w:rFonts w:ascii="Aptos" w:hAnsi="Aptos"/>
                <w:b w:val="0"/>
                <w:sz w:val="16"/>
              </w:rPr>
              <w:t>View dating history</w:t>
            </w:r>
          </w:p>
        </w:tc>
      </w:tr>
    </w:tbl>
    <w:p/>
    <w:p>
      <w:pPr>
        <w:pStyle w:val="Heading2"/>
      </w:pPr>
      <w:r>
        <w:t>13.2 Explainable message templates</w:t>
      </w:r>
    </w:p>
    <w:tbl>
      <w:tblPr>
        <w:tblW w:type="auto" w:w="0"/>
        <w:jc w:val="center"/>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Confirmed early dating. </w:t>
            </w:r>
            <w:r>
              <w:t>Gestational age is based on an accepted first-trimester ultrasound. This is the most accurate available dating source. Later ultrasound size measurements will not automatically change the EDD.</w:t>
            </w:r>
          </w:p>
        </w:tc>
      </w:tr>
    </w:tbl>
    <w:p/>
    <w:tbl>
      <w:tblPr>
        <w:tblW w:type="auto" w:w="0"/>
        <w:jc w:val="center"/>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Unreliable LMP. </w:t>
            </w:r>
            <w:r>
              <w:t>The LMP date is recorded, but the menstrual history may not provide a reliable estimate because the cycle was irregular or the date was uncertain. Early ultrasound confirmation is recommended.</w:t>
            </w:r>
          </w:p>
        </w:tc>
      </w:tr>
    </w:tbl>
    <w:p/>
    <w:tbl>
      <w:tblPr>
        <w:tblW w:type="auto" w:w="0"/>
        <w:jc w:val="center"/>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Dating discrepancy. </w:t>
            </w:r>
            <w:r>
              <w:t>The ultrasound estimate differs from the current LMP-based estimate by 11 days, which exceeds the configured review threshold for this gestational period. A qualified clinician must confirm whether the EDD should change.</w:t>
            </w:r>
          </w:p>
        </w:tc>
      </w:tr>
    </w:tbl>
    <w:p/>
    <w:tbl>
      <w:tblPr>
        <w:tblW w:type="auto" w:w="0"/>
        <w:jc w:val="center"/>
        <w:tblLook w:firstColumn="1" w:firstRow="1" w:lastColumn="0" w:lastRow="0" w:noHBand="0" w:noVBand="1" w:val="04A0"/>
      </w:tblPr>
      <w:tblGrid>
        <w:gridCol w:w="9994"/>
      </w:tblGrid>
      <w:tr>
        <w:trPr>
          <w:cantSplit/>
        </w:trPr>
        <w:tc>
          <w:tcPr>
            <w:tcW w:type="dxa" w:w="9994"/>
            <w:shd w:fill="FFF2CC"/>
            <w:tcBorders>
              <w:top w:val="single" w:sz="8" w:color="C69C38"/>
              <w:left w:val="single" w:sz="8" w:color="C69C38"/>
              <w:bottom w:val="single" w:sz="8" w:color="C69C38"/>
              <w:right w:val="single" w:sz="8" w:color="C69C38"/>
            </w:tcBorders>
          </w:tcPr>
          <w:p>
            <w:pPr>
              <w:pStyle w:val="Callout"/>
            </w:pPr>
            <w:r>
              <w:rPr>
                <w:b/>
                <w:color w:val="C69C38"/>
              </w:rPr>
              <w:t xml:space="preserve">Suboptimal dating. </w:t>
            </w:r>
            <w:r>
              <w:t>No ultrasound confirmation or revision was documented before the configured early-dating cutoff. The current EDD is a working estimate with reduced certainty. Timing-sensitive decisions require clinical review.</w:t>
            </w:r>
          </w:p>
        </w:tc>
      </w:tr>
    </w:tbl>
    <w:p/>
    <w:p>
      <w:pPr>
        <w:pStyle w:val="Heading1"/>
      </w:pPr>
      <w:r>
        <w:t>14. Prohibited Outputs and Safety Constraints</w:t>
      </w:r>
    </w:p>
    <w:p>
      <w:pPr>
        <w:pStyle w:val="ListBullet"/>
        <w:spacing w:after="50"/>
      </w:pPr>
      <w:r>
        <w:t>Do not state that an uncertain LMP proves abnormal fetal growth.</w:t>
      </w:r>
    </w:p>
    <w:p>
      <w:pPr>
        <w:pStyle w:val="ListBullet"/>
        <w:spacing w:after="50"/>
      </w:pPr>
      <w:r>
        <w:t>Do not automatically change EDD when a later ultrasound reports a different gestational age.</w:t>
      </w:r>
    </w:p>
    <w:p>
      <w:pPr>
        <w:pStyle w:val="ListBullet"/>
        <w:spacing w:after="50"/>
      </w:pPr>
      <w:r>
        <w:t>Do not generate an exact LMP by subtracting 280 days from an externally supplied EDD and present it as patient history.</w:t>
      </w:r>
    </w:p>
    <w:p>
      <w:pPr>
        <w:pStyle w:val="ListBullet"/>
        <w:spacing w:after="50"/>
      </w:pPr>
      <w:r>
        <w:t>Do not equate a missing ultrasound with a negative finding.</w:t>
      </w:r>
    </w:p>
    <w:p>
      <w:pPr>
        <w:pStyle w:val="ListBullet"/>
        <w:spacing w:after="50"/>
      </w:pPr>
      <w:r>
        <w:t>Do not classify a pregnancy as HIGH solely because dating is uncertain.</w:t>
      </w:r>
    </w:p>
    <w:p>
      <w:pPr>
        <w:pStyle w:val="ListBullet"/>
        <w:spacing w:after="50"/>
      </w:pPr>
      <w:r>
        <w:t>Do not recommend induction, cesarean delivery, corticosteroids, or other treatment based solely on the CDSS calculation.</w:t>
      </w:r>
    </w:p>
    <w:p>
      <w:pPr>
        <w:pStyle w:val="ListBullet"/>
        <w:spacing w:after="50"/>
      </w:pPr>
      <w:r>
        <w:t>Do not interpret ultrasound images or measurements beyond the structured report and authorized clinical rules.</w:t>
      </w:r>
    </w:p>
    <w:p>
      <w:pPr>
        <w:pStyle w:val="ListBullet"/>
        <w:spacing w:after="50"/>
      </w:pPr>
      <w:r>
        <w:t>Do not hide the dating source, confidence, or history from the user.</w:t>
      </w:r>
    </w:p>
    <w:p>
      <w:pPr>
        <w:pStyle w:val="ListBullet"/>
        <w:spacing w:after="50"/>
      </w:pPr>
      <w:r>
        <w:t>Do not permit unauthorized users to overwrite the accepted EDD.</w:t>
      </w:r>
    </w:p>
    <w:p>
      <w:pPr>
        <w:pStyle w:val="ListBullet"/>
        <w:spacing w:after="50"/>
      </w:pPr>
      <w:r>
        <w:t>Do not apply trimester-specific clinical thresholds when the dating confidence is insufficient without showing a warning.</w:t>
      </w:r>
    </w:p>
    <w:p>
      <w:pPr>
        <w:pStyle w:val="Heading1"/>
      </w:pPr>
      <w:r>
        <w:t>15. Validation and Test Scenarios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792"/>
            <w:vAlign w:val="center"/>
            <w:shd w:fill="17365D"/>
          </w:tcPr>
          <w:p>
            <w:pPr>
              <w:spacing w:after="0"/>
            </w:pPr>
            <w:r/>
            <w:r>
              <w:rPr>
                <w:rFonts w:ascii="Aptos" w:hAnsi="Aptos"/>
                <w:b/>
                <w:color w:val="FFFFFF"/>
                <w:sz w:val="16"/>
              </w:rPr>
              <w:t>ID</w:t>
            </w:r>
          </w:p>
        </w:tc>
        <w:tc>
          <w:tcPr>
            <w:tcW w:type="dxa" w:w="4536"/>
            <w:vAlign w:val="center"/>
            <w:shd w:fill="17365D"/>
          </w:tcPr>
          <w:p>
            <w:pPr>
              <w:spacing w:after="0"/>
            </w:pPr>
            <w:r/>
            <w:r>
              <w:rPr>
                <w:rFonts w:ascii="Aptos" w:hAnsi="Aptos"/>
                <w:b/>
                <w:color w:val="FFFFFF"/>
                <w:sz w:val="16"/>
              </w:rPr>
              <w:t>Scenario</w:t>
            </w:r>
          </w:p>
        </w:tc>
        <w:tc>
          <w:tcPr>
            <w:tcW w:type="dxa" w:w="5040"/>
            <w:vAlign w:val="center"/>
            <w:shd w:fill="17365D"/>
          </w:tcPr>
          <w:p>
            <w:pPr>
              <w:spacing w:after="0"/>
            </w:pPr>
            <w:r/>
            <w:r>
              <w:rPr>
                <w:rFonts w:ascii="Aptos" w:hAnsi="Aptos"/>
                <w:b/>
                <w:color w:val="FFFFFF"/>
                <w:sz w:val="16"/>
              </w:rPr>
              <w:t>Expected result</w:t>
            </w:r>
          </w:p>
        </w:tc>
      </w:tr>
      <w:tr>
        <w:trPr>
          <w:cantSplit/>
        </w:trPr>
        <w:tc>
          <w:tcPr>
            <w:tcW w:type="dxa" w:w="792"/>
            <w:vAlign w:val="center"/>
          </w:tcPr>
          <w:p>
            <w:pPr>
              <w:spacing w:after="0"/>
            </w:pPr>
            <w:r/>
            <w:r>
              <w:rPr>
                <w:rFonts w:ascii="Aptos" w:hAnsi="Aptos"/>
                <w:b w:val="0"/>
                <w:sz w:val="15"/>
              </w:rPr>
              <w:t>T01</w:t>
            </w:r>
          </w:p>
        </w:tc>
        <w:tc>
          <w:tcPr>
            <w:tcW w:type="dxa" w:w="4536"/>
            <w:vAlign w:val="center"/>
          </w:tcPr>
          <w:p>
            <w:pPr>
              <w:spacing w:after="0"/>
            </w:pPr>
            <w:r/>
            <w:r>
              <w:rPr>
                <w:rFonts w:ascii="Aptos" w:hAnsi="Aptos"/>
                <w:b w:val="0"/>
                <w:sz w:val="15"/>
              </w:rPr>
              <w:t>Exact LMP, regular cycle, no scan yet</w:t>
            </w:r>
          </w:p>
        </w:tc>
        <w:tc>
          <w:tcPr>
            <w:tcW w:type="dxa" w:w="5040"/>
            <w:vAlign w:val="center"/>
          </w:tcPr>
          <w:p>
            <w:pPr>
              <w:spacing w:after="0"/>
            </w:pPr>
            <w:r/>
            <w:r>
              <w:rPr>
                <w:rFonts w:ascii="Aptos" w:hAnsi="Aptos"/>
                <w:b w:val="0"/>
                <w:sz w:val="15"/>
              </w:rPr>
              <w:t>Provisional LMP EDD; confidence = working; scan confirmation prompt.</w:t>
            </w:r>
          </w:p>
        </w:tc>
      </w:tr>
      <w:tr>
        <w:trPr>
          <w:cantSplit/>
        </w:trPr>
        <w:tc>
          <w:tcPr>
            <w:tcW w:type="dxa" w:w="792"/>
            <w:vAlign w:val="center"/>
            <w:shd w:fill="F7F9FC"/>
          </w:tcPr>
          <w:p>
            <w:pPr>
              <w:spacing w:after="0"/>
            </w:pPr>
            <w:r/>
            <w:r>
              <w:rPr>
                <w:rFonts w:ascii="Aptos" w:hAnsi="Aptos"/>
                <w:b w:val="0"/>
                <w:sz w:val="15"/>
              </w:rPr>
              <w:t>T02</w:t>
            </w:r>
          </w:p>
        </w:tc>
        <w:tc>
          <w:tcPr>
            <w:tcW w:type="dxa" w:w="4536"/>
            <w:vAlign w:val="center"/>
            <w:shd w:fill="F7F9FC"/>
          </w:tcPr>
          <w:p>
            <w:pPr>
              <w:spacing w:after="0"/>
            </w:pPr>
            <w:r/>
            <w:r>
              <w:rPr>
                <w:rFonts w:ascii="Aptos" w:hAnsi="Aptos"/>
                <w:b w:val="0"/>
                <w:sz w:val="15"/>
              </w:rPr>
              <w:t>LMP unknown; 10-week CRL report available</w:t>
            </w:r>
          </w:p>
        </w:tc>
        <w:tc>
          <w:tcPr>
            <w:tcW w:type="dxa" w:w="5040"/>
            <w:vAlign w:val="center"/>
            <w:shd w:fill="F7F9FC"/>
          </w:tcPr>
          <w:p>
            <w:pPr>
              <w:spacing w:after="0"/>
            </w:pPr>
            <w:r/>
            <w:r>
              <w:rPr>
                <w:rFonts w:ascii="Aptos" w:hAnsi="Aptos"/>
                <w:b w:val="0"/>
                <w:sz w:val="15"/>
              </w:rPr>
              <w:t>Use clinician-accepted ultrasound EDD; keep LMP unknown.</w:t>
            </w:r>
          </w:p>
        </w:tc>
      </w:tr>
      <w:tr>
        <w:trPr>
          <w:cantSplit/>
        </w:trPr>
        <w:tc>
          <w:tcPr>
            <w:tcW w:type="dxa" w:w="792"/>
            <w:vAlign w:val="center"/>
          </w:tcPr>
          <w:p>
            <w:pPr>
              <w:spacing w:after="0"/>
            </w:pPr>
            <w:r/>
            <w:r>
              <w:rPr>
                <w:rFonts w:ascii="Aptos" w:hAnsi="Aptos"/>
                <w:b w:val="0"/>
                <w:sz w:val="15"/>
              </w:rPr>
              <w:t>T03</w:t>
            </w:r>
          </w:p>
        </w:tc>
        <w:tc>
          <w:tcPr>
            <w:tcW w:type="dxa" w:w="4536"/>
            <w:vAlign w:val="center"/>
          </w:tcPr>
          <w:p>
            <w:pPr>
              <w:spacing w:after="0"/>
            </w:pPr>
            <w:r/>
            <w:r>
              <w:rPr>
                <w:rFonts w:ascii="Aptos" w:hAnsi="Aptos"/>
                <w:b w:val="0"/>
                <w:sz w:val="15"/>
              </w:rPr>
              <w:t>Reliable LMP and 8-week ultrasound differ by 2 days</w:t>
            </w:r>
          </w:p>
        </w:tc>
        <w:tc>
          <w:tcPr>
            <w:tcW w:type="dxa" w:w="5040"/>
            <w:vAlign w:val="center"/>
          </w:tcPr>
          <w:p>
            <w:pPr>
              <w:spacing w:after="0"/>
            </w:pPr>
            <w:r/>
            <w:r>
              <w:rPr>
                <w:rFonts w:ascii="Aptos" w:hAnsi="Aptos"/>
                <w:b w:val="0"/>
                <w:sz w:val="15"/>
              </w:rPr>
              <w:t>No re-dating prompt; preserve both sources.</w:t>
            </w:r>
          </w:p>
        </w:tc>
      </w:tr>
      <w:tr>
        <w:trPr>
          <w:cantSplit/>
        </w:trPr>
        <w:tc>
          <w:tcPr>
            <w:tcW w:type="dxa" w:w="792"/>
            <w:vAlign w:val="center"/>
            <w:shd w:fill="F7F9FC"/>
          </w:tcPr>
          <w:p>
            <w:pPr>
              <w:spacing w:after="0"/>
            </w:pPr>
            <w:r/>
            <w:r>
              <w:rPr>
                <w:rFonts w:ascii="Aptos" w:hAnsi="Aptos"/>
                <w:b w:val="0"/>
                <w:sz w:val="15"/>
              </w:rPr>
              <w:t>T04</w:t>
            </w:r>
          </w:p>
        </w:tc>
        <w:tc>
          <w:tcPr>
            <w:tcW w:type="dxa" w:w="4536"/>
            <w:vAlign w:val="center"/>
            <w:shd w:fill="F7F9FC"/>
          </w:tcPr>
          <w:p>
            <w:pPr>
              <w:spacing w:after="0"/>
            </w:pPr>
            <w:r/>
            <w:r>
              <w:rPr>
                <w:rFonts w:ascii="Aptos" w:hAnsi="Aptos"/>
                <w:b w:val="0"/>
                <w:sz w:val="15"/>
              </w:rPr>
              <w:t>Reliable LMP and 8-week ultrasound differ by 7 days</w:t>
            </w:r>
          </w:p>
        </w:tc>
        <w:tc>
          <w:tcPr>
            <w:tcW w:type="dxa" w:w="5040"/>
            <w:vAlign w:val="center"/>
            <w:shd w:fill="F7F9FC"/>
          </w:tcPr>
          <w:p>
            <w:pPr>
              <w:spacing w:after="0"/>
            </w:pPr>
            <w:r/>
            <w:r>
              <w:rPr>
                <w:rFonts w:ascii="Aptos" w:hAnsi="Aptos"/>
                <w:b w:val="0"/>
                <w:sz w:val="15"/>
              </w:rPr>
              <w:t>Review prompt using configured threshold; no automatic change.</w:t>
            </w:r>
          </w:p>
        </w:tc>
      </w:tr>
      <w:tr>
        <w:trPr>
          <w:cantSplit/>
        </w:trPr>
        <w:tc>
          <w:tcPr>
            <w:tcW w:type="dxa" w:w="792"/>
            <w:vAlign w:val="center"/>
          </w:tcPr>
          <w:p>
            <w:pPr>
              <w:spacing w:after="0"/>
            </w:pPr>
            <w:r/>
            <w:r>
              <w:rPr>
                <w:rFonts w:ascii="Aptos" w:hAnsi="Aptos"/>
                <w:b w:val="0"/>
                <w:sz w:val="15"/>
              </w:rPr>
              <w:t>T05</w:t>
            </w:r>
          </w:p>
        </w:tc>
        <w:tc>
          <w:tcPr>
            <w:tcW w:type="dxa" w:w="4536"/>
            <w:vAlign w:val="center"/>
          </w:tcPr>
          <w:p>
            <w:pPr>
              <w:spacing w:after="0"/>
            </w:pPr>
            <w:r/>
            <w:r>
              <w:rPr>
                <w:rFonts w:ascii="Aptos" w:hAnsi="Aptos"/>
                <w:b w:val="0"/>
                <w:sz w:val="15"/>
              </w:rPr>
              <w:t>Accepted 11-week CRL EDD; 30-week scan differs by 18 days</w:t>
            </w:r>
          </w:p>
        </w:tc>
        <w:tc>
          <w:tcPr>
            <w:tcW w:type="dxa" w:w="5040"/>
            <w:vAlign w:val="center"/>
          </w:tcPr>
          <w:p>
            <w:pPr>
              <w:spacing w:after="0"/>
            </w:pPr>
            <w:r/>
            <w:r>
              <w:rPr>
                <w:rFonts w:ascii="Aptos" w:hAnsi="Aptos"/>
                <w:b w:val="0"/>
                <w:sz w:val="15"/>
              </w:rPr>
              <w:t>Do not re-date; prompt review for possible growth/dating issue.</w:t>
            </w:r>
          </w:p>
        </w:tc>
      </w:tr>
      <w:tr>
        <w:trPr>
          <w:cantSplit/>
        </w:trPr>
        <w:tc>
          <w:tcPr>
            <w:tcW w:type="dxa" w:w="792"/>
            <w:vAlign w:val="center"/>
            <w:shd w:fill="F7F9FC"/>
          </w:tcPr>
          <w:p>
            <w:pPr>
              <w:spacing w:after="0"/>
            </w:pPr>
            <w:r/>
            <w:r>
              <w:rPr>
                <w:rFonts w:ascii="Aptos" w:hAnsi="Aptos"/>
                <w:b w:val="0"/>
                <w:sz w:val="15"/>
              </w:rPr>
              <w:t>T06</w:t>
            </w:r>
          </w:p>
        </w:tc>
        <w:tc>
          <w:tcPr>
            <w:tcW w:type="dxa" w:w="4536"/>
            <w:vAlign w:val="center"/>
            <w:shd w:fill="F7F9FC"/>
          </w:tcPr>
          <w:p>
            <w:pPr>
              <w:spacing w:after="0"/>
            </w:pPr>
            <w:r/>
            <w:r>
              <w:rPr>
                <w:rFonts w:ascii="Aptos" w:hAnsi="Aptos"/>
                <w:b w:val="0"/>
                <w:sz w:val="15"/>
              </w:rPr>
              <w:t>First scan at 31 weeks differs from LMP by 25 days</w:t>
            </w:r>
          </w:p>
        </w:tc>
        <w:tc>
          <w:tcPr>
            <w:tcW w:type="dxa" w:w="5040"/>
            <w:vAlign w:val="center"/>
            <w:shd w:fill="F7F9FC"/>
          </w:tcPr>
          <w:p>
            <w:pPr>
              <w:spacing w:after="0"/>
            </w:pPr>
            <w:r/>
            <w:r>
              <w:rPr>
                <w:rFonts w:ascii="Aptos" w:hAnsi="Aptos"/>
                <w:b w:val="0"/>
                <w:sz w:val="15"/>
              </w:rPr>
              <w:t>Low-precision dating warning and obstetric review.</w:t>
            </w:r>
          </w:p>
        </w:tc>
      </w:tr>
      <w:tr>
        <w:trPr>
          <w:cantSplit/>
        </w:trPr>
        <w:tc>
          <w:tcPr>
            <w:tcW w:type="dxa" w:w="792"/>
            <w:vAlign w:val="center"/>
          </w:tcPr>
          <w:p>
            <w:pPr>
              <w:spacing w:after="0"/>
            </w:pPr>
            <w:r/>
            <w:r>
              <w:rPr>
                <w:rFonts w:ascii="Aptos" w:hAnsi="Aptos"/>
                <w:b w:val="0"/>
                <w:sz w:val="15"/>
              </w:rPr>
              <w:t>T07</w:t>
            </w:r>
          </w:p>
        </w:tc>
        <w:tc>
          <w:tcPr>
            <w:tcW w:type="dxa" w:w="4536"/>
            <w:vAlign w:val="center"/>
          </w:tcPr>
          <w:p>
            <w:pPr>
              <w:spacing w:after="0"/>
            </w:pPr>
            <w:r/>
            <w:r>
              <w:rPr>
                <w:rFonts w:ascii="Aptos" w:hAnsi="Aptos"/>
                <w:b w:val="0"/>
                <w:sz w:val="15"/>
              </w:rPr>
              <w:t>No confirming ultrasound before 22+0 under ACOG profile</w:t>
            </w:r>
          </w:p>
        </w:tc>
        <w:tc>
          <w:tcPr>
            <w:tcW w:type="dxa" w:w="5040"/>
            <w:vAlign w:val="center"/>
          </w:tcPr>
          <w:p>
            <w:pPr>
              <w:spacing w:after="0"/>
            </w:pPr>
            <w:r/>
            <w:r>
              <w:rPr>
                <w:rFonts w:ascii="Aptos" w:hAnsi="Aptos"/>
                <w:b w:val="0"/>
                <w:sz w:val="15"/>
              </w:rPr>
              <w:t>Flag suboptimally dated; best estimate remains visible.</w:t>
            </w:r>
          </w:p>
        </w:tc>
      </w:tr>
      <w:tr>
        <w:trPr>
          <w:cantSplit/>
        </w:trPr>
        <w:tc>
          <w:tcPr>
            <w:tcW w:type="dxa" w:w="792"/>
            <w:vAlign w:val="center"/>
            <w:shd w:fill="F7F9FC"/>
          </w:tcPr>
          <w:p>
            <w:pPr>
              <w:spacing w:after="0"/>
            </w:pPr>
            <w:r/>
            <w:r>
              <w:rPr>
                <w:rFonts w:ascii="Aptos" w:hAnsi="Aptos"/>
                <w:b w:val="0"/>
                <w:sz w:val="15"/>
              </w:rPr>
              <w:t>T08</w:t>
            </w:r>
          </w:p>
        </w:tc>
        <w:tc>
          <w:tcPr>
            <w:tcW w:type="dxa" w:w="4536"/>
            <w:vAlign w:val="center"/>
            <w:shd w:fill="F7F9FC"/>
          </w:tcPr>
          <w:p>
            <w:pPr>
              <w:spacing w:after="0"/>
            </w:pPr>
            <w:r/>
            <w:r>
              <w:rPr>
                <w:rFonts w:ascii="Aptos" w:hAnsi="Aptos"/>
                <w:b w:val="0"/>
                <w:sz w:val="15"/>
              </w:rPr>
              <w:t>EDD edited directly by unauthorized account</w:t>
            </w:r>
          </w:p>
        </w:tc>
        <w:tc>
          <w:tcPr>
            <w:tcW w:type="dxa" w:w="5040"/>
            <w:vAlign w:val="center"/>
            <w:shd w:fill="F7F9FC"/>
          </w:tcPr>
          <w:p>
            <w:pPr>
              <w:spacing w:after="0"/>
            </w:pPr>
            <w:r/>
            <w:r>
              <w:rPr>
                <w:rFonts w:ascii="Aptos" w:hAnsi="Aptos"/>
                <w:b w:val="0"/>
                <w:sz w:val="15"/>
              </w:rPr>
              <w:t>Block update and log attempted change.</w:t>
            </w:r>
          </w:p>
        </w:tc>
      </w:tr>
      <w:tr>
        <w:trPr>
          <w:cantSplit/>
        </w:trPr>
        <w:tc>
          <w:tcPr>
            <w:tcW w:type="dxa" w:w="792"/>
            <w:vAlign w:val="center"/>
          </w:tcPr>
          <w:p>
            <w:pPr>
              <w:spacing w:after="0"/>
            </w:pPr>
            <w:r/>
            <w:r>
              <w:rPr>
                <w:rFonts w:ascii="Aptos" w:hAnsi="Aptos"/>
                <w:b w:val="0"/>
                <w:sz w:val="15"/>
              </w:rPr>
              <w:t>T09</w:t>
            </w:r>
          </w:p>
        </w:tc>
        <w:tc>
          <w:tcPr>
            <w:tcW w:type="dxa" w:w="4536"/>
            <w:vAlign w:val="center"/>
          </w:tcPr>
          <w:p>
            <w:pPr>
              <w:spacing w:after="0"/>
            </w:pPr>
            <w:r/>
            <w:r>
              <w:rPr>
                <w:rFonts w:ascii="Aptos" w:hAnsi="Aptos"/>
                <w:b w:val="0"/>
                <w:sz w:val="15"/>
              </w:rPr>
              <w:t>Authorized re-dating</w:t>
            </w:r>
          </w:p>
        </w:tc>
        <w:tc>
          <w:tcPr>
            <w:tcW w:type="dxa" w:w="5040"/>
            <w:vAlign w:val="center"/>
          </w:tcPr>
          <w:p>
            <w:pPr>
              <w:spacing w:after="0"/>
            </w:pPr>
            <w:r/>
            <w:r>
              <w:rPr>
                <w:rFonts w:ascii="Aptos" w:hAnsi="Aptos"/>
                <w:b w:val="0"/>
                <w:sz w:val="15"/>
              </w:rPr>
              <w:t>Require rationale, evidence source, old/new EDD, timestamp, and version increment.</w:t>
            </w:r>
          </w:p>
        </w:tc>
      </w:tr>
      <w:tr>
        <w:trPr>
          <w:cantSplit/>
        </w:trPr>
        <w:tc>
          <w:tcPr>
            <w:tcW w:type="dxa" w:w="792"/>
            <w:vAlign w:val="center"/>
            <w:shd w:fill="F7F9FC"/>
          </w:tcPr>
          <w:p>
            <w:pPr>
              <w:spacing w:after="0"/>
            </w:pPr>
            <w:r/>
            <w:r>
              <w:rPr>
                <w:rFonts w:ascii="Aptos" w:hAnsi="Aptos"/>
                <w:b w:val="0"/>
                <w:sz w:val="15"/>
              </w:rPr>
              <w:t>T10</w:t>
            </w:r>
          </w:p>
        </w:tc>
        <w:tc>
          <w:tcPr>
            <w:tcW w:type="dxa" w:w="4536"/>
            <w:vAlign w:val="center"/>
            <w:shd w:fill="F7F9FC"/>
          </w:tcPr>
          <w:p>
            <w:pPr>
              <w:spacing w:after="0"/>
            </w:pPr>
            <w:r/>
            <w:r>
              <w:rPr>
                <w:rFonts w:ascii="Aptos" w:hAnsi="Aptos"/>
                <w:b w:val="0"/>
                <w:sz w:val="15"/>
              </w:rPr>
              <w:t>ART pregnancy with embryo-transfer documentation</w:t>
            </w:r>
          </w:p>
        </w:tc>
        <w:tc>
          <w:tcPr>
            <w:tcW w:type="dxa" w:w="5040"/>
            <w:vAlign w:val="center"/>
            <w:shd w:fill="F7F9FC"/>
          </w:tcPr>
          <w:p>
            <w:pPr>
              <w:spacing w:after="0"/>
            </w:pPr>
            <w:r/>
            <w:r>
              <w:rPr>
                <w:rFonts w:ascii="Aptos" w:hAnsi="Aptos"/>
                <w:b w:val="0"/>
                <w:sz w:val="15"/>
              </w:rPr>
              <w:t>Use ART-derived estimate; do not let LMP override it.</w:t>
            </w:r>
          </w:p>
        </w:tc>
      </w:tr>
      <w:tr>
        <w:trPr>
          <w:cantSplit/>
        </w:trPr>
        <w:tc>
          <w:tcPr>
            <w:tcW w:type="dxa" w:w="792"/>
            <w:vAlign w:val="center"/>
          </w:tcPr>
          <w:p>
            <w:pPr>
              <w:spacing w:after="0"/>
            </w:pPr>
            <w:r/>
            <w:r>
              <w:rPr>
                <w:rFonts w:ascii="Aptos" w:hAnsi="Aptos"/>
                <w:b w:val="0"/>
                <w:sz w:val="15"/>
              </w:rPr>
              <w:t>T11</w:t>
            </w:r>
          </w:p>
        </w:tc>
        <w:tc>
          <w:tcPr>
            <w:tcW w:type="dxa" w:w="4536"/>
            <w:vAlign w:val="center"/>
          </w:tcPr>
          <w:p>
            <w:pPr>
              <w:spacing w:after="0"/>
            </w:pPr>
            <w:r/>
            <w:r>
              <w:rPr>
                <w:rFonts w:ascii="Aptos" w:hAnsi="Aptos"/>
                <w:b w:val="0"/>
                <w:sz w:val="15"/>
              </w:rPr>
              <w:t>Manual GA at visit conflicts with accepted EDD</w:t>
            </w:r>
          </w:p>
        </w:tc>
        <w:tc>
          <w:tcPr>
            <w:tcW w:type="dxa" w:w="5040"/>
            <w:vAlign w:val="center"/>
          </w:tcPr>
          <w:p>
            <w:pPr>
              <w:spacing w:after="0"/>
            </w:pPr>
            <w:r/>
            <w:r>
              <w:rPr>
                <w:rFonts w:ascii="Aptos" w:hAnsi="Aptos"/>
                <w:b w:val="0"/>
                <w:sz w:val="15"/>
              </w:rPr>
              <w:t>Show calculated GA; require reconciliation before finalization.</w:t>
            </w:r>
          </w:p>
        </w:tc>
      </w:tr>
      <w:tr>
        <w:trPr>
          <w:cantSplit/>
        </w:trPr>
        <w:tc>
          <w:tcPr>
            <w:tcW w:type="dxa" w:w="792"/>
            <w:vAlign w:val="center"/>
            <w:shd w:fill="F7F9FC"/>
          </w:tcPr>
          <w:p>
            <w:pPr>
              <w:spacing w:after="0"/>
            </w:pPr>
            <w:r/>
            <w:r>
              <w:rPr>
                <w:rFonts w:ascii="Aptos" w:hAnsi="Aptos"/>
                <w:b w:val="0"/>
                <w:sz w:val="15"/>
              </w:rPr>
              <w:t>T12</w:t>
            </w:r>
          </w:p>
        </w:tc>
        <w:tc>
          <w:tcPr>
            <w:tcW w:type="dxa" w:w="4536"/>
            <w:vAlign w:val="center"/>
            <w:shd w:fill="F7F9FC"/>
          </w:tcPr>
          <w:p>
            <w:pPr>
              <w:spacing w:after="0"/>
            </w:pPr>
            <w:r/>
            <w:r>
              <w:rPr>
                <w:rFonts w:ascii="Aptos" w:hAnsi="Aptos"/>
                <w:b w:val="0"/>
                <w:sz w:val="15"/>
              </w:rPr>
              <w:t>Uncertain dating plus bleeding/severe pain</w:t>
            </w:r>
          </w:p>
        </w:tc>
        <w:tc>
          <w:tcPr>
            <w:tcW w:type="dxa" w:w="5040"/>
            <w:vAlign w:val="center"/>
            <w:shd w:fill="F7F9FC"/>
          </w:tcPr>
          <w:p>
            <w:pPr>
              <w:spacing w:after="0"/>
            </w:pPr>
            <w:r/>
            <w:r>
              <w:rPr>
                <w:rFonts w:ascii="Aptos" w:hAnsi="Aptos"/>
                <w:b w:val="0"/>
                <w:sz w:val="15"/>
              </w:rPr>
              <w:t>Emergency symptom pathway overrides ordinary dating review.</w:t>
            </w:r>
          </w:p>
        </w:tc>
      </w:tr>
      <w:tr>
        <w:trPr>
          <w:cantSplit/>
        </w:trPr>
        <w:tc>
          <w:tcPr>
            <w:tcW w:type="dxa" w:w="792"/>
            <w:vAlign w:val="center"/>
          </w:tcPr>
          <w:p>
            <w:pPr>
              <w:spacing w:after="0"/>
            </w:pPr>
            <w:r/>
            <w:r>
              <w:rPr>
                <w:rFonts w:ascii="Aptos" w:hAnsi="Aptos"/>
                <w:b w:val="0"/>
                <w:sz w:val="15"/>
              </w:rPr>
              <w:t>T13</w:t>
            </w:r>
          </w:p>
        </w:tc>
        <w:tc>
          <w:tcPr>
            <w:tcW w:type="dxa" w:w="4536"/>
            <w:vAlign w:val="center"/>
          </w:tcPr>
          <w:p>
            <w:pPr>
              <w:spacing w:after="0"/>
            </w:pPr>
            <w:r/>
            <w:r>
              <w:rPr>
                <w:rFonts w:ascii="Aptos" w:hAnsi="Aptos"/>
                <w:b w:val="0"/>
                <w:sz w:val="15"/>
              </w:rPr>
              <w:t>Legacy patient has LMP and EDD but no reliability/source</w:t>
            </w:r>
          </w:p>
        </w:tc>
        <w:tc>
          <w:tcPr>
            <w:tcW w:type="dxa" w:w="5040"/>
            <w:vAlign w:val="center"/>
          </w:tcPr>
          <w:p>
            <w:pPr>
              <w:spacing w:after="0"/>
            </w:pPr>
            <w:r/>
            <w:r>
              <w:rPr>
                <w:rFonts w:ascii="Aptos" w:hAnsi="Aptos"/>
                <w:b w:val="0"/>
                <w:sz w:val="15"/>
              </w:rPr>
              <w:t>Migrate as legacy working estimate, not confirmed.</w:t>
            </w:r>
          </w:p>
        </w:tc>
      </w:tr>
      <w:tr>
        <w:trPr>
          <w:cantSplit/>
        </w:trPr>
        <w:tc>
          <w:tcPr>
            <w:tcW w:type="dxa" w:w="792"/>
            <w:vAlign w:val="center"/>
            <w:shd w:fill="F7F9FC"/>
          </w:tcPr>
          <w:p>
            <w:pPr>
              <w:spacing w:after="0"/>
            </w:pPr>
            <w:r/>
            <w:r>
              <w:rPr>
                <w:rFonts w:ascii="Aptos" w:hAnsi="Aptos"/>
                <w:b w:val="0"/>
                <w:sz w:val="15"/>
              </w:rPr>
              <w:t>T14</w:t>
            </w:r>
          </w:p>
        </w:tc>
        <w:tc>
          <w:tcPr>
            <w:tcW w:type="dxa" w:w="4536"/>
            <w:vAlign w:val="center"/>
            <w:shd w:fill="F7F9FC"/>
          </w:tcPr>
          <w:p>
            <w:pPr>
              <w:spacing w:after="0"/>
            </w:pPr>
            <w:r/>
            <w:r>
              <w:rPr>
                <w:rFonts w:ascii="Aptos" w:hAnsi="Aptos"/>
                <w:b w:val="0"/>
                <w:sz w:val="15"/>
              </w:rPr>
              <w:t>EDD change affects existing visit GA values</w:t>
            </w:r>
          </w:p>
        </w:tc>
        <w:tc>
          <w:tcPr>
            <w:tcW w:type="dxa" w:w="5040"/>
            <w:vAlign w:val="center"/>
            <w:shd w:fill="F7F9FC"/>
          </w:tcPr>
          <w:p>
            <w:pPr>
              <w:spacing w:after="0"/>
            </w:pPr>
            <w:r/>
            <w:r>
              <w:rPr>
                <w:rFonts w:ascii="Aptos" w:hAnsi="Aptos"/>
                <w:b w:val="0"/>
                <w:sz w:val="15"/>
              </w:rPr>
              <w:t>Preserve historical recorded values and recompute derived display values under a versioned rule.</w:t>
            </w:r>
          </w:p>
        </w:tc>
      </w:tr>
      <w:tr>
        <w:trPr>
          <w:cantSplit/>
        </w:trPr>
        <w:tc>
          <w:tcPr>
            <w:tcW w:type="dxa" w:w="792"/>
            <w:vAlign w:val="center"/>
          </w:tcPr>
          <w:p>
            <w:pPr>
              <w:spacing w:after="0"/>
            </w:pPr>
            <w:r/>
            <w:r>
              <w:rPr>
                <w:rFonts w:ascii="Aptos" w:hAnsi="Aptos"/>
                <w:b w:val="0"/>
                <w:sz w:val="15"/>
              </w:rPr>
              <w:t>T15</w:t>
            </w:r>
          </w:p>
        </w:tc>
        <w:tc>
          <w:tcPr>
            <w:tcW w:type="dxa" w:w="4536"/>
            <w:vAlign w:val="center"/>
          </w:tcPr>
          <w:p>
            <w:pPr>
              <w:spacing w:after="0"/>
            </w:pPr>
            <w:r/>
            <w:r>
              <w:rPr>
                <w:rFonts w:ascii="Aptos" w:hAnsi="Aptos"/>
                <w:b w:val="0"/>
                <w:sz w:val="15"/>
              </w:rPr>
              <w:t>Current date passes EDD with uncertain dating</w:t>
            </w:r>
          </w:p>
        </w:tc>
        <w:tc>
          <w:tcPr>
            <w:tcW w:type="dxa" w:w="5040"/>
            <w:vAlign w:val="center"/>
          </w:tcPr>
          <w:p>
            <w:pPr>
              <w:spacing w:after="0"/>
            </w:pPr>
            <w:r/>
            <w:r>
              <w:rPr>
                <w:rFonts w:ascii="Aptos" w:hAnsi="Aptos"/>
                <w:b w:val="0"/>
                <w:sz w:val="15"/>
              </w:rPr>
              <w:t>Prompt obstetric review; do not autonomously recommend induction.</w:t>
            </w:r>
          </w:p>
        </w:tc>
      </w:tr>
    </w:tbl>
    <w:p/>
    <w:p>
      <w:pPr>
        <w:pStyle w:val="Heading1"/>
      </w:pPr>
      <w:r>
        <w:t>16. Implementation Requirements</w:t>
      </w:r>
    </w:p>
    <w:p>
      <w:pPr>
        <w:pStyle w:val="ListBullet"/>
        <w:spacing w:after="50"/>
      </w:pPr>
      <w:r>
        <w:t>Use a single server-side dating service rather than duplicating calculations in controllers and views.</w:t>
      </w:r>
    </w:p>
    <w:p>
      <w:pPr>
        <w:pStyle w:val="ListBullet"/>
        <w:spacing w:after="50"/>
      </w:pPr>
      <w:r>
        <w:t>Store dates as calendar dates and calculate GA using date-difference logic tested for leap years and timezone boundaries.</w:t>
      </w:r>
    </w:p>
    <w:p>
      <w:pPr>
        <w:pStyle w:val="ListBullet"/>
        <w:spacing w:after="50"/>
      </w:pPr>
      <w:r>
        <w:t>Represent GA as completed weeks plus days; do not use decimal weeks in the clinical interface.</w:t>
      </w:r>
    </w:p>
    <w:p>
      <w:pPr>
        <w:pStyle w:val="ListBullet"/>
        <w:spacing w:after="50"/>
      </w:pPr>
      <w:r>
        <w:t>Make guideline thresholds configurable and versioned.</w:t>
      </w:r>
    </w:p>
    <w:p>
      <w:pPr>
        <w:pStyle w:val="ListBullet"/>
        <w:spacing w:after="50"/>
      </w:pPr>
      <w:r>
        <w:t>Separate a system-generated proposal from clinician acceptance.</w:t>
      </w:r>
    </w:p>
    <w:p>
      <w:pPr>
        <w:pStyle w:val="ListBullet"/>
        <w:spacing w:after="50"/>
      </w:pPr>
      <w:r>
        <w:t>Use role-based authorization for EDD confirmation and change.</w:t>
      </w:r>
    </w:p>
    <w:p>
      <w:pPr>
        <w:pStyle w:val="ListBullet"/>
        <w:spacing w:after="50"/>
      </w:pPr>
      <w:r>
        <w:t>Create immutable audit events for every accepted EDD version.</w:t>
      </w:r>
    </w:p>
    <w:p>
      <w:pPr>
        <w:pStyle w:val="ListBullet"/>
        <w:spacing w:after="50"/>
      </w:pPr>
      <w:r>
        <w:t>Recalculate the displayed current GA dynamically from the accepted estimate and the encounter date.</w:t>
      </w:r>
    </w:p>
    <w:p>
      <w:pPr>
        <w:pStyle w:val="ListBullet"/>
        <w:spacing w:after="50"/>
      </w:pPr>
      <w:r>
        <w:t>Preserve source documents or references to ultrasound reports.</w:t>
      </w:r>
    </w:p>
    <w:p>
      <w:pPr>
        <w:pStyle w:val="ListBullet"/>
        <w:spacing w:after="50"/>
      </w:pPr>
      <w:r>
        <w:t>Add automated consistency checks among LMP, EDD, ultrasound GA/date, and encounter GA.</w:t>
      </w:r>
    </w:p>
    <w:p>
      <w:pPr>
        <w:pStyle w:val="ListBullet"/>
        <w:spacing w:after="50"/>
      </w:pPr>
      <w:r>
        <w:t>Ensure downstream rule engines receive both gestational age and dating confidence.</w:t>
      </w:r>
    </w:p>
    <w:p>
      <w:pPr>
        <w:pStyle w:val="ListBullet"/>
        <w:spacing w:after="50"/>
      </w:pPr>
      <w:r>
        <w:t>Test all calculations against a trusted independent calculator and boundary dates.</w:t>
      </w:r>
    </w:p>
    <w:p>
      <w:pPr>
        <w:pStyle w:val="Heading1"/>
      </w:pPr>
      <w:r>
        <w:t>17. Final Knowledge-Base Decision</w:t>
      </w:r>
    </w:p>
    <w:tbl>
      <w:tblPr>
        <w:tblW w:type="auto" w:w="0"/>
        <w:jc w:val="center"/>
        <w:tblLook w:firstColumn="1" w:firstRow="1" w:lastColumn="0" w:lastRow="0" w:noHBand="0" w:noVBand="1" w:val="04A0"/>
      </w:tblPr>
      <w:tblGrid>
        <w:gridCol w:w="9994"/>
      </w:tblGrid>
      <w:tr>
        <w:trPr>
          <w:cantSplit/>
        </w:trPr>
        <w:tc>
          <w:tcPr>
            <w:tcW w:type="dxa" w:w="9994"/>
            <w:shd w:fill="E2F0D9"/>
            <w:tcBorders>
              <w:top w:val="single" w:sz="8" w:color="548235"/>
              <w:left w:val="single" w:sz="8" w:color="548235"/>
              <w:bottom w:val="single" w:sz="8" w:color="548235"/>
              <w:right w:val="single" w:sz="8" w:color="548235"/>
            </w:tcBorders>
          </w:tcPr>
          <w:p>
            <w:pPr>
              <w:pStyle w:val="Callout"/>
            </w:pPr>
            <w:r>
              <w:rPr>
                <w:b/>
                <w:color w:val="548235"/>
              </w:rPr>
              <w:t xml:space="preserve">Include gestational age, LMP, and EDD in the CDSS—but redesign them. </w:t>
            </w:r>
            <w:r>
              <w:t>Gestational age is essential, yet it must be represented as a clinically accepted, source-linked, confidence-rated, versioned estimate. LMP is one evidence source, not guaranteed truth. Early ultrasound confirmation is preferred. Later ultrasound must not silently reset the pregnancy clock. Uncertain dating modifies confidence and management prompts rather than functioning as a standalone diagnosis or automatic risk category.</w:t>
            </w:r>
          </w:p>
        </w:tc>
      </w:tr>
    </w:tbl>
    <w:p/>
    <w:p>
      <w:r>
        <w:t>This approach allows later parts of the knowledge base to use gestational age safely. Fetal heart activity, fetal movement, fundic height, presentation, ultrasound findings, warning symptoms, and birth preparedness can then be interpreted against a transparent estimate whose limitations are visible to the midwife and preserved for referral.</w:t>
      </w:r>
    </w:p>
    <w:p>
      <w:pPr>
        <w:pStyle w:val="Heading1"/>
      </w:pPr>
      <w:r>
        <w:t>18. Evidence Traceability</w:t>
      </w:r>
    </w:p>
    <w:tbl>
      <w:tblPr>
        <w:tblStyle w:val="TableGrid"/>
        <w:tblW w:type="auto" w:w="0"/>
        <w:jc w:val="center"/>
        <w:tblLook w:firstColumn="1" w:firstRow="1" w:lastColumn="0" w:lastRow="0" w:noHBand="0" w:noVBand="1" w:val="04A0"/>
      </w:tblPr>
      <w:tblGrid>
        <w:gridCol w:w="4997"/>
        <w:gridCol w:w="4997"/>
      </w:tblGrid>
      <w:tr>
        <w:trPr>
          <w:cantSplit/>
        </w:trPr>
        <w:tc>
          <w:tcPr>
            <w:tcW w:type="dxa" w:w="5472"/>
            <w:vAlign w:val="center"/>
            <w:shd w:fill="17365D"/>
          </w:tcPr>
          <w:p>
            <w:pPr>
              <w:spacing w:after="0"/>
            </w:pPr>
            <w:r/>
            <w:r>
              <w:rPr>
                <w:rFonts w:ascii="Aptos" w:hAnsi="Aptos"/>
                <w:b/>
                <w:color w:val="FFFFFF"/>
                <w:sz w:val="16"/>
              </w:rPr>
              <w:t>Knowledge claim</w:t>
            </w:r>
          </w:p>
        </w:tc>
        <w:tc>
          <w:tcPr>
            <w:tcW w:type="dxa" w:w="4896"/>
            <w:vAlign w:val="center"/>
            <w:shd w:fill="17365D"/>
          </w:tcPr>
          <w:p>
            <w:pPr>
              <w:spacing w:after="0"/>
            </w:pPr>
            <w:r/>
            <w:r>
              <w:rPr>
                <w:rFonts w:ascii="Aptos" w:hAnsi="Aptos"/>
                <w:b/>
                <w:color w:val="FFFFFF"/>
                <w:sz w:val="16"/>
              </w:rPr>
              <w:t>Primary supporting source</w:t>
            </w:r>
          </w:p>
        </w:tc>
      </w:tr>
      <w:tr>
        <w:trPr>
          <w:cantSplit/>
        </w:trPr>
        <w:tc>
          <w:tcPr>
            <w:tcW w:type="dxa" w:w="5472"/>
            <w:vAlign w:val="center"/>
          </w:tcPr>
          <w:p>
            <w:pPr>
              <w:spacing w:after="0"/>
            </w:pPr>
            <w:r/>
            <w:r>
              <w:rPr>
                <w:rFonts w:ascii="Aptos" w:hAnsi="Aptos"/>
                <w:b w:val="0"/>
                <w:sz w:val="16"/>
              </w:rPr>
              <w:t>One ultrasound before 24 weeks should be available in routine ANC</w:t>
            </w:r>
          </w:p>
        </w:tc>
        <w:tc>
          <w:tcPr>
            <w:tcW w:type="dxa" w:w="4896"/>
            <w:vAlign w:val="center"/>
          </w:tcPr>
          <w:p>
            <w:pPr>
              <w:spacing w:after="0"/>
            </w:pPr>
            <w:r/>
            <w:r>
              <w:rPr>
                <w:rFonts w:ascii="Aptos" w:hAnsi="Aptos"/>
                <w:b w:val="0"/>
                <w:sz w:val="16"/>
              </w:rPr>
              <w:t>WHO 2022 ultrasound recommendation update.</w:t>
            </w:r>
          </w:p>
        </w:tc>
      </w:tr>
      <w:tr>
        <w:trPr>
          <w:cantSplit/>
        </w:trPr>
        <w:tc>
          <w:tcPr>
            <w:tcW w:type="dxa" w:w="5472"/>
            <w:vAlign w:val="center"/>
            <w:shd w:fill="F7F9FC"/>
          </w:tcPr>
          <w:p>
            <w:pPr>
              <w:spacing w:after="0"/>
            </w:pPr>
            <w:r/>
            <w:r>
              <w:rPr>
                <w:rFonts w:ascii="Aptos" w:hAnsi="Aptos"/>
                <w:b w:val="0"/>
                <w:sz w:val="16"/>
              </w:rPr>
              <w:t>Dating scan around 11+2 to 14+1 weeks</w:t>
            </w:r>
          </w:p>
        </w:tc>
        <w:tc>
          <w:tcPr>
            <w:tcW w:type="dxa" w:w="4896"/>
            <w:vAlign w:val="center"/>
            <w:shd w:fill="F7F9FC"/>
          </w:tcPr>
          <w:p>
            <w:pPr>
              <w:spacing w:after="0"/>
            </w:pPr>
            <w:r/>
            <w:r>
              <w:rPr>
                <w:rFonts w:ascii="Aptos" w:hAnsi="Aptos"/>
                <w:b w:val="0"/>
                <w:sz w:val="16"/>
              </w:rPr>
              <w:t>NICE NG201 antenatal care recommendations.</w:t>
            </w:r>
          </w:p>
        </w:tc>
      </w:tr>
      <w:tr>
        <w:trPr>
          <w:cantSplit/>
        </w:trPr>
        <w:tc>
          <w:tcPr>
            <w:tcW w:type="dxa" w:w="5472"/>
            <w:vAlign w:val="center"/>
          </w:tcPr>
          <w:p>
            <w:pPr>
              <w:spacing w:after="0"/>
            </w:pPr>
            <w:r/>
            <w:r>
              <w:rPr>
                <w:rFonts w:ascii="Aptos" w:hAnsi="Aptos"/>
                <w:b w:val="0"/>
                <w:sz w:val="16"/>
              </w:rPr>
              <w:t>First-trimester ultrasound is most accurate</w:t>
            </w:r>
          </w:p>
        </w:tc>
        <w:tc>
          <w:tcPr>
            <w:tcW w:type="dxa" w:w="4896"/>
            <w:vAlign w:val="center"/>
          </w:tcPr>
          <w:p>
            <w:pPr>
              <w:spacing w:after="0"/>
            </w:pPr>
            <w:r/>
            <w:r>
              <w:rPr>
                <w:rFonts w:ascii="Aptos" w:hAnsi="Aptos"/>
                <w:b w:val="0"/>
                <w:sz w:val="16"/>
              </w:rPr>
              <w:t>ACOG Committee Opinion No. 700.</w:t>
            </w:r>
          </w:p>
        </w:tc>
      </w:tr>
      <w:tr>
        <w:trPr>
          <w:cantSplit/>
        </w:trPr>
        <w:tc>
          <w:tcPr>
            <w:tcW w:type="dxa" w:w="5472"/>
            <w:vAlign w:val="center"/>
            <w:shd w:fill="F7F9FC"/>
          </w:tcPr>
          <w:p>
            <w:pPr>
              <w:spacing w:after="0"/>
            </w:pPr>
            <w:r/>
            <w:r>
              <w:rPr>
                <w:rFonts w:ascii="Aptos" w:hAnsi="Aptos"/>
                <w:b w:val="0"/>
                <w:sz w:val="16"/>
              </w:rPr>
              <w:t>EDD should be determined early, documented, and changed rarely</w:t>
            </w:r>
          </w:p>
        </w:tc>
        <w:tc>
          <w:tcPr>
            <w:tcW w:type="dxa" w:w="4896"/>
            <w:vAlign w:val="center"/>
            <w:shd w:fill="F7F9FC"/>
          </w:tcPr>
          <w:p>
            <w:pPr>
              <w:spacing w:after="0"/>
            </w:pPr>
            <w:r/>
            <w:r>
              <w:rPr>
                <w:rFonts w:ascii="Aptos" w:hAnsi="Aptos"/>
                <w:b w:val="0"/>
                <w:sz w:val="16"/>
              </w:rPr>
              <w:t>ACOG Committee Opinion No. 700.</w:t>
            </w:r>
          </w:p>
        </w:tc>
      </w:tr>
      <w:tr>
        <w:trPr>
          <w:cantSplit/>
        </w:trPr>
        <w:tc>
          <w:tcPr>
            <w:tcW w:type="dxa" w:w="5472"/>
            <w:vAlign w:val="center"/>
          </w:tcPr>
          <w:p>
            <w:pPr>
              <w:spacing w:after="0"/>
            </w:pPr>
            <w:r/>
            <w:r>
              <w:rPr>
                <w:rFonts w:ascii="Aptos" w:hAnsi="Aptos"/>
                <w:b w:val="0"/>
                <w:sz w:val="16"/>
              </w:rPr>
              <w:t>No confirming/revising ultrasound before 22+0 is suboptimally dated under ACOG</w:t>
            </w:r>
          </w:p>
        </w:tc>
        <w:tc>
          <w:tcPr>
            <w:tcW w:type="dxa" w:w="4896"/>
            <w:vAlign w:val="center"/>
          </w:tcPr>
          <w:p>
            <w:pPr>
              <w:spacing w:after="0"/>
            </w:pPr>
            <w:r/>
            <w:r>
              <w:rPr>
                <w:rFonts w:ascii="Aptos" w:hAnsi="Aptos"/>
                <w:b w:val="0"/>
                <w:sz w:val="16"/>
              </w:rPr>
              <w:t>ACOG Committee Opinions Nos. 700 and 688.</w:t>
            </w:r>
          </w:p>
        </w:tc>
      </w:tr>
      <w:tr>
        <w:trPr>
          <w:cantSplit/>
        </w:trPr>
        <w:tc>
          <w:tcPr>
            <w:tcW w:type="dxa" w:w="5472"/>
            <w:vAlign w:val="center"/>
            <w:shd w:fill="F7F9FC"/>
          </w:tcPr>
          <w:p>
            <w:pPr>
              <w:spacing w:after="0"/>
            </w:pPr>
            <w:r/>
            <w:r>
              <w:rPr>
                <w:rFonts w:ascii="Aptos" w:hAnsi="Aptos"/>
                <w:b w:val="0"/>
                <w:sz w:val="16"/>
              </w:rPr>
              <w:t>Digital system should separate data, workflow, decision logic, and functional requirements</w:t>
            </w:r>
          </w:p>
        </w:tc>
        <w:tc>
          <w:tcPr>
            <w:tcW w:type="dxa" w:w="4896"/>
            <w:vAlign w:val="center"/>
            <w:shd w:fill="F7F9FC"/>
          </w:tcPr>
          <w:p>
            <w:pPr>
              <w:spacing w:after="0"/>
            </w:pPr>
            <w:r/>
            <w:r>
              <w:rPr>
                <w:rFonts w:ascii="Aptos" w:hAnsi="Aptos"/>
                <w:b w:val="0"/>
                <w:sz w:val="16"/>
              </w:rPr>
              <w:t>WHO Digital Adaptation Kit for Antenatal Care.</w:t>
            </w:r>
          </w:p>
        </w:tc>
      </w:tr>
      <w:tr>
        <w:trPr>
          <w:cantSplit/>
        </w:trPr>
        <w:tc>
          <w:tcPr>
            <w:tcW w:type="dxa" w:w="5472"/>
            <w:vAlign w:val="center"/>
          </w:tcPr>
          <w:p>
            <w:pPr>
              <w:spacing w:after="0"/>
            </w:pPr>
            <w:r/>
            <w:r>
              <w:rPr>
                <w:rFonts w:ascii="Aptos" w:hAnsi="Aptos"/>
                <w:b w:val="0"/>
                <w:sz w:val="16"/>
              </w:rPr>
              <w:t>Later ultrasound dating is less accurate and must be interpreted cautiously</w:t>
            </w:r>
          </w:p>
        </w:tc>
        <w:tc>
          <w:tcPr>
            <w:tcW w:type="dxa" w:w="4896"/>
            <w:vAlign w:val="center"/>
          </w:tcPr>
          <w:p>
            <w:pPr>
              <w:spacing w:after="0"/>
            </w:pPr>
            <w:r/>
            <w:r>
              <w:rPr>
                <w:rFonts w:ascii="Aptos" w:hAnsi="Aptos"/>
                <w:b w:val="0"/>
                <w:sz w:val="16"/>
              </w:rPr>
              <w:t>ACOG Committee Opinion No. 700.</w:t>
            </w:r>
          </w:p>
        </w:tc>
      </w:tr>
      <w:tr>
        <w:trPr>
          <w:cantSplit/>
        </w:trPr>
        <w:tc>
          <w:tcPr>
            <w:tcW w:type="dxa" w:w="5472"/>
            <w:vAlign w:val="center"/>
            <w:shd w:fill="F7F9FC"/>
          </w:tcPr>
          <w:p>
            <w:pPr>
              <w:spacing w:after="0"/>
            </w:pPr>
            <w:r/>
            <w:r>
              <w:rPr>
                <w:rFonts w:ascii="Aptos" w:hAnsi="Aptos"/>
                <w:b w:val="0"/>
                <w:sz w:val="16"/>
              </w:rPr>
              <w:t>A CDSS should expose uncertainty and require authorized review</w:t>
            </w:r>
          </w:p>
        </w:tc>
        <w:tc>
          <w:tcPr>
            <w:tcW w:type="dxa" w:w="4896"/>
            <w:vAlign w:val="center"/>
            <w:shd w:fill="F7F9FC"/>
          </w:tcPr>
          <w:p>
            <w:pPr>
              <w:spacing w:after="0"/>
            </w:pPr>
            <w:r/>
            <w:r>
              <w:rPr>
                <w:rFonts w:ascii="Aptos" w:hAnsi="Aptos"/>
                <w:b w:val="0"/>
                <w:sz w:val="16"/>
              </w:rPr>
              <w:t>Safety interpretation derived from the above guidance and the project’s non-diagnostic scope.</w:t>
            </w:r>
          </w:p>
        </w:tc>
      </w:tr>
    </w:tbl>
    <w:p/>
    <w:p>
      <w:pPr>
        <w:pStyle w:val="Heading1"/>
      </w:pPr>
      <w:r>
        <w:t>References</w:t>
      </w:r>
    </w:p>
    <w:p>
      <w:pPr>
        <w:spacing w:after="30" w:line="240" w:lineRule="auto"/>
        <w:ind w:left="259" w:hanging="259"/>
      </w:pPr>
      <w:r>
        <w:rPr>
          <w:sz w:val="16"/>
        </w:rPr>
        <w:t>1. World Health Organization. Maternal and fetal assessment update: imaging ultrasound before 24 weeks of pregnancy. WHO antenatal care recommendations for a positive pregnancy experience. Geneva: WHO; 2022.</w:t>
      </w:r>
    </w:p>
    <w:p>
      <w:pPr>
        <w:spacing w:after="30" w:line="240" w:lineRule="auto"/>
        <w:ind w:left="259" w:hanging="259"/>
      </w:pPr>
      <w:r>
        <w:rPr>
          <w:sz w:val="16"/>
        </w:rPr>
        <w:t>2. World Health Organization. Imaging ultrasound before 24 weeks of pregnancy: 2022 update to the WHO antenatal care recommendations for a positive pregnancy experience. Technical brief. Geneva: WHO; 2022.</w:t>
      </w:r>
    </w:p>
    <w:p>
      <w:pPr>
        <w:spacing w:after="30" w:line="240" w:lineRule="auto"/>
        <w:ind w:left="259" w:hanging="259"/>
      </w:pPr>
      <w:r>
        <w:rPr>
          <w:sz w:val="16"/>
        </w:rPr>
        <w:t>3. World Health Organization. WHO recommendations on antenatal care for a positive pregnancy experience. Geneva: WHO; 2016, with subsequent updates.</w:t>
      </w:r>
    </w:p>
    <w:p>
      <w:pPr>
        <w:spacing w:after="30" w:line="240" w:lineRule="auto"/>
        <w:ind w:left="259" w:hanging="259"/>
      </w:pPr>
      <w:r>
        <w:rPr>
          <w:sz w:val="16"/>
        </w:rPr>
        <w:t>4. World Health Organization. Digital Adaptation Kit for Antenatal Care: operational requirements for implementing WHO recommendations in digital systems. Geneva: WHO; 2021.</w:t>
      </w:r>
    </w:p>
    <w:p>
      <w:pPr>
        <w:spacing w:after="30" w:line="240" w:lineRule="auto"/>
        <w:ind w:left="259" w:hanging="259"/>
      </w:pPr>
      <w:r>
        <w:rPr>
          <w:sz w:val="16"/>
        </w:rPr>
        <w:t>5. National Institute for Health and Care Excellence. Antenatal care. NICE guideline NG201. London: NICE; 2021, updated online.</w:t>
      </w:r>
    </w:p>
    <w:p>
      <w:pPr>
        <w:spacing w:after="30" w:line="240" w:lineRule="auto"/>
        <w:ind w:left="259" w:hanging="259"/>
      </w:pPr>
      <w:r>
        <w:rPr>
          <w:sz w:val="16"/>
        </w:rPr>
        <w:t>6. American College of Obstetricians and Gynecologists; American Institute of Ultrasound in Medicine; Society for Maternal-Fetal Medicine. Methods for Estimating the Due Date. Committee Opinion No. 700. Obstet Gynecol. 2017;129:e150-e154. Reaffirmed.</w:t>
      </w:r>
    </w:p>
    <w:p>
      <w:pPr>
        <w:spacing w:after="30" w:line="240" w:lineRule="auto"/>
        <w:ind w:left="259" w:hanging="259"/>
      </w:pPr>
      <w:r>
        <w:rPr>
          <w:sz w:val="16"/>
        </w:rPr>
        <w:t>7. American College of Obstetricians and Gynecologists. Management of Suboptimally Dated Pregnancies. Committee Opinion No. 688. Obstet Gynecol. 2017;129:e29-e32. Reaffirmed 2024.</w:t>
      </w:r>
    </w:p>
    <w:p>
      <w:pPr>
        <w:spacing w:after="30" w:line="240" w:lineRule="auto"/>
        <w:ind w:left="259" w:hanging="259"/>
      </w:pPr>
      <w:r>
        <w:rPr>
          <w:sz w:val="16"/>
        </w:rPr>
        <w:t>8. International Society of Ultrasound in Obstetrics and Gynecology. ISUOG Practice Guidelines: performance of first-trimester fetal ultrasound scan. Ultrasound Obstet Gynecol. 2013;41:102-113.</w:t>
      </w:r>
    </w:p>
    <w:p>
      <w:pPr>
        <w:spacing w:after="30" w:line="240" w:lineRule="auto"/>
        <w:ind w:left="259" w:hanging="259"/>
      </w:pPr>
      <w:r>
        <w:rPr>
          <w:sz w:val="16"/>
        </w:rPr>
        <w:t>9. International Society of Ultrasound in Obstetrics and Gynecology. ISUOG Practice Guidelines (updated): performance of the routine mid-trimester fetal ultrasound scan. Ultrasound Obstet Gynecol. 2022;59:840-856.</w:t>
      </w:r>
    </w:p>
    <w:p>
      <w:pPr>
        <w:spacing w:after="30" w:line="240" w:lineRule="auto"/>
        <w:ind w:left="259" w:hanging="259"/>
      </w:pPr>
      <w:r>
        <w:rPr>
          <w:sz w:val="16"/>
        </w:rPr>
        <w:t>10. Republic of the Philippines. Republic Act No. 11148: Kalusugan at Nutrisyon ng Mag-Nanay Act. 2018. Used for Philippine maternal-care context and continuity of services; it does not supply detailed ultrasound re-dating thresholds.</w:t>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7365D"/>
          </w:tcPr>
          <w:p>
            <w:pPr>
              <w:spacing w:after="0"/>
            </w:pPr>
            <w:r>
              <w:rPr>
                <w:sz w:val="15"/>
              </w:rPr>
            </w:r>
            <w:r>
              <w:rPr>
                <w:rFonts w:ascii="Aptos" w:hAnsi="Aptos"/>
                <w:b/>
                <w:color w:val="FFFFFF"/>
                <w:sz w:val="15"/>
              </w:rPr>
              <w:t>Item</w:t>
            </w:r>
          </w:p>
        </w:tc>
        <w:tc>
          <w:tcPr>
            <w:tcW w:type="dxa" w:w="7488"/>
            <w:vAlign w:val="center"/>
            <w:shd w:fill="17365D"/>
          </w:tcPr>
          <w:p>
            <w:pPr>
              <w:spacing w:after="0"/>
            </w:pPr>
            <w:r>
              <w:rPr>
                <w:sz w:val="15"/>
              </w:rPr>
            </w:r>
            <w:r>
              <w:rPr>
                <w:rFonts w:ascii="Aptos" w:hAnsi="Aptos"/>
                <w:b/>
                <w:color w:val="FFFFFF"/>
                <w:sz w:val="15"/>
              </w:rPr>
              <w:t>Value</w:t>
            </w:r>
          </w:p>
        </w:tc>
      </w:tr>
      <w:tr>
        <w:trPr>
          <w:cantSplit/>
        </w:trPr>
        <w:tc>
          <w:tcPr>
            <w:tcW w:type="dxa" w:w="2880"/>
            <w:vAlign w:val="center"/>
          </w:tcPr>
          <w:p>
            <w:pPr>
              <w:spacing w:after="0"/>
            </w:pPr>
            <w:r>
              <w:rPr>
                <w:sz w:val="15"/>
              </w:rPr>
            </w:r>
            <w:r>
              <w:rPr>
                <w:rFonts w:ascii="Aptos" w:hAnsi="Aptos"/>
                <w:b w:val="0"/>
                <w:sz w:val="15"/>
              </w:rPr>
              <w:t>Document</w:t>
            </w:r>
          </w:p>
        </w:tc>
        <w:tc>
          <w:tcPr>
            <w:tcW w:type="dxa" w:w="7488"/>
            <w:vAlign w:val="center"/>
          </w:tcPr>
          <w:p>
            <w:pPr>
              <w:spacing w:after="0"/>
            </w:pPr>
            <w:r>
              <w:rPr>
                <w:sz w:val="15"/>
              </w:rPr>
            </w:r>
            <w:r>
              <w:rPr>
                <w:rFonts w:ascii="Aptos" w:hAnsi="Aptos"/>
                <w:b w:val="0"/>
                <w:sz w:val="15"/>
              </w:rPr>
              <w:t>Document 1 – Clinical Knowledge Base</w:t>
            </w:r>
          </w:p>
        </w:tc>
      </w:tr>
      <w:tr>
        <w:trPr>
          <w:cantSplit/>
        </w:trPr>
        <w:tc>
          <w:tcPr>
            <w:tcW w:type="dxa" w:w="2880"/>
            <w:vAlign w:val="center"/>
            <w:shd w:fill="F7F9FC"/>
          </w:tcPr>
          <w:p>
            <w:pPr>
              <w:spacing w:after="0"/>
            </w:pPr>
            <w:r>
              <w:rPr>
                <w:sz w:val="15"/>
              </w:rPr>
            </w:r>
            <w:r>
              <w:rPr>
                <w:rFonts w:ascii="Aptos" w:hAnsi="Aptos"/>
                <w:b w:val="0"/>
                <w:sz w:val="15"/>
              </w:rPr>
              <w:t>Part</w:t>
            </w:r>
          </w:p>
        </w:tc>
        <w:tc>
          <w:tcPr>
            <w:tcW w:type="dxa" w:w="7488"/>
            <w:vAlign w:val="center"/>
            <w:shd w:fill="F7F9FC"/>
          </w:tcPr>
          <w:p>
            <w:pPr>
              <w:spacing w:after="0"/>
            </w:pPr>
            <w:r>
              <w:rPr>
                <w:sz w:val="15"/>
              </w:rPr>
            </w:r>
            <w:r>
              <w:rPr>
                <w:rFonts w:ascii="Aptos" w:hAnsi="Aptos"/>
                <w:b w:val="0"/>
                <w:sz w:val="15"/>
              </w:rPr>
              <w:t>8 – Gestational Age, LMP, and EDD</w:t>
            </w:r>
          </w:p>
        </w:tc>
      </w:tr>
      <w:tr>
        <w:trPr>
          <w:cantSplit/>
        </w:trPr>
        <w:tc>
          <w:tcPr>
            <w:tcW w:type="dxa" w:w="2880"/>
            <w:vAlign w:val="center"/>
          </w:tcPr>
          <w:p>
            <w:pPr>
              <w:spacing w:after="0"/>
            </w:pPr>
            <w:r>
              <w:rPr>
                <w:sz w:val="15"/>
              </w:rPr>
            </w:r>
            <w:r>
              <w:rPr>
                <w:rFonts w:ascii="Aptos" w:hAnsi="Aptos"/>
                <w:b w:val="0"/>
                <w:sz w:val="15"/>
              </w:rPr>
              <w:t>Project context</w:t>
            </w:r>
          </w:p>
        </w:tc>
        <w:tc>
          <w:tcPr>
            <w:tcW w:type="dxa" w:w="7488"/>
            <w:vAlign w:val="center"/>
          </w:tcPr>
          <w:p>
            <w:pPr>
              <w:spacing w:after="0"/>
            </w:pPr>
            <w:r>
              <w:rPr>
                <w:sz w:val="15"/>
              </w:rPr>
            </w:r>
            <w:r>
              <w:rPr>
                <w:rFonts w:ascii="Aptos" w:hAnsi="Aptos"/>
                <w:b w:val="0"/>
                <w:sz w:val="15"/>
              </w:rPr>
              <w:t>Web-Based Maternity Management System / Clinical Decision Support System</w:t>
            </w:r>
          </w:p>
        </w:tc>
      </w:tr>
      <w:tr>
        <w:trPr>
          <w:cantSplit/>
        </w:trPr>
        <w:tc>
          <w:tcPr>
            <w:tcW w:type="dxa" w:w="2880"/>
            <w:vAlign w:val="center"/>
            <w:shd w:fill="F7F9FC"/>
          </w:tcPr>
          <w:p>
            <w:pPr>
              <w:spacing w:after="0"/>
            </w:pPr>
            <w:r>
              <w:rPr>
                <w:sz w:val="15"/>
              </w:rPr>
            </w:r>
            <w:r>
              <w:rPr>
                <w:rFonts w:ascii="Aptos" w:hAnsi="Aptos"/>
                <w:b w:val="0"/>
                <w:sz w:val="15"/>
              </w:rPr>
              <w:t>Evidence status</w:t>
            </w:r>
          </w:p>
        </w:tc>
        <w:tc>
          <w:tcPr>
            <w:tcW w:type="dxa" w:w="7488"/>
            <w:vAlign w:val="center"/>
            <w:shd w:fill="F7F9FC"/>
          </w:tcPr>
          <w:p>
            <w:pPr>
              <w:spacing w:after="0"/>
            </w:pPr>
            <w:r>
              <w:rPr>
                <w:sz w:val="15"/>
              </w:rPr>
            </w:r>
            <w:r>
              <w:rPr>
                <w:rFonts w:ascii="Aptos" w:hAnsi="Aptos"/>
                <w:b w:val="0"/>
                <w:sz w:val="15"/>
              </w:rPr>
              <w:t>Primary guideline synthesis reviewed through July 2026</w:t>
            </w:r>
          </w:p>
        </w:tc>
      </w:tr>
      <w:tr>
        <w:trPr>
          <w:cantSplit/>
        </w:trPr>
        <w:tc>
          <w:tcPr>
            <w:tcW w:type="dxa" w:w="2880"/>
            <w:vAlign w:val="center"/>
          </w:tcPr>
          <w:p>
            <w:pPr>
              <w:spacing w:after="0"/>
            </w:pPr>
            <w:r>
              <w:rPr>
                <w:sz w:val="15"/>
              </w:rPr>
            </w:r>
            <w:r>
              <w:rPr>
                <w:rFonts w:ascii="Aptos" w:hAnsi="Aptos"/>
                <w:b w:val="0"/>
                <w:sz w:val="15"/>
              </w:rPr>
              <w:t>Next part</w:t>
            </w:r>
          </w:p>
        </w:tc>
        <w:tc>
          <w:tcPr>
            <w:tcW w:type="dxa" w:w="7488"/>
            <w:vAlign w:val="center"/>
          </w:tcPr>
          <w:p>
            <w:pPr>
              <w:spacing w:after="0"/>
            </w:pPr>
            <w:r>
              <w:rPr>
                <w:sz w:val="15"/>
              </w:rPr>
            </w:r>
            <w:r>
              <w:rPr>
                <w:rFonts w:ascii="Aptos" w:hAnsi="Aptos"/>
                <w:b w:val="0"/>
                <w:sz w:val="15"/>
              </w:rPr>
              <w:t>Part 9 – Fetal Heart Rate, Fetal Movement, and Fundic Height</w:t>
            </w:r>
          </w:p>
        </w:tc>
      </w:tr>
      <w:tr>
        <w:trPr>
          <w:cantSplit/>
        </w:trPr>
        <w:tc>
          <w:tcPr>
            <w:tcW w:type="dxa" w:w="2880"/>
            <w:vAlign w:val="center"/>
            <w:shd w:fill="F7F9FC"/>
          </w:tcPr>
          <w:p>
            <w:pPr>
              <w:spacing w:after="0"/>
            </w:pPr>
            <w:r>
              <w:rPr>
                <w:sz w:val="15"/>
              </w:rPr>
            </w:r>
            <w:r>
              <w:rPr>
                <w:rFonts w:ascii="Aptos" w:hAnsi="Aptos"/>
                <w:b w:val="0"/>
                <w:sz w:val="15"/>
              </w:rPr>
              <w:t>Clinical limitation</w:t>
            </w:r>
          </w:p>
        </w:tc>
        <w:tc>
          <w:tcPr>
            <w:tcW w:type="dxa" w:w="7488"/>
            <w:vAlign w:val="center"/>
            <w:shd w:fill="F7F9FC"/>
          </w:tcPr>
          <w:p>
            <w:pPr>
              <w:spacing w:after="0"/>
            </w:pPr>
            <w:r>
              <w:rPr>
                <w:sz w:val="15"/>
              </w:rPr>
            </w:r>
            <w:r>
              <w:rPr>
                <w:rFonts w:ascii="Aptos" w:hAnsi="Aptos"/>
                <w:b w:val="0"/>
                <w:sz w:val="15"/>
              </w:rPr>
              <w:t>Decision support only; not a substitute for licensed clinical assessment or local referral protocol.</w:t>
            </w:r>
          </w:p>
        </w:tc>
      </w:tr>
    </w:tbl>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Document 1 • Part 8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MATERNITY CDSS • CLINICAL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i/>
      <w:iCs/>
      <w:color w:val="2F559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173"/>
    </w:pPr>
    <w:rPr>
      <w:rFonts w:ascii="Aptos" w:hAnsi="Aptos"/>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 Clinical Knowledge Base, Part 8: Gestational Age, LMP, and EDD</dc:title>
  <dc:subject>Evidence-based CDSS knowledge specification for a maternity management system</dc:subject>
  <dc:creator>Maternity CDSS Research Project</dc:creator>
  <cp:keywords>gestational age, LMP, EDD, pregnancy dating, ultrasound, CDSS</cp:keywords>
  <dc:description>generated by python-docx</dc:description>
  <cp:lastModifiedBy/>
  <cp:revision>1</cp:revision>
  <dcterms:created xsi:type="dcterms:W3CDTF">2013-12-23T23:15:00Z</dcterms:created>
  <dcterms:modified xsi:type="dcterms:W3CDTF">2013-12-23T23:15:00Z</dcterms:modified>
  <cp:category/>
</cp:coreProperties>
</file>