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C69C38"/>
          <w:sz w:val="30"/>
        </w:rPr>
        <w:t>DOCUMENT 1</w:t>
      </w:r>
    </w:p>
    <w:p>
      <w:pPr>
        <w:pStyle w:val="Title"/>
        <w:jc w:val="center"/>
      </w:pPr>
      <w:r>
        <w:t>Clinical Knowledge Base</w:t>
      </w:r>
    </w:p>
    <w:p>
      <w:pPr>
        <w:pStyle w:val="Subtitle"/>
        <w:jc w:val="center"/>
      </w:pPr>
      <w:r>
        <w:t>Part 9: Fetal Heart Rate, Fetal Movement, and Fundal Height</w:t>
      </w:r>
    </w:p>
    <w:tbl>
      <w:tblPr>
        <w:tblW w:type="auto" w:w="0"/>
        <w:jc w:val="center"/>
        <w:tblLook w:firstColumn="1" w:firstRow="1" w:lastColumn="0" w:lastRow="0" w:noHBand="0" w:noVBand="1" w:val="04A0"/>
      </w:tblPr>
      <w:tblGrid>
        <w:gridCol w:w="9994"/>
      </w:tblGrid>
      <w:tr>
        <w:tc>
          <w:tcPr>
            <w:tcW w:type="dxa" w:w="9994"/>
            <w:shd w:fill="EAF2F8"/>
            <w:tcBorders>
              <w:top w:val="single" w:sz="8" w:color="17365D"/>
              <w:left w:val="single" w:sz="8" w:color="17365D"/>
              <w:bottom w:val="single" w:sz="8" w:color="17365D"/>
              <w:right w:val="single" w:sz="8" w:color="17365D"/>
            </w:tcBorders>
          </w:tcPr>
          <w:p>
            <w:pPr>
              <w:pStyle w:val="Callout"/>
            </w:pPr>
            <w:r>
              <w:rPr>
                <w:b/>
                <w:color w:val="17365D"/>
              </w:rPr>
              <w:t xml:space="preserve">Purpose. </w:t>
            </w:r>
            <w:r>
              <w:t>Evidence synthesis and software-design specification for an explainable maternity Clinical Decision Support System (CDSS) in a Philippine lying-in clinic. The CDSS supports structured assessment, recognition of abnormal or uncertain findings, and timely escalation. It does not diagnose fetal compromise, interpret CTG or ultrasound autonomously, or replace qualified clinical judgment.</w:t>
            </w:r>
          </w:p>
        </w:tc>
      </w:tr>
    </w:tbl>
    <w:p/>
    <w:p>
      <w:pPr>
        <w:jc w:val="center"/>
      </w:pPr>
      <w:r>
        <w:rPr>
          <w:b/>
        </w:rPr>
        <w:t>Prepared for the Web-Based Maternity Management System</w:t>
        <w:br/>
      </w:r>
      <w:r>
        <w:rPr>
          <w:color w:val="666666"/>
        </w:rPr>
        <w:t>Evidence reviewed through July 2026</w:t>
      </w:r>
    </w:p>
    <w:p>
      <w:r>
        <w:br w:type="page"/>
      </w:r>
    </w:p>
    <w:p>
      <w:pPr>
        <w:pStyle w:val="Heading1"/>
      </w:pPr>
      <w:r>
        <w:t>Executive Summary</w:t>
      </w:r>
    </w:p>
    <w:p>
      <w:r>
        <w:t>Fetal heart rate, maternal perception of fetal movement, and symphysis-fundal height (SFH) are complementary observations. None is a stand-alone diagnosis. Their meaning depends on gestational age, technique, trend, maternal conditions, fetal growth risk, associated symptoms, and the capability of the care setting. A safe CDSS must preserve that context rather than converting a single value into an automatic LOW or HIGH classification.</w:t>
      </w:r>
    </w:p>
    <w:tbl>
      <w:tblPr>
        <w:tblW w:type="auto" w:w="0"/>
        <w:jc w:val="center"/>
        <w:tblLook w:firstColumn="1" w:firstRow="1" w:lastColumn="0" w:lastRow="0" w:noHBand="0" w:noVBand="1" w:val="04A0"/>
      </w:tblPr>
      <w:tblGrid>
        <w:gridCol w:w="9994"/>
      </w:tblGrid>
      <w:t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Core decision. </w:t>
            </w:r>
            <w:r>
              <w:t>Part 9 should be implemented as three linked assessment pathways: (1) fetal heart presence and rate documentation, (2) concern-based fetal-movement assessment with immediate escalation when reduced or absent movement is reported, and (3) serial SFH surveillance for eligible singleton pregnancies after 24 weeks, with trend-based review and referral.</w:t>
            </w:r>
          </w:p>
        </w:tc>
      </w:tr>
    </w:tbl>
    <w:p/>
    <w:p>
      <w:pPr>
        <w:pStyle w:val="ListBullet"/>
        <w:spacing w:after="50"/>
      </w:pPr>
      <w:r>
        <w:rPr>
          <w:b/>
        </w:rPr>
        <w:t xml:space="preserve">Fetal heart rate: </w:t>
      </w:r>
      <w:r>
        <w:t>A handheld Doppler or Pinard observation confirms that fetal heart activity was heard and records an approximate rate; it is not equivalent to a CTG interpretation.</w:t>
      </w:r>
    </w:p>
    <w:p>
      <w:pPr>
        <w:pStyle w:val="ListBullet"/>
        <w:spacing w:after="50"/>
      </w:pPr>
      <w:r>
        <w:rPr>
          <w:b/>
        </w:rPr>
        <w:t xml:space="preserve">Fetal movement: </w:t>
      </w:r>
      <w:r>
        <w:t>The woman's perception of a change from her baby's usual pattern is clinically important. The system must not reassure solely because a fixed kick-count threshold was met.</w:t>
      </w:r>
    </w:p>
    <w:p>
      <w:pPr>
        <w:pStyle w:val="ListBullet"/>
        <w:spacing w:after="50"/>
      </w:pPr>
      <w:r>
        <w:rPr>
          <w:b/>
        </w:rPr>
        <w:t xml:space="preserve">Fundal height: </w:t>
      </w:r>
      <w:r>
        <w:t>SFH is a low-cost screening and trend tool, not a definitive measure of fetal size. Small, large, static, or unreliable measurements require context and often ultrasound review.</w:t>
      </w:r>
    </w:p>
    <w:p>
      <w:pPr>
        <w:pStyle w:val="ListBullet"/>
        <w:spacing w:after="50"/>
      </w:pPr>
      <w:r>
        <w:rPr>
          <w:b/>
        </w:rPr>
        <w:t xml:space="preserve">Emergency override: </w:t>
      </w:r>
      <w:r>
        <w:t>Absent fetal heart activity when it should be detectable, reduced/absent movement after the relevant gestation, bleeding, fluid loss, severe pain, contractions, severe hypertension, or maternal instability overrides routine workflow.</w:t>
      </w:r>
    </w:p>
    <w:p>
      <w:pPr>
        <w:pStyle w:val="ListBullet"/>
        <w:spacing w:after="50"/>
      </w:pPr>
      <w:r>
        <w:rPr>
          <w:b/>
        </w:rPr>
        <w:t xml:space="preserve">Explainability: </w:t>
      </w:r>
      <w:r>
        <w:t>Every recommendation should state which observation, trend, gestational age, and associated finding produced it.</w:t>
      </w:r>
    </w:p>
    <w:p>
      <w:pPr>
        <w:pStyle w:val="Heading1"/>
      </w:pPr>
      <w:r>
        <w:t>1. Scope and Clinical Questions</w:t>
      </w:r>
    </w:p>
    <w:p>
      <w:pPr>
        <w:pStyle w:val="ListNumber"/>
        <w:spacing w:after="60"/>
      </w:pPr>
      <w:r>
        <w:t>What should a lying-in clinic record when fetal heart activity is assessed?</w:t>
      </w:r>
    </w:p>
    <w:p>
      <w:pPr>
        <w:pStyle w:val="ListNumber"/>
        <w:spacing w:after="60"/>
      </w:pPr>
      <w:r>
        <w:t>How should a single fetal heart rate be distinguished from formal antenatal surveillance or CTG?</w:t>
      </w:r>
    </w:p>
    <w:p>
      <w:pPr>
        <w:pStyle w:val="ListNumber"/>
        <w:spacing w:after="60"/>
      </w:pPr>
      <w:r>
        <w:t>How should maternal concern about reduced or absent fetal movement be captured and escalated?</w:t>
      </w:r>
    </w:p>
    <w:p>
      <w:pPr>
        <w:pStyle w:val="ListNumber"/>
        <w:spacing w:after="60"/>
      </w:pPr>
      <w:r>
        <w:t>Should the system enforce a universal kick-count method?</w:t>
      </w:r>
    </w:p>
    <w:p>
      <w:pPr>
        <w:pStyle w:val="ListNumber"/>
        <w:spacing w:after="60"/>
      </w:pPr>
      <w:r>
        <w:t>How and when should SFH be measured and trended?</w:t>
      </w:r>
    </w:p>
    <w:p>
      <w:pPr>
        <w:pStyle w:val="ListNumber"/>
        <w:spacing w:after="60"/>
      </w:pPr>
      <w:r>
        <w:t>What findings require repeat assessment, ultrasound, obstetric review, or emergency transfer?</w:t>
      </w:r>
    </w:p>
    <w:p>
      <w:pPr>
        <w:pStyle w:val="ListNumber"/>
        <w:spacing w:after="60"/>
      </w:pPr>
      <w:r>
        <w:t>How should these observations interact with gestational age, hypertension, diabetes, anemia, previous cesarean birth, and ultrasound findings?</w:t>
      </w:r>
    </w:p>
    <w:p>
      <w:pPr>
        <w:pStyle w:val="ListNumber"/>
        <w:spacing w:after="60"/>
      </w:pPr>
      <w:r>
        <w:t>What database structure is required to preserve measurements, technique, trend, uncertainty, actions, and audit history?</w:t>
      </w:r>
    </w:p>
    <w:tbl>
      <w:tblPr>
        <w:tblW w:type="auto" w:w="0"/>
        <w:jc w:val="center"/>
        <w:tblLook w:firstColumn="1" w:firstRow="1" w:lastColumn="0" w:lastRow="0" w:noHBand="0" w:noVBand="1" w:val="04A0"/>
      </w:tblPr>
      <w:tblGrid>
        <w:gridCol w:w="9994"/>
      </w:tblGrid>
      <w:t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Out of scope. </w:t>
            </w:r>
            <w:r>
              <w:t>The CDSS must not diagnose fetal distress, fetal growth restriction, macrosomia, fetal arrhythmia, placental insufficiency, or fetal death. It must not independently interpret CTG traces, Doppler velocimetry, biophysical profiles, or ultrasound images.</w:t>
            </w:r>
          </w:p>
        </w:tc>
      </w:tr>
    </w:tbl>
    <w:p/>
    <w:p>
      <w:pPr>
        <w:pStyle w:val="Heading1"/>
      </w:pPr>
      <w:r>
        <w:t>2. Evidence Base and Guideline Synthesis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88"/>
            <w:vAlign w:val="center"/>
            <w:shd w:fill="17365D"/>
          </w:tcPr>
          <w:p>
            <w:pPr>
              <w:spacing w:after="0"/>
            </w:pPr>
            <w:r/>
            <w:r>
              <w:rPr>
                <w:rFonts w:ascii="Aptos" w:hAnsi="Aptos"/>
                <w:b/>
                <w:color w:val="FFFFFF"/>
                <w:sz w:val="16"/>
              </w:rPr>
              <w:t>Source</w:t>
            </w:r>
          </w:p>
        </w:tc>
        <w:tc>
          <w:tcPr>
            <w:tcW w:type="dxa" w:w="5256"/>
            <w:vAlign w:val="center"/>
            <w:shd w:fill="17365D"/>
          </w:tcPr>
          <w:p>
            <w:pPr>
              <w:spacing w:after="0"/>
            </w:pPr>
            <w:r/>
            <w:r>
              <w:rPr>
                <w:rFonts w:ascii="Aptos" w:hAnsi="Aptos"/>
                <w:b/>
                <w:color w:val="FFFFFF"/>
                <w:sz w:val="16"/>
              </w:rPr>
              <w:t>Key guidance relevant to Part 9</w:t>
            </w:r>
          </w:p>
        </w:tc>
        <w:tc>
          <w:tcPr>
            <w:tcW w:type="dxa" w:w="3168"/>
            <w:vAlign w:val="center"/>
            <w:shd w:fill="17365D"/>
          </w:tcPr>
          <w:p>
            <w:pPr>
              <w:spacing w:after="0"/>
            </w:pPr>
            <w:r/>
            <w:r>
              <w:rPr>
                <w:rFonts w:ascii="Aptos" w:hAnsi="Aptos"/>
                <w:b/>
                <w:color w:val="FFFFFF"/>
                <w:sz w:val="16"/>
              </w:rPr>
              <w:t>CDSS consequence</w:t>
            </w:r>
          </w:p>
        </w:tc>
      </w:tr>
      <w:tr>
        <w:trPr>
          <w:cantSplit/>
        </w:trPr>
        <w:tc>
          <w:tcPr>
            <w:tcW w:type="dxa" w:w="2088"/>
            <w:vAlign w:val="center"/>
          </w:tcPr>
          <w:p>
            <w:pPr>
              <w:spacing w:after="0"/>
            </w:pPr>
            <w:r/>
            <w:r>
              <w:rPr>
                <w:rFonts w:ascii="Aptos" w:hAnsi="Aptos"/>
                <w:b w:val="0"/>
                <w:sz w:val="14"/>
              </w:rPr>
              <w:t>WHO antenatal care guidance</w:t>
            </w:r>
          </w:p>
        </w:tc>
        <w:tc>
          <w:tcPr>
            <w:tcW w:type="dxa" w:w="5256"/>
            <w:vAlign w:val="center"/>
          </w:tcPr>
          <w:p>
            <w:pPr>
              <w:spacing w:after="0"/>
            </w:pPr>
            <w:r/>
            <w:r>
              <w:rPr>
                <w:rFonts w:ascii="Aptos" w:hAnsi="Aptos"/>
                <w:b w:val="0"/>
                <w:sz w:val="14"/>
              </w:rPr>
              <w:t>Routine ANC includes maternal and fetal assessment within a person-centred model; recommendations should be adapted into structured workflows and timely referral.</w:t>
            </w:r>
          </w:p>
        </w:tc>
        <w:tc>
          <w:tcPr>
            <w:tcW w:type="dxa" w:w="3168"/>
            <w:vAlign w:val="center"/>
          </w:tcPr>
          <w:p>
            <w:pPr>
              <w:spacing w:after="0"/>
            </w:pPr>
            <w:r/>
            <w:r>
              <w:rPr>
                <w:rFonts w:ascii="Aptos" w:hAnsi="Aptos"/>
                <w:b w:val="0"/>
                <w:sz w:val="14"/>
              </w:rPr>
              <w:t>Use structured observations, clear uncertainty, and local referral capability rather than unsupported diagnosis.</w:t>
            </w:r>
          </w:p>
        </w:tc>
      </w:tr>
      <w:tr>
        <w:trPr>
          <w:cantSplit/>
        </w:trPr>
        <w:tc>
          <w:tcPr>
            <w:tcW w:type="dxa" w:w="2088"/>
            <w:vAlign w:val="center"/>
            <w:shd w:fill="F7F9FC"/>
          </w:tcPr>
          <w:p>
            <w:pPr>
              <w:spacing w:after="0"/>
            </w:pPr>
            <w:r/>
            <w:r>
              <w:rPr>
                <w:rFonts w:ascii="Aptos" w:hAnsi="Aptos"/>
                <w:b w:val="0"/>
                <w:sz w:val="14"/>
              </w:rPr>
              <w:t>NICE NG201</w:t>
            </w:r>
          </w:p>
        </w:tc>
        <w:tc>
          <w:tcPr>
            <w:tcW w:type="dxa" w:w="5256"/>
            <w:vAlign w:val="center"/>
            <w:shd w:fill="F7F9FC"/>
          </w:tcPr>
          <w:p>
            <w:pPr>
              <w:spacing w:after="0"/>
            </w:pPr>
            <w:r/>
            <w:r>
              <w:rPr>
                <w:rFonts w:ascii="Aptos" w:hAnsi="Aptos"/>
                <w:b w:val="0"/>
                <w:sz w:val="14"/>
              </w:rPr>
              <w:t>Offer SFH at each antenatal appointment after 24+0 weeks, no more often than every 2 weeks, for eligible singleton pregnancies; discuss movements after 24+0 weeks and assess any concern.</w:t>
            </w:r>
          </w:p>
        </w:tc>
        <w:tc>
          <w:tcPr>
            <w:tcW w:type="dxa" w:w="3168"/>
            <w:vAlign w:val="center"/>
            <w:shd w:fill="F7F9FC"/>
          </w:tcPr>
          <w:p>
            <w:pPr>
              <w:spacing w:after="0"/>
            </w:pPr>
            <w:r/>
            <w:r>
              <w:rPr>
                <w:rFonts w:ascii="Aptos" w:hAnsi="Aptos"/>
                <w:b w:val="0"/>
                <w:sz w:val="14"/>
              </w:rPr>
              <w:t>Configure eligibility, timing, trend plotting, and an always-available concern pathway.</w:t>
            </w:r>
          </w:p>
        </w:tc>
      </w:tr>
      <w:tr>
        <w:trPr>
          <w:cantSplit/>
        </w:trPr>
        <w:tc>
          <w:tcPr>
            <w:tcW w:type="dxa" w:w="2088"/>
            <w:vAlign w:val="center"/>
          </w:tcPr>
          <w:p>
            <w:pPr>
              <w:spacing w:after="0"/>
            </w:pPr>
            <w:r/>
            <w:r>
              <w:rPr>
                <w:rFonts w:ascii="Aptos" w:hAnsi="Aptos"/>
                <w:b w:val="0"/>
                <w:sz w:val="14"/>
              </w:rPr>
              <w:t>NHS England SBLCB v3.2</w:t>
            </w:r>
          </w:p>
        </w:tc>
        <w:tc>
          <w:tcPr>
            <w:tcW w:type="dxa" w:w="5256"/>
            <w:vAlign w:val="center"/>
          </w:tcPr>
          <w:p>
            <w:pPr>
              <w:spacing w:after="0"/>
            </w:pPr>
            <w:r/>
            <w:r>
              <w:rPr>
                <w:rFonts w:ascii="Aptos" w:hAnsi="Aptos"/>
                <w:b w:val="0"/>
                <w:sz w:val="14"/>
              </w:rPr>
              <w:t>Serial SFH after 24 weeks for low-risk pregnancies; staff competency; fetal movement information by 28 weeks; a structured reduced-fetal-movement assessment pathway.</w:t>
            </w:r>
          </w:p>
        </w:tc>
        <w:tc>
          <w:tcPr>
            <w:tcW w:type="dxa" w:w="3168"/>
            <w:vAlign w:val="center"/>
          </w:tcPr>
          <w:p>
            <w:pPr>
              <w:spacing w:after="0"/>
            </w:pPr>
            <w:r/>
            <w:r>
              <w:rPr>
                <w:rFonts w:ascii="Aptos" w:hAnsi="Aptos"/>
                <w:b w:val="0"/>
                <w:sz w:val="14"/>
              </w:rPr>
              <w:t>Record staff technique/competency context, movement education, episode history, heart auscultation, growth review, CTG/ultrasound referral status.</w:t>
            </w:r>
          </w:p>
        </w:tc>
      </w:tr>
      <w:tr>
        <w:trPr>
          <w:cantSplit/>
        </w:trPr>
        <w:tc>
          <w:tcPr>
            <w:tcW w:type="dxa" w:w="2088"/>
            <w:vAlign w:val="center"/>
            <w:shd w:fill="F7F9FC"/>
          </w:tcPr>
          <w:p>
            <w:pPr>
              <w:spacing w:after="0"/>
            </w:pPr>
            <w:r/>
            <w:r>
              <w:rPr>
                <w:rFonts w:ascii="Aptos" w:hAnsi="Aptos"/>
                <w:b w:val="0"/>
                <w:sz w:val="14"/>
              </w:rPr>
              <w:t>RCOG Green-top 57 (2nd ed., 2026)</w:t>
            </w:r>
          </w:p>
        </w:tc>
        <w:tc>
          <w:tcPr>
            <w:tcW w:type="dxa" w:w="5256"/>
            <w:vAlign w:val="center"/>
            <w:shd w:fill="F7F9FC"/>
          </w:tcPr>
          <w:p>
            <w:pPr>
              <w:spacing w:after="0"/>
            </w:pPr>
            <w:r/>
            <w:r>
              <w:rPr>
                <w:rFonts w:ascii="Aptos" w:hAnsi="Aptos"/>
                <w:b w:val="0"/>
                <w:sz w:val="14"/>
              </w:rPr>
              <w:t>Guidance addresses maternal perception, risk factors, and community/hospital management of reduced fetal movements.</w:t>
            </w:r>
          </w:p>
        </w:tc>
        <w:tc>
          <w:tcPr>
            <w:tcW w:type="dxa" w:w="3168"/>
            <w:vAlign w:val="center"/>
            <w:shd w:fill="F7F9FC"/>
          </w:tcPr>
          <w:p>
            <w:pPr>
              <w:spacing w:after="0"/>
            </w:pPr>
            <w:r/>
            <w:r>
              <w:rPr>
                <w:rFonts w:ascii="Aptos" w:hAnsi="Aptos"/>
                <w:b w:val="0"/>
                <w:sz w:val="14"/>
              </w:rPr>
              <w:t>Treat change from the individual pattern as meaningful and avoid false reassurance.</w:t>
            </w:r>
          </w:p>
        </w:tc>
      </w:tr>
      <w:tr>
        <w:trPr>
          <w:cantSplit/>
        </w:trPr>
        <w:tc>
          <w:tcPr>
            <w:tcW w:type="dxa" w:w="2088"/>
            <w:vAlign w:val="center"/>
          </w:tcPr>
          <w:p>
            <w:pPr>
              <w:spacing w:after="0"/>
            </w:pPr>
            <w:r/>
            <w:r>
              <w:rPr>
                <w:rFonts w:ascii="Aptos" w:hAnsi="Aptos"/>
                <w:b w:val="0"/>
                <w:sz w:val="14"/>
              </w:rPr>
              <w:t>ACOG Committee Opinion 828</w:t>
            </w:r>
          </w:p>
        </w:tc>
        <w:tc>
          <w:tcPr>
            <w:tcW w:type="dxa" w:w="5256"/>
            <w:vAlign w:val="center"/>
          </w:tcPr>
          <w:p>
            <w:pPr>
              <w:spacing w:after="0"/>
            </w:pPr>
            <w:r/>
            <w:r>
              <w:rPr>
                <w:rFonts w:ascii="Aptos" w:hAnsi="Aptos"/>
                <w:b w:val="0"/>
                <w:sz w:val="14"/>
              </w:rPr>
              <w:t>Reduced movement is associated with increased stillbirth risk; one-time surveillance may be considered after viability, individualized to the whole clinical picture.</w:t>
            </w:r>
          </w:p>
        </w:tc>
        <w:tc>
          <w:tcPr>
            <w:tcW w:type="dxa" w:w="3168"/>
            <w:vAlign w:val="center"/>
          </w:tcPr>
          <w:p>
            <w:pPr>
              <w:spacing w:after="0"/>
            </w:pPr>
            <w:r/>
            <w:r>
              <w:rPr>
                <w:rFonts w:ascii="Aptos" w:hAnsi="Aptos"/>
                <w:b w:val="0"/>
                <w:sz w:val="14"/>
              </w:rPr>
              <w:t>Escalate maternal concern for formal assessment; do not schedule or interpret surveillance autonomously.</w:t>
            </w:r>
          </w:p>
        </w:tc>
      </w:tr>
      <w:tr>
        <w:trPr>
          <w:cantSplit/>
        </w:trPr>
        <w:tc>
          <w:tcPr>
            <w:tcW w:type="dxa" w:w="2088"/>
            <w:vAlign w:val="center"/>
            <w:shd w:fill="F7F9FC"/>
          </w:tcPr>
          <w:p>
            <w:pPr>
              <w:spacing w:after="0"/>
            </w:pPr>
            <w:r/>
            <w:r>
              <w:rPr>
                <w:rFonts w:ascii="Aptos" w:hAnsi="Aptos"/>
                <w:b w:val="0"/>
                <w:sz w:val="14"/>
              </w:rPr>
              <w:t>RCOG Green-top 31</w:t>
            </w:r>
          </w:p>
        </w:tc>
        <w:tc>
          <w:tcPr>
            <w:tcW w:type="dxa" w:w="5256"/>
            <w:vAlign w:val="center"/>
            <w:shd w:fill="F7F9FC"/>
          </w:tcPr>
          <w:p>
            <w:pPr>
              <w:spacing w:after="0"/>
            </w:pPr>
            <w:r/>
            <w:r>
              <w:rPr>
                <w:rFonts w:ascii="Aptos" w:hAnsi="Aptos"/>
                <w:b w:val="0"/>
                <w:sz w:val="14"/>
              </w:rPr>
              <w:t>SFH and ultrasound sit within broader detection and management of SGA/FGR; diagnosis requires more than a tape measurement.</w:t>
            </w:r>
          </w:p>
        </w:tc>
        <w:tc>
          <w:tcPr>
            <w:tcW w:type="dxa" w:w="3168"/>
            <w:vAlign w:val="center"/>
            <w:shd w:fill="F7F9FC"/>
          </w:tcPr>
          <w:p>
            <w:pPr>
              <w:spacing w:after="0"/>
            </w:pPr>
            <w:r/>
            <w:r>
              <w:rPr>
                <w:rFonts w:ascii="Aptos" w:hAnsi="Aptos"/>
                <w:b w:val="0"/>
                <w:sz w:val="14"/>
              </w:rPr>
              <w:t>SFH creates a suspicion/referral signal, never an FGR diagnosis.</w:t>
            </w:r>
          </w:p>
        </w:tc>
      </w:tr>
    </w:tbl>
    <w:p/>
    <w:p>
      <w:pPr>
        <w:pStyle w:val="Heading1"/>
      </w:pPr>
      <w:r>
        <w:t>3. Fetal Heart Rate: What the Observation Means</w:t>
      </w:r>
    </w:p>
    <w:p>
      <w:r>
        <w:t>A fetal heart observation in routine antenatal care may be obtained with a handheld Doppler or Pinard/fetoscope. The observation should answer a limited question: was fetal heart activity heard, what approximate rate was counted, how was it measured, and was there any immediate concern? It does not provide the variability, accelerations, decelerations, or prolonged baseline required for formal CTG interpretation.</w:t>
      </w:r>
    </w:p>
    <w:p>
      <w:pPr>
        <w:pStyle w:val="Heading2"/>
      </w:pPr>
      <w:r>
        <w:t>3.1 Reference range and limitations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520"/>
            <w:vAlign w:val="center"/>
            <w:shd w:fill="17365D"/>
          </w:tcPr>
          <w:p>
            <w:pPr>
              <w:spacing w:after="0"/>
            </w:pPr>
            <w:r/>
            <w:r>
              <w:rPr>
                <w:rFonts w:ascii="Aptos" w:hAnsi="Aptos"/>
                <w:b/>
                <w:color w:val="FFFFFF"/>
                <w:sz w:val="16"/>
              </w:rPr>
              <w:t>Observation</w:t>
            </w:r>
          </w:p>
        </w:tc>
        <w:tc>
          <w:tcPr>
            <w:tcW w:type="dxa" w:w="4608"/>
            <w:vAlign w:val="center"/>
            <w:shd w:fill="17365D"/>
          </w:tcPr>
          <w:p>
            <w:pPr>
              <w:spacing w:after="0"/>
            </w:pPr>
            <w:r/>
            <w:r>
              <w:rPr>
                <w:rFonts w:ascii="Aptos" w:hAnsi="Aptos"/>
                <w:b/>
                <w:color w:val="FFFFFF"/>
                <w:sz w:val="16"/>
              </w:rPr>
              <w:t>Interpretation boundary</w:t>
            </w:r>
          </w:p>
        </w:tc>
        <w:tc>
          <w:tcPr>
            <w:tcW w:type="dxa" w:w="3384"/>
            <w:vAlign w:val="center"/>
            <w:shd w:fill="17365D"/>
          </w:tcPr>
          <w:p>
            <w:pPr>
              <w:spacing w:after="0"/>
            </w:pPr>
            <w:r/>
            <w:r>
              <w:rPr>
                <w:rFonts w:ascii="Aptos" w:hAnsi="Aptos"/>
                <w:b/>
                <w:color w:val="FFFFFF"/>
                <w:sz w:val="16"/>
              </w:rPr>
              <w:t>Safe CDSS response</w:t>
            </w:r>
          </w:p>
        </w:tc>
      </w:tr>
      <w:tr>
        <w:trPr>
          <w:cantSplit/>
        </w:trPr>
        <w:tc>
          <w:tcPr>
            <w:tcW w:type="dxa" w:w="2520"/>
            <w:vAlign w:val="center"/>
          </w:tcPr>
          <w:p>
            <w:pPr>
              <w:spacing w:after="0"/>
            </w:pPr>
            <w:r/>
            <w:r>
              <w:rPr>
                <w:rFonts w:ascii="Aptos" w:hAnsi="Aptos"/>
                <w:b w:val="0"/>
                <w:sz w:val="15"/>
              </w:rPr>
              <w:t>Fetal heart heard; rate approximately 110-160 bpm</w:t>
            </w:r>
          </w:p>
        </w:tc>
        <w:tc>
          <w:tcPr>
            <w:tcW w:type="dxa" w:w="4608"/>
            <w:vAlign w:val="center"/>
          </w:tcPr>
          <w:p>
            <w:pPr>
              <w:spacing w:after="0"/>
            </w:pPr>
            <w:r/>
            <w:r>
              <w:rPr>
                <w:rFonts w:ascii="Aptos" w:hAnsi="Aptos"/>
                <w:b w:val="0"/>
                <w:sz w:val="15"/>
              </w:rPr>
              <w:t>This range is commonly used as a reassuring baseline reference in fetal monitoring, but a brief handheld count is not a complete fetal-wellbeing test.</w:t>
            </w:r>
          </w:p>
        </w:tc>
        <w:tc>
          <w:tcPr>
            <w:tcW w:type="dxa" w:w="3384"/>
            <w:vAlign w:val="center"/>
          </w:tcPr>
          <w:p>
            <w:pPr>
              <w:spacing w:after="0"/>
            </w:pPr>
            <w:r/>
            <w:r>
              <w:rPr>
                <w:rFonts w:ascii="Aptos" w:hAnsi="Aptos"/>
                <w:b w:val="0"/>
                <w:sz w:val="15"/>
              </w:rPr>
              <w:t>Record rate, method, duration, maternal pulse comparison, gestational age, and clinician assessment.</w:t>
            </w:r>
          </w:p>
        </w:tc>
      </w:tr>
      <w:tr>
        <w:trPr>
          <w:cantSplit/>
        </w:trPr>
        <w:tc>
          <w:tcPr>
            <w:tcW w:type="dxa" w:w="2520"/>
            <w:vAlign w:val="center"/>
            <w:shd w:fill="F7F9FC"/>
          </w:tcPr>
          <w:p>
            <w:pPr>
              <w:spacing w:after="0"/>
            </w:pPr>
            <w:r/>
            <w:r>
              <w:rPr>
                <w:rFonts w:ascii="Aptos" w:hAnsi="Aptos"/>
                <w:b w:val="0"/>
                <w:sz w:val="15"/>
              </w:rPr>
              <w:t>Rate below 110 or above 160 bpm</w:t>
            </w:r>
          </w:p>
        </w:tc>
        <w:tc>
          <w:tcPr>
            <w:tcW w:type="dxa" w:w="4608"/>
            <w:vAlign w:val="center"/>
            <w:shd w:fill="F7F9FC"/>
          </w:tcPr>
          <w:p>
            <w:pPr>
              <w:spacing w:after="0"/>
            </w:pPr>
            <w:r/>
            <w:r>
              <w:rPr>
                <w:rFonts w:ascii="Aptos" w:hAnsi="Aptos"/>
                <w:b w:val="0"/>
                <w:sz w:val="15"/>
              </w:rPr>
              <w:t>May be transient, measurement error, maternal pulse, fetal sleep/activity, medication, fever, arrhythmia, or compromise.</w:t>
            </w:r>
          </w:p>
        </w:tc>
        <w:tc>
          <w:tcPr>
            <w:tcW w:type="dxa" w:w="3384"/>
            <w:vAlign w:val="center"/>
            <w:shd w:fill="F7F9FC"/>
          </w:tcPr>
          <w:p>
            <w:pPr>
              <w:spacing w:after="0"/>
            </w:pPr>
            <w:r/>
            <w:r>
              <w:rPr>
                <w:rFonts w:ascii="Aptos" w:hAnsi="Aptos"/>
                <w:b w:val="0"/>
                <w:sz w:val="15"/>
              </w:rPr>
              <w:t>Repeat/confirm promptly according to local protocol and escalate for qualified assessment; do not diagnose.</w:t>
            </w:r>
          </w:p>
        </w:tc>
      </w:tr>
      <w:tr>
        <w:trPr>
          <w:cantSplit/>
        </w:trPr>
        <w:tc>
          <w:tcPr>
            <w:tcW w:type="dxa" w:w="2520"/>
            <w:vAlign w:val="center"/>
          </w:tcPr>
          <w:p>
            <w:pPr>
              <w:spacing w:after="0"/>
            </w:pPr>
            <w:r/>
            <w:r>
              <w:rPr>
                <w:rFonts w:ascii="Aptos" w:hAnsi="Aptos"/>
                <w:b w:val="0"/>
                <w:sz w:val="15"/>
              </w:rPr>
              <w:t>Heart activity not found</w:t>
            </w:r>
          </w:p>
        </w:tc>
        <w:tc>
          <w:tcPr>
            <w:tcW w:type="dxa" w:w="4608"/>
            <w:vAlign w:val="center"/>
          </w:tcPr>
          <w:p>
            <w:pPr>
              <w:spacing w:after="0"/>
            </w:pPr>
            <w:r/>
            <w:r>
              <w:rPr>
                <w:rFonts w:ascii="Aptos" w:hAnsi="Aptos"/>
                <w:b w:val="0"/>
                <w:sz w:val="15"/>
              </w:rPr>
              <w:t>May reflect early gestation, inaccurate dating, equipment/technique, fetal position, maternal habitus, or serious pathology.</w:t>
            </w:r>
          </w:p>
        </w:tc>
        <w:tc>
          <w:tcPr>
            <w:tcW w:type="dxa" w:w="3384"/>
            <w:vAlign w:val="center"/>
          </w:tcPr>
          <w:p>
            <w:pPr>
              <w:spacing w:after="0"/>
            </w:pPr>
            <w:r/>
            <w:r>
              <w:rPr>
                <w:rFonts w:ascii="Aptos" w:hAnsi="Aptos"/>
                <w:b w:val="0"/>
                <w:sz w:val="15"/>
              </w:rPr>
              <w:t>Do not mark “absent fetal heartbeat” from one failed attempt. Require immediate senior review/ultrasound pathway when clinically expected to be detectable.</w:t>
            </w:r>
          </w:p>
        </w:tc>
      </w:tr>
      <w:tr>
        <w:trPr>
          <w:cantSplit/>
        </w:trPr>
        <w:tc>
          <w:tcPr>
            <w:tcW w:type="dxa" w:w="2520"/>
            <w:vAlign w:val="center"/>
            <w:shd w:fill="F7F9FC"/>
          </w:tcPr>
          <w:p>
            <w:pPr>
              <w:spacing w:after="0"/>
            </w:pPr>
            <w:r/>
            <w:r>
              <w:rPr>
                <w:rFonts w:ascii="Aptos" w:hAnsi="Aptos"/>
                <w:b w:val="0"/>
                <w:sz w:val="15"/>
              </w:rPr>
              <w:t>Irregular rhythm suspected</w:t>
            </w:r>
          </w:p>
        </w:tc>
        <w:tc>
          <w:tcPr>
            <w:tcW w:type="dxa" w:w="4608"/>
            <w:vAlign w:val="center"/>
            <w:shd w:fill="F7F9FC"/>
          </w:tcPr>
          <w:p>
            <w:pPr>
              <w:spacing w:after="0"/>
            </w:pPr>
            <w:r/>
            <w:r>
              <w:rPr>
                <w:rFonts w:ascii="Aptos" w:hAnsi="Aptos"/>
                <w:b w:val="0"/>
                <w:sz w:val="15"/>
              </w:rPr>
              <w:t>Auscultation cannot define the arrhythmia.</w:t>
            </w:r>
          </w:p>
        </w:tc>
        <w:tc>
          <w:tcPr>
            <w:tcW w:type="dxa" w:w="3384"/>
            <w:vAlign w:val="center"/>
            <w:shd w:fill="F7F9FC"/>
          </w:tcPr>
          <w:p>
            <w:pPr>
              <w:spacing w:after="0"/>
            </w:pPr>
            <w:r/>
            <w:r>
              <w:rPr>
                <w:rFonts w:ascii="Aptos" w:hAnsi="Aptos"/>
                <w:b w:val="0"/>
                <w:sz w:val="15"/>
              </w:rPr>
              <w:t>Record suspected irregularity and refer for obstetric/fetal assessment.</w:t>
            </w:r>
          </w:p>
        </w:tc>
      </w:tr>
      <w:tr>
        <w:trPr>
          <w:cantSplit/>
        </w:trPr>
        <w:tc>
          <w:tcPr>
            <w:tcW w:type="dxa" w:w="2520"/>
            <w:vAlign w:val="center"/>
          </w:tcPr>
          <w:p>
            <w:pPr>
              <w:spacing w:after="0"/>
            </w:pPr>
            <w:r/>
            <w:r>
              <w:rPr>
                <w:rFonts w:ascii="Aptos" w:hAnsi="Aptos"/>
                <w:b w:val="0"/>
                <w:sz w:val="15"/>
              </w:rPr>
              <w:t>Maternal pulse may have been counted</w:t>
            </w:r>
          </w:p>
        </w:tc>
        <w:tc>
          <w:tcPr>
            <w:tcW w:type="dxa" w:w="4608"/>
            <w:vAlign w:val="center"/>
          </w:tcPr>
          <w:p>
            <w:pPr>
              <w:spacing w:after="0"/>
            </w:pPr>
            <w:r/>
            <w:r>
              <w:rPr>
                <w:rFonts w:ascii="Aptos" w:hAnsi="Aptos"/>
                <w:b w:val="0"/>
                <w:sz w:val="15"/>
              </w:rPr>
              <w:t>A known safety error.</w:t>
            </w:r>
          </w:p>
        </w:tc>
        <w:tc>
          <w:tcPr>
            <w:tcW w:type="dxa" w:w="3384"/>
            <w:vAlign w:val="center"/>
          </w:tcPr>
          <w:p>
            <w:pPr>
              <w:spacing w:after="0"/>
            </w:pPr>
            <w:r/>
            <w:r>
              <w:rPr>
                <w:rFonts w:ascii="Aptos" w:hAnsi="Aptos"/>
                <w:b w:val="0"/>
                <w:sz w:val="15"/>
              </w:rPr>
              <w:t>Require simultaneous or immediate maternal pulse check when rate/source is uncertain.</w:t>
            </w:r>
          </w:p>
        </w:tc>
      </w:tr>
    </w:tbl>
    <w:p/>
    <w:tbl>
      <w:tblPr>
        <w:tblW w:type="auto" w:w="0"/>
        <w:jc w:val="center"/>
        <w:tblLook w:firstColumn="1" w:firstRow="1" w:lastColumn="0" w:lastRow="0" w:noHBand="0" w:noVBand="1" w:val="04A0"/>
      </w:tblPr>
      <w:tblGrid>
        <w:gridCol w:w="9994"/>
      </w:tblGrid>
      <w:t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Critical distinction. </w:t>
            </w:r>
            <w:r>
              <w:t>“FHR = 140 bpm” means a rate was heard and counted at that moment. It does not mean that fetal wellbeing is fully reassuring and must never suppress a reduced-movement or other emergency pathway.</w:t>
            </w:r>
          </w:p>
        </w:tc>
      </w:tr>
    </w:tbl>
    <w:p/>
    <w:p>
      <w:pPr>
        <w:pStyle w:val="Heading2"/>
      </w:pPr>
      <w:r>
        <w:t>3.2 Required data for every fetal-heart observation</w:t>
      </w:r>
    </w:p>
    <w:p>
      <w:pPr>
        <w:pStyle w:val="ListBullet"/>
        <w:spacing w:after="50"/>
      </w:pPr>
      <w:r>
        <w:t>Encounter date and exact observation time.</w:t>
      </w:r>
    </w:p>
    <w:p>
      <w:pPr>
        <w:pStyle w:val="ListBullet"/>
        <w:spacing w:after="50"/>
      </w:pPr>
      <w:r>
        <w:t>Gestational age and dating-confidence status from Part 8.</w:t>
      </w:r>
    </w:p>
    <w:p>
      <w:pPr>
        <w:pStyle w:val="ListBullet"/>
        <w:spacing w:after="50"/>
      </w:pPr>
      <w:r>
        <w:t>Method: handheld Doppler, Pinard/fetoscope, CTG report, ultrasound report, or other.</w:t>
      </w:r>
    </w:p>
    <w:p>
      <w:pPr>
        <w:pStyle w:val="ListBullet"/>
        <w:spacing w:after="50"/>
      </w:pPr>
      <w:r>
        <w:t>Presence status: heard, not heard, uncertain, or not assessed.</w:t>
      </w:r>
    </w:p>
    <w:p>
      <w:pPr>
        <w:pStyle w:val="ListBullet"/>
        <w:spacing w:after="50"/>
      </w:pPr>
      <w:r>
        <w:t>Rate in beats per minute and counting duration.</w:t>
      </w:r>
    </w:p>
    <w:p>
      <w:pPr>
        <w:pStyle w:val="ListBullet"/>
        <w:spacing w:after="50"/>
      </w:pPr>
      <w:r>
        <w:t>Whether maternal pulse was checked and its value.</w:t>
      </w:r>
    </w:p>
    <w:p>
      <w:pPr>
        <w:pStyle w:val="ListBullet"/>
        <w:spacing w:after="50"/>
      </w:pPr>
      <w:r>
        <w:t>Rhythm impression: regular, suspected irregular, uncertain, or not assessed.</w:t>
      </w:r>
    </w:p>
    <w:p>
      <w:pPr>
        <w:pStyle w:val="ListBullet"/>
        <w:spacing w:after="50"/>
      </w:pPr>
      <w:r>
        <w:t>Reason for assessment: routine, movement concern, pain/bleeding, follow-up, or referral.</w:t>
      </w:r>
    </w:p>
    <w:p>
      <w:pPr>
        <w:pStyle w:val="ListBullet"/>
        <w:spacing w:after="50"/>
      </w:pPr>
      <w:r>
        <w:t>Operator, result interpretation, action taken, and time of escalation.</w:t>
      </w:r>
    </w:p>
    <w:p>
      <w:pPr>
        <w:pStyle w:val="Heading1"/>
      </w:pPr>
      <w:r>
        <w:t>4. Fetal Movement</w:t>
      </w:r>
    </w:p>
    <w:p>
      <w:r>
        <w:t>Maternal perception of fetal movement is an important, low-technology indicator of fetal wellbeing. Patterns differ among pregnancies and change with gestation, fetal sleep, placental position, maternal activity, and other factors. The clinically important signal is often a clear reduction, cessation, or change from the baby's usual pattern as perceived by the woman.</w:t>
      </w:r>
    </w:p>
    <w:p>
      <w:pPr>
        <w:pStyle w:val="Heading2"/>
      </w:pPr>
      <w:r>
        <w:t>4.1 Routine communication</w:t>
      </w:r>
    </w:p>
    <w:p>
      <w:pPr>
        <w:pStyle w:val="ListBullet"/>
        <w:spacing w:after="50"/>
      </w:pPr>
      <w:r>
        <w:t>Discuss the baby's movements after 24+0 weeks and ask about concern at every subsequent antenatal contact, consistent with NICE.</w:t>
      </w:r>
    </w:p>
    <w:p>
      <w:pPr>
        <w:pStyle w:val="ListBullet"/>
        <w:spacing w:after="50"/>
      </w:pPr>
      <w:r>
        <w:t>Provide clear advice that the woman should contact maternity services at any time, day or night, if movements are reduced, absent, or meaningfully changed.</w:t>
      </w:r>
    </w:p>
    <w:p>
      <w:pPr>
        <w:pStyle w:val="ListBullet"/>
        <w:spacing w:after="50"/>
      </w:pPr>
      <w:r>
        <w:t>Do not advise waiting until the next appointment when the woman is concerned.</w:t>
      </w:r>
    </w:p>
    <w:p>
      <w:pPr>
        <w:pStyle w:val="ListBullet"/>
        <w:spacing w:after="50"/>
      </w:pPr>
      <w:r>
        <w:t>Do not tell the woman to rely on a home Doppler to decide whether the baby is well.</w:t>
      </w:r>
    </w:p>
    <w:p>
      <w:pPr>
        <w:pStyle w:val="ListBullet"/>
        <w:spacing w:after="50"/>
      </w:pPr>
      <w:r>
        <w:t>Record that education was provided, the language/format used, and whether understanding was confirmed.</w:t>
      </w:r>
    </w:p>
    <w:p>
      <w:pPr>
        <w:pStyle w:val="Heading2"/>
      </w:pPr>
      <w:r>
        <w:t>4.2 No universal number should replace individual concern</w:t>
      </w:r>
    </w:p>
    <w:p>
      <w:r>
        <w:t>Guidelines and clinical programs use different fetal-movement-counting approaches. Evidence does not support a single universal count that can safely overrule maternal concern. A local protocol may use a structured counting method, but the CDSS should store the method and result without treating achievement of a numerical target as proof of wellbeing.</w:t>
      </w:r>
    </w:p>
    <w:tbl>
      <w:tblPr>
        <w:tblW w:type="auto" w:w="0"/>
        <w:jc w:val="center"/>
        <w:tblLook w:firstColumn="1" w:firstRow="1" w:lastColumn="0" w:lastRow="0" w:noHBand="0" w:noVBand="1" w:val="04A0"/>
      </w:tblPr>
      <w:tblGrid>
        <w:gridCol w:w="9994"/>
      </w:tblGrid>
      <w:t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Prohibited reassurance. </w:t>
            </w:r>
            <w:r>
              <w:t>The system must never output “No action needed because 10 movements were counted” when the woman reports that this is less or different than usual.</w:t>
            </w:r>
          </w:p>
        </w:tc>
      </w:tr>
    </w:tbl>
    <w:p/>
    <w:p>
      <w:pPr>
        <w:pStyle w:val="Heading2"/>
      </w:pPr>
      <w:r>
        <w:t>4.3 Reduced fetal movement episode data</w:t>
      </w:r>
    </w:p>
    <w:tbl>
      <w:tblPr>
        <w:tblStyle w:val="TableGrid"/>
        <w:tblW w:type="auto" w:w="0"/>
        <w:jc w:val="center"/>
        <w:tblLook w:firstColumn="1" w:firstRow="1" w:lastColumn="0" w:lastRow="0" w:noHBand="0" w:noVBand="1" w:val="04A0"/>
      </w:tblPr>
      <w:tblGrid>
        <w:gridCol w:w="4997"/>
        <w:gridCol w:w="4997"/>
      </w:tblGrid>
      <w:tr>
        <w:trPr>
          <w:cantSplit/>
        </w:trPr>
        <w:tc>
          <w:tcPr>
            <w:tcW w:type="dxa" w:w="2232"/>
            <w:vAlign w:val="center"/>
            <w:shd w:fill="17365D"/>
          </w:tcPr>
          <w:p>
            <w:pPr>
              <w:spacing w:after="0"/>
            </w:pPr>
            <w:r/>
            <w:r>
              <w:rPr>
                <w:rFonts w:ascii="Aptos" w:hAnsi="Aptos"/>
                <w:b/>
                <w:color w:val="FFFFFF"/>
                <w:sz w:val="16"/>
              </w:rPr>
              <w:t>Field group</w:t>
            </w:r>
          </w:p>
        </w:tc>
        <w:tc>
          <w:tcPr>
            <w:tcW w:type="dxa" w:w="8136"/>
            <w:vAlign w:val="center"/>
            <w:shd w:fill="17365D"/>
          </w:tcPr>
          <w:p>
            <w:pPr>
              <w:spacing w:after="0"/>
            </w:pPr>
            <w:r/>
            <w:r>
              <w:rPr>
                <w:rFonts w:ascii="Aptos" w:hAnsi="Aptos"/>
                <w:b/>
                <w:color w:val="FFFFFF"/>
                <w:sz w:val="16"/>
              </w:rPr>
              <w:t>Required information</w:t>
            </w:r>
          </w:p>
        </w:tc>
      </w:tr>
      <w:tr>
        <w:trPr>
          <w:cantSplit/>
        </w:trPr>
        <w:tc>
          <w:tcPr>
            <w:tcW w:type="dxa" w:w="2232"/>
            <w:vAlign w:val="center"/>
          </w:tcPr>
          <w:p>
            <w:pPr>
              <w:spacing w:after="0"/>
            </w:pPr>
            <w:r/>
            <w:r>
              <w:rPr>
                <w:rFonts w:ascii="Aptos" w:hAnsi="Aptos"/>
                <w:b w:val="0"/>
                <w:sz w:val="16"/>
              </w:rPr>
              <w:t>Perception</w:t>
            </w:r>
          </w:p>
        </w:tc>
        <w:tc>
          <w:tcPr>
            <w:tcW w:type="dxa" w:w="8136"/>
            <w:vAlign w:val="center"/>
          </w:tcPr>
          <w:p>
            <w:pPr>
              <w:spacing w:after="0"/>
            </w:pPr>
            <w:r/>
            <w:r>
              <w:rPr>
                <w:rFonts w:ascii="Aptos" w:hAnsi="Aptos"/>
                <w:b w:val="0"/>
                <w:sz w:val="16"/>
              </w:rPr>
              <w:t>Reduced, absent, weaker, different pattern, or uncertain.</w:t>
            </w:r>
          </w:p>
        </w:tc>
      </w:tr>
      <w:tr>
        <w:trPr>
          <w:cantSplit/>
        </w:trPr>
        <w:tc>
          <w:tcPr>
            <w:tcW w:type="dxa" w:w="2232"/>
            <w:vAlign w:val="center"/>
            <w:shd w:fill="F7F9FC"/>
          </w:tcPr>
          <w:p>
            <w:pPr>
              <w:spacing w:after="0"/>
            </w:pPr>
            <w:r/>
            <w:r>
              <w:rPr>
                <w:rFonts w:ascii="Aptos" w:hAnsi="Aptos"/>
                <w:b w:val="0"/>
                <w:sz w:val="16"/>
              </w:rPr>
              <w:t>Timing</w:t>
            </w:r>
          </w:p>
        </w:tc>
        <w:tc>
          <w:tcPr>
            <w:tcW w:type="dxa" w:w="8136"/>
            <w:vAlign w:val="center"/>
            <w:shd w:fill="F7F9FC"/>
          </w:tcPr>
          <w:p>
            <w:pPr>
              <w:spacing w:after="0"/>
            </w:pPr>
            <w:r/>
            <w:r>
              <w:rPr>
                <w:rFonts w:ascii="Aptos" w:hAnsi="Aptos"/>
                <w:b w:val="0"/>
                <w:sz w:val="16"/>
              </w:rPr>
              <w:t>When the change began; when movement was last felt; duration; whether movement returned.</w:t>
            </w:r>
          </w:p>
        </w:tc>
      </w:tr>
      <w:tr>
        <w:trPr>
          <w:cantSplit/>
        </w:trPr>
        <w:tc>
          <w:tcPr>
            <w:tcW w:type="dxa" w:w="2232"/>
            <w:vAlign w:val="center"/>
          </w:tcPr>
          <w:p>
            <w:pPr>
              <w:spacing w:after="0"/>
            </w:pPr>
            <w:r/>
            <w:r>
              <w:rPr>
                <w:rFonts w:ascii="Aptos" w:hAnsi="Aptos"/>
                <w:b w:val="0"/>
                <w:sz w:val="16"/>
              </w:rPr>
              <w:t>Episode history</w:t>
            </w:r>
          </w:p>
        </w:tc>
        <w:tc>
          <w:tcPr>
            <w:tcW w:type="dxa" w:w="8136"/>
            <w:vAlign w:val="center"/>
          </w:tcPr>
          <w:p>
            <w:pPr>
              <w:spacing w:after="0"/>
            </w:pPr>
            <w:r/>
            <w:r>
              <w:rPr>
                <w:rFonts w:ascii="Aptos" w:hAnsi="Aptos"/>
                <w:b w:val="0"/>
                <w:sz w:val="16"/>
              </w:rPr>
              <w:t>First episode or recurrent; dates and outcomes of prior episodes.</w:t>
            </w:r>
          </w:p>
        </w:tc>
      </w:tr>
      <w:tr>
        <w:trPr>
          <w:cantSplit/>
        </w:trPr>
        <w:tc>
          <w:tcPr>
            <w:tcW w:type="dxa" w:w="2232"/>
            <w:vAlign w:val="center"/>
            <w:shd w:fill="F7F9FC"/>
          </w:tcPr>
          <w:p>
            <w:pPr>
              <w:spacing w:after="0"/>
            </w:pPr>
            <w:r/>
            <w:r>
              <w:rPr>
                <w:rFonts w:ascii="Aptos" w:hAnsi="Aptos"/>
                <w:b w:val="0"/>
                <w:sz w:val="16"/>
              </w:rPr>
              <w:t>Gestation</w:t>
            </w:r>
          </w:p>
        </w:tc>
        <w:tc>
          <w:tcPr>
            <w:tcW w:type="dxa" w:w="8136"/>
            <w:vAlign w:val="center"/>
            <w:shd w:fill="F7F9FC"/>
          </w:tcPr>
          <w:p>
            <w:pPr>
              <w:spacing w:after="0"/>
            </w:pPr>
            <w:r/>
            <w:r>
              <w:rPr>
                <w:rFonts w:ascii="Aptos" w:hAnsi="Aptos"/>
                <w:b w:val="0"/>
                <w:sz w:val="16"/>
              </w:rPr>
              <w:t>Current GA and dating confidence.</w:t>
            </w:r>
          </w:p>
        </w:tc>
      </w:tr>
      <w:tr>
        <w:trPr>
          <w:cantSplit/>
        </w:trPr>
        <w:tc>
          <w:tcPr>
            <w:tcW w:type="dxa" w:w="2232"/>
            <w:vAlign w:val="center"/>
          </w:tcPr>
          <w:p>
            <w:pPr>
              <w:spacing w:after="0"/>
            </w:pPr>
            <w:r/>
            <w:r>
              <w:rPr>
                <w:rFonts w:ascii="Aptos" w:hAnsi="Aptos"/>
                <w:b w:val="0"/>
                <w:sz w:val="16"/>
              </w:rPr>
              <w:t>Associated features</w:t>
            </w:r>
          </w:p>
        </w:tc>
        <w:tc>
          <w:tcPr>
            <w:tcW w:type="dxa" w:w="8136"/>
            <w:vAlign w:val="center"/>
          </w:tcPr>
          <w:p>
            <w:pPr>
              <w:spacing w:after="0"/>
            </w:pPr>
            <w:r/>
            <w:r>
              <w:rPr>
                <w:rFonts w:ascii="Aptos" w:hAnsi="Aptos"/>
                <w:b w:val="0"/>
                <w:sz w:val="16"/>
              </w:rPr>
              <w:t>Bleeding, fluid loss, pain, contractions, fever, trauma, headache/visual symptoms, severe hypertension, illness.</w:t>
            </w:r>
          </w:p>
        </w:tc>
      </w:tr>
      <w:tr>
        <w:trPr>
          <w:cantSplit/>
        </w:trPr>
        <w:tc>
          <w:tcPr>
            <w:tcW w:type="dxa" w:w="2232"/>
            <w:vAlign w:val="center"/>
            <w:shd w:fill="F7F9FC"/>
          </w:tcPr>
          <w:p>
            <w:pPr>
              <w:spacing w:after="0"/>
            </w:pPr>
            <w:r/>
            <w:r>
              <w:rPr>
                <w:rFonts w:ascii="Aptos" w:hAnsi="Aptos"/>
                <w:b w:val="0"/>
                <w:sz w:val="16"/>
              </w:rPr>
              <w:t>Known modifiers</w:t>
            </w:r>
          </w:p>
        </w:tc>
        <w:tc>
          <w:tcPr>
            <w:tcW w:type="dxa" w:w="8136"/>
            <w:vAlign w:val="center"/>
            <w:shd w:fill="F7F9FC"/>
          </w:tcPr>
          <w:p>
            <w:pPr>
              <w:spacing w:after="0"/>
            </w:pPr>
            <w:r/>
            <w:r>
              <w:rPr>
                <w:rFonts w:ascii="Aptos" w:hAnsi="Aptos"/>
                <w:b w:val="0"/>
                <w:sz w:val="16"/>
              </w:rPr>
              <w:t>Anterior placenta if documented, sedating medication, smoking, diabetes, hypertension, growth concern, fetal anomaly, multiple pregnancy.</w:t>
            </w:r>
          </w:p>
        </w:tc>
      </w:tr>
      <w:tr>
        <w:trPr>
          <w:cantSplit/>
        </w:trPr>
        <w:tc>
          <w:tcPr>
            <w:tcW w:type="dxa" w:w="2232"/>
            <w:vAlign w:val="center"/>
          </w:tcPr>
          <w:p>
            <w:pPr>
              <w:spacing w:after="0"/>
            </w:pPr>
            <w:r/>
            <w:r>
              <w:rPr>
                <w:rFonts w:ascii="Aptos" w:hAnsi="Aptos"/>
                <w:b w:val="0"/>
                <w:sz w:val="16"/>
              </w:rPr>
              <w:t>Initial assessment</w:t>
            </w:r>
          </w:p>
        </w:tc>
        <w:tc>
          <w:tcPr>
            <w:tcW w:type="dxa" w:w="8136"/>
            <w:vAlign w:val="center"/>
          </w:tcPr>
          <w:p>
            <w:pPr>
              <w:spacing w:after="0"/>
            </w:pPr>
            <w:r/>
            <w:r>
              <w:rPr>
                <w:rFonts w:ascii="Aptos" w:hAnsi="Aptos"/>
                <w:b w:val="0"/>
                <w:sz w:val="16"/>
              </w:rPr>
              <w:t>Maternal observations, fetal heart auscultation, SFH/growth chart review.</w:t>
            </w:r>
          </w:p>
        </w:tc>
      </w:tr>
      <w:tr>
        <w:trPr>
          <w:cantSplit/>
        </w:trPr>
        <w:tc>
          <w:tcPr>
            <w:tcW w:type="dxa" w:w="2232"/>
            <w:vAlign w:val="center"/>
            <w:shd w:fill="F7F9FC"/>
          </w:tcPr>
          <w:p>
            <w:pPr>
              <w:spacing w:after="0"/>
            </w:pPr>
            <w:r/>
            <w:r>
              <w:rPr>
                <w:rFonts w:ascii="Aptos" w:hAnsi="Aptos"/>
                <w:b w:val="0"/>
                <w:sz w:val="16"/>
              </w:rPr>
              <w:t>Escalation</w:t>
            </w:r>
          </w:p>
        </w:tc>
        <w:tc>
          <w:tcPr>
            <w:tcW w:type="dxa" w:w="8136"/>
            <w:vAlign w:val="center"/>
            <w:shd w:fill="F7F9FC"/>
          </w:tcPr>
          <w:p>
            <w:pPr>
              <w:spacing w:after="0"/>
            </w:pPr>
            <w:r/>
            <w:r>
              <w:rPr>
                <w:rFonts w:ascii="Aptos" w:hAnsi="Aptos"/>
                <w:b w:val="0"/>
                <w:sz w:val="16"/>
              </w:rPr>
              <w:t>Destination, urgency, receiving facility, advice, departure/arrival or refusal documentation.</w:t>
            </w:r>
          </w:p>
        </w:tc>
      </w:tr>
      <w:tr>
        <w:trPr>
          <w:cantSplit/>
        </w:trPr>
        <w:tc>
          <w:tcPr>
            <w:tcW w:type="dxa" w:w="2232"/>
            <w:vAlign w:val="center"/>
          </w:tcPr>
          <w:p>
            <w:pPr>
              <w:spacing w:after="0"/>
            </w:pPr>
            <w:r/>
            <w:r>
              <w:rPr>
                <w:rFonts w:ascii="Aptos" w:hAnsi="Aptos"/>
                <w:b w:val="0"/>
                <w:sz w:val="16"/>
              </w:rPr>
              <w:t>Outcome</w:t>
            </w:r>
          </w:p>
        </w:tc>
        <w:tc>
          <w:tcPr>
            <w:tcW w:type="dxa" w:w="8136"/>
            <w:vAlign w:val="center"/>
          </w:tcPr>
          <w:p>
            <w:pPr>
              <w:spacing w:after="0"/>
            </w:pPr>
            <w:r/>
            <w:r>
              <w:rPr>
                <w:rFonts w:ascii="Aptos" w:hAnsi="Aptos"/>
                <w:b w:val="0"/>
                <w:sz w:val="16"/>
              </w:rPr>
              <w:t>CTG/ultrasound/obstetric result entered as a report, not independently interpreted by the CDSS.</w:t>
            </w:r>
          </w:p>
        </w:tc>
      </w:tr>
    </w:tbl>
    <w:p/>
    <w:p>
      <w:pPr>
        <w:pStyle w:val="Heading2"/>
      </w:pPr>
      <w:r>
        <w:t>4.4 Safe reduced-movement workflow</w:t>
      </w:r>
    </w:p>
    <w:p>
      <w:pPr>
        <w:pStyle w:val="ListNumber"/>
        <w:spacing w:after="60"/>
      </w:pPr>
      <w:r>
        <w:t>Treat the woman's report as valid; do not dismiss it because fetal heart activity is audible.</w:t>
      </w:r>
    </w:p>
    <w:p>
      <w:pPr>
        <w:pStyle w:val="ListNumber"/>
        <w:spacing w:after="60"/>
      </w:pPr>
      <w:r>
        <w:t>Determine gestational age, duration, last movement, whether this is recurrent, and associated warning symptoms.</w:t>
      </w:r>
    </w:p>
    <w:p>
      <w:pPr>
        <w:pStyle w:val="ListNumber"/>
        <w:spacing w:after="60"/>
      </w:pPr>
      <w:r>
        <w:t>Check maternal observations and auscultate fetal heart activity when within trained scope.</w:t>
      </w:r>
    </w:p>
    <w:p>
      <w:pPr>
        <w:pStyle w:val="ListNumber"/>
        <w:spacing w:after="60"/>
      </w:pPr>
      <w:r>
        <w:t>Review the growth pathway and most recent SFH/ultrasound information.</w:t>
      </w:r>
    </w:p>
    <w:p>
      <w:pPr>
        <w:pStyle w:val="ListNumber"/>
        <w:spacing w:after="60"/>
      </w:pPr>
      <w:r>
        <w:t>Escalate for same-day or immediate maternity assessment according to gestation, local protocol, symptoms, absent movement, or inability to confirm fetal heart activity.</w:t>
      </w:r>
    </w:p>
    <w:p>
      <w:pPr>
        <w:pStyle w:val="ListNumber"/>
        <w:spacing w:after="60"/>
      </w:pPr>
      <w:r>
        <w:t>Document advice that the woman should return again if concern recurs, even after a reassuring assessment.</w:t>
      </w:r>
    </w:p>
    <w:p>
      <w:pPr>
        <w:pStyle w:val="ListNumber"/>
        <w:spacing w:after="60"/>
      </w:pPr>
      <w:r>
        <w:t>For recurrent episodes, display the episode history prominently and increase escalation priority according to the receiving protocol.</w:t>
      </w:r>
    </w:p>
    <w:p>
      <w:pPr>
        <w:pStyle w:val="Heading1"/>
      </w:pPr>
      <w:r>
        <w:t>5. Symphysis-Fundal Height</w:t>
      </w:r>
    </w:p>
    <w:p>
      <w:r>
        <w:t>SFH is the distance from the upper border of the symphysis pubis to the uterine fundus, measured in centimetres using a non-elastic tape. Its value is greatest as a serial screening trend in eligible singleton pregnancies. It cannot by itself determine fetal weight, diagnose growth restriction, or identify the cause of a size discrepancy.</w:t>
      </w:r>
    </w:p>
    <w:p>
      <w:pPr>
        <w:pStyle w:val="Heading2"/>
      </w:pPr>
      <w:r>
        <w:t>5.1 Eligibility and schedule</w:t>
      </w:r>
    </w:p>
    <w:tbl>
      <w:tblPr>
        <w:tblStyle w:val="TableGrid"/>
        <w:tblW w:type="auto" w:w="0"/>
        <w:jc w:val="center"/>
        <w:tblLook w:firstColumn="1" w:firstRow="1" w:lastColumn="0" w:lastRow="0" w:noHBand="0" w:noVBand="1" w:val="04A0"/>
      </w:tblPr>
      <w:tblGrid>
        <w:gridCol w:w="4997"/>
        <w:gridCol w:w="4997"/>
      </w:tblGrid>
      <w:tr>
        <w:trPr>
          <w:cantSplit/>
        </w:trPr>
        <w:tc>
          <w:tcPr>
            <w:tcW w:type="dxa" w:w="3384"/>
            <w:vAlign w:val="center"/>
            <w:shd w:fill="17365D"/>
          </w:tcPr>
          <w:p>
            <w:pPr>
              <w:spacing w:after="0"/>
            </w:pPr>
            <w:r/>
            <w:r>
              <w:rPr>
                <w:rFonts w:ascii="Aptos" w:hAnsi="Aptos"/>
                <w:b/>
                <w:color w:val="FFFFFF"/>
                <w:sz w:val="16"/>
              </w:rPr>
              <w:t>Situation</w:t>
            </w:r>
          </w:p>
        </w:tc>
        <w:tc>
          <w:tcPr>
            <w:tcW w:type="dxa" w:w="6984"/>
            <w:vAlign w:val="center"/>
            <w:shd w:fill="17365D"/>
          </w:tcPr>
          <w:p>
            <w:pPr>
              <w:spacing w:after="0"/>
            </w:pPr>
            <w:r/>
            <w:r>
              <w:rPr>
                <w:rFonts w:ascii="Aptos" w:hAnsi="Aptos"/>
                <w:b/>
                <w:color w:val="FFFFFF"/>
                <w:sz w:val="16"/>
              </w:rPr>
              <w:t>Recommended system behavior</w:t>
            </w:r>
          </w:p>
        </w:tc>
      </w:tr>
      <w:tr>
        <w:trPr>
          <w:cantSplit/>
        </w:trPr>
        <w:tc>
          <w:tcPr>
            <w:tcW w:type="dxa" w:w="3384"/>
            <w:vAlign w:val="center"/>
          </w:tcPr>
          <w:p>
            <w:pPr>
              <w:spacing w:after="0"/>
            </w:pPr>
            <w:r/>
            <w:r>
              <w:rPr>
                <w:rFonts w:ascii="Aptos" w:hAnsi="Aptos"/>
                <w:b w:val="0"/>
                <w:sz w:val="16"/>
              </w:rPr>
              <w:t>Singleton pregnancy, low risk for FGR, not on serial ultrasound surveillance</w:t>
            </w:r>
          </w:p>
        </w:tc>
        <w:tc>
          <w:tcPr>
            <w:tcW w:type="dxa" w:w="6984"/>
            <w:vAlign w:val="center"/>
          </w:tcPr>
          <w:p>
            <w:pPr>
              <w:spacing w:after="0"/>
            </w:pPr>
            <w:r/>
            <w:r>
              <w:rPr>
                <w:rFonts w:ascii="Aptos" w:hAnsi="Aptos"/>
                <w:b w:val="0"/>
                <w:sz w:val="16"/>
              </w:rPr>
              <w:t>Prompt SFH at antenatal appointments after 24+0 weeks, no more frequently than every 2 weeks; ensure first measurement by the locally configured deadline.</w:t>
            </w:r>
          </w:p>
        </w:tc>
      </w:tr>
      <w:tr>
        <w:trPr>
          <w:cantSplit/>
        </w:trPr>
        <w:tc>
          <w:tcPr>
            <w:tcW w:type="dxa" w:w="3384"/>
            <w:vAlign w:val="center"/>
            <w:shd w:fill="F7F9FC"/>
          </w:tcPr>
          <w:p>
            <w:pPr>
              <w:spacing w:after="0"/>
            </w:pPr>
            <w:r/>
            <w:r>
              <w:rPr>
                <w:rFonts w:ascii="Aptos" w:hAnsi="Aptos"/>
                <w:b w:val="0"/>
                <w:sz w:val="16"/>
              </w:rPr>
              <w:t>Already on regular/serial growth scans</w:t>
            </w:r>
          </w:p>
        </w:tc>
        <w:tc>
          <w:tcPr>
            <w:tcW w:type="dxa" w:w="6984"/>
            <w:vAlign w:val="center"/>
            <w:shd w:fill="F7F9FC"/>
          </w:tcPr>
          <w:p>
            <w:pPr>
              <w:spacing w:after="0"/>
            </w:pPr>
            <w:r/>
            <w:r>
              <w:rPr>
                <w:rFonts w:ascii="Aptos" w:hAnsi="Aptos"/>
                <w:b w:val="0"/>
                <w:sz w:val="16"/>
              </w:rPr>
              <w:t>Stop routine SFH prompts when the ultrasound surveillance pathway begins.</w:t>
            </w:r>
          </w:p>
        </w:tc>
      </w:tr>
      <w:tr>
        <w:trPr>
          <w:cantSplit/>
        </w:trPr>
        <w:tc>
          <w:tcPr>
            <w:tcW w:type="dxa" w:w="3384"/>
            <w:vAlign w:val="center"/>
          </w:tcPr>
          <w:p>
            <w:pPr>
              <w:spacing w:after="0"/>
            </w:pPr>
            <w:r/>
            <w:r>
              <w:rPr>
                <w:rFonts w:ascii="Aptos" w:hAnsi="Aptos"/>
                <w:b w:val="0"/>
                <w:sz w:val="16"/>
              </w:rPr>
              <w:t>Multiple pregnancy</w:t>
            </w:r>
          </w:p>
        </w:tc>
        <w:tc>
          <w:tcPr>
            <w:tcW w:type="dxa" w:w="6984"/>
            <w:vAlign w:val="center"/>
          </w:tcPr>
          <w:p>
            <w:pPr>
              <w:spacing w:after="0"/>
            </w:pPr>
            <w:r/>
            <w:r>
              <w:rPr>
                <w:rFonts w:ascii="Aptos" w:hAnsi="Aptos"/>
                <w:b w:val="0"/>
                <w:sz w:val="16"/>
              </w:rPr>
              <w:t>Do not apply singleton SFH chart logic; follow specialist surveillance pathway.</w:t>
            </w:r>
          </w:p>
        </w:tc>
      </w:tr>
      <w:tr>
        <w:trPr>
          <w:cantSplit/>
        </w:trPr>
        <w:tc>
          <w:tcPr>
            <w:tcW w:type="dxa" w:w="3384"/>
            <w:vAlign w:val="center"/>
            <w:shd w:fill="F7F9FC"/>
          </w:tcPr>
          <w:p>
            <w:pPr>
              <w:spacing w:after="0"/>
            </w:pPr>
            <w:r/>
            <w:r>
              <w:rPr>
                <w:rFonts w:ascii="Aptos" w:hAnsi="Aptos"/>
                <w:b w:val="0"/>
                <w:sz w:val="16"/>
              </w:rPr>
              <w:t>Uterine fibroids, high BMI, polyhydramnios/oligohydramnios, uncertain dates, or other measurement limitation</w:t>
            </w:r>
          </w:p>
        </w:tc>
        <w:tc>
          <w:tcPr>
            <w:tcW w:type="dxa" w:w="6984"/>
            <w:vAlign w:val="center"/>
            <w:shd w:fill="F7F9FC"/>
          </w:tcPr>
          <w:p>
            <w:pPr>
              <w:spacing w:after="0"/>
            </w:pPr>
            <w:r/>
            <w:r>
              <w:rPr>
                <w:rFonts w:ascii="Aptos" w:hAnsi="Aptos"/>
                <w:b w:val="0"/>
                <w:sz w:val="16"/>
              </w:rPr>
              <w:t>Allow measurement but flag reduced interpretability or route directly to the configured imaging pathway.</w:t>
            </w:r>
          </w:p>
        </w:tc>
      </w:tr>
      <w:tr>
        <w:trPr>
          <w:cantSplit/>
        </w:trPr>
        <w:tc>
          <w:tcPr>
            <w:tcW w:type="dxa" w:w="3384"/>
            <w:vAlign w:val="center"/>
          </w:tcPr>
          <w:p>
            <w:pPr>
              <w:spacing w:after="0"/>
            </w:pPr>
            <w:r/>
            <w:r>
              <w:rPr>
                <w:rFonts w:ascii="Aptos" w:hAnsi="Aptos"/>
                <w:b w:val="0"/>
                <w:sz w:val="16"/>
              </w:rPr>
              <w:t>No trained measurer or no appropriate chart</w:t>
            </w:r>
          </w:p>
        </w:tc>
        <w:tc>
          <w:tcPr>
            <w:tcW w:type="dxa" w:w="6984"/>
            <w:vAlign w:val="center"/>
          </w:tcPr>
          <w:p>
            <w:pPr>
              <w:spacing w:after="0"/>
            </w:pPr>
            <w:r/>
            <w:r>
              <w:rPr>
                <w:rFonts w:ascii="Aptos" w:hAnsi="Aptos"/>
                <w:b w:val="0"/>
                <w:sz w:val="16"/>
              </w:rPr>
              <w:t>Record not assessable and arrange appropriate review; do not fabricate a value.</w:t>
            </w:r>
          </w:p>
        </w:tc>
      </w:tr>
    </w:tbl>
    <w:p/>
    <w:p>
      <w:pPr>
        <w:pStyle w:val="Heading2"/>
      </w:pPr>
      <w:r>
        <w:t>5.2 Measurement-quality fields</w:t>
      </w:r>
    </w:p>
    <w:p>
      <w:pPr>
        <w:pStyle w:val="ListBullet"/>
        <w:spacing w:after="50"/>
      </w:pPr>
      <w:r>
        <w:t>Date/time, gestational age, and accepted EDD version.</w:t>
      </w:r>
    </w:p>
    <w:p>
      <w:pPr>
        <w:pStyle w:val="ListBullet"/>
        <w:spacing w:after="50"/>
      </w:pPr>
      <w:r>
        <w:t>SFH in whole centimetres.</w:t>
      </w:r>
    </w:p>
    <w:p>
      <w:pPr>
        <w:pStyle w:val="ListBullet"/>
        <w:spacing w:after="50"/>
      </w:pPr>
      <w:r>
        <w:t>Singleton/multiple status and whether serial growth scans are active.</w:t>
      </w:r>
    </w:p>
    <w:p>
      <w:pPr>
        <w:pStyle w:val="ListBullet"/>
        <w:spacing w:after="50"/>
      </w:pPr>
      <w:r>
        <w:t>Maternal bladder status if required by local protocol.</w:t>
      </w:r>
    </w:p>
    <w:p>
      <w:pPr>
        <w:pStyle w:val="ListBullet"/>
        <w:spacing w:after="50"/>
      </w:pPr>
      <w:r>
        <w:t>Maternal position and tape type.</w:t>
      </w:r>
    </w:p>
    <w:p>
      <w:pPr>
        <w:pStyle w:val="ListBullet"/>
        <w:spacing w:after="50"/>
      </w:pPr>
      <w:r>
        <w:t>Measurement technique and measurer identity.</w:t>
      </w:r>
    </w:p>
    <w:p>
      <w:pPr>
        <w:pStyle w:val="ListBullet"/>
        <w:spacing w:after="50"/>
      </w:pPr>
      <w:r>
        <w:t>Chart type/version and plotted centile or chart position, when authorized.</w:t>
      </w:r>
    </w:p>
    <w:p>
      <w:pPr>
        <w:pStyle w:val="ListBullet"/>
        <w:spacing w:after="50"/>
      </w:pPr>
      <w:r>
        <w:t>Measurement limitations and whether repeat measurement was performed.</w:t>
      </w:r>
    </w:p>
    <w:p>
      <w:pPr>
        <w:pStyle w:val="ListBullet"/>
        <w:spacing w:after="50"/>
      </w:pPr>
      <w:r>
        <w:t>Trend interpretation by qualified staff: expected, possible small, possible large, static/slow growth, rapid rise, unreliable, or not interpreted.</w:t>
      </w:r>
    </w:p>
    <w:p>
      <w:pPr>
        <w:pStyle w:val="ListBullet"/>
        <w:spacing w:after="50"/>
      </w:pPr>
      <w:r>
        <w:t>Action and referral outcome.</w:t>
      </w:r>
    </w:p>
    <w:p>
      <w:pPr>
        <w:pStyle w:val="Heading2"/>
      </w:pPr>
      <w:r>
        <w:t>5.3 Interpretation principles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448"/>
            <w:vAlign w:val="center"/>
            <w:shd w:fill="17365D"/>
          </w:tcPr>
          <w:p>
            <w:pPr>
              <w:spacing w:after="0"/>
            </w:pPr>
            <w:r/>
            <w:r>
              <w:rPr>
                <w:rFonts w:ascii="Aptos" w:hAnsi="Aptos"/>
                <w:b/>
                <w:color w:val="FFFFFF"/>
                <w:sz w:val="16"/>
              </w:rPr>
              <w:t>Pattern</w:t>
            </w:r>
          </w:p>
        </w:tc>
        <w:tc>
          <w:tcPr>
            <w:tcW w:type="dxa" w:w="4752"/>
            <w:vAlign w:val="center"/>
            <w:shd w:fill="17365D"/>
          </w:tcPr>
          <w:p>
            <w:pPr>
              <w:spacing w:after="0"/>
            </w:pPr>
            <w:r/>
            <w:r>
              <w:rPr>
                <w:rFonts w:ascii="Aptos" w:hAnsi="Aptos"/>
                <w:b/>
                <w:color w:val="FFFFFF"/>
                <w:sz w:val="16"/>
              </w:rPr>
              <w:t>Possible explanations</w:t>
            </w:r>
          </w:p>
        </w:tc>
        <w:tc>
          <w:tcPr>
            <w:tcW w:type="dxa" w:w="3168"/>
            <w:vAlign w:val="center"/>
            <w:shd w:fill="17365D"/>
          </w:tcPr>
          <w:p>
            <w:pPr>
              <w:spacing w:after="0"/>
            </w:pPr>
            <w:r/>
            <w:r>
              <w:rPr>
                <w:rFonts w:ascii="Aptos" w:hAnsi="Aptos"/>
                <w:b/>
                <w:color w:val="FFFFFF"/>
                <w:sz w:val="16"/>
              </w:rPr>
              <w:t>CDSS action</w:t>
            </w:r>
          </w:p>
        </w:tc>
      </w:tr>
      <w:tr>
        <w:trPr>
          <w:cantSplit/>
        </w:trPr>
        <w:tc>
          <w:tcPr>
            <w:tcW w:type="dxa" w:w="2448"/>
            <w:vAlign w:val="center"/>
          </w:tcPr>
          <w:p>
            <w:pPr>
              <w:spacing w:after="0"/>
            </w:pPr>
            <w:r/>
            <w:r>
              <w:rPr>
                <w:rFonts w:ascii="Aptos" w:hAnsi="Aptos"/>
                <w:b w:val="0"/>
                <w:sz w:val="15"/>
              </w:rPr>
              <w:t>Measurement/trend smaller than expected</w:t>
            </w:r>
          </w:p>
        </w:tc>
        <w:tc>
          <w:tcPr>
            <w:tcW w:type="dxa" w:w="4752"/>
            <w:vAlign w:val="center"/>
          </w:tcPr>
          <w:p>
            <w:pPr>
              <w:spacing w:after="0"/>
            </w:pPr>
            <w:r/>
            <w:r>
              <w:rPr>
                <w:rFonts w:ascii="Aptos" w:hAnsi="Aptos"/>
                <w:b w:val="0"/>
                <w:sz w:val="15"/>
              </w:rPr>
              <w:t>Incorrect dates, technique, constitutional size, fetal growth restriction, low fluid, fetal position, or other factors.</w:t>
            </w:r>
          </w:p>
        </w:tc>
        <w:tc>
          <w:tcPr>
            <w:tcW w:type="dxa" w:w="3168"/>
            <w:vAlign w:val="center"/>
          </w:tcPr>
          <w:p>
            <w:pPr>
              <w:spacing w:after="0"/>
            </w:pPr>
            <w:r/>
            <w:r>
              <w:rPr>
                <w:rFonts w:ascii="Aptos" w:hAnsi="Aptos"/>
                <w:b w:val="0"/>
                <w:sz w:val="15"/>
              </w:rPr>
              <w:t>Check dating and technique; create ultrasound/obstetric review prompt according to local protocol and associated findings.</w:t>
            </w:r>
          </w:p>
        </w:tc>
      </w:tr>
      <w:tr>
        <w:trPr>
          <w:cantSplit/>
        </w:trPr>
        <w:tc>
          <w:tcPr>
            <w:tcW w:type="dxa" w:w="2448"/>
            <w:vAlign w:val="center"/>
            <w:shd w:fill="F7F9FC"/>
          </w:tcPr>
          <w:p>
            <w:pPr>
              <w:spacing w:after="0"/>
            </w:pPr>
            <w:r/>
            <w:r>
              <w:rPr>
                <w:rFonts w:ascii="Aptos" w:hAnsi="Aptos"/>
                <w:b w:val="0"/>
                <w:sz w:val="15"/>
              </w:rPr>
              <w:t>Static or slowing serial trend</w:t>
            </w:r>
          </w:p>
        </w:tc>
        <w:tc>
          <w:tcPr>
            <w:tcW w:type="dxa" w:w="4752"/>
            <w:vAlign w:val="center"/>
            <w:shd w:fill="F7F9FC"/>
          </w:tcPr>
          <w:p>
            <w:pPr>
              <w:spacing w:after="0"/>
            </w:pPr>
            <w:r/>
            <w:r>
              <w:rPr>
                <w:rFonts w:ascii="Aptos" w:hAnsi="Aptos"/>
                <w:b w:val="0"/>
                <w:sz w:val="15"/>
              </w:rPr>
              <w:t>Measurement variation or impaired growth.</w:t>
            </w:r>
          </w:p>
        </w:tc>
        <w:tc>
          <w:tcPr>
            <w:tcW w:type="dxa" w:w="3168"/>
            <w:vAlign w:val="center"/>
            <w:shd w:fill="F7F9FC"/>
          </w:tcPr>
          <w:p>
            <w:pPr>
              <w:spacing w:after="0"/>
            </w:pPr>
            <w:r/>
            <w:r>
              <w:rPr>
                <w:rFonts w:ascii="Aptos" w:hAnsi="Aptos"/>
                <w:b w:val="0"/>
                <w:sz w:val="15"/>
              </w:rPr>
              <w:t>Treat trend as more important than a single number; prioritize review.</w:t>
            </w:r>
          </w:p>
        </w:tc>
      </w:tr>
      <w:tr>
        <w:trPr>
          <w:cantSplit/>
        </w:trPr>
        <w:tc>
          <w:tcPr>
            <w:tcW w:type="dxa" w:w="2448"/>
            <w:vAlign w:val="center"/>
          </w:tcPr>
          <w:p>
            <w:pPr>
              <w:spacing w:after="0"/>
            </w:pPr>
            <w:r/>
            <w:r>
              <w:rPr>
                <w:rFonts w:ascii="Aptos" w:hAnsi="Aptos"/>
                <w:b w:val="0"/>
                <w:sz w:val="15"/>
              </w:rPr>
              <w:t>Measurement/trend larger than expected</w:t>
            </w:r>
          </w:p>
        </w:tc>
        <w:tc>
          <w:tcPr>
            <w:tcW w:type="dxa" w:w="4752"/>
            <w:vAlign w:val="center"/>
          </w:tcPr>
          <w:p>
            <w:pPr>
              <w:spacing w:after="0"/>
            </w:pPr>
            <w:r/>
            <w:r>
              <w:rPr>
                <w:rFonts w:ascii="Aptos" w:hAnsi="Aptos"/>
                <w:b w:val="0"/>
                <w:sz w:val="15"/>
              </w:rPr>
              <w:t>Incorrect dates, technique, multiple pregnancy, fibroid, high fluid, macrosomia, maternal habitus, or other factors.</w:t>
            </w:r>
          </w:p>
        </w:tc>
        <w:tc>
          <w:tcPr>
            <w:tcW w:type="dxa" w:w="3168"/>
            <w:vAlign w:val="center"/>
          </w:tcPr>
          <w:p>
            <w:pPr>
              <w:spacing w:after="0"/>
            </w:pPr>
            <w:r/>
            <w:r>
              <w:rPr>
                <w:rFonts w:ascii="Aptos" w:hAnsi="Aptos"/>
                <w:b w:val="0"/>
                <w:sz w:val="15"/>
              </w:rPr>
              <w:t>Consider ultrasound review; do not label macrosomia.</w:t>
            </w:r>
          </w:p>
        </w:tc>
      </w:tr>
      <w:tr>
        <w:trPr>
          <w:cantSplit/>
        </w:trPr>
        <w:tc>
          <w:tcPr>
            <w:tcW w:type="dxa" w:w="2448"/>
            <w:vAlign w:val="center"/>
            <w:shd w:fill="F7F9FC"/>
          </w:tcPr>
          <w:p>
            <w:pPr>
              <w:spacing w:after="0"/>
            </w:pPr>
            <w:r/>
            <w:r>
              <w:rPr>
                <w:rFonts w:ascii="Aptos" w:hAnsi="Aptos"/>
                <w:b w:val="0"/>
                <w:sz w:val="15"/>
              </w:rPr>
              <w:t>Rapid increase</w:t>
            </w:r>
          </w:p>
        </w:tc>
        <w:tc>
          <w:tcPr>
            <w:tcW w:type="dxa" w:w="4752"/>
            <w:vAlign w:val="center"/>
            <w:shd w:fill="F7F9FC"/>
          </w:tcPr>
          <w:p>
            <w:pPr>
              <w:spacing w:after="0"/>
            </w:pPr>
            <w:r/>
            <w:r>
              <w:rPr>
                <w:rFonts w:ascii="Aptos" w:hAnsi="Aptos"/>
                <w:b w:val="0"/>
                <w:sz w:val="15"/>
              </w:rPr>
              <w:t>Measurement error, fluid change, growth, multiple pregnancy, or other pathology.</w:t>
            </w:r>
          </w:p>
        </w:tc>
        <w:tc>
          <w:tcPr>
            <w:tcW w:type="dxa" w:w="3168"/>
            <w:vAlign w:val="center"/>
            <w:shd w:fill="F7F9FC"/>
          </w:tcPr>
          <w:p>
            <w:pPr>
              <w:spacing w:after="0"/>
            </w:pPr>
            <w:r/>
            <w:r>
              <w:rPr>
                <w:rFonts w:ascii="Aptos" w:hAnsi="Aptos"/>
                <w:b w:val="0"/>
                <w:sz w:val="15"/>
              </w:rPr>
              <w:t>Repeat/confirm and escalate based on the whole picture.</w:t>
            </w:r>
          </w:p>
        </w:tc>
      </w:tr>
      <w:tr>
        <w:trPr>
          <w:cantSplit/>
        </w:trPr>
        <w:tc>
          <w:tcPr>
            <w:tcW w:type="dxa" w:w="2448"/>
            <w:vAlign w:val="center"/>
          </w:tcPr>
          <w:p>
            <w:pPr>
              <w:spacing w:after="0"/>
            </w:pPr>
            <w:r/>
            <w:r>
              <w:rPr>
                <w:rFonts w:ascii="Aptos" w:hAnsi="Aptos"/>
                <w:b w:val="0"/>
                <w:sz w:val="15"/>
              </w:rPr>
              <w:t>Cannot measure reliably</w:t>
            </w:r>
          </w:p>
        </w:tc>
        <w:tc>
          <w:tcPr>
            <w:tcW w:type="dxa" w:w="4752"/>
            <w:vAlign w:val="center"/>
          </w:tcPr>
          <w:p>
            <w:pPr>
              <w:spacing w:after="0"/>
            </w:pPr>
            <w:r/>
            <w:r>
              <w:rPr>
                <w:rFonts w:ascii="Aptos" w:hAnsi="Aptos"/>
                <w:b w:val="0"/>
                <w:sz w:val="15"/>
              </w:rPr>
              <w:t>Obesity, fibroids, discomfort, anatomy, uncertainty, or operator limitation.</w:t>
            </w:r>
          </w:p>
        </w:tc>
        <w:tc>
          <w:tcPr>
            <w:tcW w:type="dxa" w:w="3168"/>
            <w:vAlign w:val="center"/>
          </w:tcPr>
          <w:p>
            <w:pPr>
              <w:spacing w:after="0"/>
            </w:pPr>
            <w:r/>
            <w:r>
              <w:rPr>
                <w:rFonts w:ascii="Aptos" w:hAnsi="Aptos"/>
                <w:b w:val="0"/>
                <w:sz w:val="15"/>
              </w:rPr>
              <w:t>Document limitation and use the alternative surveillance pathway.</w:t>
            </w:r>
          </w:p>
        </w:tc>
      </w:tr>
    </w:tbl>
    <w:p/>
    <w:tbl>
      <w:tblPr>
        <w:tblW w:type="auto" w:w="0"/>
        <w:jc w:val="center"/>
        <w:tblLook w:firstColumn="1" w:firstRow="1" w:lastColumn="0" w:lastRow="0" w:noHBand="0" w:noVBand="1" w:val="04A0"/>
      </w:tblPr>
      <w:tblGrid>
        <w:gridCol w:w="9994"/>
      </w:tblGrid>
      <w:t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Why trends matter. </w:t>
            </w:r>
            <w:r>
              <w:t>A single SFH number should not independently trigger a diagnosis. The CDSS should compare serial measurements obtained with comparable technique and show the chart/trend to the clinician.</w:t>
            </w:r>
          </w:p>
        </w:tc>
      </w:tr>
    </w:tbl>
    <w:p/>
    <w:p>
      <w:pPr>
        <w:pStyle w:val="Heading1"/>
      </w:pPr>
      <w:r>
        <w:t>6. Interaction Matrix</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232"/>
            <w:vAlign w:val="center"/>
            <w:shd w:fill="17365D"/>
          </w:tcPr>
          <w:p>
            <w:pPr>
              <w:spacing w:after="0"/>
            </w:pPr>
            <w:r/>
            <w:r>
              <w:rPr>
                <w:rFonts w:ascii="Aptos" w:hAnsi="Aptos"/>
                <w:b/>
                <w:color w:val="FFFFFF"/>
                <w:sz w:val="16"/>
              </w:rPr>
              <w:t>Interacting factor</w:t>
            </w:r>
          </w:p>
        </w:tc>
        <w:tc>
          <w:tcPr>
            <w:tcW w:type="dxa" w:w="4536"/>
            <w:vAlign w:val="center"/>
            <w:shd w:fill="17365D"/>
          </w:tcPr>
          <w:p>
            <w:pPr>
              <w:spacing w:after="0"/>
            </w:pPr>
            <w:r/>
            <w:r>
              <w:rPr>
                <w:rFonts w:ascii="Aptos" w:hAnsi="Aptos"/>
                <w:b/>
                <w:color w:val="FFFFFF"/>
                <w:sz w:val="16"/>
              </w:rPr>
              <w:t>Clinical relevance</w:t>
            </w:r>
          </w:p>
        </w:tc>
        <w:tc>
          <w:tcPr>
            <w:tcW w:type="dxa" w:w="3600"/>
            <w:vAlign w:val="center"/>
            <w:shd w:fill="17365D"/>
          </w:tcPr>
          <w:p>
            <w:pPr>
              <w:spacing w:after="0"/>
            </w:pPr>
            <w:r/>
            <w:r>
              <w:rPr>
                <w:rFonts w:ascii="Aptos" w:hAnsi="Aptos"/>
                <w:b/>
                <w:color w:val="FFFFFF"/>
                <w:sz w:val="16"/>
              </w:rPr>
              <w:t>Required CDSS behavior</w:t>
            </w:r>
          </w:p>
        </w:tc>
      </w:tr>
      <w:tr>
        <w:trPr>
          <w:cantSplit/>
        </w:trPr>
        <w:tc>
          <w:tcPr>
            <w:tcW w:type="dxa" w:w="2232"/>
            <w:vAlign w:val="center"/>
          </w:tcPr>
          <w:p>
            <w:pPr>
              <w:spacing w:after="0"/>
            </w:pPr>
            <w:r/>
            <w:r>
              <w:rPr>
                <w:rFonts w:ascii="Aptos" w:hAnsi="Aptos"/>
                <w:b w:val="0"/>
                <w:sz w:val="14"/>
              </w:rPr>
              <w:t>Gestational age / EDD confidence</w:t>
            </w:r>
          </w:p>
        </w:tc>
        <w:tc>
          <w:tcPr>
            <w:tcW w:type="dxa" w:w="4536"/>
            <w:vAlign w:val="center"/>
          </w:tcPr>
          <w:p>
            <w:pPr>
              <w:spacing w:after="0"/>
            </w:pPr>
            <w:r/>
            <w:r>
              <w:rPr>
                <w:rFonts w:ascii="Aptos" w:hAnsi="Aptos"/>
                <w:b w:val="0"/>
                <w:sz w:val="14"/>
              </w:rPr>
              <w:t>All three observations depend on accurate timing.</w:t>
            </w:r>
          </w:p>
        </w:tc>
        <w:tc>
          <w:tcPr>
            <w:tcW w:type="dxa" w:w="3600"/>
            <w:vAlign w:val="center"/>
          </w:tcPr>
          <w:p>
            <w:pPr>
              <w:spacing w:after="0"/>
            </w:pPr>
            <w:r/>
            <w:r>
              <w:rPr>
                <w:rFonts w:ascii="Aptos" w:hAnsi="Aptos"/>
                <w:b w:val="0"/>
                <w:sz w:val="14"/>
              </w:rPr>
              <w:t>Display dating confidence; lower certainty should reduce precision, not produce a diagnosis.</w:t>
            </w:r>
          </w:p>
        </w:tc>
      </w:tr>
      <w:tr>
        <w:trPr>
          <w:cantSplit/>
        </w:trPr>
        <w:tc>
          <w:tcPr>
            <w:tcW w:type="dxa" w:w="2232"/>
            <w:vAlign w:val="center"/>
            <w:shd w:fill="F7F9FC"/>
          </w:tcPr>
          <w:p>
            <w:pPr>
              <w:spacing w:after="0"/>
            </w:pPr>
            <w:r/>
            <w:r>
              <w:rPr>
                <w:rFonts w:ascii="Aptos" w:hAnsi="Aptos"/>
                <w:b w:val="0"/>
                <w:sz w:val="14"/>
              </w:rPr>
              <w:t>Hypertension / preeclampsia concern</w:t>
            </w:r>
          </w:p>
        </w:tc>
        <w:tc>
          <w:tcPr>
            <w:tcW w:type="dxa" w:w="4536"/>
            <w:vAlign w:val="center"/>
            <w:shd w:fill="F7F9FC"/>
          </w:tcPr>
          <w:p>
            <w:pPr>
              <w:spacing w:after="0"/>
            </w:pPr>
            <w:r/>
            <w:r>
              <w:rPr>
                <w:rFonts w:ascii="Aptos" w:hAnsi="Aptos"/>
                <w:b w:val="0"/>
                <w:sz w:val="14"/>
              </w:rPr>
              <w:t>Raised BP plus small SFH or reduced movement increases urgency.</w:t>
            </w:r>
          </w:p>
        </w:tc>
        <w:tc>
          <w:tcPr>
            <w:tcW w:type="dxa" w:w="3600"/>
            <w:vAlign w:val="center"/>
            <w:shd w:fill="F7F9FC"/>
          </w:tcPr>
          <w:p>
            <w:pPr>
              <w:spacing w:after="0"/>
            </w:pPr>
            <w:r/>
            <w:r>
              <w:rPr>
                <w:rFonts w:ascii="Aptos" w:hAnsi="Aptos"/>
                <w:b w:val="0"/>
                <w:sz w:val="14"/>
              </w:rPr>
              <w:t>Combine signals for escalation; do not independently diagnose placental insufficiency.</w:t>
            </w:r>
          </w:p>
        </w:tc>
      </w:tr>
      <w:tr>
        <w:trPr>
          <w:cantSplit/>
        </w:trPr>
        <w:tc>
          <w:tcPr>
            <w:tcW w:type="dxa" w:w="2232"/>
            <w:vAlign w:val="center"/>
          </w:tcPr>
          <w:p>
            <w:pPr>
              <w:spacing w:after="0"/>
            </w:pPr>
            <w:r/>
            <w:r>
              <w:rPr>
                <w:rFonts w:ascii="Aptos" w:hAnsi="Aptos"/>
                <w:b w:val="0"/>
                <w:sz w:val="14"/>
              </w:rPr>
              <w:t>Diabetes</w:t>
            </w:r>
          </w:p>
        </w:tc>
        <w:tc>
          <w:tcPr>
            <w:tcW w:type="dxa" w:w="4536"/>
            <w:vAlign w:val="center"/>
          </w:tcPr>
          <w:p>
            <w:pPr>
              <w:spacing w:after="0"/>
            </w:pPr>
            <w:r/>
            <w:r>
              <w:rPr>
                <w:rFonts w:ascii="Aptos" w:hAnsi="Aptos"/>
                <w:b w:val="0"/>
                <w:sz w:val="14"/>
              </w:rPr>
              <w:t>May increase growth and surveillance concerns.</w:t>
            </w:r>
          </w:p>
        </w:tc>
        <w:tc>
          <w:tcPr>
            <w:tcW w:type="dxa" w:w="3600"/>
            <w:vAlign w:val="center"/>
          </w:tcPr>
          <w:p>
            <w:pPr>
              <w:spacing w:after="0"/>
            </w:pPr>
            <w:r/>
            <w:r>
              <w:rPr>
                <w:rFonts w:ascii="Aptos" w:hAnsi="Aptos"/>
                <w:b w:val="0"/>
                <w:sz w:val="14"/>
              </w:rPr>
              <w:t>Show diabetes status beside SFH trend and formal surveillance plan.</w:t>
            </w:r>
          </w:p>
        </w:tc>
      </w:tr>
      <w:tr>
        <w:trPr>
          <w:cantSplit/>
        </w:trPr>
        <w:tc>
          <w:tcPr>
            <w:tcW w:type="dxa" w:w="2232"/>
            <w:vAlign w:val="center"/>
            <w:shd w:fill="F7F9FC"/>
          </w:tcPr>
          <w:p>
            <w:pPr>
              <w:spacing w:after="0"/>
            </w:pPr>
            <w:r/>
            <w:r>
              <w:rPr>
                <w:rFonts w:ascii="Aptos" w:hAnsi="Aptos"/>
                <w:b w:val="0"/>
                <w:sz w:val="14"/>
              </w:rPr>
              <w:t>Anemia / maternal illness / fever</w:t>
            </w:r>
          </w:p>
        </w:tc>
        <w:tc>
          <w:tcPr>
            <w:tcW w:type="dxa" w:w="4536"/>
            <w:vAlign w:val="center"/>
            <w:shd w:fill="F7F9FC"/>
          </w:tcPr>
          <w:p>
            <w:pPr>
              <w:spacing w:after="0"/>
            </w:pPr>
            <w:r/>
            <w:r>
              <w:rPr>
                <w:rFonts w:ascii="Aptos" w:hAnsi="Aptos"/>
                <w:b w:val="0"/>
                <w:sz w:val="14"/>
              </w:rPr>
              <w:t>Maternal condition can affect heart rate and movement perception.</w:t>
            </w:r>
          </w:p>
        </w:tc>
        <w:tc>
          <w:tcPr>
            <w:tcW w:type="dxa" w:w="3600"/>
            <w:vAlign w:val="center"/>
            <w:shd w:fill="F7F9FC"/>
          </w:tcPr>
          <w:p>
            <w:pPr>
              <w:spacing w:after="0"/>
            </w:pPr>
            <w:r/>
            <w:r>
              <w:rPr>
                <w:rFonts w:ascii="Aptos" w:hAnsi="Aptos"/>
                <w:b w:val="0"/>
                <w:sz w:val="14"/>
              </w:rPr>
              <w:t>Record maternal observations and escalate the total clinical picture.</w:t>
            </w:r>
          </w:p>
        </w:tc>
      </w:tr>
      <w:tr>
        <w:trPr>
          <w:cantSplit/>
        </w:trPr>
        <w:tc>
          <w:tcPr>
            <w:tcW w:type="dxa" w:w="2232"/>
            <w:vAlign w:val="center"/>
          </w:tcPr>
          <w:p>
            <w:pPr>
              <w:spacing w:after="0"/>
            </w:pPr>
            <w:r/>
            <w:r>
              <w:rPr>
                <w:rFonts w:ascii="Aptos" w:hAnsi="Aptos"/>
                <w:b w:val="0"/>
                <w:sz w:val="14"/>
              </w:rPr>
              <w:t>Previous cesarean</w:t>
            </w:r>
          </w:p>
        </w:tc>
        <w:tc>
          <w:tcPr>
            <w:tcW w:type="dxa" w:w="4536"/>
            <w:vAlign w:val="center"/>
          </w:tcPr>
          <w:p>
            <w:pPr>
              <w:spacing w:after="0"/>
            </w:pPr>
            <w:r/>
            <w:r>
              <w:rPr>
                <w:rFonts w:ascii="Aptos" w:hAnsi="Aptos"/>
                <w:b w:val="0"/>
                <w:sz w:val="14"/>
              </w:rPr>
              <w:t>Pain, bleeding, contractions, or reduced movement may require urgent hospital care.</w:t>
            </w:r>
          </w:p>
        </w:tc>
        <w:tc>
          <w:tcPr>
            <w:tcW w:type="dxa" w:w="3600"/>
            <w:vAlign w:val="center"/>
          </w:tcPr>
          <w:p>
            <w:pPr>
              <w:spacing w:after="0"/>
            </w:pPr>
            <w:r/>
            <w:r>
              <w:rPr>
                <w:rFonts w:ascii="Aptos" w:hAnsi="Aptos"/>
                <w:b w:val="0"/>
                <w:sz w:val="14"/>
              </w:rPr>
              <w:t>Emergency symptoms override routine clinic workflow.</w:t>
            </w:r>
          </w:p>
        </w:tc>
      </w:tr>
      <w:tr>
        <w:trPr>
          <w:cantSplit/>
        </w:trPr>
        <w:tc>
          <w:tcPr>
            <w:tcW w:type="dxa" w:w="2232"/>
            <w:vAlign w:val="center"/>
            <w:shd w:fill="F7F9FC"/>
          </w:tcPr>
          <w:p>
            <w:pPr>
              <w:spacing w:after="0"/>
            </w:pPr>
            <w:r/>
            <w:r>
              <w:rPr>
                <w:rFonts w:ascii="Aptos" w:hAnsi="Aptos"/>
                <w:b w:val="0"/>
                <w:sz w:val="14"/>
              </w:rPr>
              <w:t>Adverse obstetric history</w:t>
            </w:r>
          </w:p>
        </w:tc>
        <w:tc>
          <w:tcPr>
            <w:tcW w:type="dxa" w:w="4536"/>
            <w:vAlign w:val="center"/>
            <w:shd w:fill="F7F9FC"/>
          </w:tcPr>
          <w:p>
            <w:pPr>
              <w:spacing w:after="0"/>
            </w:pPr>
            <w:r/>
            <w:r>
              <w:rPr>
                <w:rFonts w:ascii="Aptos" w:hAnsi="Aptos"/>
                <w:b w:val="0"/>
                <w:sz w:val="14"/>
              </w:rPr>
              <w:t>Prior stillbirth/FGR may change the surveillance pathway.</w:t>
            </w:r>
          </w:p>
        </w:tc>
        <w:tc>
          <w:tcPr>
            <w:tcW w:type="dxa" w:w="3600"/>
            <w:vAlign w:val="center"/>
            <w:shd w:fill="F7F9FC"/>
          </w:tcPr>
          <w:p>
            <w:pPr>
              <w:spacing w:after="0"/>
            </w:pPr>
            <w:r/>
            <w:r>
              <w:rPr>
                <w:rFonts w:ascii="Aptos" w:hAnsi="Aptos"/>
                <w:b w:val="0"/>
                <w:sz w:val="14"/>
              </w:rPr>
              <w:t>Display history and specialist plan; avoid generic low-risk prompts.</w:t>
            </w:r>
          </w:p>
        </w:tc>
      </w:tr>
      <w:tr>
        <w:trPr>
          <w:cantSplit/>
        </w:trPr>
        <w:tc>
          <w:tcPr>
            <w:tcW w:type="dxa" w:w="2232"/>
            <w:vAlign w:val="center"/>
          </w:tcPr>
          <w:p>
            <w:pPr>
              <w:spacing w:after="0"/>
            </w:pPr>
            <w:r/>
            <w:r>
              <w:rPr>
                <w:rFonts w:ascii="Aptos" w:hAnsi="Aptos"/>
                <w:b w:val="0"/>
                <w:sz w:val="14"/>
              </w:rPr>
              <w:t>Multiple pregnancy</w:t>
            </w:r>
          </w:p>
        </w:tc>
        <w:tc>
          <w:tcPr>
            <w:tcW w:type="dxa" w:w="4536"/>
            <w:vAlign w:val="center"/>
          </w:tcPr>
          <w:p>
            <w:pPr>
              <w:spacing w:after="0"/>
            </w:pPr>
            <w:r/>
            <w:r>
              <w:rPr>
                <w:rFonts w:ascii="Aptos" w:hAnsi="Aptos"/>
                <w:b w:val="0"/>
                <w:sz w:val="14"/>
              </w:rPr>
              <w:t>FHR source identification and SFH charting are more complex.</w:t>
            </w:r>
          </w:p>
        </w:tc>
        <w:tc>
          <w:tcPr>
            <w:tcW w:type="dxa" w:w="3600"/>
            <w:vAlign w:val="center"/>
          </w:tcPr>
          <w:p>
            <w:pPr>
              <w:spacing w:after="0"/>
            </w:pPr>
            <w:r/>
            <w:r>
              <w:rPr>
                <w:rFonts w:ascii="Aptos" w:hAnsi="Aptos"/>
                <w:b w:val="0"/>
                <w:sz w:val="14"/>
              </w:rPr>
              <w:t>Do not use singleton logic; require fetus-specific reports/specialist care.</w:t>
            </w:r>
          </w:p>
        </w:tc>
      </w:tr>
      <w:tr>
        <w:trPr>
          <w:cantSplit/>
        </w:trPr>
        <w:tc>
          <w:tcPr>
            <w:tcW w:type="dxa" w:w="2232"/>
            <w:vAlign w:val="center"/>
            <w:shd w:fill="F7F9FC"/>
          </w:tcPr>
          <w:p>
            <w:pPr>
              <w:spacing w:after="0"/>
            </w:pPr>
            <w:r/>
            <w:r>
              <w:rPr>
                <w:rFonts w:ascii="Aptos" w:hAnsi="Aptos"/>
                <w:b w:val="0"/>
                <w:sz w:val="14"/>
              </w:rPr>
              <w:t>Ultrasound findings</w:t>
            </w:r>
          </w:p>
        </w:tc>
        <w:tc>
          <w:tcPr>
            <w:tcW w:type="dxa" w:w="4536"/>
            <w:vAlign w:val="center"/>
            <w:shd w:fill="F7F9FC"/>
          </w:tcPr>
          <w:p>
            <w:pPr>
              <w:spacing w:after="0"/>
            </w:pPr>
            <w:r/>
            <w:r>
              <w:rPr>
                <w:rFonts w:ascii="Aptos" w:hAnsi="Aptos"/>
                <w:b w:val="0"/>
                <w:sz w:val="14"/>
              </w:rPr>
              <w:t>Presentation, fluid, placenta, growth, and anomaly change interpretation.</w:t>
            </w:r>
          </w:p>
        </w:tc>
        <w:tc>
          <w:tcPr>
            <w:tcW w:type="dxa" w:w="3600"/>
            <w:vAlign w:val="center"/>
            <w:shd w:fill="F7F9FC"/>
          </w:tcPr>
          <w:p>
            <w:pPr>
              <w:spacing w:after="0"/>
            </w:pPr>
            <w:r/>
            <w:r>
              <w:rPr>
                <w:rFonts w:ascii="Aptos" w:hAnsi="Aptos"/>
                <w:b w:val="0"/>
                <w:sz w:val="14"/>
              </w:rPr>
              <w:t>Use reported findings and dates; never infer ultrasound diagnosis.</w:t>
            </w:r>
          </w:p>
        </w:tc>
      </w:tr>
      <w:tr>
        <w:trPr>
          <w:cantSplit/>
        </w:trPr>
        <w:tc>
          <w:tcPr>
            <w:tcW w:type="dxa" w:w="2232"/>
            <w:vAlign w:val="center"/>
          </w:tcPr>
          <w:p>
            <w:pPr>
              <w:spacing w:after="0"/>
            </w:pPr>
            <w:r/>
            <w:r>
              <w:rPr>
                <w:rFonts w:ascii="Aptos" w:hAnsi="Aptos"/>
                <w:b w:val="0"/>
                <w:sz w:val="14"/>
              </w:rPr>
              <w:t>Maternal movement concern + normal brief FHR</w:t>
            </w:r>
          </w:p>
        </w:tc>
        <w:tc>
          <w:tcPr>
            <w:tcW w:type="dxa" w:w="4536"/>
            <w:vAlign w:val="center"/>
          </w:tcPr>
          <w:p>
            <w:pPr>
              <w:spacing w:after="0"/>
            </w:pPr>
            <w:r/>
            <w:r>
              <w:rPr>
                <w:rFonts w:ascii="Aptos" w:hAnsi="Aptos"/>
                <w:b w:val="0"/>
                <w:sz w:val="14"/>
              </w:rPr>
              <w:t>Audible heart activity does not rule out compromise.</w:t>
            </w:r>
          </w:p>
        </w:tc>
        <w:tc>
          <w:tcPr>
            <w:tcW w:type="dxa" w:w="3600"/>
            <w:vAlign w:val="center"/>
          </w:tcPr>
          <w:p>
            <w:pPr>
              <w:spacing w:after="0"/>
            </w:pPr>
            <w:r/>
            <w:r>
              <w:rPr>
                <w:rFonts w:ascii="Aptos" w:hAnsi="Aptos"/>
                <w:b w:val="0"/>
                <w:sz w:val="14"/>
              </w:rPr>
              <w:t>Continue reduced-movement escalation.</w:t>
            </w:r>
          </w:p>
        </w:tc>
      </w:tr>
      <w:tr>
        <w:trPr>
          <w:cantSplit/>
        </w:trPr>
        <w:tc>
          <w:tcPr>
            <w:tcW w:type="dxa" w:w="2232"/>
            <w:vAlign w:val="center"/>
            <w:shd w:fill="F7F9FC"/>
          </w:tcPr>
          <w:p>
            <w:pPr>
              <w:spacing w:after="0"/>
            </w:pPr>
            <w:r/>
            <w:r>
              <w:rPr>
                <w:rFonts w:ascii="Aptos" w:hAnsi="Aptos"/>
                <w:b w:val="0"/>
                <w:sz w:val="14"/>
              </w:rPr>
              <w:t>SFH concern + reduced movement</w:t>
            </w:r>
          </w:p>
        </w:tc>
        <w:tc>
          <w:tcPr>
            <w:tcW w:type="dxa" w:w="4536"/>
            <w:vAlign w:val="center"/>
            <w:shd w:fill="F7F9FC"/>
          </w:tcPr>
          <w:p>
            <w:pPr>
              <w:spacing w:after="0"/>
            </w:pPr>
            <w:r/>
            <w:r>
              <w:rPr>
                <w:rFonts w:ascii="Aptos" w:hAnsi="Aptos"/>
                <w:b w:val="0"/>
                <w:sz w:val="14"/>
              </w:rPr>
              <w:t>Combined concern is more urgent than either isolated entry.</w:t>
            </w:r>
          </w:p>
        </w:tc>
        <w:tc>
          <w:tcPr>
            <w:tcW w:type="dxa" w:w="3600"/>
            <w:vAlign w:val="center"/>
            <w:shd w:fill="F7F9FC"/>
          </w:tcPr>
          <w:p>
            <w:pPr>
              <w:spacing w:after="0"/>
            </w:pPr>
            <w:r/>
            <w:r>
              <w:rPr>
                <w:rFonts w:ascii="Aptos" w:hAnsi="Aptos"/>
                <w:b w:val="0"/>
                <w:sz w:val="14"/>
              </w:rPr>
              <w:t>Prioritize same-day/immediate maternity assessment per protocol.</w:t>
            </w:r>
          </w:p>
        </w:tc>
      </w:tr>
    </w:tbl>
    <w:p/>
    <w:p>
      <w:pPr>
        <w:pStyle w:val="Heading1"/>
      </w:pPr>
      <w:r>
        <w:t>7. Lying-In Clinic Scope and Escalation</w:t>
      </w:r>
    </w:p>
    <w:tbl>
      <w:tblPr>
        <w:tblStyle w:val="TableGrid"/>
        <w:tblW w:type="auto" w:w="0"/>
        <w:jc w:val="center"/>
        <w:tblLook w:firstColumn="1" w:firstRow="1" w:lastColumn="0" w:lastRow="0" w:noHBand="0" w:noVBand="1" w:val="04A0"/>
      </w:tblPr>
      <w:tblGrid>
        <w:gridCol w:w="4997"/>
        <w:gridCol w:w="4997"/>
      </w:tblGrid>
      <w:tr>
        <w:trPr>
          <w:cantSplit/>
        </w:trPr>
        <w:tc>
          <w:tcPr>
            <w:tcW w:type="dxa" w:w="5112"/>
            <w:vAlign w:val="center"/>
            <w:shd w:fill="17365D"/>
          </w:tcPr>
          <w:p>
            <w:pPr>
              <w:spacing w:after="0"/>
            </w:pPr>
            <w:r/>
            <w:r>
              <w:rPr>
                <w:rFonts w:ascii="Aptos" w:hAnsi="Aptos"/>
                <w:b/>
                <w:color w:val="FFFFFF"/>
                <w:sz w:val="16"/>
              </w:rPr>
              <w:t>Within lying-in clinic scope</w:t>
            </w:r>
          </w:p>
        </w:tc>
        <w:tc>
          <w:tcPr>
            <w:tcW w:type="dxa" w:w="5112"/>
            <w:vAlign w:val="center"/>
            <w:shd w:fill="17365D"/>
          </w:tcPr>
          <w:p>
            <w:pPr>
              <w:spacing w:after="0"/>
            </w:pPr>
            <w:r/>
            <w:r>
              <w:rPr>
                <w:rFonts w:ascii="Aptos" w:hAnsi="Aptos"/>
                <w:b/>
                <w:color w:val="FFFFFF"/>
                <w:sz w:val="16"/>
              </w:rPr>
              <w:t>Requires hospital/obstetric capability</w:t>
            </w:r>
          </w:p>
        </w:tc>
      </w:tr>
      <w:tr>
        <w:trPr>
          <w:cantSplit/>
        </w:trPr>
        <w:tc>
          <w:tcPr>
            <w:tcW w:type="dxa" w:w="5112"/>
            <w:vAlign w:val="center"/>
          </w:tcPr>
          <w:p>
            <w:pPr>
              <w:spacing w:after="0"/>
            </w:pPr>
            <w:r/>
            <w:r>
              <w:rPr>
                <w:rFonts w:ascii="Aptos" w:hAnsi="Aptos"/>
                <w:b w:val="0"/>
                <w:sz w:val="16"/>
              </w:rPr>
              <w:t>Ask about fetal movement and provide safety-net advice</w:t>
            </w:r>
          </w:p>
        </w:tc>
        <w:tc>
          <w:tcPr>
            <w:tcW w:type="dxa" w:w="5112"/>
            <w:vAlign w:val="center"/>
          </w:tcPr>
          <w:p>
            <w:pPr>
              <w:spacing w:after="0"/>
            </w:pPr>
            <w:r/>
            <w:r>
              <w:rPr>
                <w:rFonts w:ascii="Aptos" w:hAnsi="Aptos"/>
                <w:b w:val="0"/>
                <w:sz w:val="16"/>
              </w:rPr>
              <w:t>Formal assessment of reduced/absent movement after viability</w:t>
            </w:r>
          </w:p>
        </w:tc>
      </w:tr>
      <w:tr>
        <w:trPr>
          <w:cantSplit/>
        </w:trPr>
        <w:tc>
          <w:tcPr>
            <w:tcW w:type="dxa" w:w="5112"/>
            <w:vAlign w:val="center"/>
            <w:shd w:fill="F7F9FC"/>
          </w:tcPr>
          <w:p>
            <w:pPr>
              <w:spacing w:after="0"/>
            </w:pPr>
            <w:r/>
            <w:r>
              <w:rPr>
                <w:rFonts w:ascii="Aptos" w:hAnsi="Aptos"/>
                <w:b w:val="0"/>
                <w:sz w:val="16"/>
              </w:rPr>
              <w:t>Auscultate fetal heart activity with trained staff and suitable equipment</w:t>
            </w:r>
          </w:p>
        </w:tc>
        <w:tc>
          <w:tcPr>
            <w:tcW w:type="dxa" w:w="5112"/>
            <w:vAlign w:val="center"/>
            <w:shd w:fill="F7F9FC"/>
          </w:tcPr>
          <w:p>
            <w:pPr>
              <w:spacing w:after="0"/>
            </w:pPr>
            <w:r/>
            <w:r>
              <w:rPr>
                <w:rFonts w:ascii="Aptos" w:hAnsi="Aptos"/>
                <w:b w:val="0"/>
                <w:sz w:val="16"/>
              </w:rPr>
              <w:t>CTG interpretation, prolonged surveillance, biophysical profile</w:t>
            </w:r>
          </w:p>
        </w:tc>
      </w:tr>
      <w:tr>
        <w:trPr>
          <w:cantSplit/>
        </w:trPr>
        <w:tc>
          <w:tcPr>
            <w:tcW w:type="dxa" w:w="5112"/>
            <w:vAlign w:val="center"/>
          </w:tcPr>
          <w:p>
            <w:pPr>
              <w:spacing w:after="0"/>
            </w:pPr>
            <w:r/>
            <w:r>
              <w:rPr>
                <w:rFonts w:ascii="Aptos" w:hAnsi="Aptos"/>
                <w:b w:val="0"/>
                <w:sz w:val="16"/>
              </w:rPr>
              <w:t>Measure and plot SFH for eligible pregnancies</w:t>
            </w:r>
          </w:p>
        </w:tc>
        <w:tc>
          <w:tcPr>
            <w:tcW w:type="dxa" w:w="5112"/>
            <w:vAlign w:val="center"/>
          </w:tcPr>
          <w:p>
            <w:pPr>
              <w:spacing w:after="0"/>
            </w:pPr>
            <w:r/>
            <w:r>
              <w:rPr>
                <w:rFonts w:ascii="Aptos" w:hAnsi="Aptos"/>
                <w:b w:val="0"/>
                <w:sz w:val="16"/>
              </w:rPr>
              <w:t>Ultrasound growth, fluid, Doppler, anomaly, or placental assessment</w:t>
            </w:r>
          </w:p>
        </w:tc>
      </w:tr>
      <w:tr>
        <w:trPr>
          <w:cantSplit/>
        </w:trPr>
        <w:tc>
          <w:tcPr>
            <w:tcW w:type="dxa" w:w="5112"/>
            <w:vAlign w:val="center"/>
            <w:shd w:fill="F7F9FC"/>
          </w:tcPr>
          <w:p>
            <w:pPr>
              <w:spacing w:after="0"/>
            </w:pPr>
            <w:r/>
            <w:r>
              <w:rPr>
                <w:rFonts w:ascii="Aptos" w:hAnsi="Aptos"/>
                <w:b w:val="0"/>
                <w:sz w:val="16"/>
              </w:rPr>
              <w:t>Recognize abnormal, uncertain, or discordant findings</w:t>
            </w:r>
          </w:p>
        </w:tc>
        <w:tc>
          <w:tcPr>
            <w:tcW w:type="dxa" w:w="5112"/>
            <w:vAlign w:val="center"/>
            <w:shd w:fill="F7F9FC"/>
          </w:tcPr>
          <w:p>
            <w:pPr>
              <w:spacing w:after="0"/>
            </w:pPr>
            <w:r/>
            <w:r>
              <w:rPr>
                <w:rFonts w:ascii="Aptos" w:hAnsi="Aptos"/>
                <w:b w:val="0"/>
                <w:sz w:val="16"/>
              </w:rPr>
              <w:t>Diagnose FGR, macrosomia, fetal arrhythmia, or fetal compromise</w:t>
            </w:r>
          </w:p>
        </w:tc>
      </w:tr>
      <w:tr>
        <w:trPr>
          <w:cantSplit/>
        </w:trPr>
        <w:tc>
          <w:tcPr>
            <w:tcW w:type="dxa" w:w="5112"/>
            <w:vAlign w:val="center"/>
          </w:tcPr>
          <w:p>
            <w:pPr>
              <w:spacing w:after="0"/>
            </w:pPr>
            <w:r/>
            <w:r>
              <w:rPr>
                <w:rFonts w:ascii="Aptos" w:hAnsi="Aptos"/>
                <w:b w:val="0"/>
                <w:sz w:val="16"/>
              </w:rPr>
              <w:t>Arrange and document referral/transfer</w:t>
            </w:r>
          </w:p>
        </w:tc>
        <w:tc>
          <w:tcPr>
            <w:tcW w:type="dxa" w:w="5112"/>
            <w:vAlign w:val="center"/>
          </w:tcPr>
          <w:p>
            <w:pPr>
              <w:spacing w:after="0"/>
            </w:pPr>
            <w:r/>
            <w:r>
              <w:rPr>
                <w:rFonts w:ascii="Aptos" w:hAnsi="Aptos"/>
                <w:b w:val="0"/>
                <w:sz w:val="16"/>
              </w:rPr>
              <w:t>Decide timing of induction, cesarean, corticosteroids, or delivery</w:t>
            </w:r>
          </w:p>
        </w:tc>
      </w:tr>
      <w:tr>
        <w:trPr>
          <w:cantSplit/>
        </w:trPr>
        <w:tc>
          <w:tcPr>
            <w:tcW w:type="dxa" w:w="5112"/>
            <w:vAlign w:val="center"/>
            <w:shd w:fill="F7F9FC"/>
          </w:tcPr>
          <w:p>
            <w:pPr>
              <w:spacing w:after="0"/>
            </w:pPr>
            <w:r/>
            <w:r>
              <w:rPr>
                <w:rFonts w:ascii="Aptos" w:hAnsi="Aptos"/>
                <w:b w:val="0"/>
                <w:sz w:val="16"/>
              </w:rPr>
              <w:t>Record refusal and safety-net counseling</w:t>
            </w:r>
          </w:p>
        </w:tc>
        <w:tc>
          <w:tcPr>
            <w:tcW w:type="dxa" w:w="5112"/>
            <w:vAlign w:val="center"/>
            <w:shd w:fill="F7F9FC"/>
          </w:tcPr>
          <w:p>
            <w:pPr>
              <w:spacing w:after="0"/>
            </w:pPr>
            <w:r/>
            <w:r>
              <w:rPr>
                <w:rFonts w:ascii="Aptos" w:hAnsi="Aptos"/>
                <w:b w:val="0"/>
                <w:sz w:val="16"/>
              </w:rPr>
              <w:t>Manage emergency fetal or maternal deterioration without appropriate resources</w:t>
            </w:r>
          </w:p>
        </w:tc>
      </w:tr>
    </w:tbl>
    <w:p/>
    <w:tbl>
      <w:tblPr>
        <w:tblW w:type="auto" w:w="0"/>
        <w:jc w:val="center"/>
        <w:tblLook w:firstColumn="1" w:firstRow="1" w:lastColumn="0" w:lastRow="0" w:noHBand="0" w:noVBand="1" w:val="04A0"/>
      </w:tblPr>
      <w:tblGrid>
        <w:gridCol w:w="9994"/>
      </w:tblGrid>
      <w:tr>
        <w:tc>
          <w:tcPr>
            <w:tcW w:type="dxa" w:w="9994"/>
            <w:shd w:fill="FFF2CC"/>
            <w:tcBorders>
              <w:top w:val="single" w:sz="8" w:color="C69C38"/>
              <w:left w:val="single" w:sz="8" w:color="C69C38"/>
              <w:bottom w:val="single" w:sz="8" w:color="C69C38"/>
              <w:right w:val="single" w:sz="8" w:color="C69C38"/>
            </w:tcBorders>
          </w:tcPr>
          <w:p>
            <w:pPr>
              <w:pStyle w:val="Callout"/>
            </w:pPr>
            <w:r>
              <w:rPr>
                <w:b/>
                <w:color w:val="C69C38"/>
              </w:rPr>
              <w:t xml:space="preserve">Emergency transfer principle. </w:t>
            </w:r>
            <w:r>
              <w:t>Absent movement with additional warning symptoms, inability to confirm expected fetal heart activity, persistent marked rate abnormality, or maternal instability should activate the clinic's emergency referral/transfer protocol rather than an ordinary follow-up task.</w:t>
            </w:r>
          </w:p>
        </w:tc>
      </w:tr>
    </w:tbl>
    <w:p/>
    <w:p>
      <w:pPr>
        <w:pStyle w:val="Heading1"/>
      </w:pPr>
      <w:r>
        <w:t>8. CDSS Knowledge Rules</w:t>
      </w:r>
    </w:p>
    <w:tbl>
      <w:tblPr>
        <w:tblStyle w:val="TableGrid"/>
        <w:tblW w:type="auto" w:w="0"/>
        <w:jc w:val="center"/>
        <w:tblLook w:firstColumn="1" w:firstRow="1" w:lastColumn="0" w:lastRow="0" w:noHBand="0" w:noVBand="1" w:val="04A0"/>
      </w:tblPr>
      <w:tblGrid>
        <w:gridCol w:w="4997"/>
        <w:gridCol w:w="4997"/>
      </w:tblGrid>
      <w:tr>
        <w:trPr>
          <w:cantSplit/>
        </w:trPr>
        <w:tc>
          <w:tcPr>
            <w:tcW w:type="dxa" w:w="1224"/>
            <w:vAlign w:val="center"/>
            <w:shd w:fill="17365D"/>
          </w:tcPr>
          <w:p>
            <w:pPr>
              <w:spacing w:after="0"/>
            </w:pPr>
            <w:r/>
            <w:r>
              <w:rPr>
                <w:rFonts w:ascii="Aptos" w:hAnsi="Aptos"/>
                <w:b/>
                <w:color w:val="FFFFFF"/>
                <w:sz w:val="16"/>
              </w:rPr>
              <w:t>Rule ID</w:t>
            </w:r>
          </w:p>
        </w:tc>
        <w:tc>
          <w:tcPr>
            <w:tcW w:type="dxa" w:w="9144"/>
            <w:vAlign w:val="center"/>
            <w:shd w:fill="17365D"/>
          </w:tcPr>
          <w:p>
            <w:pPr>
              <w:spacing w:after="0"/>
            </w:pPr>
            <w:r/>
            <w:r>
              <w:rPr>
                <w:rFonts w:ascii="Aptos" w:hAnsi="Aptos"/>
                <w:b/>
                <w:color w:val="FFFFFF"/>
                <w:sz w:val="16"/>
              </w:rPr>
              <w:t>Knowledge-base specification</w:t>
            </w:r>
          </w:p>
        </w:tc>
      </w:tr>
      <w:tr>
        <w:trPr>
          <w:cantSplit/>
        </w:trPr>
        <w:tc>
          <w:tcPr>
            <w:tcW w:type="dxa" w:w="1224"/>
            <w:vAlign w:val="center"/>
          </w:tcPr>
          <w:p>
            <w:pPr>
              <w:spacing w:after="0"/>
            </w:pPr>
            <w:r/>
            <w:r>
              <w:rPr>
                <w:rFonts w:ascii="Aptos" w:hAnsi="Aptos"/>
                <w:b w:val="0"/>
                <w:sz w:val="15"/>
              </w:rPr>
              <w:t>FHR-01</w:t>
            </w:r>
          </w:p>
        </w:tc>
        <w:tc>
          <w:tcPr>
            <w:tcW w:type="dxa" w:w="9144"/>
            <w:vAlign w:val="center"/>
          </w:tcPr>
          <w:p>
            <w:pPr>
              <w:spacing w:after="0"/>
            </w:pPr>
            <w:r/>
            <w:r>
              <w:rPr>
                <w:rFonts w:ascii="Aptos" w:hAnsi="Aptos"/>
                <w:b w:val="0"/>
                <w:sz w:val="15"/>
              </w:rPr>
              <w:t>Store fetal-heart presence, method, rate, count duration, maternal pulse check, rhythm impression, operator, and action.</w:t>
            </w:r>
          </w:p>
        </w:tc>
      </w:tr>
      <w:tr>
        <w:trPr>
          <w:cantSplit/>
        </w:trPr>
        <w:tc>
          <w:tcPr>
            <w:tcW w:type="dxa" w:w="1224"/>
            <w:vAlign w:val="center"/>
            <w:shd w:fill="F7F9FC"/>
          </w:tcPr>
          <w:p>
            <w:pPr>
              <w:spacing w:after="0"/>
            </w:pPr>
            <w:r/>
            <w:r>
              <w:rPr>
                <w:rFonts w:ascii="Aptos" w:hAnsi="Aptos"/>
                <w:b w:val="0"/>
                <w:sz w:val="15"/>
              </w:rPr>
              <w:t>FHR-02</w:t>
            </w:r>
          </w:p>
        </w:tc>
        <w:tc>
          <w:tcPr>
            <w:tcW w:type="dxa" w:w="9144"/>
            <w:vAlign w:val="center"/>
            <w:shd w:fill="F7F9FC"/>
          </w:tcPr>
          <w:p>
            <w:pPr>
              <w:spacing w:after="0"/>
            </w:pPr>
            <w:r/>
            <w:r>
              <w:rPr>
                <w:rFonts w:ascii="Aptos" w:hAnsi="Aptos"/>
                <w:b w:val="0"/>
                <w:sz w:val="15"/>
              </w:rPr>
              <w:t>A brief handheld rate within the configured reference range must not be treated as a complete fetal-wellbeing assessment.</w:t>
            </w:r>
          </w:p>
        </w:tc>
      </w:tr>
      <w:tr>
        <w:trPr>
          <w:cantSplit/>
        </w:trPr>
        <w:tc>
          <w:tcPr>
            <w:tcW w:type="dxa" w:w="1224"/>
            <w:vAlign w:val="center"/>
          </w:tcPr>
          <w:p>
            <w:pPr>
              <w:spacing w:after="0"/>
            </w:pPr>
            <w:r/>
            <w:r>
              <w:rPr>
                <w:rFonts w:ascii="Aptos" w:hAnsi="Aptos"/>
                <w:b w:val="0"/>
                <w:sz w:val="15"/>
              </w:rPr>
              <w:t>FHR-03</w:t>
            </w:r>
          </w:p>
        </w:tc>
        <w:tc>
          <w:tcPr>
            <w:tcW w:type="dxa" w:w="9144"/>
            <w:vAlign w:val="center"/>
          </w:tcPr>
          <w:p>
            <w:pPr>
              <w:spacing w:after="0"/>
            </w:pPr>
            <w:r/>
            <w:r>
              <w:rPr>
                <w:rFonts w:ascii="Aptos" w:hAnsi="Aptos"/>
                <w:b w:val="0"/>
                <w:sz w:val="15"/>
              </w:rPr>
              <w:t>If rate is outside the configured reference range, require prompt repeat/confirmation and qualified escalation; never diagnose.</w:t>
            </w:r>
          </w:p>
        </w:tc>
      </w:tr>
      <w:tr>
        <w:trPr>
          <w:cantSplit/>
        </w:trPr>
        <w:tc>
          <w:tcPr>
            <w:tcW w:type="dxa" w:w="1224"/>
            <w:vAlign w:val="center"/>
            <w:shd w:fill="F7F9FC"/>
          </w:tcPr>
          <w:p>
            <w:pPr>
              <w:spacing w:after="0"/>
            </w:pPr>
            <w:r/>
            <w:r>
              <w:rPr>
                <w:rFonts w:ascii="Aptos" w:hAnsi="Aptos"/>
                <w:b w:val="0"/>
                <w:sz w:val="15"/>
              </w:rPr>
              <w:t>FHR-04</w:t>
            </w:r>
          </w:p>
        </w:tc>
        <w:tc>
          <w:tcPr>
            <w:tcW w:type="dxa" w:w="9144"/>
            <w:vAlign w:val="center"/>
            <w:shd w:fill="F7F9FC"/>
          </w:tcPr>
          <w:p>
            <w:pPr>
              <w:spacing w:after="0"/>
            </w:pPr>
            <w:r/>
            <w:r>
              <w:rPr>
                <w:rFonts w:ascii="Aptos" w:hAnsi="Aptos"/>
                <w:b w:val="0"/>
                <w:sz w:val="15"/>
              </w:rPr>
              <w:t>If fetal heart activity is not found when expected, prevent final documentation as confirmed absence after one attempt; activate immediate review/ultrasound pathway.</w:t>
            </w:r>
          </w:p>
        </w:tc>
      </w:tr>
      <w:tr>
        <w:trPr>
          <w:cantSplit/>
        </w:trPr>
        <w:tc>
          <w:tcPr>
            <w:tcW w:type="dxa" w:w="1224"/>
            <w:vAlign w:val="center"/>
          </w:tcPr>
          <w:p>
            <w:pPr>
              <w:spacing w:after="0"/>
            </w:pPr>
            <w:r/>
            <w:r>
              <w:rPr>
                <w:rFonts w:ascii="Aptos" w:hAnsi="Aptos"/>
                <w:b w:val="0"/>
                <w:sz w:val="15"/>
              </w:rPr>
              <w:t>FHR-05</w:t>
            </w:r>
          </w:p>
        </w:tc>
        <w:tc>
          <w:tcPr>
            <w:tcW w:type="dxa" w:w="9144"/>
            <w:vAlign w:val="center"/>
          </w:tcPr>
          <w:p>
            <w:pPr>
              <w:spacing w:after="0"/>
            </w:pPr>
            <w:r/>
            <w:r>
              <w:rPr>
                <w:rFonts w:ascii="Aptos" w:hAnsi="Aptos"/>
                <w:b w:val="0"/>
                <w:sz w:val="15"/>
              </w:rPr>
              <w:t>If the source may be maternal pulse, require comparison before accepting the fetal rate.</w:t>
            </w:r>
          </w:p>
        </w:tc>
      </w:tr>
      <w:tr>
        <w:trPr>
          <w:cantSplit/>
        </w:trPr>
        <w:tc>
          <w:tcPr>
            <w:tcW w:type="dxa" w:w="1224"/>
            <w:vAlign w:val="center"/>
            <w:shd w:fill="F7F9FC"/>
          </w:tcPr>
          <w:p>
            <w:pPr>
              <w:spacing w:after="0"/>
            </w:pPr>
            <w:r/>
            <w:r>
              <w:rPr>
                <w:rFonts w:ascii="Aptos" w:hAnsi="Aptos"/>
                <w:b w:val="0"/>
                <w:sz w:val="15"/>
              </w:rPr>
              <w:t>FHR-06</w:t>
            </w:r>
          </w:p>
        </w:tc>
        <w:tc>
          <w:tcPr>
            <w:tcW w:type="dxa" w:w="9144"/>
            <w:vAlign w:val="center"/>
            <w:shd w:fill="F7F9FC"/>
          </w:tcPr>
          <w:p>
            <w:pPr>
              <w:spacing w:after="0"/>
            </w:pPr>
            <w:r/>
            <w:r>
              <w:rPr>
                <w:rFonts w:ascii="Aptos" w:hAnsi="Aptos"/>
                <w:b w:val="0"/>
                <w:sz w:val="15"/>
              </w:rPr>
              <w:t>Suspected irregular rhythm requires referral; the CDSS must not label the rhythm.</w:t>
            </w:r>
          </w:p>
        </w:tc>
      </w:tr>
      <w:tr>
        <w:trPr>
          <w:cantSplit/>
        </w:trPr>
        <w:tc>
          <w:tcPr>
            <w:tcW w:type="dxa" w:w="1224"/>
            <w:vAlign w:val="center"/>
          </w:tcPr>
          <w:p>
            <w:pPr>
              <w:spacing w:after="0"/>
            </w:pPr>
            <w:r/>
            <w:r>
              <w:rPr>
                <w:rFonts w:ascii="Aptos" w:hAnsi="Aptos"/>
                <w:b w:val="0"/>
                <w:sz w:val="15"/>
              </w:rPr>
              <w:t>FM-01</w:t>
            </w:r>
          </w:p>
        </w:tc>
        <w:tc>
          <w:tcPr>
            <w:tcW w:type="dxa" w:w="9144"/>
            <w:vAlign w:val="center"/>
          </w:tcPr>
          <w:p>
            <w:pPr>
              <w:spacing w:after="0"/>
            </w:pPr>
            <w:r/>
            <w:r>
              <w:rPr>
                <w:rFonts w:ascii="Aptos" w:hAnsi="Aptos"/>
                <w:b w:val="0"/>
                <w:sz w:val="15"/>
              </w:rPr>
              <w:t>Ask about movement concern at every configured contact after 24+0 weeks.</w:t>
            </w:r>
          </w:p>
        </w:tc>
      </w:tr>
      <w:tr>
        <w:trPr>
          <w:cantSplit/>
        </w:trPr>
        <w:tc>
          <w:tcPr>
            <w:tcW w:type="dxa" w:w="1224"/>
            <w:vAlign w:val="center"/>
            <w:shd w:fill="F7F9FC"/>
          </w:tcPr>
          <w:p>
            <w:pPr>
              <w:spacing w:after="0"/>
            </w:pPr>
            <w:r/>
            <w:r>
              <w:rPr>
                <w:rFonts w:ascii="Aptos" w:hAnsi="Aptos"/>
                <w:b w:val="0"/>
                <w:sz w:val="15"/>
              </w:rPr>
              <w:t>FM-02</w:t>
            </w:r>
          </w:p>
        </w:tc>
        <w:tc>
          <w:tcPr>
            <w:tcW w:type="dxa" w:w="9144"/>
            <w:vAlign w:val="center"/>
            <w:shd w:fill="F7F9FC"/>
          </w:tcPr>
          <w:p>
            <w:pPr>
              <w:spacing w:after="0"/>
            </w:pPr>
            <w:r/>
            <w:r>
              <w:rPr>
                <w:rFonts w:ascii="Aptos" w:hAnsi="Aptos"/>
                <w:b w:val="0"/>
                <w:sz w:val="15"/>
              </w:rPr>
              <w:t>Any report of reduced, absent, weaker, or changed movement creates a time-stamped episode.</w:t>
            </w:r>
          </w:p>
        </w:tc>
      </w:tr>
      <w:tr>
        <w:trPr>
          <w:cantSplit/>
        </w:trPr>
        <w:tc>
          <w:tcPr>
            <w:tcW w:type="dxa" w:w="1224"/>
            <w:vAlign w:val="center"/>
          </w:tcPr>
          <w:p>
            <w:pPr>
              <w:spacing w:after="0"/>
            </w:pPr>
            <w:r/>
            <w:r>
              <w:rPr>
                <w:rFonts w:ascii="Aptos" w:hAnsi="Aptos"/>
                <w:b w:val="0"/>
                <w:sz w:val="15"/>
              </w:rPr>
              <w:t>FM-03</w:t>
            </w:r>
          </w:p>
        </w:tc>
        <w:tc>
          <w:tcPr>
            <w:tcW w:type="dxa" w:w="9144"/>
            <w:vAlign w:val="center"/>
          </w:tcPr>
          <w:p>
            <w:pPr>
              <w:spacing w:after="0"/>
            </w:pPr>
            <w:r/>
            <w:r>
              <w:rPr>
                <w:rFonts w:ascii="Aptos" w:hAnsi="Aptos"/>
                <w:b w:val="0"/>
                <w:sz w:val="15"/>
              </w:rPr>
              <w:t>Do not override maternal concern with a fixed movement count or a normal brief fetal-heart observation.</w:t>
            </w:r>
          </w:p>
        </w:tc>
      </w:tr>
      <w:tr>
        <w:trPr>
          <w:cantSplit/>
        </w:trPr>
        <w:tc>
          <w:tcPr>
            <w:tcW w:type="dxa" w:w="1224"/>
            <w:vAlign w:val="center"/>
            <w:shd w:fill="F7F9FC"/>
          </w:tcPr>
          <w:p>
            <w:pPr>
              <w:spacing w:after="0"/>
            </w:pPr>
            <w:r/>
            <w:r>
              <w:rPr>
                <w:rFonts w:ascii="Aptos" w:hAnsi="Aptos"/>
                <w:b w:val="0"/>
                <w:sz w:val="15"/>
              </w:rPr>
              <w:t>FM-04</w:t>
            </w:r>
          </w:p>
        </w:tc>
        <w:tc>
          <w:tcPr>
            <w:tcW w:type="dxa" w:w="9144"/>
            <w:vAlign w:val="center"/>
            <w:shd w:fill="F7F9FC"/>
          </w:tcPr>
          <w:p>
            <w:pPr>
              <w:spacing w:after="0"/>
            </w:pPr>
            <w:r/>
            <w:r>
              <w:rPr>
                <w:rFonts w:ascii="Aptos" w:hAnsi="Aptos"/>
                <w:b w:val="0"/>
                <w:sz w:val="15"/>
              </w:rPr>
              <w:t>Absent movement, recurrent episodes, warning symptoms, or inability to confirm fetal heart activity increases escalation priority.</w:t>
            </w:r>
          </w:p>
        </w:tc>
      </w:tr>
      <w:tr>
        <w:trPr>
          <w:cantSplit/>
        </w:trPr>
        <w:tc>
          <w:tcPr>
            <w:tcW w:type="dxa" w:w="1224"/>
            <w:vAlign w:val="center"/>
          </w:tcPr>
          <w:p>
            <w:pPr>
              <w:spacing w:after="0"/>
            </w:pPr>
            <w:r/>
            <w:r>
              <w:rPr>
                <w:rFonts w:ascii="Aptos" w:hAnsi="Aptos"/>
                <w:b w:val="0"/>
                <w:sz w:val="15"/>
              </w:rPr>
              <w:t>FM-05</w:t>
            </w:r>
          </w:p>
        </w:tc>
        <w:tc>
          <w:tcPr>
            <w:tcW w:type="dxa" w:w="9144"/>
            <w:vAlign w:val="center"/>
          </w:tcPr>
          <w:p>
            <w:pPr>
              <w:spacing w:after="0"/>
            </w:pPr>
            <w:r/>
            <w:r>
              <w:rPr>
                <w:rFonts w:ascii="Aptos" w:hAnsi="Aptos"/>
                <w:b w:val="0"/>
                <w:sz w:val="15"/>
              </w:rPr>
              <w:t>Record last movement, duration, first/recurrent episode, associated symptoms, advice, referral, and outcome.</w:t>
            </w:r>
          </w:p>
        </w:tc>
      </w:tr>
      <w:tr>
        <w:trPr>
          <w:cantSplit/>
        </w:trPr>
        <w:tc>
          <w:tcPr>
            <w:tcW w:type="dxa" w:w="1224"/>
            <w:vAlign w:val="center"/>
            <w:shd w:fill="F7F9FC"/>
          </w:tcPr>
          <w:p>
            <w:pPr>
              <w:spacing w:after="0"/>
            </w:pPr>
            <w:r/>
            <w:r>
              <w:rPr>
                <w:rFonts w:ascii="Aptos" w:hAnsi="Aptos"/>
                <w:b w:val="0"/>
                <w:sz w:val="15"/>
              </w:rPr>
              <w:t>FM-06</w:t>
            </w:r>
          </w:p>
        </w:tc>
        <w:tc>
          <w:tcPr>
            <w:tcW w:type="dxa" w:w="9144"/>
            <w:vAlign w:val="center"/>
            <w:shd w:fill="F7F9FC"/>
          </w:tcPr>
          <w:p>
            <w:pPr>
              <w:spacing w:after="0"/>
            </w:pPr>
            <w:r/>
            <w:r>
              <w:rPr>
                <w:rFonts w:ascii="Aptos" w:hAnsi="Aptos"/>
                <w:b w:val="0"/>
                <w:sz w:val="15"/>
              </w:rPr>
              <w:t>After a reassuring external assessment, retain safety-net advice and allow immediate re-presentation without workflow barriers.</w:t>
            </w:r>
          </w:p>
        </w:tc>
      </w:tr>
      <w:tr>
        <w:trPr>
          <w:cantSplit/>
        </w:trPr>
        <w:tc>
          <w:tcPr>
            <w:tcW w:type="dxa" w:w="1224"/>
            <w:vAlign w:val="center"/>
          </w:tcPr>
          <w:p>
            <w:pPr>
              <w:spacing w:after="0"/>
            </w:pPr>
            <w:r/>
            <w:r>
              <w:rPr>
                <w:rFonts w:ascii="Aptos" w:hAnsi="Aptos"/>
                <w:b w:val="0"/>
                <w:sz w:val="15"/>
              </w:rPr>
              <w:t>SFH-01</w:t>
            </w:r>
          </w:p>
        </w:tc>
        <w:tc>
          <w:tcPr>
            <w:tcW w:type="dxa" w:w="9144"/>
            <w:vAlign w:val="center"/>
          </w:tcPr>
          <w:p>
            <w:pPr>
              <w:spacing w:after="0"/>
            </w:pPr>
            <w:r/>
            <w:r>
              <w:rPr>
                <w:rFonts w:ascii="Aptos" w:hAnsi="Aptos"/>
                <w:b w:val="0"/>
                <w:sz w:val="15"/>
              </w:rPr>
              <w:t>Prompt serial SFH after 24+0 weeks only for eligible singleton pregnancies not on serial ultrasound surveillance.</w:t>
            </w:r>
          </w:p>
        </w:tc>
      </w:tr>
      <w:tr>
        <w:trPr>
          <w:cantSplit/>
        </w:trPr>
        <w:tc>
          <w:tcPr>
            <w:tcW w:type="dxa" w:w="1224"/>
            <w:vAlign w:val="center"/>
            <w:shd w:fill="F7F9FC"/>
          </w:tcPr>
          <w:p>
            <w:pPr>
              <w:spacing w:after="0"/>
            </w:pPr>
            <w:r/>
            <w:r>
              <w:rPr>
                <w:rFonts w:ascii="Aptos" w:hAnsi="Aptos"/>
                <w:b w:val="0"/>
                <w:sz w:val="15"/>
              </w:rPr>
              <w:t>SFH-02</w:t>
            </w:r>
          </w:p>
        </w:tc>
        <w:tc>
          <w:tcPr>
            <w:tcW w:type="dxa" w:w="9144"/>
            <w:vAlign w:val="center"/>
            <w:shd w:fill="F7F9FC"/>
          </w:tcPr>
          <w:p>
            <w:pPr>
              <w:spacing w:after="0"/>
            </w:pPr>
            <w:r/>
            <w:r>
              <w:rPr>
                <w:rFonts w:ascii="Aptos" w:hAnsi="Aptos"/>
                <w:b w:val="0"/>
                <w:sz w:val="15"/>
              </w:rPr>
              <w:t>Do not prompt SFH more frequently than every 2 weeks unless a qualified clinician documents a reason.</w:t>
            </w:r>
          </w:p>
        </w:tc>
      </w:tr>
      <w:tr>
        <w:trPr>
          <w:cantSplit/>
        </w:trPr>
        <w:tc>
          <w:tcPr>
            <w:tcW w:type="dxa" w:w="1224"/>
            <w:vAlign w:val="center"/>
          </w:tcPr>
          <w:p>
            <w:pPr>
              <w:spacing w:after="0"/>
            </w:pPr>
            <w:r/>
            <w:r>
              <w:rPr>
                <w:rFonts w:ascii="Aptos" w:hAnsi="Aptos"/>
                <w:b w:val="0"/>
                <w:sz w:val="15"/>
              </w:rPr>
              <w:t>SFH-03</w:t>
            </w:r>
          </w:p>
        </w:tc>
        <w:tc>
          <w:tcPr>
            <w:tcW w:type="dxa" w:w="9144"/>
            <w:vAlign w:val="center"/>
          </w:tcPr>
          <w:p>
            <w:pPr>
              <w:spacing w:after="0"/>
            </w:pPr>
            <w:r/>
            <w:r>
              <w:rPr>
                <w:rFonts w:ascii="Aptos" w:hAnsi="Aptos"/>
                <w:b w:val="0"/>
                <w:sz w:val="15"/>
              </w:rPr>
              <w:t>Require measurement technique, chart/version, gestational age, and operator data.</w:t>
            </w:r>
          </w:p>
        </w:tc>
      </w:tr>
      <w:tr>
        <w:trPr>
          <w:cantSplit/>
        </w:trPr>
        <w:tc>
          <w:tcPr>
            <w:tcW w:type="dxa" w:w="1224"/>
            <w:vAlign w:val="center"/>
            <w:shd w:fill="F7F9FC"/>
          </w:tcPr>
          <w:p>
            <w:pPr>
              <w:spacing w:after="0"/>
            </w:pPr>
            <w:r/>
            <w:r>
              <w:rPr>
                <w:rFonts w:ascii="Aptos" w:hAnsi="Aptos"/>
                <w:b w:val="0"/>
                <w:sz w:val="15"/>
              </w:rPr>
              <w:t>SFH-04</w:t>
            </w:r>
          </w:p>
        </w:tc>
        <w:tc>
          <w:tcPr>
            <w:tcW w:type="dxa" w:w="9144"/>
            <w:vAlign w:val="center"/>
            <w:shd w:fill="F7F9FC"/>
          </w:tcPr>
          <w:p>
            <w:pPr>
              <w:spacing w:after="0"/>
            </w:pPr>
            <w:r/>
            <w:r>
              <w:rPr>
                <w:rFonts w:ascii="Aptos" w:hAnsi="Aptos"/>
                <w:b w:val="0"/>
                <w:sz w:val="15"/>
              </w:rPr>
              <w:t>Evaluate trend and chart position; do not infer FGR or macrosomia from a single value.</w:t>
            </w:r>
          </w:p>
        </w:tc>
      </w:tr>
      <w:tr>
        <w:trPr>
          <w:cantSplit/>
        </w:trPr>
        <w:tc>
          <w:tcPr>
            <w:tcW w:type="dxa" w:w="1224"/>
            <w:vAlign w:val="center"/>
          </w:tcPr>
          <w:p>
            <w:pPr>
              <w:spacing w:after="0"/>
            </w:pPr>
            <w:r/>
            <w:r>
              <w:rPr>
                <w:rFonts w:ascii="Aptos" w:hAnsi="Aptos"/>
                <w:b w:val="0"/>
                <w:sz w:val="15"/>
              </w:rPr>
              <w:t>SFH-05</w:t>
            </w:r>
          </w:p>
        </w:tc>
        <w:tc>
          <w:tcPr>
            <w:tcW w:type="dxa" w:w="9144"/>
            <w:vAlign w:val="center"/>
          </w:tcPr>
          <w:p>
            <w:pPr>
              <w:spacing w:after="0"/>
            </w:pPr>
            <w:r/>
            <w:r>
              <w:rPr>
                <w:rFonts w:ascii="Aptos" w:hAnsi="Aptos"/>
                <w:b w:val="0"/>
                <w:sz w:val="15"/>
              </w:rPr>
              <w:t>Small, large, static, slowing, rapidly rising, or unreliable findings generate review/referral prompts appropriate to associated findings.</w:t>
            </w:r>
          </w:p>
        </w:tc>
      </w:tr>
      <w:tr>
        <w:trPr>
          <w:cantSplit/>
        </w:trPr>
        <w:tc>
          <w:tcPr>
            <w:tcW w:type="dxa" w:w="1224"/>
            <w:vAlign w:val="center"/>
            <w:shd w:fill="F7F9FC"/>
          </w:tcPr>
          <w:p>
            <w:pPr>
              <w:spacing w:after="0"/>
            </w:pPr>
            <w:r/>
            <w:r>
              <w:rPr>
                <w:rFonts w:ascii="Aptos" w:hAnsi="Aptos"/>
                <w:b w:val="0"/>
                <w:sz w:val="15"/>
              </w:rPr>
              <w:t>SFH-06</w:t>
            </w:r>
          </w:p>
        </w:tc>
        <w:tc>
          <w:tcPr>
            <w:tcW w:type="dxa" w:w="9144"/>
            <w:vAlign w:val="center"/>
            <w:shd w:fill="F7F9FC"/>
          </w:tcPr>
          <w:p>
            <w:pPr>
              <w:spacing w:after="0"/>
            </w:pPr>
            <w:r/>
            <w:r>
              <w:rPr>
                <w:rFonts w:ascii="Aptos" w:hAnsi="Aptos"/>
                <w:b w:val="0"/>
                <w:sz w:val="15"/>
              </w:rPr>
              <w:t>Stop SFH workflow when serial ultrasound growth surveillance begins.</w:t>
            </w:r>
          </w:p>
        </w:tc>
      </w:tr>
      <w:tr>
        <w:trPr>
          <w:cantSplit/>
        </w:trPr>
        <w:tc>
          <w:tcPr>
            <w:tcW w:type="dxa" w:w="1224"/>
            <w:vAlign w:val="center"/>
          </w:tcPr>
          <w:p>
            <w:pPr>
              <w:spacing w:after="0"/>
            </w:pPr>
            <w:r/>
            <w:r>
              <w:rPr>
                <w:rFonts w:ascii="Aptos" w:hAnsi="Aptos"/>
                <w:b w:val="0"/>
                <w:sz w:val="15"/>
              </w:rPr>
              <w:t>INT-01</w:t>
            </w:r>
          </w:p>
        </w:tc>
        <w:tc>
          <w:tcPr>
            <w:tcW w:type="dxa" w:w="9144"/>
            <w:vAlign w:val="center"/>
          </w:tcPr>
          <w:p>
            <w:pPr>
              <w:spacing w:after="0"/>
            </w:pPr>
            <w:r/>
            <w:r>
              <w:rPr>
                <w:rFonts w:ascii="Aptos" w:hAnsi="Aptos"/>
                <w:b w:val="0"/>
                <w:sz w:val="15"/>
              </w:rPr>
              <w:t>Dating uncertainty, hypertension, diabetes, prior FGR/stillbirth, multiple pregnancy, and ultrasound findings must modify interpretation and referral priority.</w:t>
            </w:r>
          </w:p>
        </w:tc>
      </w:tr>
      <w:tr>
        <w:trPr>
          <w:cantSplit/>
        </w:trPr>
        <w:tc>
          <w:tcPr>
            <w:tcW w:type="dxa" w:w="1224"/>
            <w:vAlign w:val="center"/>
            <w:shd w:fill="F7F9FC"/>
          </w:tcPr>
          <w:p>
            <w:pPr>
              <w:spacing w:after="0"/>
            </w:pPr>
            <w:r/>
            <w:r>
              <w:rPr>
                <w:rFonts w:ascii="Aptos" w:hAnsi="Aptos"/>
                <w:b w:val="0"/>
                <w:sz w:val="15"/>
              </w:rPr>
              <w:t>INT-02</w:t>
            </w:r>
          </w:p>
        </w:tc>
        <w:tc>
          <w:tcPr>
            <w:tcW w:type="dxa" w:w="9144"/>
            <w:vAlign w:val="center"/>
            <w:shd w:fill="F7F9FC"/>
          </w:tcPr>
          <w:p>
            <w:pPr>
              <w:spacing w:after="0"/>
            </w:pPr>
            <w:r/>
            <w:r>
              <w:rPr>
                <w:rFonts w:ascii="Aptos" w:hAnsi="Aptos"/>
                <w:b w:val="0"/>
                <w:sz w:val="15"/>
              </w:rPr>
              <w:t>Maternal emergency symptoms override all routine fetal assessment workflows.</w:t>
            </w:r>
          </w:p>
        </w:tc>
      </w:tr>
      <w:tr>
        <w:trPr>
          <w:cantSplit/>
        </w:trPr>
        <w:tc>
          <w:tcPr>
            <w:tcW w:type="dxa" w:w="1224"/>
            <w:vAlign w:val="center"/>
          </w:tcPr>
          <w:p>
            <w:pPr>
              <w:spacing w:after="0"/>
            </w:pPr>
            <w:r/>
            <w:r>
              <w:rPr>
                <w:rFonts w:ascii="Aptos" w:hAnsi="Aptos"/>
                <w:b w:val="0"/>
                <w:sz w:val="15"/>
              </w:rPr>
              <w:t>INT-03</w:t>
            </w:r>
          </w:p>
        </w:tc>
        <w:tc>
          <w:tcPr>
            <w:tcW w:type="dxa" w:w="9144"/>
            <w:vAlign w:val="center"/>
          </w:tcPr>
          <w:p>
            <w:pPr>
              <w:spacing w:after="0"/>
            </w:pPr>
            <w:r/>
            <w:r>
              <w:rPr>
                <w:rFonts w:ascii="Aptos" w:hAnsi="Aptos"/>
                <w:b w:val="0"/>
                <w:sz w:val="15"/>
              </w:rPr>
              <w:t>Every recommendation must expose the supporting observations, timestamps, and unresolved uncertainty.</w:t>
            </w:r>
          </w:p>
        </w:tc>
      </w:tr>
    </w:tbl>
    <w:p/>
    <w:p>
      <w:pPr>
        <w:pStyle w:val="Heading1"/>
      </w:pPr>
      <w:r>
        <w:t>9. Recommendation and Explanation Templates</w:t>
      </w:r>
    </w:p>
    <w:tbl>
      <w:tblPr>
        <w:tblW w:type="auto" w:w="0"/>
        <w:jc w:val="center"/>
        <w:tblLook w:firstColumn="1" w:firstRow="1" w:lastColumn="0" w:lastRow="0" w:noHBand="0" w:noVBand="1" w:val="04A0"/>
      </w:tblPr>
      <w:tblGrid>
        <w:gridCol w:w="9994"/>
      </w:tblGrid>
      <w:t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Reduced movement. </w:t>
            </w:r>
            <w:r>
              <w:t>You reported that your baby's movements have become weaker and fewer than usual since this morning. A fetal heartbeat was heard, but this does not fully assess the baby's wellbeing. Same-day maternity assessment is recommended now.</w:t>
            </w:r>
          </w:p>
        </w:tc>
      </w:tr>
    </w:tbl>
    <w:p/>
    <w:tbl>
      <w:tblPr>
        <w:tblW w:type="auto" w:w="0"/>
        <w:jc w:val="center"/>
        <w:tblLook w:firstColumn="1" w:firstRow="1" w:lastColumn="0" w:lastRow="0" w:noHBand="0" w:noVBand="1" w:val="04A0"/>
      </w:tblPr>
      <w:tblGrid>
        <w:gridCol w:w="9994"/>
      </w:tblGrid>
      <w:t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Fetal heart rate concern. </w:t>
            </w:r>
            <w:r>
              <w:t>The fetal heart rate was counted outside the configured reference range and remained concerning after repeat assessment. This finding requires prompt hospital/obstetric evaluation. The system is not diagnosing the cause.</w:t>
            </w:r>
          </w:p>
        </w:tc>
      </w:tr>
    </w:tbl>
    <w:p/>
    <w:tbl>
      <w:tblPr>
        <w:tblW w:type="auto" w:w="0"/>
        <w:jc w:val="center"/>
        <w:tblLook w:firstColumn="1" w:firstRow="1" w:lastColumn="0" w:lastRow="0" w:noHBand="0" w:noVBand="1" w:val="04A0"/>
      </w:tblPr>
      <w:tblGrid>
        <w:gridCol w:w="9994"/>
      </w:tblGrid>
      <w:t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SFH smaller than expected. </w:t>
            </w:r>
            <w:r>
              <w:t>The latest fundal-height measurement and serial trend are smaller than expected for the accepted gestational age. A tape measurement cannot diagnose fetal growth restriction; ultrasound assessment of growth and wellbeing is recommended.</w:t>
            </w:r>
          </w:p>
        </w:tc>
      </w:tr>
    </w:tbl>
    <w:p/>
    <w:tbl>
      <w:tblPr>
        <w:tblW w:type="auto" w:w="0"/>
        <w:jc w:val="center"/>
        <w:tblLook w:firstColumn="1" w:firstRow="1" w:lastColumn="0" w:lastRow="0" w:noHBand="0" w:noVBand="1" w:val="04A0"/>
      </w:tblPr>
      <w:tblGrid>
        <w:gridCol w:w="9994"/>
      </w:tblGrid>
      <w:t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Measurement unreliable. </w:t>
            </w:r>
            <w:r>
              <w:t>Fundal height could not be interpreted reliably because a documented factor limits measurement accuracy. The system has not assigned a fetal-size category and recommends the alternative surveillance pathway.</w:t>
            </w:r>
          </w:p>
        </w:tc>
      </w:tr>
    </w:tbl>
    <w:p/>
    <w:tbl>
      <w:tblPr>
        <w:tblW w:type="auto" w:w="0"/>
        <w:jc w:val="center"/>
        <w:tblLook w:firstColumn="1" w:firstRow="1" w:lastColumn="0" w:lastRow="0" w:noHBand="0" w:noVBand="1" w:val="04A0"/>
      </w:tblPr>
      <w:tblGrid>
        <w:gridCol w:w="9994"/>
      </w:tblGrid>
      <w:tr>
        <w:tc>
          <w:tcPr>
            <w:tcW w:type="dxa" w:w="9994"/>
            <w:shd w:fill="FFF2CC"/>
            <w:tcBorders>
              <w:top w:val="single" w:sz="8" w:color="C00000"/>
              <w:left w:val="single" w:sz="8" w:color="C00000"/>
              <w:bottom w:val="single" w:sz="8" w:color="C00000"/>
              <w:right w:val="single" w:sz="8" w:color="C00000"/>
            </w:tcBorders>
          </w:tcPr>
          <w:p>
            <w:pPr>
              <w:pStyle w:val="Callout"/>
            </w:pPr>
            <w:r>
              <w:rPr>
                <w:b/>
                <w:color w:val="C00000"/>
              </w:rPr>
              <w:t xml:space="preserve">Emergency override. </w:t>
            </w:r>
            <w:r>
              <w:t>Reduced/absent fetal movement is accompanied by vaginal bleeding, fluid loss, severe pain, contractions, severe blood-pressure findings, or maternal instability. Activate emergency referral/transfer now.</w:t>
            </w:r>
          </w:p>
        </w:tc>
      </w:tr>
    </w:tbl>
    <w:p/>
    <w:p>
      <w:pPr>
        <w:pStyle w:val="Heading1"/>
      </w:pPr>
      <w:r>
        <w:t>10. Database Redesign Specification</w:t>
      </w:r>
    </w:p>
    <w:p>
      <w:pPr>
        <w:pStyle w:val="Heading2"/>
      </w:pPr>
      <w:r>
        <w:t>10.1 fetal_assessments</w:t>
      </w:r>
    </w:p>
    <w:tbl>
      <w:tblPr>
        <w:tblStyle w:val="TableGrid"/>
        <w:tblW w:type="auto" w:w="0"/>
        <w:jc w:val="center"/>
        <w:tblLook w:firstColumn="1" w:firstRow="1" w:lastColumn="0" w:lastRow="0" w:noHBand="0" w:noVBand="1" w:val="04A0"/>
      </w:tblPr>
      <w:tblGrid>
        <w:gridCol w:w="4997"/>
        <w:gridCol w:w="4997"/>
      </w:tblGrid>
      <w:tr>
        <w:trPr>
          <w:cantSplit/>
        </w:trPr>
        <w:tc>
          <w:tcPr>
            <w:tcW w:type="dxa" w:w="3672"/>
            <w:vAlign w:val="center"/>
            <w:shd w:fill="17365D"/>
          </w:tcPr>
          <w:p>
            <w:pPr>
              <w:spacing w:after="0"/>
            </w:pPr>
            <w:r/>
            <w:r>
              <w:rPr>
                <w:rFonts w:ascii="Aptos" w:hAnsi="Aptos"/>
                <w:b/>
                <w:color w:val="FFFFFF"/>
                <w:sz w:val="16"/>
              </w:rPr>
              <w:t>Field</w:t>
            </w:r>
          </w:p>
        </w:tc>
        <w:tc>
          <w:tcPr>
            <w:tcW w:type="dxa" w:w="6696"/>
            <w:vAlign w:val="center"/>
            <w:shd w:fill="17365D"/>
          </w:tcPr>
          <w:p>
            <w:pPr>
              <w:spacing w:after="0"/>
            </w:pPr>
            <w:r/>
            <w:r>
              <w:rPr>
                <w:rFonts w:ascii="Aptos" w:hAnsi="Aptos"/>
                <w:b/>
                <w:color w:val="FFFFFF"/>
                <w:sz w:val="16"/>
              </w:rPr>
              <w:t>Purpose</w:t>
            </w:r>
          </w:p>
        </w:tc>
      </w:tr>
      <w:tr>
        <w:trPr>
          <w:cantSplit/>
        </w:trPr>
        <w:tc>
          <w:tcPr>
            <w:tcW w:type="dxa" w:w="3672"/>
            <w:vAlign w:val="center"/>
          </w:tcPr>
          <w:p>
            <w:pPr>
              <w:spacing w:after="0"/>
            </w:pPr>
            <w:r/>
            <w:r>
              <w:rPr>
                <w:rFonts w:ascii="Aptos" w:hAnsi="Aptos"/>
                <w:b w:val="0"/>
                <w:sz w:val="15"/>
              </w:rPr>
              <w:t>id, pregnancy_id, prenatal_visit_id</w:t>
            </w:r>
          </w:p>
        </w:tc>
        <w:tc>
          <w:tcPr>
            <w:tcW w:type="dxa" w:w="6696"/>
            <w:vAlign w:val="center"/>
          </w:tcPr>
          <w:p>
            <w:pPr>
              <w:spacing w:after="0"/>
            </w:pPr>
            <w:r/>
            <w:r>
              <w:rPr>
                <w:rFonts w:ascii="Aptos" w:hAnsi="Aptos"/>
                <w:b w:val="0"/>
                <w:sz w:val="15"/>
              </w:rPr>
              <w:t>Link the observation to the correct pregnancy and encounter.</w:t>
            </w:r>
          </w:p>
        </w:tc>
      </w:tr>
      <w:tr>
        <w:trPr>
          <w:cantSplit/>
        </w:trPr>
        <w:tc>
          <w:tcPr>
            <w:tcW w:type="dxa" w:w="3672"/>
            <w:vAlign w:val="center"/>
            <w:shd w:fill="F7F9FC"/>
          </w:tcPr>
          <w:p>
            <w:pPr>
              <w:spacing w:after="0"/>
            </w:pPr>
            <w:r/>
            <w:r>
              <w:rPr>
                <w:rFonts w:ascii="Aptos" w:hAnsi="Aptos"/>
                <w:b w:val="0"/>
                <w:sz w:val="15"/>
              </w:rPr>
              <w:t>assessed_at, gestational_age_days, dating_version</w:t>
            </w:r>
          </w:p>
        </w:tc>
        <w:tc>
          <w:tcPr>
            <w:tcW w:type="dxa" w:w="6696"/>
            <w:vAlign w:val="center"/>
            <w:shd w:fill="F7F9FC"/>
          </w:tcPr>
          <w:p>
            <w:pPr>
              <w:spacing w:after="0"/>
            </w:pPr>
            <w:r/>
            <w:r>
              <w:rPr>
                <w:rFonts w:ascii="Aptos" w:hAnsi="Aptos"/>
                <w:b w:val="0"/>
                <w:sz w:val="15"/>
              </w:rPr>
              <w:t>Time and dating context.</w:t>
            </w:r>
          </w:p>
        </w:tc>
      </w:tr>
      <w:tr>
        <w:trPr>
          <w:cantSplit/>
        </w:trPr>
        <w:tc>
          <w:tcPr>
            <w:tcW w:type="dxa" w:w="3672"/>
            <w:vAlign w:val="center"/>
          </w:tcPr>
          <w:p>
            <w:pPr>
              <w:spacing w:after="0"/>
            </w:pPr>
            <w:r/>
            <w:r>
              <w:rPr>
                <w:rFonts w:ascii="Aptos" w:hAnsi="Aptos"/>
                <w:b w:val="0"/>
                <w:sz w:val="15"/>
              </w:rPr>
              <w:t>assessment_reason</w:t>
            </w:r>
          </w:p>
        </w:tc>
        <w:tc>
          <w:tcPr>
            <w:tcW w:type="dxa" w:w="6696"/>
            <w:vAlign w:val="center"/>
          </w:tcPr>
          <w:p>
            <w:pPr>
              <w:spacing w:after="0"/>
            </w:pPr>
            <w:r/>
            <w:r>
              <w:rPr>
                <w:rFonts w:ascii="Aptos" w:hAnsi="Aptos"/>
                <w:b w:val="0"/>
                <w:sz w:val="15"/>
              </w:rPr>
              <w:t>routine / reduced_movement / pain_bleeding / follow_up / referral.</w:t>
            </w:r>
          </w:p>
        </w:tc>
      </w:tr>
      <w:tr>
        <w:trPr>
          <w:cantSplit/>
        </w:trPr>
        <w:tc>
          <w:tcPr>
            <w:tcW w:type="dxa" w:w="3672"/>
            <w:vAlign w:val="center"/>
            <w:shd w:fill="F7F9FC"/>
          </w:tcPr>
          <w:p>
            <w:pPr>
              <w:spacing w:after="0"/>
            </w:pPr>
            <w:r/>
            <w:r>
              <w:rPr>
                <w:rFonts w:ascii="Aptos" w:hAnsi="Aptos"/>
                <w:b w:val="0"/>
                <w:sz w:val="15"/>
              </w:rPr>
              <w:t>fhr_presence_status</w:t>
            </w:r>
          </w:p>
        </w:tc>
        <w:tc>
          <w:tcPr>
            <w:tcW w:type="dxa" w:w="6696"/>
            <w:vAlign w:val="center"/>
            <w:shd w:fill="F7F9FC"/>
          </w:tcPr>
          <w:p>
            <w:pPr>
              <w:spacing w:after="0"/>
            </w:pPr>
            <w:r/>
            <w:r>
              <w:rPr>
                <w:rFonts w:ascii="Aptos" w:hAnsi="Aptos"/>
                <w:b w:val="0"/>
                <w:sz w:val="15"/>
              </w:rPr>
              <w:t>heard / not_heard / uncertain / not_assessed.</w:t>
            </w:r>
          </w:p>
        </w:tc>
      </w:tr>
      <w:tr>
        <w:trPr>
          <w:cantSplit/>
        </w:trPr>
        <w:tc>
          <w:tcPr>
            <w:tcW w:type="dxa" w:w="3672"/>
            <w:vAlign w:val="center"/>
          </w:tcPr>
          <w:p>
            <w:pPr>
              <w:spacing w:after="0"/>
            </w:pPr>
            <w:r/>
            <w:r>
              <w:rPr>
                <w:rFonts w:ascii="Aptos" w:hAnsi="Aptos"/>
                <w:b w:val="0"/>
                <w:sz w:val="15"/>
              </w:rPr>
              <w:t>fhr_rate_bpm, fhr_count_seconds</w:t>
            </w:r>
          </w:p>
        </w:tc>
        <w:tc>
          <w:tcPr>
            <w:tcW w:type="dxa" w:w="6696"/>
            <w:vAlign w:val="center"/>
          </w:tcPr>
          <w:p>
            <w:pPr>
              <w:spacing w:after="0"/>
            </w:pPr>
            <w:r/>
            <w:r>
              <w:rPr>
                <w:rFonts w:ascii="Aptos" w:hAnsi="Aptos"/>
                <w:b w:val="0"/>
                <w:sz w:val="15"/>
              </w:rPr>
              <w:t>Rate and counting method.</w:t>
            </w:r>
          </w:p>
        </w:tc>
      </w:tr>
      <w:tr>
        <w:trPr>
          <w:cantSplit/>
        </w:trPr>
        <w:tc>
          <w:tcPr>
            <w:tcW w:type="dxa" w:w="3672"/>
            <w:vAlign w:val="center"/>
            <w:shd w:fill="F7F9FC"/>
          </w:tcPr>
          <w:p>
            <w:pPr>
              <w:spacing w:after="0"/>
            </w:pPr>
            <w:r/>
            <w:r>
              <w:rPr>
                <w:rFonts w:ascii="Aptos" w:hAnsi="Aptos"/>
                <w:b w:val="0"/>
                <w:sz w:val="15"/>
              </w:rPr>
              <w:t>fhr_method</w:t>
            </w:r>
          </w:p>
        </w:tc>
        <w:tc>
          <w:tcPr>
            <w:tcW w:type="dxa" w:w="6696"/>
            <w:vAlign w:val="center"/>
            <w:shd w:fill="F7F9FC"/>
          </w:tcPr>
          <w:p>
            <w:pPr>
              <w:spacing w:after="0"/>
            </w:pPr>
            <w:r/>
            <w:r>
              <w:rPr>
                <w:rFonts w:ascii="Aptos" w:hAnsi="Aptos"/>
                <w:b w:val="0"/>
                <w:sz w:val="15"/>
              </w:rPr>
              <w:t>handheld_doppler / pinard / ctg_report / ultrasound_report / other.</w:t>
            </w:r>
          </w:p>
        </w:tc>
      </w:tr>
      <w:tr>
        <w:trPr>
          <w:cantSplit/>
        </w:trPr>
        <w:tc>
          <w:tcPr>
            <w:tcW w:type="dxa" w:w="3672"/>
            <w:vAlign w:val="center"/>
          </w:tcPr>
          <w:p>
            <w:pPr>
              <w:spacing w:after="0"/>
            </w:pPr>
            <w:r/>
            <w:r>
              <w:rPr>
                <w:rFonts w:ascii="Aptos" w:hAnsi="Aptos"/>
                <w:b w:val="0"/>
                <w:sz w:val="15"/>
              </w:rPr>
              <w:t>maternal_pulse_checked, maternal_pulse_bpm</w:t>
            </w:r>
          </w:p>
        </w:tc>
        <w:tc>
          <w:tcPr>
            <w:tcW w:type="dxa" w:w="6696"/>
            <w:vAlign w:val="center"/>
          </w:tcPr>
          <w:p>
            <w:pPr>
              <w:spacing w:after="0"/>
            </w:pPr>
            <w:r/>
            <w:r>
              <w:rPr>
                <w:rFonts w:ascii="Aptos" w:hAnsi="Aptos"/>
                <w:b w:val="0"/>
                <w:sz w:val="15"/>
              </w:rPr>
              <w:t>Source-verification safeguard.</w:t>
            </w:r>
          </w:p>
        </w:tc>
      </w:tr>
      <w:tr>
        <w:trPr>
          <w:cantSplit/>
        </w:trPr>
        <w:tc>
          <w:tcPr>
            <w:tcW w:type="dxa" w:w="3672"/>
            <w:vAlign w:val="center"/>
            <w:shd w:fill="F7F9FC"/>
          </w:tcPr>
          <w:p>
            <w:pPr>
              <w:spacing w:after="0"/>
            </w:pPr>
            <w:r/>
            <w:r>
              <w:rPr>
                <w:rFonts w:ascii="Aptos" w:hAnsi="Aptos"/>
                <w:b w:val="0"/>
                <w:sz w:val="15"/>
              </w:rPr>
              <w:t>fhr_rhythm_impression</w:t>
            </w:r>
          </w:p>
        </w:tc>
        <w:tc>
          <w:tcPr>
            <w:tcW w:type="dxa" w:w="6696"/>
            <w:vAlign w:val="center"/>
            <w:shd w:fill="F7F9FC"/>
          </w:tcPr>
          <w:p>
            <w:pPr>
              <w:spacing w:after="0"/>
            </w:pPr>
            <w:r/>
            <w:r>
              <w:rPr>
                <w:rFonts w:ascii="Aptos" w:hAnsi="Aptos"/>
                <w:b w:val="0"/>
                <w:sz w:val="15"/>
              </w:rPr>
              <w:t>regular / suspected_irregular / uncertain / not_assessed.</w:t>
            </w:r>
          </w:p>
        </w:tc>
      </w:tr>
      <w:tr>
        <w:trPr>
          <w:cantSplit/>
        </w:trPr>
        <w:tc>
          <w:tcPr>
            <w:tcW w:type="dxa" w:w="3672"/>
            <w:vAlign w:val="center"/>
          </w:tcPr>
          <w:p>
            <w:pPr>
              <w:spacing w:after="0"/>
            </w:pPr>
            <w:r/>
            <w:r>
              <w:rPr>
                <w:rFonts w:ascii="Aptos" w:hAnsi="Aptos"/>
                <w:b w:val="0"/>
                <w:sz w:val="15"/>
              </w:rPr>
              <w:t>fhr_interpretation_status</w:t>
            </w:r>
          </w:p>
        </w:tc>
        <w:tc>
          <w:tcPr>
            <w:tcW w:type="dxa" w:w="6696"/>
            <w:vAlign w:val="center"/>
          </w:tcPr>
          <w:p>
            <w:pPr>
              <w:spacing w:after="0"/>
            </w:pPr>
            <w:r/>
            <w:r>
              <w:rPr>
                <w:rFonts w:ascii="Aptos" w:hAnsi="Aptos"/>
                <w:b w:val="0"/>
                <w:sz w:val="15"/>
              </w:rPr>
              <w:t>within_reference / outside_reference / unresolved / not_interpreted.</w:t>
            </w:r>
          </w:p>
        </w:tc>
      </w:tr>
      <w:tr>
        <w:trPr>
          <w:cantSplit/>
        </w:trPr>
        <w:tc>
          <w:tcPr>
            <w:tcW w:type="dxa" w:w="3672"/>
            <w:vAlign w:val="center"/>
            <w:shd w:fill="F7F9FC"/>
          </w:tcPr>
          <w:p>
            <w:pPr>
              <w:spacing w:after="0"/>
            </w:pPr>
            <w:r/>
            <w:r>
              <w:rPr>
                <w:rFonts w:ascii="Aptos" w:hAnsi="Aptos"/>
                <w:b w:val="0"/>
                <w:sz w:val="15"/>
              </w:rPr>
              <w:t>operator_id, operator_role</w:t>
            </w:r>
          </w:p>
        </w:tc>
        <w:tc>
          <w:tcPr>
            <w:tcW w:type="dxa" w:w="6696"/>
            <w:vAlign w:val="center"/>
            <w:shd w:fill="F7F9FC"/>
          </w:tcPr>
          <w:p>
            <w:pPr>
              <w:spacing w:after="0"/>
            </w:pPr>
            <w:r/>
            <w:r>
              <w:rPr>
                <w:rFonts w:ascii="Aptos" w:hAnsi="Aptos"/>
                <w:b w:val="0"/>
                <w:sz w:val="15"/>
              </w:rPr>
              <w:t>Accountability.</w:t>
            </w:r>
          </w:p>
        </w:tc>
      </w:tr>
      <w:tr>
        <w:trPr>
          <w:cantSplit/>
        </w:trPr>
        <w:tc>
          <w:tcPr>
            <w:tcW w:type="dxa" w:w="3672"/>
            <w:vAlign w:val="center"/>
          </w:tcPr>
          <w:p>
            <w:pPr>
              <w:spacing w:after="0"/>
            </w:pPr>
            <w:r/>
            <w:r>
              <w:rPr>
                <w:rFonts w:ascii="Aptos" w:hAnsi="Aptos"/>
                <w:b w:val="0"/>
                <w:sz w:val="15"/>
              </w:rPr>
              <w:t>action_status, escalation_level, referral_id</w:t>
            </w:r>
          </w:p>
        </w:tc>
        <w:tc>
          <w:tcPr>
            <w:tcW w:type="dxa" w:w="6696"/>
            <w:vAlign w:val="center"/>
          </w:tcPr>
          <w:p>
            <w:pPr>
              <w:spacing w:after="0"/>
            </w:pPr>
            <w:r/>
            <w:r>
              <w:rPr>
                <w:rFonts w:ascii="Aptos" w:hAnsi="Aptos"/>
                <w:b w:val="0"/>
                <w:sz w:val="15"/>
              </w:rPr>
              <w:t>Workflow and outcome linkage.</w:t>
            </w:r>
          </w:p>
        </w:tc>
      </w:tr>
      <w:tr>
        <w:trPr>
          <w:cantSplit/>
        </w:trPr>
        <w:tc>
          <w:tcPr>
            <w:tcW w:type="dxa" w:w="3672"/>
            <w:vAlign w:val="center"/>
            <w:shd w:fill="F7F9FC"/>
          </w:tcPr>
          <w:p>
            <w:pPr>
              <w:spacing w:after="0"/>
            </w:pPr>
            <w:r/>
            <w:r>
              <w:rPr>
                <w:rFonts w:ascii="Aptos" w:hAnsi="Aptos"/>
                <w:b w:val="0"/>
                <w:sz w:val="15"/>
              </w:rPr>
              <w:t>notes, created_at, updated_at</w:t>
            </w:r>
          </w:p>
        </w:tc>
        <w:tc>
          <w:tcPr>
            <w:tcW w:type="dxa" w:w="6696"/>
            <w:vAlign w:val="center"/>
            <w:shd w:fill="F7F9FC"/>
          </w:tcPr>
          <w:p>
            <w:pPr>
              <w:spacing w:after="0"/>
            </w:pPr>
            <w:r/>
            <w:r>
              <w:rPr>
                <w:rFonts w:ascii="Aptos" w:hAnsi="Aptos"/>
                <w:b w:val="0"/>
                <w:sz w:val="15"/>
              </w:rPr>
              <w:t>Context and audit.</w:t>
            </w:r>
          </w:p>
        </w:tc>
      </w:tr>
    </w:tbl>
    <w:p/>
    <w:p>
      <w:pPr>
        <w:pStyle w:val="Heading2"/>
      </w:pPr>
      <w:r>
        <w:t>10.2 fetal_movement_episodes</w:t>
      </w:r>
    </w:p>
    <w:tbl>
      <w:tblPr>
        <w:tblStyle w:val="TableGrid"/>
        <w:tblW w:type="auto" w:w="0"/>
        <w:jc w:val="center"/>
        <w:tblLook w:firstColumn="1" w:firstRow="1" w:lastColumn="0" w:lastRow="0" w:noHBand="0" w:noVBand="1" w:val="04A0"/>
      </w:tblPr>
      <w:tblGrid>
        <w:gridCol w:w="4997"/>
        <w:gridCol w:w="4997"/>
      </w:tblGrid>
      <w:tr>
        <w:trPr>
          <w:cantSplit/>
        </w:trPr>
        <w:tc>
          <w:tcPr>
            <w:tcW w:type="dxa" w:w="3672"/>
            <w:vAlign w:val="center"/>
            <w:shd w:fill="17365D"/>
          </w:tcPr>
          <w:p>
            <w:pPr>
              <w:spacing w:after="0"/>
            </w:pPr>
            <w:r/>
            <w:r>
              <w:rPr>
                <w:rFonts w:ascii="Aptos" w:hAnsi="Aptos"/>
                <w:b/>
                <w:color w:val="FFFFFF"/>
                <w:sz w:val="16"/>
              </w:rPr>
              <w:t>Field</w:t>
            </w:r>
          </w:p>
        </w:tc>
        <w:tc>
          <w:tcPr>
            <w:tcW w:type="dxa" w:w="6696"/>
            <w:vAlign w:val="center"/>
            <w:shd w:fill="17365D"/>
          </w:tcPr>
          <w:p>
            <w:pPr>
              <w:spacing w:after="0"/>
            </w:pPr>
            <w:r/>
            <w:r>
              <w:rPr>
                <w:rFonts w:ascii="Aptos" w:hAnsi="Aptos"/>
                <w:b/>
                <w:color w:val="FFFFFF"/>
                <w:sz w:val="16"/>
              </w:rPr>
              <w:t>Purpose</w:t>
            </w:r>
          </w:p>
        </w:tc>
      </w:tr>
      <w:tr>
        <w:trPr>
          <w:cantSplit/>
        </w:trPr>
        <w:tc>
          <w:tcPr>
            <w:tcW w:type="dxa" w:w="3672"/>
            <w:vAlign w:val="center"/>
          </w:tcPr>
          <w:p>
            <w:pPr>
              <w:spacing w:after="0"/>
            </w:pPr>
            <w:r/>
            <w:r>
              <w:rPr>
                <w:rFonts w:ascii="Aptos" w:hAnsi="Aptos"/>
                <w:b w:val="0"/>
                <w:sz w:val="15"/>
              </w:rPr>
              <w:t>id, pregnancy_id, prenatal_visit_id</w:t>
            </w:r>
          </w:p>
        </w:tc>
        <w:tc>
          <w:tcPr>
            <w:tcW w:type="dxa" w:w="6696"/>
            <w:vAlign w:val="center"/>
          </w:tcPr>
          <w:p>
            <w:pPr>
              <w:spacing w:after="0"/>
            </w:pPr>
            <w:r/>
            <w:r>
              <w:rPr>
                <w:rFonts w:ascii="Aptos" w:hAnsi="Aptos"/>
                <w:b w:val="0"/>
                <w:sz w:val="15"/>
              </w:rPr>
              <w:t>Episode identity.</w:t>
            </w:r>
          </w:p>
        </w:tc>
      </w:tr>
      <w:tr>
        <w:trPr>
          <w:cantSplit/>
        </w:trPr>
        <w:tc>
          <w:tcPr>
            <w:tcW w:type="dxa" w:w="3672"/>
            <w:vAlign w:val="center"/>
            <w:shd w:fill="F7F9FC"/>
          </w:tcPr>
          <w:p>
            <w:pPr>
              <w:spacing w:after="0"/>
            </w:pPr>
            <w:r/>
            <w:r>
              <w:rPr>
                <w:rFonts w:ascii="Aptos" w:hAnsi="Aptos"/>
                <w:b w:val="0"/>
                <w:sz w:val="15"/>
              </w:rPr>
              <w:t>reported_at</w:t>
            </w:r>
          </w:p>
        </w:tc>
        <w:tc>
          <w:tcPr>
            <w:tcW w:type="dxa" w:w="6696"/>
            <w:vAlign w:val="center"/>
            <w:shd w:fill="F7F9FC"/>
          </w:tcPr>
          <w:p>
            <w:pPr>
              <w:spacing w:after="0"/>
            </w:pPr>
            <w:r/>
            <w:r>
              <w:rPr>
                <w:rFonts w:ascii="Aptos" w:hAnsi="Aptos"/>
                <w:b w:val="0"/>
                <w:sz w:val="15"/>
              </w:rPr>
              <w:t>Exact report time.</w:t>
            </w:r>
          </w:p>
        </w:tc>
      </w:tr>
      <w:tr>
        <w:trPr>
          <w:cantSplit/>
        </w:trPr>
        <w:tc>
          <w:tcPr>
            <w:tcW w:type="dxa" w:w="3672"/>
            <w:vAlign w:val="center"/>
          </w:tcPr>
          <w:p>
            <w:pPr>
              <w:spacing w:after="0"/>
            </w:pPr>
            <w:r/>
            <w:r>
              <w:rPr>
                <w:rFonts w:ascii="Aptos" w:hAnsi="Aptos"/>
                <w:b w:val="0"/>
                <w:sz w:val="15"/>
              </w:rPr>
              <w:t>movement_status</w:t>
            </w:r>
          </w:p>
        </w:tc>
        <w:tc>
          <w:tcPr>
            <w:tcW w:type="dxa" w:w="6696"/>
            <w:vAlign w:val="center"/>
          </w:tcPr>
          <w:p>
            <w:pPr>
              <w:spacing w:after="0"/>
            </w:pPr>
            <w:r/>
            <w:r>
              <w:rPr>
                <w:rFonts w:ascii="Aptos" w:hAnsi="Aptos"/>
                <w:b w:val="0"/>
                <w:sz w:val="15"/>
              </w:rPr>
              <w:t>usual / reduced / absent / weaker / changed / uncertain.</w:t>
            </w:r>
          </w:p>
        </w:tc>
      </w:tr>
      <w:tr>
        <w:trPr>
          <w:cantSplit/>
        </w:trPr>
        <w:tc>
          <w:tcPr>
            <w:tcW w:type="dxa" w:w="3672"/>
            <w:vAlign w:val="center"/>
            <w:shd w:fill="F7F9FC"/>
          </w:tcPr>
          <w:p>
            <w:pPr>
              <w:spacing w:after="0"/>
            </w:pPr>
            <w:r/>
            <w:r>
              <w:rPr>
                <w:rFonts w:ascii="Aptos" w:hAnsi="Aptos"/>
                <w:b w:val="0"/>
                <w:sz w:val="15"/>
              </w:rPr>
              <w:t>onset_at, last_felt_at, duration_minutes</w:t>
            </w:r>
          </w:p>
        </w:tc>
        <w:tc>
          <w:tcPr>
            <w:tcW w:type="dxa" w:w="6696"/>
            <w:vAlign w:val="center"/>
            <w:shd w:fill="F7F9FC"/>
          </w:tcPr>
          <w:p>
            <w:pPr>
              <w:spacing w:after="0"/>
            </w:pPr>
            <w:r/>
            <w:r>
              <w:rPr>
                <w:rFonts w:ascii="Aptos" w:hAnsi="Aptos"/>
                <w:b w:val="0"/>
                <w:sz w:val="15"/>
              </w:rPr>
              <w:t>Timing.</w:t>
            </w:r>
          </w:p>
        </w:tc>
      </w:tr>
      <w:tr>
        <w:trPr>
          <w:cantSplit/>
        </w:trPr>
        <w:tc>
          <w:tcPr>
            <w:tcW w:type="dxa" w:w="3672"/>
            <w:vAlign w:val="center"/>
          </w:tcPr>
          <w:p>
            <w:pPr>
              <w:spacing w:after="0"/>
            </w:pPr>
            <w:r/>
            <w:r>
              <w:rPr>
                <w:rFonts w:ascii="Aptos" w:hAnsi="Aptos"/>
                <w:b w:val="0"/>
                <w:sz w:val="15"/>
              </w:rPr>
              <w:t>episode_number, recurrent_flag</w:t>
            </w:r>
          </w:p>
        </w:tc>
        <w:tc>
          <w:tcPr>
            <w:tcW w:type="dxa" w:w="6696"/>
            <w:vAlign w:val="center"/>
          </w:tcPr>
          <w:p>
            <w:pPr>
              <w:spacing w:after="0"/>
            </w:pPr>
            <w:r/>
            <w:r>
              <w:rPr>
                <w:rFonts w:ascii="Aptos" w:hAnsi="Aptos"/>
                <w:b w:val="0"/>
                <w:sz w:val="15"/>
              </w:rPr>
              <w:t>History and recurrence.</w:t>
            </w:r>
          </w:p>
        </w:tc>
      </w:tr>
      <w:tr>
        <w:trPr>
          <w:cantSplit/>
        </w:trPr>
        <w:tc>
          <w:tcPr>
            <w:tcW w:type="dxa" w:w="3672"/>
            <w:vAlign w:val="center"/>
            <w:shd w:fill="F7F9FC"/>
          </w:tcPr>
          <w:p>
            <w:pPr>
              <w:spacing w:after="0"/>
            </w:pPr>
            <w:r/>
            <w:r>
              <w:rPr>
                <w:rFonts w:ascii="Aptos" w:hAnsi="Aptos"/>
                <w:b w:val="0"/>
                <w:sz w:val="15"/>
              </w:rPr>
              <w:t>maternal_description</w:t>
            </w:r>
          </w:p>
        </w:tc>
        <w:tc>
          <w:tcPr>
            <w:tcW w:type="dxa" w:w="6696"/>
            <w:vAlign w:val="center"/>
            <w:shd w:fill="F7F9FC"/>
          </w:tcPr>
          <w:p>
            <w:pPr>
              <w:spacing w:after="0"/>
            </w:pPr>
            <w:r/>
            <w:r>
              <w:rPr>
                <w:rFonts w:ascii="Aptos" w:hAnsi="Aptos"/>
                <w:b w:val="0"/>
                <w:sz w:val="15"/>
              </w:rPr>
              <w:t>Patient's own wording.</w:t>
            </w:r>
          </w:p>
        </w:tc>
      </w:tr>
      <w:tr>
        <w:trPr>
          <w:cantSplit/>
        </w:trPr>
        <w:tc>
          <w:tcPr>
            <w:tcW w:type="dxa" w:w="3672"/>
            <w:vAlign w:val="center"/>
          </w:tcPr>
          <w:p>
            <w:pPr>
              <w:spacing w:after="0"/>
            </w:pPr>
            <w:r/>
            <w:r>
              <w:rPr>
                <w:rFonts w:ascii="Aptos" w:hAnsi="Aptos"/>
                <w:b w:val="0"/>
                <w:sz w:val="15"/>
              </w:rPr>
              <w:t>associated_symptoms_json</w:t>
            </w:r>
          </w:p>
        </w:tc>
        <w:tc>
          <w:tcPr>
            <w:tcW w:type="dxa" w:w="6696"/>
            <w:vAlign w:val="center"/>
          </w:tcPr>
          <w:p>
            <w:pPr>
              <w:spacing w:after="0"/>
            </w:pPr>
            <w:r/>
            <w:r>
              <w:rPr>
                <w:rFonts w:ascii="Aptos" w:hAnsi="Aptos"/>
                <w:b w:val="0"/>
                <w:sz w:val="15"/>
              </w:rPr>
              <w:t>Bleeding, fluid loss, pain, contractions, fever, trauma, maternal warning symptoms.</w:t>
            </w:r>
          </w:p>
        </w:tc>
      </w:tr>
      <w:tr>
        <w:trPr>
          <w:cantSplit/>
        </w:trPr>
        <w:tc>
          <w:tcPr>
            <w:tcW w:type="dxa" w:w="3672"/>
            <w:vAlign w:val="center"/>
            <w:shd w:fill="F7F9FC"/>
          </w:tcPr>
          <w:p>
            <w:pPr>
              <w:spacing w:after="0"/>
            </w:pPr>
            <w:r/>
            <w:r>
              <w:rPr>
                <w:rFonts w:ascii="Aptos" w:hAnsi="Aptos"/>
                <w:b w:val="0"/>
                <w:sz w:val="15"/>
              </w:rPr>
              <w:t>counting_method, count_result</w:t>
            </w:r>
          </w:p>
        </w:tc>
        <w:tc>
          <w:tcPr>
            <w:tcW w:type="dxa" w:w="6696"/>
            <w:vAlign w:val="center"/>
            <w:shd w:fill="F7F9FC"/>
          </w:tcPr>
          <w:p>
            <w:pPr>
              <w:spacing w:after="0"/>
            </w:pPr>
            <w:r/>
            <w:r>
              <w:rPr>
                <w:rFonts w:ascii="Aptos" w:hAnsi="Aptos"/>
                <w:b w:val="0"/>
                <w:sz w:val="15"/>
              </w:rPr>
              <w:t>Optional local protocol data; not a reassurance override.</w:t>
            </w:r>
          </w:p>
        </w:tc>
      </w:tr>
      <w:tr>
        <w:trPr>
          <w:cantSplit/>
        </w:trPr>
        <w:tc>
          <w:tcPr>
            <w:tcW w:type="dxa" w:w="3672"/>
            <w:vAlign w:val="center"/>
          </w:tcPr>
          <w:p>
            <w:pPr>
              <w:spacing w:after="0"/>
            </w:pPr>
            <w:r/>
            <w:r>
              <w:rPr>
                <w:rFonts w:ascii="Aptos" w:hAnsi="Aptos"/>
                <w:b w:val="0"/>
                <w:sz w:val="15"/>
              </w:rPr>
              <w:t>education_given_at, safety_net_confirmed</w:t>
            </w:r>
          </w:p>
        </w:tc>
        <w:tc>
          <w:tcPr>
            <w:tcW w:type="dxa" w:w="6696"/>
            <w:vAlign w:val="center"/>
          </w:tcPr>
          <w:p>
            <w:pPr>
              <w:spacing w:after="0"/>
            </w:pPr>
            <w:r/>
            <w:r>
              <w:rPr>
                <w:rFonts w:ascii="Aptos" w:hAnsi="Aptos"/>
                <w:b w:val="0"/>
                <w:sz w:val="15"/>
              </w:rPr>
              <w:t>Communication record.</w:t>
            </w:r>
          </w:p>
        </w:tc>
      </w:tr>
      <w:tr>
        <w:trPr>
          <w:cantSplit/>
        </w:trPr>
        <w:tc>
          <w:tcPr>
            <w:tcW w:type="dxa" w:w="3672"/>
            <w:vAlign w:val="center"/>
            <w:shd w:fill="F7F9FC"/>
          </w:tcPr>
          <w:p>
            <w:pPr>
              <w:spacing w:after="0"/>
            </w:pPr>
            <w:r/>
            <w:r>
              <w:rPr>
                <w:rFonts w:ascii="Aptos" w:hAnsi="Aptos"/>
                <w:b w:val="0"/>
                <w:sz w:val="15"/>
              </w:rPr>
              <w:t>initial_fhr_assessment_id</w:t>
            </w:r>
          </w:p>
        </w:tc>
        <w:tc>
          <w:tcPr>
            <w:tcW w:type="dxa" w:w="6696"/>
            <w:vAlign w:val="center"/>
            <w:shd w:fill="F7F9FC"/>
          </w:tcPr>
          <w:p>
            <w:pPr>
              <w:spacing w:after="0"/>
            </w:pPr>
            <w:r/>
            <w:r>
              <w:rPr>
                <w:rFonts w:ascii="Aptos" w:hAnsi="Aptos"/>
                <w:b w:val="0"/>
                <w:sz w:val="15"/>
              </w:rPr>
              <w:t>Link to heart observation.</w:t>
            </w:r>
          </w:p>
        </w:tc>
      </w:tr>
      <w:tr>
        <w:trPr>
          <w:cantSplit/>
        </w:trPr>
        <w:tc>
          <w:tcPr>
            <w:tcW w:type="dxa" w:w="3672"/>
            <w:vAlign w:val="center"/>
          </w:tcPr>
          <w:p>
            <w:pPr>
              <w:spacing w:after="0"/>
            </w:pPr>
            <w:r/>
            <w:r>
              <w:rPr>
                <w:rFonts w:ascii="Aptos" w:hAnsi="Aptos"/>
                <w:b w:val="0"/>
                <w:sz w:val="15"/>
              </w:rPr>
              <w:t>growth_review_status</w:t>
            </w:r>
          </w:p>
        </w:tc>
        <w:tc>
          <w:tcPr>
            <w:tcW w:type="dxa" w:w="6696"/>
            <w:vAlign w:val="center"/>
          </w:tcPr>
          <w:p>
            <w:pPr>
              <w:spacing w:after="0"/>
            </w:pPr>
            <w:r/>
            <w:r>
              <w:rPr>
                <w:rFonts w:ascii="Aptos" w:hAnsi="Aptos"/>
                <w:b w:val="0"/>
                <w:sz w:val="15"/>
              </w:rPr>
              <w:t>SFH/chart/scan review.</w:t>
            </w:r>
          </w:p>
        </w:tc>
      </w:tr>
      <w:tr>
        <w:trPr>
          <w:cantSplit/>
        </w:trPr>
        <w:tc>
          <w:tcPr>
            <w:tcW w:type="dxa" w:w="3672"/>
            <w:vAlign w:val="center"/>
            <w:shd w:fill="F7F9FC"/>
          </w:tcPr>
          <w:p>
            <w:pPr>
              <w:spacing w:after="0"/>
            </w:pPr>
            <w:r/>
            <w:r>
              <w:rPr>
                <w:rFonts w:ascii="Aptos" w:hAnsi="Aptos"/>
                <w:b w:val="0"/>
                <w:sz w:val="15"/>
              </w:rPr>
              <w:t>escalation_level, referral_id, outcome_status</w:t>
            </w:r>
          </w:p>
        </w:tc>
        <w:tc>
          <w:tcPr>
            <w:tcW w:type="dxa" w:w="6696"/>
            <w:vAlign w:val="center"/>
            <w:shd w:fill="F7F9FC"/>
          </w:tcPr>
          <w:p>
            <w:pPr>
              <w:spacing w:after="0"/>
            </w:pPr>
            <w:r/>
            <w:r>
              <w:rPr>
                <w:rFonts w:ascii="Aptos" w:hAnsi="Aptos"/>
                <w:b w:val="0"/>
                <w:sz w:val="15"/>
              </w:rPr>
              <w:t>Action and closure.</w:t>
            </w:r>
          </w:p>
        </w:tc>
      </w:tr>
      <w:tr>
        <w:trPr>
          <w:cantSplit/>
        </w:trPr>
        <w:tc>
          <w:tcPr>
            <w:tcW w:type="dxa" w:w="3672"/>
            <w:vAlign w:val="center"/>
          </w:tcPr>
          <w:p>
            <w:pPr>
              <w:spacing w:after="0"/>
            </w:pPr>
            <w:r/>
            <w:r>
              <w:rPr>
                <w:rFonts w:ascii="Aptos" w:hAnsi="Aptos"/>
                <w:b w:val="0"/>
                <w:sz w:val="15"/>
              </w:rPr>
              <w:t>created_by, created_at, updated_at</w:t>
            </w:r>
          </w:p>
        </w:tc>
        <w:tc>
          <w:tcPr>
            <w:tcW w:type="dxa" w:w="6696"/>
            <w:vAlign w:val="center"/>
          </w:tcPr>
          <w:p>
            <w:pPr>
              <w:spacing w:after="0"/>
            </w:pPr>
            <w:r/>
            <w:r>
              <w:rPr>
                <w:rFonts w:ascii="Aptos" w:hAnsi="Aptos"/>
                <w:b w:val="0"/>
                <w:sz w:val="15"/>
              </w:rPr>
              <w:t>Audit.</w:t>
            </w:r>
          </w:p>
        </w:tc>
      </w:tr>
    </w:tbl>
    <w:p/>
    <w:p>
      <w:pPr>
        <w:pStyle w:val="Heading2"/>
      </w:pPr>
      <w:r>
        <w:t>10.3 fundal_height_measurements</w:t>
      </w:r>
    </w:p>
    <w:tbl>
      <w:tblPr>
        <w:tblStyle w:val="TableGrid"/>
        <w:tblW w:type="auto" w:w="0"/>
        <w:jc w:val="center"/>
        <w:tblLook w:firstColumn="1" w:firstRow="1" w:lastColumn="0" w:lastRow="0" w:noHBand="0" w:noVBand="1" w:val="04A0"/>
      </w:tblPr>
      <w:tblGrid>
        <w:gridCol w:w="4997"/>
        <w:gridCol w:w="4997"/>
      </w:tblGrid>
      <w:tr>
        <w:trPr>
          <w:cantSplit/>
        </w:trPr>
        <w:tc>
          <w:tcPr>
            <w:tcW w:type="dxa" w:w="3672"/>
            <w:vAlign w:val="center"/>
            <w:shd w:fill="17365D"/>
          </w:tcPr>
          <w:p>
            <w:pPr>
              <w:spacing w:after="0"/>
            </w:pPr>
            <w:r/>
            <w:r>
              <w:rPr>
                <w:rFonts w:ascii="Aptos" w:hAnsi="Aptos"/>
                <w:b/>
                <w:color w:val="FFFFFF"/>
                <w:sz w:val="16"/>
              </w:rPr>
              <w:t>Field</w:t>
            </w:r>
          </w:p>
        </w:tc>
        <w:tc>
          <w:tcPr>
            <w:tcW w:type="dxa" w:w="6696"/>
            <w:vAlign w:val="center"/>
            <w:shd w:fill="17365D"/>
          </w:tcPr>
          <w:p>
            <w:pPr>
              <w:spacing w:after="0"/>
            </w:pPr>
            <w:r/>
            <w:r>
              <w:rPr>
                <w:rFonts w:ascii="Aptos" w:hAnsi="Aptos"/>
                <w:b/>
                <w:color w:val="FFFFFF"/>
                <w:sz w:val="16"/>
              </w:rPr>
              <w:t>Purpose</w:t>
            </w:r>
          </w:p>
        </w:tc>
      </w:tr>
      <w:tr>
        <w:trPr>
          <w:cantSplit/>
        </w:trPr>
        <w:tc>
          <w:tcPr>
            <w:tcW w:type="dxa" w:w="3672"/>
            <w:vAlign w:val="center"/>
          </w:tcPr>
          <w:p>
            <w:pPr>
              <w:spacing w:after="0"/>
            </w:pPr>
            <w:r/>
            <w:r>
              <w:rPr>
                <w:rFonts w:ascii="Aptos" w:hAnsi="Aptos"/>
                <w:b w:val="0"/>
                <w:sz w:val="15"/>
              </w:rPr>
              <w:t>id, pregnancy_id, prenatal_visit_id</w:t>
            </w:r>
          </w:p>
        </w:tc>
        <w:tc>
          <w:tcPr>
            <w:tcW w:type="dxa" w:w="6696"/>
            <w:vAlign w:val="center"/>
          </w:tcPr>
          <w:p>
            <w:pPr>
              <w:spacing w:after="0"/>
            </w:pPr>
            <w:r/>
            <w:r>
              <w:rPr>
                <w:rFonts w:ascii="Aptos" w:hAnsi="Aptos"/>
                <w:b w:val="0"/>
                <w:sz w:val="15"/>
              </w:rPr>
              <w:t>Measurement identity.</w:t>
            </w:r>
          </w:p>
        </w:tc>
      </w:tr>
      <w:tr>
        <w:trPr>
          <w:cantSplit/>
        </w:trPr>
        <w:tc>
          <w:tcPr>
            <w:tcW w:type="dxa" w:w="3672"/>
            <w:vAlign w:val="center"/>
            <w:shd w:fill="F7F9FC"/>
          </w:tcPr>
          <w:p>
            <w:pPr>
              <w:spacing w:after="0"/>
            </w:pPr>
            <w:r/>
            <w:r>
              <w:rPr>
                <w:rFonts w:ascii="Aptos" w:hAnsi="Aptos"/>
                <w:b w:val="0"/>
                <w:sz w:val="15"/>
              </w:rPr>
              <w:t>measured_at, gestational_age_days, dating_version</w:t>
            </w:r>
          </w:p>
        </w:tc>
        <w:tc>
          <w:tcPr>
            <w:tcW w:type="dxa" w:w="6696"/>
            <w:vAlign w:val="center"/>
            <w:shd w:fill="F7F9FC"/>
          </w:tcPr>
          <w:p>
            <w:pPr>
              <w:spacing w:after="0"/>
            </w:pPr>
            <w:r/>
            <w:r>
              <w:rPr>
                <w:rFonts w:ascii="Aptos" w:hAnsi="Aptos"/>
                <w:b w:val="0"/>
                <w:sz w:val="15"/>
              </w:rPr>
              <w:t>Timing and dating context.</w:t>
            </w:r>
          </w:p>
        </w:tc>
      </w:tr>
      <w:tr>
        <w:trPr>
          <w:cantSplit/>
        </w:trPr>
        <w:tc>
          <w:tcPr>
            <w:tcW w:type="dxa" w:w="3672"/>
            <w:vAlign w:val="center"/>
          </w:tcPr>
          <w:p>
            <w:pPr>
              <w:spacing w:after="0"/>
            </w:pPr>
            <w:r/>
            <w:r>
              <w:rPr>
                <w:rFonts w:ascii="Aptos" w:hAnsi="Aptos"/>
                <w:b w:val="0"/>
                <w:sz w:val="15"/>
              </w:rPr>
              <w:t>sfh_cm</w:t>
            </w:r>
          </w:p>
        </w:tc>
        <w:tc>
          <w:tcPr>
            <w:tcW w:type="dxa" w:w="6696"/>
            <w:vAlign w:val="center"/>
          </w:tcPr>
          <w:p>
            <w:pPr>
              <w:spacing w:after="0"/>
            </w:pPr>
            <w:r/>
            <w:r>
              <w:rPr>
                <w:rFonts w:ascii="Aptos" w:hAnsi="Aptos"/>
                <w:b w:val="0"/>
                <w:sz w:val="15"/>
              </w:rPr>
              <w:t>Whole-centimetre measurement.</w:t>
            </w:r>
          </w:p>
        </w:tc>
      </w:tr>
      <w:tr>
        <w:trPr>
          <w:cantSplit/>
        </w:trPr>
        <w:tc>
          <w:tcPr>
            <w:tcW w:type="dxa" w:w="3672"/>
            <w:vAlign w:val="center"/>
            <w:shd w:fill="F7F9FC"/>
          </w:tcPr>
          <w:p>
            <w:pPr>
              <w:spacing w:after="0"/>
            </w:pPr>
            <w:r/>
            <w:r>
              <w:rPr>
                <w:rFonts w:ascii="Aptos" w:hAnsi="Aptos"/>
                <w:b w:val="0"/>
                <w:sz w:val="15"/>
              </w:rPr>
              <w:t>eligibility_status</w:t>
            </w:r>
          </w:p>
        </w:tc>
        <w:tc>
          <w:tcPr>
            <w:tcW w:type="dxa" w:w="6696"/>
            <w:vAlign w:val="center"/>
            <w:shd w:fill="F7F9FC"/>
          </w:tcPr>
          <w:p>
            <w:pPr>
              <w:spacing w:after="0"/>
            </w:pPr>
            <w:r/>
            <w:r>
              <w:rPr>
                <w:rFonts w:ascii="Aptos" w:hAnsi="Aptos"/>
                <w:b w:val="0"/>
                <w:sz w:val="15"/>
              </w:rPr>
              <w:t>eligible_singleton / serial_scan / multiple / not_reliable / other.</w:t>
            </w:r>
          </w:p>
        </w:tc>
      </w:tr>
      <w:tr>
        <w:trPr>
          <w:cantSplit/>
        </w:trPr>
        <w:tc>
          <w:tcPr>
            <w:tcW w:type="dxa" w:w="3672"/>
            <w:vAlign w:val="center"/>
          </w:tcPr>
          <w:p>
            <w:pPr>
              <w:spacing w:after="0"/>
            </w:pPr>
            <w:r/>
            <w:r>
              <w:rPr>
                <w:rFonts w:ascii="Aptos" w:hAnsi="Aptos"/>
                <w:b w:val="0"/>
                <w:sz w:val="15"/>
              </w:rPr>
              <w:t>technique_status, limitation_reasons_json</w:t>
            </w:r>
          </w:p>
        </w:tc>
        <w:tc>
          <w:tcPr>
            <w:tcW w:type="dxa" w:w="6696"/>
            <w:vAlign w:val="center"/>
          </w:tcPr>
          <w:p>
            <w:pPr>
              <w:spacing w:after="0"/>
            </w:pPr>
            <w:r/>
            <w:r>
              <w:rPr>
                <w:rFonts w:ascii="Aptos" w:hAnsi="Aptos"/>
                <w:b w:val="0"/>
                <w:sz w:val="15"/>
              </w:rPr>
              <w:t>Measurement quality.</w:t>
            </w:r>
          </w:p>
        </w:tc>
      </w:tr>
      <w:tr>
        <w:trPr>
          <w:cantSplit/>
        </w:trPr>
        <w:tc>
          <w:tcPr>
            <w:tcW w:type="dxa" w:w="3672"/>
            <w:vAlign w:val="center"/>
            <w:shd w:fill="F7F9FC"/>
          </w:tcPr>
          <w:p>
            <w:pPr>
              <w:spacing w:after="0"/>
            </w:pPr>
            <w:r/>
            <w:r>
              <w:rPr>
                <w:rFonts w:ascii="Aptos" w:hAnsi="Aptos"/>
                <w:b w:val="0"/>
                <w:sz w:val="15"/>
              </w:rPr>
              <w:t>chart_type, chart_version, chart_position</w:t>
            </w:r>
          </w:p>
        </w:tc>
        <w:tc>
          <w:tcPr>
            <w:tcW w:type="dxa" w:w="6696"/>
            <w:vAlign w:val="center"/>
            <w:shd w:fill="F7F9FC"/>
          </w:tcPr>
          <w:p>
            <w:pPr>
              <w:spacing w:after="0"/>
            </w:pPr>
            <w:r/>
            <w:r>
              <w:rPr>
                <w:rFonts w:ascii="Aptos" w:hAnsi="Aptos"/>
                <w:b w:val="0"/>
                <w:sz w:val="15"/>
              </w:rPr>
              <w:t>Traceability of plotting.</w:t>
            </w:r>
          </w:p>
        </w:tc>
      </w:tr>
      <w:tr>
        <w:trPr>
          <w:cantSplit/>
        </w:trPr>
        <w:tc>
          <w:tcPr>
            <w:tcW w:type="dxa" w:w="3672"/>
            <w:vAlign w:val="center"/>
          </w:tcPr>
          <w:p>
            <w:pPr>
              <w:spacing w:after="0"/>
            </w:pPr>
            <w:r/>
            <w:r>
              <w:rPr>
                <w:rFonts w:ascii="Aptos" w:hAnsi="Aptos"/>
                <w:b w:val="0"/>
                <w:sz w:val="15"/>
              </w:rPr>
              <w:t>trend_status</w:t>
            </w:r>
          </w:p>
        </w:tc>
        <w:tc>
          <w:tcPr>
            <w:tcW w:type="dxa" w:w="6696"/>
            <w:vAlign w:val="center"/>
          </w:tcPr>
          <w:p>
            <w:pPr>
              <w:spacing w:after="0"/>
            </w:pPr>
            <w:r/>
            <w:r>
              <w:rPr>
                <w:rFonts w:ascii="Aptos" w:hAnsi="Aptos"/>
                <w:b w:val="0"/>
                <w:sz w:val="15"/>
              </w:rPr>
              <w:t>expected / possible_small / possible_large / static / slow / rapid / unreliable / not_interpreted.</w:t>
            </w:r>
          </w:p>
        </w:tc>
      </w:tr>
      <w:tr>
        <w:trPr>
          <w:cantSplit/>
        </w:trPr>
        <w:tc>
          <w:tcPr>
            <w:tcW w:type="dxa" w:w="3672"/>
            <w:vAlign w:val="center"/>
            <w:shd w:fill="F7F9FC"/>
          </w:tcPr>
          <w:p>
            <w:pPr>
              <w:spacing w:after="0"/>
            </w:pPr>
            <w:r/>
            <w:r>
              <w:rPr>
                <w:rFonts w:ascii="Aptos" w:hAnsi="Aptos"/>
                <w:b w:val="0"/>
                <w:sz w:val="15"/>
              </w:rPr>
              <w:t>previous_measurement_id</w:t>
            </w:r>
          </w:p>
        </w:tc>
        <w:tc>
          <w:tcPr>
            <w:tcW w:type="dxa" w:w="6696"/>
            <w:vAlign w:val="center"/>
            <w:shd w:fill="F7F9FC"/>
          </w:tcPr>
          <w:p>
            <w:pPr>
              <w:spacing w:after="0"/>
            </w:pPr>
            <w:r/>
            <w:r>
              <w:rPr>
                <w:rFonts w:ascii="Aptos" w:hAnsi="Aptos"/>
                <w:b w:val="0"/>
                <w:sz w:val="15"/>
              </w:rPr>
              <w:t>Serial comparison.</w:t>
            </w:r>
          </w:p>
        </w:tc>
      </w:tr>
      <w:tr>
        <w:trPr>
          <w:cantSplit/>
        </w:trPr>
        <w:tc>
          <w:tcPr>
            <w:tcW w:type="dxa" w:w="3672"/>
            <w:vAlign w:val="center"/>
          </w:tcPr>
          <w:p>
            <w:pPr>
              <w:spacing w:after="0"/>
            </w:pPr>
            <w:r/>
            <w:r>
              <w:rPr>
                <w:rFonts w:ascii="Aptos" w:hAnsi="Aptos"/>
                <w:b w:val="0"/>
                <w:sz w:val="15"/>
              </w:rPr>
              <w:t>measurer_id, measurer_role</w:t>
            </w:r>
          </w:p>
        </w:tc>
        <w:tc>
          <w:tcPr>
            <w:tcW w:type="dxa" w:w="6696"/>
            <w:vAlign w:val="center"/>
          </w:tcPr>
          <w:p>
            <w:pPr>
              <w:spacing w:after="0"/>
            </w:pPr>
            <w:r/>
            <w:r>
              <w:rPr>
                <w:rFonts w:ascii="Aptos" w:hAnsi="Aptos"/>
                <w:b w:val="0"/>
                <w:sz w:val="15"/>
              </w:rPr>
              <w:t>Accountability.</w:t>
            </w:r>
          </w:p>
        </w:tc>
      </w:tr>
      <w:tr>
        <w:trPr>
          <w:cantSplit/>
        </w:trPr>
        <w:tc>
          <w:tcPr>
            <w:tcW w:type="dxa" w:w="3672"/>
            <w:vAlign w:val="center"/>
            <w:shd w:fill="F7F9FC"/>
          </w:tcPr>
          <w:p>
            <w:pPr>
              <w:spacing w:after="0"/>
            </w:pPr>
            <w:r/>
            <w:r>
              <w:rPr>
                <w:rFonts w:ascii="Aptos" w:hAnsi="Aptos"/>
                <w:b w:val="0"/>
                <w:sz w:val="15"/>
              </w:rPr>
              <w:t>review_status, reviewed_by, reviewed_at</w:t>
            </w:r>
          </w:p>
        </w:tc>
        <w:tc>
          <w:tcPr>
            <w:tcW w:type="dxa" w:w="6696"/>
            <w:vAlign w:val="center"/>
            <w:shd w:fill="F7F9FC"/>
          </w:tcPr>
          <w:p>
            <w:pPr>
              <w:spacing w:after="0"/>
            </w:pPr>
            <w:r/>
            <w:r>
              <w:rPr>
                <w:rFonts w:ascii="Aptos" w:hAnsi="Aptos"/>
                <w:b w:val="0"/>
                <w:sz w:val="15"/>
              </w:rPr>
              <w:t>Clinical acceptance.</w:t>
            </w:r>
          </w:p>
        </w:tc>
      </w:tr>
      <w:tr>
        <w:trPr>
          <w:cantSplit/>
        </w:trPr>
        <w:tc>
          <w:tcPr>
            <w:tcW w:type="dxa" w:w="3672"/>
            <w:vAlign w:val="center"/>
          </w:tcPr>
          <w:p>
            <w:pPr>
              <w:spacing w:after="0"/>
            </w:pPr>
            <w:r/>
            <w:r>
              <w:rPr>
                <w:rFonts w:ascii="Aptos" w:hAnsi="Aptos"/>
                <w:b w:val="0"/>
                <w:sz w:val="15"/>
              </w:rPr>
              <w:t>action_status, referral_id</w:t>
            </w:r>
          </w:p>
        </w:tc>
        <w:tc>
          <w:tcPr>
            <w:tcW w:type="dxa" w:w="6696"/>
            <w:vAlign w:val="center"/>
          </w:tcPr>
          <w:p>
            <w:pPr>
              <w:spacing w:after="0"/>
            </w:pPr>
            <w:r/>
            <w:r>
              <w:rPr>
                <w:rFonts w:ascii="Aptos" w:hAnsi="Aptos"/>
                <w:b w:val="0"/>
                <w:sz w:val="15"/>
              </w:rPr>
              <w:t>Workflow result.</w:t>
            </w:r>
          </w:p>
        </w:tc>
      </w:tr>
      <w:tr>
        <w:trPr>
          <w:cantSplit/>
        </w:trPr>
        <w:tc>
          <w:tcPr>
            <w:tcW w:type="dxa" w:w="3672"/>
            <w:vAlign w:val="center"/>
            <w:shd w:fill="F7F9FC"/>
          </w:tcPr>
          <w:p>
            <w:pPr>
              <w:spacing w:after="0"/>
            </w:pPr>
            <w:r/>
            <w:r>
              <w:rPr>
                <w:rFonts w:ascii="Aptos" w:hAnsi="Aptos"/>
                <w:b w:val="0"/>
                <w:sz w:val="15"/>
              </w:rPr>
              <w:t>created_at, updated_at</w:t>
            </w:r>
          </w:p>
        </w:tc>
        <w:tc>
          <w:tcPr>
            <w:tcW w:type="dxa" w:w="6696"/>
            <w:vAlign w:val="center"/>
            <w:shd w:fill="F7F9FC"/>
          </w:tcPr>
          <w:p>
            <w:pPr>
              <w:spacing w:after="0"/>
            </w:pPr>
            <w:r/>
            <w:r>
              <w:rPr>
                <w:rFonts w:ascii="Aptos" w:hAnsi="Aptos"/>
                <w:b w:val="0"/>
                <w:sz w:val="15"/>
              </w:rPr>
              <w:t>Audit.</w:t>
            </w:r>
          </w:p>
        </w:tc>
      </w:tr>
    </w:tbl>
    <w:p/>
    <w:tbl>
      <w:tblPr>
        <w:tblW w:type="auto" w:w="0"/>
        <w:jc w:val="center"/>
        <w:tblLook w:firstColumn="1" w:firstRow="1" w:lastColumn="0" w:lastRow="0" w:noHBand="0" w:noVBand="1" w:val="04A0"/>
      </w:tblPr>
      <w:tblGrid>
        <w:gridCol w:w="9994"/>
      </w:tblGrid>
      <w:t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Migration principle. </w:t>
            </w:r>
            <w:r>
              <w:t>Existing free-text values such as “Weak,” “Abnormal,” or “Absent” should not be silently mapped to confirmed diagnoses. They must be migrated as legacy observations with unknown method, rate, duration, and confidence until clinically reviewed.</w:t>
            </w:r>
          </w:p>
        </w:tc>
      </w:tr>
    </w:tbl>
    <w:p/>
    <w:p>
      <w:pPr>
        <w:pStyle w:val="Heading1"/>
      </w:pPr>
      <w:r>
        <w:t>11. User Interface Requirements</w:t>
      </w:r>
    </w:p>
    <w:p>
      <w:pPr>
        <w:pStyle w:val="ListBullet"/>
        <w:spacing w:after="50"/>
      </w:pPr>
      <w:r>
        <w:t>Show a fetal-assessment card with gestational age, dating confidence, fetal-heart method/rate/time, movement status, latest SFH trend, and unresolved actions.</w:t>
      </w:r>
    </w:p>
    <w:p>
      <w:pPr>
        <w:pStyle w:val="ListBullet"/>
        <w:spacing w:after="50"/>
      </w:pPr>
      <w:r>
        <w:t>Use separate labels for “not assessed,” “not heard,” “unknown,” and “normal”; never collapse missing data into normal.</w:t>
      </w:r>
    </w:p>
    <w:p>
      <w:pPr>
        <w:pStyle w:val="ListBullet"/>
        <w:spacing w:after="50"/>
      </w:pPr>
      <w:r>
        <w:t>Display the woman's movement description verbatim alongside structured fields.</w:t>
      </w:r>
    </w:p>
    <w:p>
      <w:pPr>
        <w:pStyle w:val="ListBullet"/>
        <w:spacing w:after="50"/>
      </w:pPr>
      <w:r>
        <w:t>Show prior reduced-movement episodes and referral outcomes in chronological order.</w:t>
      </w:r>
    </w:p>
    <w:p>
      <w:pPr>
        <w:pStyle w:val="ListBullet"/>
        <w:spacing w:after="50"/>
      </w:pPr>
      <w:r>
        <w:t>Plot SFH only on the selected chart/version and show measurement dates clearly.</w:t>
      </w:r>
    </w:p>
    <w:p>
      <w:pPr>
        <w:pStyle w:val="ListBullet"/>
        <w:spacing w:after="50"/>
      </w:pPr>
      <w:r>
        <w:t>Warn when the current pregnancy is on serial ultrasound surveillance so SFH entry is not duplicated.</w:t>
      </w:r>
    </w:p>
    <w:p>
      <w:pPr>
        <w:pStyle w:val="ListBullet"/>
        <w:spacing w:after="50"/>
      </w:pPr>
      <w:r>
        <w:t>Provide an emergency escalation button that records time, destination, and staff action.</w:t>
      </w:r>
    </w:p>
    <w:p>
      <w:pPr>
        <w:pStyle w:val="ListBullet"/>
        <w:spacing w:after="50"/>
      </w:pPr>
      <w:r>
        <w:t>Require acknowledgement before dismissing a discrepancy or overriding a recommendation.</w:t>
      </w:r>
    </w:p>
    <w:p>
      <w:pPr>
        <w:pStyle w:val="ListBullet"/>
        <w:spacing w:after="50"/>
      </w:pPr>
      <w:r>
        <w:t>Keep clinical explanations visible without claiming diagnosis.</w:t>
      </w:r>
    </w:p>
    <w:p>
      <w:pPr>
        <w:pStyle w:val="ListBullet"/>
        <w:spacing w:after="50"/>
      </w:pPr>
      <w:r>
        <w:t>Support printing/referral summaries with the exact observation timeline.</w:t>
      </w:r>
    </w:p>
    <w:p>
      <w:pPr>
        <w:pStyle w:val="Heading1"/>
      </w:pPr>
      <w:r>
        <w:t>12. Prohibited Outputs and Safety Constraints</w:t>
      </w:r>
    </w:p>
    <w:p>
      <w:pPr>
        <w:pStyle w:val="ListBullet"/>
        <w:spacing w:after="50"/>
      </w:pPr>
      <w:r>
        <w:t>Do not say “baby is fine” because one fetal-heart rate was heard.</w:t>
      </w:r>
    </w:p>
    <w:p>
      <w:pPr>
        <w:pStyle w:val="ListBullet"/>
        <w:spacing w:after="50"/>
      </w:pPr>
      <w:r>
        <w:t>Do not diagnose fetal distress from a brief Doppler count.</w:t>
      </w:r>
    </w:p>
    <w:p>
      <w:pPr>
        <w:pStyle w:val="ListBullet"/>
        <w:spacing w:after="50"/>
      </w:pPr>
      <w:r>
        <w:t>Do not record “absent fetal heartbeat” as confirmed after one unsuccessful attempt.</w:t>
      </w:r>
    </w:p>
    <w:p>
      <w:pPr>
        <w:pStyle w:val="ListBullet"/>
        <w:spacing w:after="50"/>
      </w:pPr>
      <w:r>
        <w:t>Do not use a universal kick count to dismiss the woman's concern.</w:t>
      </w:r>
    </w:p>
    <w:p>
      <w:pPr>
        <w:pStyle w:val="ListBullet"/>
        <w:spacing w:after="50"/>
      </w:pPr>
      <w:r>
        <w:t>Do not instruct a woman with reduced or absent movement to wait until the next routine appointment.</w:t>
      </w:r>
    </w:p>
    <w:p>
      <w:pPr>
        <w:pStyle w:val="ListBullet"/>
        <w:spacing w:after="50"/>
      </w:pPr>
      <w:r>
        <w:t>Do not classify SFH discordance as confirmed FGR or macrosomia.</w:t>
      </w:r>
    </w:p>
    <w:p>
      <w:pPr>
        <w:pStyle w:val="ListBullet"/>
        <w:spacing w:after="50"/>
      </w:pPr>
      <w:r>
        <w:t>Do not use singleton SFH logic for multiple pregnancy.</w:t>
      </w:r>
    </w:p>
    <w:p>
      <w:pPr>
        <w:pStyle w:val="ListBullet"/>
        <w:spacing w:after="50"/>
      </w:pPr>
      <w:r>
        <w:t>Do not interpret CTG, ultrasound, liquor, or Doppler data unless an authorized report supplies the result.</w:t>
      </w:r>
    </w:p>
    <w:p>
      <w:pPr>
        <w:pStyle w:val="ListBullet"/>
        <w:spacing w:after="50"/>
      </w:pPr>
      <w:r>
        <w:t>Do not recommend induction, cesarean delivery, or medication autonomously.</w:t>
      </w:r>
    </w:p>
    <w:p>
      <w:pPr>
        <w:pStyle w:val="ListBullet"/>
        <w:spacing w:after="50"/>
      </w:pPr>
      <w:r>
        <w:t>Do not allow a reassuring field to suppress emergency symptoms or maternal instability.</w:t>
      </w:r>
    </w:p>
    <w:p>
      <w:pPr>
        <w:pStyle w:val="ListBullet"/>
        <w:spacing w:after="50"/>
      </w:pPr>
      <w:r>
        <w:t>Do not infer normality from missing data.</w:t>
      </w:r>
    </w:p>
    <w:p>
      <w:pPr>
        <w:pStyle w:val="ListBullet"/>
        <w:spacing w:after="50"/>
      </w:pPr>
      <w:r>
        <w:t>Do not hide recurrent movement episodes, dating uncertainty, or prior growth concerns.</w:t>
      </w:r>
    </w:p>
    <w:p>
      <w:pPr>
        <w:pStyle w:val="Heading1"/>
      </w:pPr>
      <w:r>
        <w:t>13. Validation Scenarios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792"/>
            <w:vAlign w:val="center"/>
            <w:shd w:fill="17365D"/>
          </w:tcPr>
          <w:p>
            <w:pPr>
              <w:spacing w:after="0"/>
            </w:pPr>
            <w:r/>
            <w:r>
              <w:rPr>
                <w:rFonts w:ascii="Aptos" w:hAnsi="Aptos"/>
                <w:b/>
                <w:color w:val="FFFFFF"/>
                <w:sz w:val="16"/>
              </w:rPr>
              <w:t>ID</w:t>
            </w:r>
          </w:p>
        </w:tc>
        <w:tc>
          <w:tcPr>
            <w:tcW w:type="dxa" w:w="4680"/>
            <w:vAlign w:val="center"/>
            <w:shd w:fill="17365D"/>
          </w:tcPr>
          <w:p>
            <w:pPr>
              <w:spacing w:after="0"/>
            </w:pPr>
            <w:r/>
            <w:r>
              <w:rPr>
                <w:rFonts w:ascii="Aptos" w:hAnsi="Aptos"/>
                <w:b/>
                <w:color w:val="FFFFFF"/>
                <w:sz w:val="16"/>
              </w:rPr>
              <w:t>Scenario</w:t>
            </w:r>
          </w:p>
        </w:tc>
        <w:tc>
          <w:tcPr>
            <w:tcW w:type="dxa" w:w="4896"/>
            <w:vAlign w:val="center"/>
            <w:shd w:fill="17365D"/>
          </w:tcPr>
          <w:p>
            <w:pPr>
              <w:spacing w:after="0"/>
            </w:pPr>
            <w:r/>
            <w:r>
              <w:rPr>
                <w:rFonts w:ascii="Aptos" w:hAnsi="Aptos"/>
                <w:b/>
                <w:color w:val="FFFFFF"/>
                <w:sz w:val="16"/>
              </w:rPr>
              <w:t>Expected CDSS result</w:t>
            </w:r>
          </w:p>
        </w:tc>
      </w:tr>
      <w:tr>
        <w:trPr>
          <w:cantSplit/>
        </w:trPr>
        <w:tc>
          <w:tcPr>
            <w:tcW w:type="dxa" w:w="792"/>
            <w:vAlign w:val="center"/>
          </w:tcPr>
          <w:p>
            <w:pPr>
              <w:spacing w:after="0"/>
            </w:pPr>
            <w:r/>
            <w:r>
              <w:rPr>
                <w:rFonts w:ascii="Aptos" w:hAnsi="Aptos"/>
                <w:b w:val="0"/>
                <w:sz w:val="15"/>
              </w:rPr>
              <w:t>T01</w:t>
            </w:r>
          </w:p>
        </w:tc>
        <w:tc>
          <w:tcPr>
            <w:tcW w:type="dxa" w:w="4680"/>
            <w:vAlign w:val="center"/>
          </w:tcPr>
          <w:p>
            <w:pPr>
              <w:spacing w:after="0"/>
            </w:pPr>
            <w:r/>
            <w:r>
              <w:rPr>
                <w:rFonts w:ascii="Aptos" w:hAnsi="Aptos"/>
                <w:b w:val="0"/>
                <w:sz w:val="15"/>
              </w:rPr>
              <w:t>Routine visit at 26 weeks, singleton, no growth scans</w:t>
            </w:r>
          </w:p>
        </w:tc>
        <w:tc>
          <w:tcPr>
            <w:tcW w:type="dxa" w:w="4896"/>
            <w:vAlign w:val="center"/>
          </w:tcPr>
          <w:p>
            <w:pPr>
              <w:spacing w:after="0"/>
            </w:pPr>
            <w:r/>
            <w:r>
              <w:rPr>
                <w:rFonts w:ascii="Aptos" w:hAnsi="Aptos"/>
                <w:b w:val="0"/>
                <w:sz w:val="15"/>
              </w:rPr>
              <w:t>Prompt SFH and movement discussion; allow trained fetal-heart observation.</w:t>
            </w:r>
          </w:p>
        </w:tc>
      </w:tr>
      <w:tr>
        <w:trPr>
          <w:cantSplit/>
        </w:trPr>
        <w:tc>
          <w:tcPr>
            <w:tcW w:type="dxa" w:w="792"/>
            <w:vAlign w:val="center"/>
            <w:shd w:fill="F7F9FC"/>
          </w:tcPr>
          <w:p>
            <w:pPr>
              <w:spacing w:after="0"/>
            </w:pPr>
            <w:r/>
            <w:r>
              <w:rPr>
                <w:rFonts w:ascii="Aptos" w:hAnsi="Aptos"/>
                <w:b w:val="0"/>
                <w:sz w:val="15"/>
              </w:rPr>
              <w:t>T02</w:t>
            </w:r>
          </w:p>
        </w:tc>
        <w:tc>
          <w:tcPr>
            <w:tcW w:type="dxa" w:w="4680"/>
            <w:vAlign w:val="center"/>
            <w:shd w:fill="F7F9FC"/>
          </w:tcPr>
          <w:p>
            <w:pPr>
              <w:spacing w:after="0"/>
            </w:pPr>
            <w:r/>
            <w:r>
              <w:rPr>
                <w:rFonts w:ascii="Aptos" w:hAnsi="Aptos"/>
                <w:b w:val="0"/>
                <w:sz w:val="15"/>
              </w:rPr>
              <w:t>FHR 142 by handheld Doppler, no other concern</w:t>
            </w:r>
          </w:p>
        </w:tc>
        <w:tc>
          <w:tcPr>
            <w:tcW w:type="dxa" w:w="4896"/>
            <w:vAlign w:val="center"/>
            <w:shd w:fill="F7F9FC"/>
          </w:tcPr>
          <w:p>
            <w:pPr>
              <w:spacing w:after="0"/>
            </w:pPr>
            <w:r/>
            <w:r>
              <w:rPr>
                <w:rFonts w:ascii="Aptos" w:hAnsi="Aptos"/>
                <w:b w:val="0"/>
                <w:sz w:val="15"/>
              </w:rPr>
              <w:t>Record as brief observation; do not declare complete fetal wellbeing.</w:t>
            </w:r>
          </w:p>
        </w:tc>
      </w:tr>
      <w:tr>
        <w:trPr>
          <w:cantSplit/>
        </w:trPr>
        <w:tc>
          <w:tcPr>
            <w:tcW w:type="dxa" w:w="792"/>
            <w:vAlign w:val="center"/>
          </w:tcPr>
          <w:p>
            <w:pPr>
              <w:spacing w:after="0"/>
            </w:pPr>
            <w:r/>
            <w:r>
              <w:rPr>
                <w:rFonts w:ascii="Aptos" w:hAnsi="Aptos"/>
                <w:b w:val="0"/>
                <w:sz w:val="15"/>
              </w:rPr>
              <w:t>T03</w:t>
            </w:r>
          </w:p>
        </w:tc>
        <w:tc>
          <w:tcPr>
            <w:tcW w:type="dxa" w:w="4680"/>
            <w:vAlign w:val="center"/>
          </w:tcPr>
          <w:p>
            <w:pPr>
              <w:spacing w:after="0"/>
            </w:pPr>
            <w:r/>
            <w:r>
              <w:rPr>
                <w:rFonts w:ascii="Aptos" w:hAnsi="Aptos"/>
                <w:b w:val="0"/>
                <w:sz w:val="15"/>
              </w:rPr>
              <w:t>FHR 104 then 106 on repeat</w:t>
            </w:r>
          </w:p>
        </w:tc>
        <w:tc>
          <w:tcPr>
            <w:tcW w:type="dxa" w:w="4896"/>
            <w:vAlign w:val="center"/>
          </w:tcPr>
          <w:p>
            <w:pPr>
              <w:spacing w:after="0"/>
            </w:pPr>
            <w:r/>
            <w:r>
              <w:rPr>
                <w:rFonts w:ascii="Aptos" w:hAnsi="Aptos"/>
                <w:b w:val="0"/>
                <w:sz w:val="15"/>
              </w:rPr>
              <w:t>Escalation prompt; preserve both readings and maternal pulse.</w:t>
            </w:r>
          </w:p>
        </w:tc>
      </w:tr>
      <w:tr>
        <w:trPr>
          <w:cantSplit/>
        </w:trPr>
        <w:tc>
          <w:tcPr>
            <w:tcW w:type="dxa" w:w="792"/>
            <w:vAlign w:val="center"/>
            <w:shd w:fill="F7F9FC"/>
          </w:tcPr>
          <w:p>
            <w:pPr>
              <w:spacing w:after="0"/>
            </w:pPr>
            <w:r/>
            <w:r>
              <w:rPr>
                <w:rFonts w:ascii="Aptos" w:hAnsi="Aptos"/>
                <w:b w:val="0"/>
                <w:sz w:val="15"/>
              </w:rPr>
              <w:t>T04</w:t>
            </w:r>
          </w:p>
        </w:tc>
        <w:tc>
          <w:tcPr>
            <w:tcW w:type="dxa" w:w="4680"/>
            <w:vAlign w:val="center"/>
            <w:shd w:fill="F7F9FC"/>
          </w:tcPr>
          <w:p>
            <w:pPr>
              <w:spacing w:after="0"/>
            </w:pPr>
            <w:r/>
            <w:r>
              <w:rPr>
                <w:rFonts w:ascii="Aptos" w:hAnsi="Aptos"/>
                <w:b w:val="0"/>
                <w:sz w:val="15"/>
              </w:rPr>
              <w:t>Rate 82, maternal pulse 84</w:t>
            </w:r>
          </w:p>
        </w:tc>
        <w:tc>
          <w:tcPr>
            <w:tcW w:type="dxa" w:w="4896"/>
            <w:vAlign w:val="center"/>
            <w:shd w:fill="F7F9FC"/>
          </w:tcPr>
          <w:p>
            <w:pPr>
              <w:spacing w:after="0"/>
            </w:pPr>
            <w:r/>
            <w:r>
              <w:rPr>
                <w:rFonts w:ascii="Aptos" w:hAnsi="Aptos"/>
                <w:b w:val="0"/>
                <w:sz w:val="15"/>
              </w:rPr>
              <w:t>Flag possible maternal pulse; do not accept as fetal rate without confirmation.</w:t>
            </w:r>
          </w:p>
        </w:tc>
      </w:tr>
      <w:tr>
        <w:trPr>
          <w:cantSplit/>
        </w:trPr>
        <w:tc>
          <w:tcPr>
            <w:tcW w:type="dxa" w:w="792"/>
            <w:vAlign w:val="center"/>
          </w:tcPr>
          <w:p>
            <w:pPr>
              <w:spacing w:after="0"/>
            </w:pPr>
            <w:r/>
            <w:r>
              <w:rPr>
                <w:rFonts w:ascii="Aptos" w:hAnsi="Aptos"/>
                <w:b w:val="0"/>
                <w:sz w:val="15"/>
              </w:rPr>
              <w:t>T05</w:t>
            </w:r>
          </w:p>
        </w:tc>
        <w:tc>
          <w:tcPr>
            <w:tcW w:type="dxa" w:w="4680"/>
            <w:vAlign w:val="center"/>
          </w:tcPr>
          <w:p>
            <w:pPr>
              <w:spacing w:after="0"/>
            </w:pPr>
            <w:r/>
            <w:r>
              <w:rPr>
                <w:rFonts w:ascii="Aptos" w:hAnsi="Aptos"/>
                <w:b w:val="0"/>
                <w:sz w:val="15"/>
              </w:rPr>
              <w:t>Unable to hear FHR once at expected gestation</w:t>
            </w:r>
          </w:p>
        </w:tc>
        <w:tc>
          <w:tcPr>
            <w:tcW w:type="dxa" w:w="4896"/>
            <w:vAlign w:val="center"/>
          </w:tcPr>
          <w:p>
            <w:pPr>
              <w:spacing w:after="0"/>
            </w:pPr>
            <w:r/>
            <w:r>
              <w:rPr>
                <w:rFonts w:ascii="Aptos" w:hAnsi="Aptos"/>
                <w:b w:val="0"/>
                <w:sz w:val="15"/>
              </w:rPr>
              <w:t>Immediate senior/ultrasound pathway; do not confirm fetal death.</w:t>
            </w:r>
          </w:p>
        </w:tc>
      </w:tr>
      <w:tr>
        <w:trPr>
          <w:cantSplit/>
        </w:trPr>
        <w:tc>
          <w:tcPr>
            <w:tcW w:type="dxa" w:w="792"/>
            <w:vAlign w:val="center"/>
            <w:shd w:fill="F7F9FC"/>
          </w:tcPr>
          <w:p>
            <w:pPr>
              <w:spacing w:after="0"/>
            </w:pPr>
            <w:r/>
            <w:r>
              <w:rPr>
                <w:rFonts w:ascii="Aptos" w:hAnsi="Aptos"/>
                <w:b w:val="0"/>
                <w:sz w:val="15"/>
              </w:rPr>
              <w:t>T06</w:t>
            </w:r>
          </w:p>
        </w:tc>
        <w:tc>
          <w:tcPr>
            <w:tcW w:type="dxa" w:w="4680"/>
            <w:vAlign w:val="center"/>
            <w:shd w:fill="F7F9FC"/>
          </w:tcPr>
          <w:p>
            <w:pPr>
              <w:spacing w:after="0"/>
            </w:pPr>
            <w:r/>
            <w:r>
              <w:rPr>
                <w:rFonts w:ascii="Aptos" w:hAnsi="Aptos"/>
                <w:b w:val="0"/>
                <w:sz w:val="15"/>
              </w:rPr>
              <w:t>Woman reports reduced movement; FHR 145</w:t>
            </w:r>
          </w:p>
        </w:tc>
        <w:tc>
          <w:tcPr>
            <w:tcW w:type="dxa" w:w="4896"/>
            <w:vAlign w:val="center"/>
            <w:shd w:fill="F7F9FC"/>
          </w:tcPr>
          <w:p>
            <w:pPr>
              <w:spacing w:after="0"/>
            </w:pPr>
            <w:r/>
            <w:r>
              <w:rPr>
                <w:rFonts w:ascii="Aptos" w:hAnsi="Aptos"/>
                <w:b w:val="0"/>
                <w:sz w:val="15"/>
              </w:rPr>
              <w:t>Continue same-day reduced-movement assessment; no false reassurance.</w:t>
            </w:r>
          </w:p>
        </w:tc>
      </w:tr>
      <w:tr>
        <w:trPr>
          <w:cantSplit/>
        </w:trPr>
        <w:tc>
          <w:tcPr>
            <w:tcW w:type="dxa" w:w="792"/>
            <w:vAlign w:val="center"/>
          </w:tcPr>
          <w:p>
            <w:pPr>
              <w:spacing w:after="0"/>
            </w:pPr>
            <w:r/>
            <w:r>
              <w:rPr>
                <w:rFonts w:ascii="Aptos" w:hAnsi="Aptos"/>
                <w:b w:val="0"/>
                <w:sz w:val="15"/>
              </w:rPr>
              <w:t>T07</w:t>
            </w:r>
          </w:p>
        </w:tc>
        <w:tc>
          <w:tcPr>
            <w:tcW w:type="dxa" w:w="4680"/>
            <w:vAlign w:val="center"/>
          </w:tcPr>
          <w:p>
            <w:pPr>
              <w:spacing w:after="0"/>
            </w:pPr>
            <w:r/>
            <w:r>
              <w:rPr>
                <w:rFonts w:ascii="Aptos" w:hAnsi="Aptos"/>
                <w:b w:val="0"/>
                <w:sz w:val="15"/>
              </w:rPr>
              <w:t>Absent movement plus vaginal bleeding</w:t>
            </w:r>
          </w:p>
        </w:tc>
        <w:tc>
          <w:tcPr>
            <w:tcW w:type="dxa" w:w="4896"/>
            <w:vAlign w:val="center"/>
          </w:tcPr>
          <w:p>
            <w:pPr>
              <w:spacing w:after="0"/>
            </w:pPr>
            <w:r/>
            <w:r>
              <w:rPr>
                <w:rFonts w:ascii="Aptos" w:hAnsi="Aptos"/>
                <w:b w:val="0"/>
                <w:sz w:val="15"/>
              </w:rPr>
              <w:t>Emergency transfer override.</w:t>
            </w:r>
          </w:p>
        </w:tc>
      </w:tr>
      <w:tr>
        <w:trPr>
          <w:cantSplit/>
        </w:trPr>
        <w:tc>
          <w:tcPr>
            <w:tcW w:type="dxa" w:w="792"/>
            <w:vAlign w:val="center"/>
            <w:shd w:fill="F7F9FC"/>
          </w:tcPr>
          <w:p>
            <w:pPr>
              <w:spacing w:after="0"/>
            </w:pPr>
            <w:r/>
            <w:r>
              <w:rPr>
                <w:rFonts w:ascii="Aptos" w:hAnsi="Aptos"/>
                <w:b w:val="0"/>
                <w:sz w:val="15"/>
              </w:rPr>
              <w:t>T08</w:t>
            </w:r>
          </w:p>
        </w:tc>
        <w:tc>
          <w:tcPr>
            <w:tcW w:type="dxa" w:w="4680"/>
            <w:vAlign w:val="center"/>
            <w:shd w:fill="F7F9FC"/>
          </w:tcPr>
          <w:p>
            <w:pPr>
              <w:spacing w:after="0"/>
            </w:pPr>
            <w:r/>
            <w:r>
              <w:rPr>
                <w:rFonts w:ascii="Aptos" w:hAnsi="Aptos"/>
                <w:b w:val="0"/>
                <w:sz w:val="15"/>
              </w:rPr>
              <w:t>Second movement episode after prior reassuring assessment</w:t>
            </w:r>
          </w:p>
        </w:tc>
        <w:tc>
          <w:tcPr>
            <w:tcW w:type="dxa" w:w="4896"/>
            <w:vAlign w:val="center"/>
            <w:shd w:fill="F7F9FC"/>
          </w:tcPr>
          <w:p>
            <w:pPr>
              <w:spacing w:after="0"/>
            </w:pPr>
            <w:r/>
            <w:r>
              <w:rPr>
                <w:rFonts w:ascii="Aptos" w:hAnsi="Aptos"/>
                <w:b w:val="0"/>
                <w:sz w:val="15"/>
              </w:rPr>
              <w:t>Show recurrent status and raise escalation priority.</w:t>
            </w:r>
          </w:p>
        </w:tc>
      </w:tr>
      <w:tr>
        <w:trPr>
          <w:cantSplit/>
        </w:trPr>
        <w:tc>
          <w:tcPr>
            <w:tcW w:type="dxa" w:w="792"/>
            <w:vAlign w:val="center"/>
          </w:tcPr>
          <w:p>
            <w:pPr>
              <w:spacing w:after="0"/>
            </w:pPr>
            <w:r/>
            <w:r>
              <w:rPr>
                <w:rFonts w:ascii="Aptos" w:hAnsi="Aptos"/>
                <w:b w:val="0"/>
                <w:sz w:val="15"/>
              </w:rPr>
              <w:t>T09</w:t>
            </w:r>
          </w:p>
        </w:tc>
        <w:tc>
          <w:tcPr>
            <w:tcW w:type="dxa" w:w="4680"/>
            <w:vAlign w:val="center"/>
          </w:tcPr>
          <w:p>
            <w:pPr>
              <w:spacing w:after="0"/>
            </w:pPr>
            <w:r/>
            <w:r>
              <w:rPr>
                <w:rFonts w:ascii="Aptos" w:hAnsi="Aptos"/>
                <w:b w:val="0"/>
                <w:sz w:val="15"/>
              </w:rPr>
              <w:t>Woman counted 10 movements but says pattern is markedly weaker</w:t>
            </w:r>
          </w:p>
        </w:tc>
        <w:tc>
          <w:tcPr>
            <w:tcW w:type="dxa" w:w="4896"/>
            <w:vAlign w:val="center"/>
          </w:tcPr>
          <w:p>
            <w:pPr>
              <w:spacing w:after="0"/>
            </w:pPr>
            <w:r/>
            <w:r>
              <w:rPr>
                <w:rFonts w:ascii="Aptos" w:hAnsi="Aptos"/>
                <w:b w:val="0"/>
                <w:sz w:val="15"/>
              </w:rPr>
              <w:t>Treat maternal concern as active.</w:t>
            </w:r>
          </w:p>
        </w:tc>
      </w:tr>
      <w:tr>
        <w:trPr>
          <w:cantSplit/>
        </w:trPr>
        <w:tc>
          <w:tcPr>
            <w:tcW w:type="dxa" w:w="792"/>
            <w:vAlign w:val="center"/>
            <w:shd w:fill="F7F9FC"/>
          </w:tcPr>
          <w:p>
            <w:pPr>
              <w:spacing w:after="0"/>
            </w:pPr>
            <w:r/>
            <w:r>
              <w:rPr>
                <w:rFonts w:ascii="Aptos" w:hAnsi="Aptos"/>
                <w:b w:val="0"/>
                <w:sz w:val="15"/>
              </w:rPr>
              <w:t>T10</w:t>
            </w:r>
          </w:p>
        </w:tc>
        <w:tc>
          <w:tcPr>
            <w:tcW w:type="dxa" w:w="4680"/>
            <w:vAlign w:val="center"/>
            <w:shd w:fill="F7F9FC"/>
          </w:tcPr>
          <w:p>
            <w:pPr>
              <w:spacing w:after="0"/>
            </w:pPr>
            <w:r/>
            <w:r>
              <w:rPr>
                <w:rFonts w:ascii="Aptos" w:hAnsi="Aptos"/>
                <w:b w:val="0"/>
                <w:sz w:val="15"/>
              </w:rPr>
              <w:t>SFH 27 cm at 28 weeks, single measurement</w:t>
            </w:r>
          </w:p>
        </w:tc>
        <w:tc>
          <w:tcPr>
            <w:tcW w:type="dxa" w:w="4896"/>
            <w:vAlign w:val="center"/>
            <w:shd w:fill="F7F9FC"/>
          </w:tcPr>
          <w:p>
            <w:pPr>
              <w:spacing w:after="0"/>
            </w:pPr>
            <w:r/>
            <w:r>
              <w:rPr>
                <w:rFonts w:ascii="Aptos" w:hAnsi="Aptos"/>
                <w:b w:val="0"/>
                <w:sz w:val="15"/>
              </w:rPr>
              <w:t>Plot and interpret with chart/trend; no diagnosis.</w:t>
            </w:r>
          </w:p>
        </w:tc>
      </w:tr>
      <w:tr>
        <w:trPr>
          <w:cantSplit/>
        </w:trPr>
        <w:tc>
          <w:tcPr>
            <w:tcW w:type="dxa" w:w="792"/>
            <w:vAlign w:val="center"/>
          </w:tcPr>
          <w:p>
            <w:pPr>
              <w:spacing w:after="0"/>
            </w:pPr>
            <w:r/>
            <w:r>
              <w:rPr>
                <w:rFonts w:ascii="Aptos" w:hAnsi="Aptos"/>
                <w:b w:val="0"/>
                <w:sz w:val="15"/>
              </w:rPr>
              <w:t>T11</w:t>
            </w:r>
          </w:p>
        </w:tc>
        <w:tc>
          <w:tcPr>
            <w:tcW w:type="dxa" w:w="4680"/>
            <w:vAlign w:val="center"/>
          </w:tcPr>
          <w:p>
            <w:pPr>
              <w:spacing w:after="0"/>
            </w:pPr>
            <w:r/>
            <w:r>
              <w:rPr>
                <w:rFonts w:ascii="Aptos" w:hAnsi="Aptos"/>
                <w:b w:val="0"/>
                <w:sz w:val="15"/>
              </w:rPr>
              <w:t>SFH trend flattens across serial eligible measurements</w:t>
            </w:r>
          </w:p>
        </w:tc>
        <w:tc>
          <w:tcPr>
            <w:tcW w:type="dxa" w:w="4896"/>
            <w:vAlign w:val="center"/>
          </w:tcPr>
          <w:p>
            <w:pPr>
              <w:spacing w:after="0"/>
            </w:pPr>
            <w:r/>
            <w:r>
              <w:rPr>
                <w:rFonts w:ascii="Aptos" w:hAnsi="Aptos"/>
                <w:b w:val="0"/>
                <w:sz w:val="15"/>
              </w:rPr>
              <w:t>Generate growth/wellbeing ultrasound referral prompt.</w:t>
            </w:r>
          </w:p>
        </w:tc>
      </w:tr>
      <w:tr>
        <w:trPr>
          <w:cantSplit/>
        </w:trPr>
        <w:tc>
          <w:tcPr>
            <w:tcW w:type="dxa" w:w="792"/>
            <w:vAlign w:val="center"/>
            <w:shd w:fill="F7F9FC"/>
          </w:tcPr>
          <w:p>
            <w:pPr>
              <w:spacing w:after="0"/>
            </w:pPr>
            <w:r/>
            <w:r>
              <w:rPr>
                <w:rFonts w:ascii="Aptos" w:hAnsi="Aptos"/>
                <w:b w:val="0"/>
                <w:sz w:val="15"/>
              </w:rPr>
              <w:t>T12</w:t>
            </w:r>
          </w:p>
        </w:tc>
        <w:tc>
          <w:tcPr>
            <w:tcW w:type="dxa" w:w="4680"/>
            <w:vAlign w:val="center"/>
            <w:shd w:fill="F7F9FC"/>
          </w:tcPr>
          <w:p>
            <w:pPr>
              <w:spacing w:after="0"/>
            </w:pPr>
            <w:r/>
            <w:r>
              <w:rPr>
                <w:rFonts w:ascii="Aptos" w:hAnsi="Aptos"/>
                <w:b w:val="0"/>
                <w:sz w:val="15"/>
              </w:rPr>
              <w:t>SFH large with diabetes</w:t>
            </w:r>
          </w:p>
        </w:tc>
        <w:tc>
          <w:tcPr>
            <w:tcW w:type="dxa" w:w="4896"/>
            <w:vAlign w:val="center"/>
            <w:shd w:fill="F7F9FC"/>
          </w:tcPr>
          <w:p>
            <w:pPr>
              <w:spacing w:after="0"/>
            </w:pPr>
            <w:r/>
            <w:r>
              <w:rPr>
                <w:rFonts w:ascii="Aptos" w:hAnsi="Aptos"/>
                <w:b w:val="0"/>
                <w:sz w:val="15"/>
              </w:rPr>
              <w:t>Show combined context and referral prompt; no macrosomia diagnosis.</w:t>
            </w:r>
          </w:p>
        </w:tc>
      </w:tr>
      <w:tr>
        <w:trPr>
          <w:cantSplit/>
        </w:trPr>
        <w:tc>
          <w:tcPr>
            <w:tcW w:type="dxa" w:w="792"/>
            <w:vAlign w:val="center"/>
          </w:tcPr>
          <w:p>
            <w:pPr>
              <w:spacing w:after="0"/>
            </w:pPr>
            <w:r/>
            <w:r>
              <w:rPr>
                <w:rFonts w:ascii="Aptos" w:hAnsi="Aptos"/>
                <w:b w:val="0"/>
                <w:sz w:val="15"/>
              </w:rPr>
              <w:t>T13</w:t>
            </w:r>
          </w:p>
        </w:tc>
        <w:tc>
          <w:tcPr>
            <w:tcW w:type="dxa" w:w="4680"/>
            <w:vAlign w:val="center"/>
          </w:tcPr>
          <w:p>
            <w:pPr>
              <w:spacing w:after="0"/>
            </w:pPr>
            <w:r/>
            <w:r>
              <w:rPr>
                <w:rFonts w:ascii="Aptos" w:hAnsi="Aptos"/>
                <w:b w:val="0"/>
                <w:sz w:val="15"/>
              </w:rPr>
              <w:t>Twin pregnancy</w:t>
            </w:r>
          </w:p>
        </w:tc>
        <w:tc>
          <w:tcPr>
            <w:tcW w:type="dxa" w:w="4896"/>
            <w:vAlign w:val="center"/>
          </w:tcPr>
          <w:p>
            <w:pPr>
              <w:spacing w:after="0"/>
            </w:pPr>
            <w:r/>
            <w:r>
              <w:rPr>
                <w:rFonts w:ascii="Aptos" w:hAnsi="Aptos"/>
                <w:b w:val="0"/>
                <w:sz w:val="15"/>
              </w:rPr>
              <w:t>Disable singleton SFH chart rules and show specialist pathway.</w:t>
            </w:r>
          </w:p>
        </w:tc>
      </w:tr>
      <w:tr>
        <w:trPr>
          <w:cantSplit/>
        </w:trPr>
        <w:tc>
          <w:tcPr>
            <w:tcW w:type="dxa" w:w="792"/>
            <w:vAlign w:val="center"/>
            <w:shd w:fill="F7F9FC"/>
          </w:tcPr>
          <w:p>
            <w:pPr>
              <w:spacing w:after="0"/>
            </w:pPr>
            <w:r/>
            <w:r>
              <w:rPr>
                <w:rFonts w:ascii="Aptos" w:hAnsi="Aptos"/>
                <w:b w:val="0"/>
                <w:sz w:val="15"/>
              </w:rPr>
              <w:t>T14</w:t>
            </w:r>
          </w:p>
        </w:tc>
        <w:tc>
          <w:tcPr>
            <w:tcW w:type="dxa" w:w="4680"/>
            <w:vAlign w:val="center"/>
            <w:shd w:fill="F7F9FC"/>
          </w:tcPr>
          <w:p>
            <w:pPr>
              <w:spacing w:after="0"/>
            </w:pPr>
            <w:r/>
            <w:r>
              <w:rPr>
                <w:rFonts w:ascii="Aptos" w:hAnsi="Aptos"/>
                <w:b w:val="0"/>
                <w:sz w:val="15"/>
              </w:rPr>
              <w:t>Serial growth scans started</w:t>
            </w:r>
          </w:p>
        </w:tc>
        <w:tc>
          <w:tcPr>
            <w:tcW w:type="dxa" w:w="4896"/>
            <w:vAlign w:val="center"/>
            <w:shd w:fill="F7F9FC"/>
          </w:tcPr>
          <w:p>
            <w:pPr>
              <w:spacing w:after="0"/>
            </w:pPr>
            <w:r/>
            <w:r>
              <w:rPr>
                <w:rFonts w:ascii="Aptos" w:hAnsi="Aptos"/>
                <w:b w:val="0"/>
                <w:sz w:val="15"/>
              </w:rPr>
              <w:t>Stop routine SFH prompts.</w:t>
            </w:r>
          </w:p>
        </w:tc>
      </w:tr>
      <w:tr>
        <w:trPr>
          <w:cantSplit/>
        </w:trPr>
        <w:tc>
          <w:tcPr>
            <w:tcW w:type="dxa" w:w="792"/>
            <w:vAlign w:val="center"/>
          </w:tcPr>
          <w:p>
            <w:pPr>
              <w:spacing w:after="0"/>
            </w:pPr>
            <w:r/>
            <w:r>
              <w:rPr>
                <w:rFonts w:ascii="Aptos" w:hAnsi="Aptos"/>
                <w:b w:val="0"/>
                <w:sz w:val="15"/>
              </w:rPr>
              <w:t>T15</w:t>
            </w:r>
          </w:p>
        </w:tc>
        <w:tc>
          <w:tcPr>
            <w:tcW w:type="dxa" w:w="4680"/>
            <w:vAlign w:val="center"/>
          </w:tcPr>
          <w:p>
            <w:pPr>
              <w:spacing w:after="0"/>
            </w:pPr>
            <w:r/>
            <w:r>
              <w:rPr>
                <w:rFonts w:ascii="Aptos" w:hAnsi="Aptos"/>
                <w:b w:val="0"/>
                <w:sz w:val="15"/>
              </w:rPr>
              <w:t>High BMI makes SFH unreliable</w:t>
            </w:r>
          </w:p>
        </w:tc>
        <w:tc>
          <w:tcPr>
            <w:tcW w:type="dxa" w:w="4896"/>
            <w:vAlign w:val="center"/>
          </w:tcPr>
          <w:p>
            <w:pPr>
              <w:spacing w:after="0"/>
            </w:pPr>
            <w:r/>
            <w:r>
              <w:rPr>
                <w:rFonts w:ascii="Aptos" w:hAnsi="Aptos"/>
                <w:b w:val="0"/>
                <w:sz w:val="15"/>
              </w:rPr>
              <w:t>Record limitation and alternative surveillance pathway.</w:t>
            </w:r>
          </w:p>
        </w:tc>
      </w:tr>
      <w:tr>
        <w:trPr>
          <w:cantSplit/>
        </w:trPr>
        <w:tc>
          <w:tcPr>
            <w:tcW w:type="dxa" w:w="792"/>
            <w:vAlign w:val="center"/>
            <w:shd w:fill="F7F9FC"/>
          </w:tcPr>
          <w:p>
            <w:pPr>
              <w:spacing w:after="0"/>
            </w:pPr>
            <w:r/>
            <w:r>
              <w:rPr>
                <w:rFonts w:ascii="Aptos" w:hAnsi="Aptos"/>
                <w:b w:val="0"/>
                <w:sz w:val="15"/>
              </w:rPr>
              <w:t>T16</w:t>
            </w:r>
          </w:p>
        </w:tc>
        <w:tc>
          <w:tcPr>
            <w:tcW w:type="dxa" w:w="4680"/>
            <w:vAlign w:val="center"/>
            <w:shd w:fill="F7F9FC"/>
          </w:tcPr>
          <w:p>
            <w:pPr>
              <w:spacing w:after="0"/>
            </w:pPr>
            <w:r/>
            <w:r>
              <w:rPr>
                <w:rFonts w:ascii="Aptos" w:hAnsi="Aptos"/>
                <w:b w:val="0"/>
                <w:sz w:val="15"/>
              </w:rPr>
              <w:t>Dating confidence uncertain</w:t>
            </w:r>
          </w:p>
        </w:tc>
        <w:tc>
          <w:tcPr>
            <w:tcW w:type="dxa" w:w="4896"/>
            <w:vAlign w:val="center"/>
            <w:shd w:fill="F7F9FC"/>
          </w:tcPr>
          <w:p>
            <w:pPr>
              <w:spacing w:after="0"/>
            </w:pPr>
            <w:r/>
            <w:r>
              <w:rPr>
                <w:rFonts w:ascii="Aptos" w:hAnsi="Aptos"/>
                <w:b w:val="0"/>
                <w:sz w:val="15"/>
              </w:rPr>
              <w:t>Display uncertainty and avoid precise size classification.</w:t>
            </w:r>
          </w:p>
        </w:tc>
      </w:tr>
      <w:tr>
        <w:trPr>
          <w:cantSplit/>
        </w:trPr>
        <w:tc>
          <w:tcPr>
            <w:tcW w:type="dxa" w:w="792"/>
            <w:vAlign w:val="center"/>
          </w:tcPr>
          <w:p>
            <w:pPr>
              <w:spacing w:after="0"/>
            </w:pPr>
            <w:r/>
            <w:r>
              <w:rPr>
                <w:rFonts w:ascii="Aptos" w:hAnsi="Aptos"/>
                <w:b w:val="0"/>
                <w:sz w:val="15"/>
              </w:rPr>
              <w:t>T17</w:t>
            </w:r>
          </w:p>
        </w:tc>
        <w:tc>
          <w:tcPr>
            <w:tcW w:type="dxa" w:w="4680"/>
            <w:vAlign w:val="center"/>
          </w:tcPr>
          <w:p>
            <w:pPr>
              <w:spacing w:after="0"/>
            </w:pPr>
            <w:r/>
            <w:r>
              <w:rPr>
                <w:rFonts w:ascii="Aptos" w:hAnsi="Aptos"/>
                <w:b w:val="0"/>
                <w:sz w:val="15"/>
              </w:rPr>
              <w:t>Legacy “weak heartbeat” entry</w:t>
            </w:r>
          </w:p>
        </w:tc>
        <w:tc>
          <w:tcPr>
            <w:tcW w:type="dxa" w:w="4896"/>
            <w:vAlign w:val="center"/>
          </w:tcPr>
          <w:p>
            <w:pPr>
              <w:spacing w:after="0"/>
            </w:pPr>
            <w:r/>
            <w:r>
              <w:rPr>
                <w:rFonts w:ascii="Aptos" w:hAnsi="Aptos"/>
                <w:b w:val="0"/>
                <w:sz w:val="15"/>
              </w:rPr>
              <w:t>Migrate as unverified legacy observation; request review.</w:t>
            </w:r>
          </w:p>
        </w:tc>
      </w:tr>
      <w:tr>
        <w:trPr>
          <w:cantSplit/>
        </w:trPr>
        <w:tc>
          <w:tcPr>
            <w:tcW w:type="dxa" w:w="792"/>
            <w:vAlign w:val="center"/>
            <w:shd w:fill="F7F9FC"/>
          </w:tcPr>
          <w:p>
            <w:pPr>
              <w:spacing w:after="0"/>
            </w:pPr>
            <w:r/>
            <w:r>
              <w:rPr>
                <w:rFonts w:ascii="Aptos" w:hAnsi="Aptos"/>
                <w:b w:val="0"/>
                <w:sz w:val="15"/>
              </w:rPr>
              <w:t>T18</w:t>
            </w:r>
          </w:p>
        </w:tc>
        <w:tc>
          <w:tcPr>
            <w:tcW w:type="dxa" w:w="4680"/>
            <w:vAlign w:val="center"/>
            <w:shd w:fill="F7F9FC"/>
          </w:tcPr>
          <w:p>
            <w:pPr>
              <w:spacing w:after="0"/>
            </w:pPr>
            <w:r/>
            <w:r>
              <w:rPr>
                <w:rFonts w:ascii="Aptos" w:hAnsi="Aptos"/>
                <w:b w:val="0"/>
                <w:sz w:val="15"/>
              </w:rPr>
              <w:t>Unauthorized user tries to close emergency referral</w:t>
            </w:r>
          </w:p>
        </w:tc>
        <w:tc>
          <w:tcPr>
            <w:tcW w:type="dxa" w:w="4896"/>
            <w:vAlign w:val="center"/>
            <w:shd w:fill="F7F9FC"/>
          </w:tcPr>
          <w:p>
            <w:pPr>
              <w:spacing w:after="0"/>
            </w:pPr>
            <w:r/>
            <w:r>
              <w:rPr>
                <w:rFonts w:ascii="Aptos" w:hAnsi="Aptos"/>
                <w:b w:val="0"/>
                <w:sz w:val="15"/>
              </w:rPr>
              <w:t>Block action and audit attempt.</w:t>
            </w:r>
          </w:p>
        </w:tc>
      </w:tr>
    </w:tbl>
    <w:p/>
    <w:p>
      <w:pPr>
        <w:pStyle w:val="Heading1"/>
      </w:pPr>
      <w:r>
        <w:t>14. Implementation Requirements</w:t>
      </w:r>
    </w:p>
    <w:p>
      <w:pPr>
        <w:pStyle w:val="ListBullet"/>
        <w:spacing w:after="50"/>
      </w:pPr>
      <w:r>
        <w:t>Use server-side rule services for fetal-heart, movement, and SFH workflows; do not duplicate logic in Blade views.</w:t>
      </w:r>
    </w:p>
    <w:p>
      <w:pPr>
        <w:pStyle w:val="ListBullet"/>
        <w:spacing w:after="50"/>
      </w:pPr>
      <w:r>
        <w:t>Version all thresholds and local protocols, including gestational-age cutoffs and escalation levels.</w:t>
      </w:r>
    </w:p>
    <w:p>
      <w:pPr>
        <w:pStyle w:val="ListBullet"/>
        <w:spacing w:after="50"/>
      </w:pPr>
      <w:r>
        <w:t>Keep observations immutable after clinical sign-off; corrections should create an amended version with an audit trail.</w:t>
      </w:r>
    </w:p>
    <w:p>
      <w:pPr>
        <w:pStyle w:val="ListBullet"/>
        <w:spacing w:after="50"/>
      </w:pPr>
      <w:r>
        <w:t>Calculate recurrence from episode history rather than a manually maintained checkbox alone.</w:t>
      </w:r>
    </w:p>
    <w:p>
      <w:pPr>
        <w:pStyle w:val="ListBullet"/>
        <w:spacing w:after="50"/>
      </w:pPr>
      <w:r>
        <w:t>Use explicit null states and controlled vocabularies.</w:t>
      </w:r>
    </w:p>
    <w:p>
      <w:pPr>
        <w:pStyle w:val="ListBullet"/>
        <w:spacing w:after="50"/>
      </w:pPr>
      <w:r>
        <w:t>Apply role-based permissions for interpretation, referral closure, and override.</w:t>
      </w:r>
    </w:p>
    <w:p>
      <w:pPr>
        <w:pStyle w:val="ListBullet"/>
        <w:spacing w:after="50"/>
      </w:pPr>
      <w:r>
        <w:t>Create time-to-escalation metrics for safety review.</w:t>
      </w:r>
    </w:p>
    <w:p>
      <w:pPr>
        <w:pStyle w:val="ListBullet"/>
        <w:spacing w:after="50"/>
      </w:pPr>
      <w:r>
        <w:t>Make emergency workflows available even when other records are incomplete.</w:t>
      </w:r>
    </w:p>
    <w:p>
      <w:pPr>
        <w:pStyle w:val="ListBullet"/>
        <w:spacing w:after="50"/>
      </w:pPr>
      <w:r>
        <w:t>Use clinical reports as source documents for CTG and ultrasound outcomes.</w:t>
      </w:r>
    </w:p>
    <w:p>
      <w:pPr>
        <w:pStyle w:val="ListBullet"/>
        <w:spacing w:after="50"/>
      </w:pPr>
      <w:r>
        <w:t>Test boundary gestations, duplicate encounters, offline/late entry, clock errors, and transfer refusal.</w:t>
      </w:r>
    </w:p>
    <w:p>
      <w:pPr>
        <w:pStyle w:val="ListBullet"/>
        <w:spacing w:after="50"/>
      </w:pPr>
      <w:r>
        <w:t>Design patient-facing messages in plain language and Filipino/local-language versions where approved.</w:t>
      </w:r>
    </w:p>
    <w:p>
      <w:pPr>
        <w:pStyle w:val="ListBullet"/>
        <w:spacing w:after="50"/>
      </w:pPr>
      <w:r>
        <w:t>Validate the complete rule set with local obstetricians, licensed midwives, referral hospitals, and the clinic's written emergency protocol before deployment.</w:t>
      </w:r>
    </w:p>
    <w:p>
      <w:pPr>
        <w:pStyle w:val="Heading1"/>
      </w:pPr>
      <w:r>
        <w:t>15. Final Knowledge-Base Decision</w:t>
      </w:r>
    </w:p>
    <w:tbl>
      <w:tblPr>
        <w:tblW w:type="auto" w:w="0"/>
        <w:jc w:val="center"/>
        <w:tblLook w:firstColumn="1" w:firstRow="1" w:lastColumn="0" w:lastRow="0" w:noHBand="0" w:noVBand="1" w:val="04A0"/>
      </w:tblPr>
      <w:tblGrid>
        <w:gridCol w:w="9994"/>
      </w:tblGrid>
      <w:tr>
        <w:tc>
          <w:tcPr>
            <w:tcW w:type="dxa" w:w="9994"/>
            <w:shd w:fill="E2F0D9"/>
            <w:tcBorders>
              <w:top w:val="single" w:sz="8" w:color="548235"/>
              <w:left w:val="single" w:sz="8" w:color="548235"/>
              <w:bottom w:val="single" w:sz="8" w:color="548235"/>
              <w:right w:val="single" w:sz="8" w:color="548235"/>
            </w:tcBorders>
          </w:tcPr>
          <w:p>
            <w:pPr>
              <w:pStyle w:val="Callout"/>
            </w:pPr>
            <w:r>
              <w:rPr>
                <w:b/>
                <w:color w:val="548235"/>
              </w:rPr>
              <w:t xml:space="preserve">Include all three domains, but keep their roles distinct. </w:t>
            </w:r>
            <w:r>
              <w:t>Fetal-heart auscultation documents immediate presence and approximate rate; fetal movement captures the woman's clinically important perception of change; serial SFH screens eligible pregnancies for possible growth concern. The CDSS should combine these signals for urgency while preserving the fact that definitive fetal assessment and diagnosis require qualified clinical evaluation and, when indicated, hospital-based CTG or ultrasound.</w:t>
            </w:r>
          </w:p>
        </w:tc>
      </w:tr>
    </w:tbl>
    <w:p/>
    <w:p>
      <w:r>
        <w:t>This design corrects the current oversimplified categories “Weak/Abnormal/Absent.” It replaces them with measurable observations, source and technique, gestational context, patient-reported movement, serial growth trend, uncertainty, action, and referral outcome. These structured data can later support the Decision Engine, Interaction Matrix, Recommendation Engine, and Risk Index without fabricating a diagnosis.</w:t>
      </w:r>
    </w:p>
    <w:p>
      <w:pPr>
        <w:pStyle w:val="Heading1"/>
      </w:pPr>
      <w:r>
        <w:t>16. Evidence Traceability</w:t>
      </w:r>
    </w:p>
    <w:tbl>
      <w:tblPr>
        <w:tblStyle w:val="TableGrid"/>
        <w:tblW w:type="auto" w:w="0"/>
        <w:jc w:val="center"/>
        <w:tblLook w:firstColumn="1" w:firstRow="1" w:lastColumn="0" w:lastRow="0" w:noHBand="0" w:noVBand="1" w:val="04A0"/>
      </w:tblPr>
      <w:tblGrid>
        <w:gridCol w:w="4997"/>
        <w:gridCol w:w="4997"/>
      </w:tblGrid>
      <w:tr>
        <w:trPr>
          <w:cantSplit/>
        </w:trPr>
        <w:tc>
          <w:tcPr>
            <w:tcW w:type="dxa" w:w="5472"/>
            <w:vAlign w:val="center"/>
            <w:shd w:fill="17365D"/>
          </w:tcPr>
          <w:p>
            <w:pPr>
              <w:spacing w:after="0"/>
            </w:pPr>
            <w:r/>
            <w:r>
              <w:rPr>
                <w:rFonts w:ascii="Aptos" w:hAnsi="Aptos"/>
                <w:b/>
                <w:color w:val="FFFFFF"/>
                <w:sz w:val="16"/>
              </w:rPr>
              <w:t>Knowledge claim</w:t>
            </w:r>
          </w:p>
        </w:tc>
        <w:tc>
          <w:tcPr>
            <w:tcW w:type="dxa" w:w="4896"/>
            <w:vAlign w:val="center"/>
            <w:shd w:fill="17365D"/>
          </w:tcPr>
          <w:p>
            <w:pPr>
              <w:spacing w:after="0"/>
            </w:pPr>
            <w:r/>
            <w:r>
              <w:rPr>
                <w:rFonts w:ascii="Aptos" w:hAnsi="Aptos"/>
                <w:b/>
                <w:color w:val="FFFFFF"/>
                <w:sz w:val="16"/>
              </w:rPr>
              <w:t>Primary supporting authority</w:t>
            </w:r>
          </w:p>
        </w:tc>
      </w:tr>
      <w:tr>
        <w:trPr>
          <w:cantSplit/>
        </w:trPr>
        <w:tc>
          <w:tcPr>
            <w:tcW w:type="dxa" w:w="5472"/>
            <w:vAlign w:val="center"/>
          </w:tcPr>
          <w:p>
            <w:pPr>
              <w:spacing w:after="0"/>
            </w:pPr>
            <w:r/>
            <w:r>
              <w:rPr>
                <w:rFonts w:ascii="Aptos" w:hAnsi="Aptos"/>
                <w:b w:val="0"/>
                <w:sz w:val="15"/>
              </w:rPr>
              <w:t>Discuss movements after 24 weeks and assess any concern</w:t>
            </w:r>
          </w:p>
        </w:tc>
        <w:tc>
          <w:tcPr>
            <w:tcW w:type="dxa" w:w="4896"/>
            <w:vAlign w:val="center"/>
          </w:tcPr>
          <w:p>
            <w:pPr>
              <w:spacing w:after="0"/>
            </w:pPr>
            <w:r/>
            <w:r>
              <w:rPr>
                <w:rFonts w:ascii="Aptos" w:hAnsi="Aptos"/>
                <w:b w:val="0"/>
                <w:sz w:val="15"/>
              </w:rPr>
              <w:t>NICE NG201 recommendations 1.2.34.</w:t>
            </w:r>
          </w:p>
        </w:tc>
      </w:tr>
      <w:tr>
        <w:trPr>
          <w:cantSplit/>
        </w:trPr>
        <w:tc>
          <w:tcPr>
            <w:tcW w:type="dxa" w:w="5472"/>
            <w:vAlign w:val="center"/>
            <w:shd w:fill="F7F9FC"/>
          </w:tcPr>
          <w:p>
            <w:pPr>
              <w:spacing w:after="0"/>
            </w:pPr>
            <w:r/>
            <w:r>
              <w:rPr>
                <w:rFonts w:ascii="Aptos" w:hAnsi="Aptos"/>
                <w:b w:val="0"/>
                <w:sz w:val="15"/>
              </w:rPr>
              <w:t>SFH after 24 weeks, no more frequently than every 2 weeks, in eligible singleton pregnancies</w:t>
            </w:r>
          </w:p>
        </w:tc>
        <w:tc>
          <w:tcPr>
            <w:tcW w:type="dxa" w:w="4896"/>
            <w:vAlign w:val="center"/>
            <w:shd w:fill="F7F9FC"/>
          </w:tcPr>
          <w:p>
            <w:pPr>
              <w:spacing w:after="0"/>
            </w:pPr>
            <w:r/>
            <w:r>
              <w:rPr>
                <w:rFonts w:ascii="Aptos" w:hAnsi="Aptos"/>
                <w:b w:val="0"/>
                <w:sz w:val="15"/>
              </w:rPr>
              <w:t>NICE NG201 recommendations 1.2.30-1.2.32; NHS England SBLCB v3.2.</w:t>
            </w:r>
          </w:p>
        </w:tc>
      </w:tr>
      <w:tr>
        <w:trPr>
          <w:cantSplit/>
        </w:trPr>
        <w:tc>
          <w:tcPr>
            <w:tcW w:type="dxa" w:w="5472"/>
            <w:vAlign w:val="center"/>
          </w:tcPr>
          <w:p>
            <w:pPr>
              <w:spacing w:after="0"/>
            </w:pPr>
            <w:r/>
            <w:r>
              <w:rPr>
                <w:rFonts w:ascii="Aptos" w:hAnsi="Aptos"/>
                <w:b w:val="0"/>
                <w:sz w:val="15"/>
              </w:rPr>
              <w:t>Stop SFH when serial growth scan surveillance begins</w:t>
            </w:r>
          </w:p>
        </w:tc>
        <w:tc>
          <w:tcPr>
            <w:tcW w:type="dxa" w:w="4896"/>
            <w:vAlign w:val="center"/>
          </w:tcPr>
          <w:p>
            <w:pPr>
              <w:spacing w:after="0"/>
            </w:pPr>
            <w:r/>
            <w:r>
              <w:rPr>
                <w:rFonts w:ascii="Aptos" w:hAnsi="Aptos"/>
                <w:b w:val="0"/>
                <w:sz w:val="15"/>
              </w:rPr>
              <w:t>NHS England SBLCB v3.2 Element 2.</w:t>
            </w:r>
          </w:p>
        </w:tc>
      </w:tr>
      <w:tr>
        <w:trPr>
          <w:cantSplit/>
        </w:trPr>
        <w:tc>
          <w:tcPr>
            <w:tcW w:type="dxa" w:w="5472"/>
            <w:vAlign w:val="center"/>
            <w:shd w:fill="F7F9FC"/>
          </w:tcPr>
          <w:p>
            <w:pPr>
              <w:spacing w:after="0"/>
            </w:pPr>
            <w:r/>
            <w:r>
              <w:rPr>
                <w:rFonts w:ascii="Aptos" w:hAnsi="Aptos"/>
                <w:b w:val="0"/>
                <w:sz w:val="15"/>
              </w:rPr>
              <w:t>Reduced movement requires a structured, timely assessment pathway</w:t>
            </w:r>
          </w:p>
        </w:tc>
        <w:tc>
          <w:tcPr>
            <w:tcW w:type="dxa" w:w="4896"/>
            <w:vAlign w:val="center"/>
            <w:shd w:fill="F7F9FC"/>
          </w:tcPr>
          <w:p>
            <w:pPr>
              <w:spacing w:after="0"/>
            </w:pPr>
            <w:r/>
            <w:r>
              <w:rPr>
                <w:rFonts w:ascii="Aptos" w:hAnsi="Aptos"/>
                <w:b w:val="0"/>
                <w:sz w:val="15"/>
              </w:rPr>
              <w:t>RCOG Green-top 57 (2nd ed., 2026); NHS England SBLCB v3.2 Element 3.</w:t>
            </w:r>
          </w:p>
        </w:tc>
      </w:tr>
      <w:tr>
        <w:trPr>
          <w:cantSplit/>
        </w:trPr>
        <w:tc>
          <w:tcPr>
            <w:tcW w:type="dxa" w:w="5472"/>
            <w:vAlign w:val="center"/>
          </w:tcPr>
          <w:p>
            <w:pPr>
              <w:spacing w:after="0"/>
            </w:pPr>
            <w:r/>
            <w:r>
              <w:rPr>
                <w:rFonts w:ascii="Aptos" w:hAnsi="Aptos"/>
                <w:b w:val="0"/>
                <w:sz w:val="15"/>
              </w:rPr>
              <w:t>A normal brief fetal-heart observation does not replace formal surveillance</w:t>
            </w:r>
          </w:p>
        </w:tc>
        <w:tc>
          <w:tcPr>
            <w:tcW w:type="dxa" w:w="4896"/>
            <w:vAlign w:val="center"/>
          </w:tcPr>
          <w:p>
            <w:pPr>
              <w:spacing w:after="0"/>
            </w:pPr>
            <w:r/>
            <w:r>
              <w:rPr>
                <w:rFonts w:ascii="Aptos" w:hAnsi="Aptos"/>
                <w:b w:val="0"/>
                <w:sz w:val="15"/>
              </w:rPr>
              <w:t>Derived from distinctions among auscultation, CTG, and antenatal surveillance in ACOG/NHS guidance.</w:t>
            </w:r>
          </w:p>
        </w:tc>
      </w:tr>
      <w:tr>
        <w:trPr>
          <w:cantSplit/>
        </w:trPr>
        <w:tc>
          <w:tcPr>
            <w:tcW w:type="dxa" w:w="5472"/>
            <w:vAlign w:val="center"/>
            <w:shd w:fill="F7F9FC"/>
          </w:tcPr>
          <w:p>
            <w:pPr>
              <w:spacing w:after="0"/>
            </w:pPr>
            <w:r/>
            <w:r>
              <w:rPr>
                <w:rFonts w:ascii="Aptos" w:hAnsi="Aptos"/>
                <w:b w:val="0"/>
                <w:sz w:val="15"/>
              </w:rPr>
              <w:t>Reduced movement is associated with increased stillbirth risk and may warrant one-time surveillance after viability</w:t>
            </w:r>
          </w:p>
        </w:tc>
        <w:tc>
          <w:tcPr>
            <w:tcW w:type="dxa" w:w="4896"/>
            <w:vAlign w:val="center"/>
            <w:shd w:fill="F7F9FC"/>
          </w:tcPr>
          <w:p>
            <w:pPr>
              <w:spacing w:after="0"/>
            </w:pPr>
            <w:r/>
            <w:r>
              <w:rPr>
                <w:rFonts w:ascii="Aptos" w:hAnsi="Aptos"/>
                <w:b w:val="0"/>
                <w:sz w:val="15"/>
              </w:rPr>
              <w:t>ACOG Committee Opinion 828.</w:t>
            </w:r>
          </w:p>
        </w:tc>
      </w:tr>
      <w:tr>
        <w:trPr>
          <w:cantSplit/>
        </w:trPr>
        <w:tc>
          <w:tcPr>
            <w:tcW w:type="dxa" w:w="5472"/>
            <w:vAlign w:val="center"/>
          </w:tcPr>
          <w:p>
            <w:pPr>
              <w:spacing w:after="0"/>
            </w:pPr>
            <w:r/>
            <w:r>
              <w:rPr>
                <w:rFonts w:ascii="Aptos" w:hAnsi="Aptos"/>
                <w:b w:val="0"/>
                <w:sz w:val="15"/>
              </w:rPr>
              <w:t>SFH is a screening signal, while FGR diagnosis requires broader assessment</w:t>
            </w:r>
          </w:p>
        </w:tc>
        <w:tc>
          <w:tcPr>
            <w:tcW w:type="dxa" w:w="4896"/>
            <w:vAlign w:val="center"/>
          </w:tcPr>
          <w:p>
            <w:pPr>
              <w:spacing w:after="0"/>
            </w:pPr>
            <w:r/>
            <w:r>
              <w:rPr>
                <w:rFonts w:ascii="Aptos" w:hAnsi="Aptos"/>
                <w:b w:val="0"/>
                <w:sz w:val="15"/>
              </w:rPr>
              <w:t>NICE rationale and impact; RCOG Green-top 31.</w:t>
            </w:r>
          </w:p>
        </w:tc>
      </w:tr>
      <w:tr>
        <w:trPr>
          <w:cantSplit/>
        </w:trPr>
        <w:tc>
          <w:tcPr>
            <w:tcW w:type="dxa" w:w="5472"/>
            <w:vAlign w:val="center"/>
            <w:shd w:fill="F7F9FC"/>
          </w:tcPr>
          <w:p>
            <w:pPr>
              <w:spacing w:after="0"/>
            </w:pPr>
            <w:r/>
            <w:r>
              <w:rPr>
                <w:rFonts w:ascii="Aptos" w:hAnsi="Aptos"/>
                <w:b w:val="0"/>
                <w:sz w:val="15"/>
              </w:rPr>
              <w:t>The system must individualize and expose uncertainty</w:t>
            </w:r>
          </w:p>
        </w:tc>
        <w:tc>
          <w:tcPr>
            <w:tcW w:type="dxa" w:w="4896"/>
            <w:vAlign w:val="center"/>
            <w:shd w:fill="F7F9FC"/>
          </w:tcPr>
          <w:p>
            <w:pPr>
              <w:spacing w:after="0"/>
            </w:pPr>
            <w:r/>
            <w:r>
              <w:rPr>
                <w:rFonts w:ascii="Aptos" w:hAnsi="Aptos"/>
                <w:b w:val="0"/>
                <w:sz w:val="15"/>
              </w:rPr>
              <w:t>WHO person-centred ANC principles and digital adaptation approach.</w:t>
            </w:r>
          </w:p>
        </w:tc>
      </w:tr>
    </w:tbl>
    <w:p/>
    <w:p>
      <w:pPr>
        <w:pStyle w:val="Heading1"/>
      </w:pPr>
      <w:r>
        <w:t>References</w:t>
      </w:r>
    </w:p>
    <w:p>
      <w:pPr>
        <w:spacing w:after="80"/>
        <w:ind w:left="259" w:hanging="259"/>
      </w:pPr>
      <w:r>
        <w:t>1. World Health Organization. WHO recommendations on antenatal care for a positive pregnancy experience. Geneva: WHO; 2016, with subsequent updates.</w:t>
      </w:r>
    </w:p>
    <w:p>
      <w:pPr>
        <w:spacing w:after="80"/>
        <w:ind w:left="259" w:hanging="259"/>
      </w:pPr>
      <w:r>
        <w:t>2. World Health Organization. WHO recommendations on maternal health: guidelines approved by the WHO Guidelines Review Committee. 2nd ed. Geneva: WHO; 2025.</w:t>
      </w:r>
    </w:p>
    <w:p>
      <w:pPr>
        <w:spacing w:after="80"/>
        <w:ind w:left="259" w:hanging="259"/>
      </w:pPr>
      <w:r>
        <w:t>3. National Institute for Health and Care Excellence. Antenatal care. NICE guideline NG201. Recommendations and rationale. London: NICE; 2021, updated online.</w:t>
      </w:r>
    </w:p>
    <w:p>
      <w:pPr>
        <w:spacing w:after="80"/>
        <w:ind w:left="259" w:hanging="259"/>
      </w:pPr>
      <w:r>
        <w:t>4. NHS England. Saving Babies' Lives Care Bundle, version 3.2: a care bundle for reducing perinatal mortality. London: NHS England; 2025.</w:t>
      </w:r>
    </w:p>
    <w:p>
      <w:pPr>
        <w:spacing w:after="80"/>
        <w:ind w:left="259" w:hanging="259"/>
      </w:pPr>
      <w:r>
        <w:t>5. Royal College of Obstetricians and Gynaecologists. Reduced Fetal Movements. Green-top Guideline No. 57. 2nd ed. London: RCOG; 2026.</w:t>
      </w:r>
    </w:p>
    <w:p>
      <w:pPr>
        <w:spacing w:after="80"/>
        <w:ind w:left="259" w:hanging="259"/>
      </w:pPr>
      <w:r>
        <w:t>6. Royal College of Obstetricians and Gynaecologists. Small-for-Gestational-Age Fetus and a Growth Restricted Fetus: Investigation and Care. Green-top Guideline No. 31. 3rd ed. London: RCOG; 2024 web review.</w:t>
      </w:r>
    </w:p>
    <w:p>
      <w:pPr>
        <w:spacing w:after="80"/>
        <w:ind w:left="259" w:hanging="259"/>
      </w:pPr>
      <w:r>
        <w:t>7. American College of Obstetricians and Gynecologists; Society for Maternal-Fetal Medicine. Indications for Outpatient Antenatal Fetal Surveillance. Committee Opinion No. 828. Obstet Gynecol. 2021;137:e177-e197.</w:t>
      </w:r>
    </w:p>
    <w:p>
      <w:pPr>
        <w:spacing w:after="80"/>
        <w:ind w:left="259" w:hanging="259"/>
      </w:pPr>
      <w:r>
        <w:t>8. American College of Obstetricians and Gynecologists. Special Tests for Monitoring Fetal Well-Being. Patient education FAQ. Updated online.</w:t>
      </w:r>
    </w:p>
    <w:p>
      <w:pPr>
        <w:spacing w:after="80"/>
        <w:ind w:left="259" w:hanging="259"/>
      </w:pPr>
      <w:r>
        <w:t>9. Republic of the Philippines. Republic Act No. 11148, Kalusugan at Nutrisyon ng Mag-Nanay Act. 2018. Used for Philippine maternal-care and referral context; it does not define detailed FHR, fetal-movement, or SFH thresholds.</w:t>
      </w:r>
    </w:p>
    <w:p>
      <w:pPr>
        <w:spacing w:after="80"/>
        <w:ind w:left="259" w:hanging="259"/>
      </w:pPr>
      <w:r>
        <w:t>10. Department of Health, Philippines. National and local maternal, newborn, and child health service-delivery policies and referral arrangements should be used for final local implementation. No public Philippine national guideline with a complete Part 9 decision table was identified during this review.</w:t>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7365D"/>
          </w:tcPr>
          <w:p>
            <w:pPr>
              <w:spacing w:after="0"/>
            </w:pPr>
            <w:r/>
            <w:r>
              <w:rPr>
                <w:rFonts w:ascii="Aptos" w:hAnsi="Aptos"/>
                <w:b/>
                <w:color w:val="FFFFFF"/>
                <w:sz w:val="16"/>
              </w:rPr>
              <w:t>Item</w:t>
            </w:r>
          </w:p>
        </w:tc>
        <w:tc>
          <w:tcPr>
            <w:tcW w:type="dxa" w:w="7488"/>
            <w:vAlign w:val="center"/>
            <w:shd w:fill="17365D"/>
          </w:tcPr>
          <w:p>
            <w:pPr>
              <w:spacing w:after="0"/>
            </w:pPr>
            <w:r/>
            <w:r>
              <w:rPr>
                <w:rFonts w:ascii="Aptos" w:hAnsi="Aptos"/>
                <w:b/>
                <w:color w:val="FFFFFF"/>
                <w:sz w:val="16"/>
              </w:rPr>
              <w:t>Value</w:t>
            </w:r>
          </w:p>
        </w:tc>
      </w:tr>
      <w:tr>
        <w:trPr>
          <w:cantSplit/>
        </w:trPr>
        <w:tc>
          <w:tcPr>
            <w:tcW w:type="dxa" w:w="2880"/>
            <w:vAlign w:val="center"/>
          </w:tcPr>
          <w:p>
            <w:pPr>
              <w:spacing w:after="0"/>
            </w:pPr>
            <w:r/>
            <w:r>
              <w:rPr>
                <w:rFonts w:ascii="Aptos" w:hAnsi="Aptos"/>
                <w:b w:val="0"/>
                <w:sz w:val="16"/>
              </w:rPr>
              <w:t>Document</w:t>
            </w:r>
          </w:p>
        </w:tc>
        <w:tc>
          <w:tcPr>
            <w:tcW w:type="dxa" w:w="7488"/>
            <w:vAlign w:val="center"/>
          </w:tcPr>
          <w:p>
            <w:pPr>
              <w:spacing w:after="0"/>
            </w:pPr>
            <w:r/>
            <w:r>
              <w:rPr>
                <w:rFonts w:ascii="Aptos" w:hAnsi="Aptos"/>
                <w:b w:val="0"/>
                <w:sz w:val="16"/>
              </w:rPr>
              <w:t>Document 1 – Clinical Knowledge Base</w:t>
            </w:r>
          </w:p>
        </w:tc>
      </w:tr>
      <w:tr>
        <w:trPr>
          <w:cantSplit/>
        </w:trPr>
        <w:tc>
          <w:tcPr>
            <w:tcW w:type="dxa" w:w="2880"/>
            <w:vAlign w:val="center"/>
            <w:shd w:fill="F7F9FC"/>
          </w:tcPr>
          <w:p>
            <w:pPr>
              <w:spacing w:after="0"/>
            </w:pPr>
            <w:r/>
            <w:r>
              <w:rPr>
                <w:rFonts w:ascii="Aptos" w:hAnsi="Aptos"/>
                <w:b w:val="0"/>
                <w:sz w:val="16"/>
              </w:rPr>
              <w:t>Part</w:t>
            </w:r>
          </w:p>
        </w:tc>
        <w:tc>
          <w:tcPr>
            <w:tcW w:type="dxa" w:w="7488"/>
            <w:vAlign w:val="center"/>
            <w:shd w:fill="F7F9FC"/>
          </w:tcPr>
          <w:p>
            <w:pPr>
              <w:spacing w:after="0"/>
            </w:pPr>
            <w:r/>
            <w:r>
              <w:rPr>
                <w:rFonts w:ascii="Aptos" w:hAnsi="Aptos"/>
                <w:b w:val="0"/>
                <w:sz w:val="16"/>
              </w:rPr>
              <w:t>9 – Fetal Heart Rate, Fetal Movement, and Fundal Height</w:t>
            </w:r>
          </w:p>
        </w:tc>
      </w:tr>
      <w:tr>
        <w:trPr>
          <w:cantSplit/>
        </w:trPr>
        <w:tc>
          <w:tcPr>
            <w:tcW w:type="dxa" w:w="2880"/>
            <w:vAlign w:val="center"/>
          </w:tcPr>
          <w:p>
            <w:pPr>
              <w:spacing w:after="0"/>
            </w:pPr>
            <w:r/>
            <w:r>
              <w:rPr>
                <w:rFonts w:ascii="Aptos" w:hAnsi="Aptos"/>
                <w:b w:val="0"/>
                <w:sz w:val="16"/>
              </w:rPr>
              <w:t>Project context</w:t>
            </w:r>
          </w:p>
        </w:tc>
        <w:tc>
          <w:tcPr>
            <w:tcW w:type="dxa" w:w="7488"/>
            <w:vAlign w:val="center"/>
          </w:tcPr>
          <w:p>
            <w:pPr>
              <w:spacing w:after="0"/>
            </w:pPr>
            <w:r/>
            <w:r>
              <w:rPr>
                <w:rFonts w:ascii="Aptos" w:hAnsi="Aptos"/>
                <w:b w:val="0"/>
                <w:sz w:val="16"/>
              </w:rPr>
              <w:t>Web-Based Maternity Management System / Clinical Decision Support System</w:t>
            </w:r>
          </w:p>
        </w:tc>
      </w:tr>
      <w:tr>
        <w:trPr>
          <w:cantSplit/>
        </w:trPr>
        <w:tc>
          <w:tcPr>
            <w:tcW w:type="dxa" w:w="2880"/>
            <w:vAlign w:val="center"/>
            <w:shd w:fill="F7F9FC"/>
          </w:tcPr>
          <w:p>
            <w:pPr>
              <w:spacing w:after="0"/>
            </w:pPr>
            <w:r/>
            <w:r>
              <w:rPr>
                <w:rFonts w:ascii="Aptos" w:hAnsi="Aptos"/>
                <w:b w:val="0"/>
                <w:sz w:val="16"/>
              </w:rPr>
              <w:t>Evidence status</w:t>
            </w:r>
          </w:p>
        </w:tc>
        <w:tc>
          <w:tcPr>
            <w:tcW w:type="dxa" w:w="7488"/>
            <w:vAlign w:val="center"/>
            <w:shd w:fill="F7F9FC"/>
          </w:tcPr>
          <w:p>
            <w:pPr>
              <w:spacing w:after="0"/>
            </w:pPr>
            <w:r/>
            <w:r>
              <w:rPr>
                <w:rFonts w:ascii="Aptos" w:hAnsi="Aptos"/>
                <w:b w:val="0"/>
                <w:sz w:val="16"/>
              </w:rPr>
              <w:t>Primary guideline synthesis reviewed through July 2026</w:t>
            </w:r>
          </w:p>
        </w:tc>
      </w:tr>
      <w:tr>
        <w:trPr>
          <w:cantSplit/>
        </w:trPr>
        <w:tc>
          <w:tcPr>
            <w:tcW w:type="dxa" w:w="2880"/>
            <w:vAlign w:val="center"/>
          </w:tcPr>
          <w:p>
            <w:pPr>
              <w:spacing w:after="0"/>
            </w:pPr>
            <w:r/>
            <w:r>
              <w:rPr>
                <w:rFonts w:ascii="Aptos" w:hAnsi="Aptos"/>
                <w:b w:val="0"/>
                <w:sz w:val="16"/>
              </w:rPr>
              <w:t>Next part</w:t>
            </w:r>
          </w:p>
        </w:tc>
        <w:tc>
          <w:tcPr>
            <w:tcW w:type="dxa" w:w="7488"/>
            <w:vAlign w:val="center"/>
          </w:tcPr>
          <w:p>
            <w:pPr>
              <w:spacing w:after="0"/>
            </w:pPr>
            <w:r/>
            <w:r>
              <w:rPr>
                <w:rFonts w:ascii="Aptos" w:hAnsi="Aptos"/>
                <w:b w:val="0"/>
                <w:sz w:val="16"/>
              </w:rPr>
              <w:t>Part 10 – Fetal Presentation, Amniotic Fluid, Placenta, and Other Ultrasound Findings</w:t>
            </w:r>
          </w:p>
        </w:tc>
      </w:tr>
      <w:tr>
        <w:trPr>
          <w:cantSplit/>
        </w:trPr>
        <w:tc>
          <w:tcPr>
            <w:tcW w:type="dxa" w:w="2880"/>
            <w:vAlign w:val="center"/>
            <w:shd w:fill="F7F9FC"/>
          </w:tcPr>
          <w:p>
            <w:pPr>
              <w:spacing w:after="0"/>
            </w:pPr>
            <w:r/>
            <w:r>
              <w:rPr>
                <w:rFonts w:ascii="Aptos" w:hAnsi="Aptos"/>
                <w:b w:val="0"/>
                <w:sz w:val="16"/>
              </w:rPr>
              <w:t>Clinical limitation</w:t>
            </w:r>
          </w:p>
        </w:tc>
        <w:tc>
          <w:tcPr>
            <w:tcW w:type="dxa" w:w="7488"/>
            <w:vAlign w:val="center"/>
            <w:shd w:fill="F7F9FC"/>
          </w:tcPr>
          <w:p>
            <w:pPr>
              <w:spacing w:after="0"/>
            </w:pPr>
            <w:r/>
            <w:r>
              <w:rPr>
                <w:rFonts w:ascii="Aptos" w:hAnsi="Aptos"/>
                <w:b w:val="0"/>
                <w:sz w:val="16"/>
              </w:rPr>
              <w:t>Decision support only; not a substitute for licensed clinical assessment, hospital fetal surveillance, or local emergency/referral protocol.</w:t>
            </w:r>
          </w:p>
        </w:tc>
      </w:tr>
    </w:tbl>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Document 1 • Part 9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MATERNITY CDSS • CLINICAL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i/>
      <w:iCs/>
      <w:color w:val="2F559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60"/>
      <w:ind w:left="230" w:righ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 Clinical Knowledge Base, Part 9: Fetal Heart Rate, Fetal Movement, and Fundal Height</dc:title>
  <dc:subject>Evidence-based maternity CDSS knowledge specification</dc:subject>
  <dc:creator>Maternity CDSS Research Project</dc:creator>
  <cp:keywords>fetal heart rate, fetal movement, fundal height, reduced fetal movement, CDSS, maternity</cp:keywords>
  <dc:description>generated by python-docx</dc:description>
  <cp:lastModifiedBy/>
  <cp:revision>1</cp:revision>
  <dcterms:created xsi:type="dcterms:W3CDTF">2013-12-23T23:15:00Z</dcterms:created>
  <dcterms:modified xsi:type="dcterms:W3CDTF">2013-12-23T23:15:00Z</dcterms:modified>
  <cp:category/>
</cp:coreProperties>
</file>