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DOCUMENT 2</w:t>
      </w:r>
    </w:p>
    <w:p>
      <w:pPr>
        <w:jc w:val="center"/>
      </w:pPr>
      <w:r>
        <w:rPr>
          <w:rFonts w:ascii="Arial" w:hAnsi="Arial"/>
          <w:b/>
          <w:sz w:val="44"/>
        </w:rPr>
        <w:t>Clinical Decision Support Decision Engine Specification</w:t>
      </w:r>
    </w:p>
    <w:p>
      <w:pPr>
        <w:jc w:val="center"/>
      </w:pPr>
      <w:r>
        <w:rPr>
          <w:rFonts w:ascii="Arial" w:hAnsi="Arial"/>
          <w:b/>
          <w:sz w:val="31"/>
        </w:rPr>
        <w:t>Part 12 - Complete Decision Engine Architecture and Transition to Document 3</w:t>
      </w:r>
    </w:p>
    <w:p/>
    <w:p>
      <w:pPr>
        <w:jc w:val="center"/>
      </w:pPr>
      <w:r>
        <w:rPr>
          <w:rFonts w:ascii="Arial" w:hAnsi="Arial"/>
          <w:sz w:val="24"/>
        </w:rPr>
        <w:t>Development of an Explainable Clinical Decision Support System</w:t>
      </w:r>
    </w:p>
    <w:p>
      <w:pPr>
        <w:jc w:val="center"/>
      </w:pPr>
      <w:r>
        <w:rPr>
          <w:rFonts w:ascii="Arial" w:hAnsi="Arial"/>
          <w:sz w:val="24"/>
        </w:rPr>
        <w:t>for a Web-Based Maternity Management System</w:t>
      </w:r>
    </w:p>
    <w:p>
      <w:pPr>
        <w:jc w:val="center"/>
      </w:pPr>
      <w:r>
        <w:rPr>
          <w:rFonts w:ascii="Arial" w:hAnsi="Arial"/>
          <w:sz w:val="24"/>
        </w:rPr>
        <w:t>in a Philippine Lying-in Clinic</w:t>
      </w:r>
    </w:p>
    <w:p/>
    <w:p>
      <w:pPr>
        <w:jc w:val="center"/>
      </w:pPr>
      <w:r>
        <w:rPr>
          <w:i/>
        </w:rPr>
        <w:t>Version 1.0 - Integrated Research and Architecture Draft</w:t>
      </w:r>
    </w:p>
    <w:p>
      <w:pPr>
        <w:jc w:val="center"/>
      </w:pPr>
      <w:r>
        <w:rPr>
          <w:i/>
        </w:rPr>
        <w:t>July 2026</w:t>
      </w:r>
    </w:p>
    <w:p>
      <w:r>
        <w:br w:type="page"/>
      </w:r>
    </w:p>
    <w:p>
      <w:pPr>
        <w:pStyle w:val="Heading1"/>
      </w:pPr>
      <w:r>
        <w:t>Clinical Safety Statement</w:t>
      </w:r>
    </w:p>
    <w:p>
      <w:r>
        <w:t>This document defines the complete architecture of an explainable Clinical Decision Support System intended to assist authorized maternity-care personnel in a Philippine lying-in clinic. It does not authorize autonomous diagnosis, treatment, prescription, discharge, or replacement of professional clinical judgment. The system is designed to organize patient information, apply documented rules, identify concerns, explain its reasoning, and support timely monitoring or referral.</w:t>
      </w:r>
    </w:p>
    <w:p>
      <w:r>
        <w:t>The architecture intentionally treats missing data, uncertain evidence, conflicting records, emergency findings, software failure, and unavailable machine-learning output as explicit system states. A result must not be represented as safe merely because the software completed execution. Final clinical action remains the responsibility of the qualified healthcare professional operating within the clinic's legal, professional, institutional, and referral scope.</w:t>
      </w:r>
    </w:p>
    <w:p>
      <w:pPr>
        <w:pStyle w:val="Heading1"/>
      </w:pPr>
      <w:r>
        <w:t>Document Status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Item</w:t>
            </w:r>
          </w:p>
        </w:tc>
        <w:tc>
          <w:tcPr>
            <w:tcW w:type="dxa" w:w="4939"/>
            <w:shd w:fill="D9EAF7"/>
            <w:vAlign w:val="center"/>
          </w:tcPr>
          <w:p>
            <w:pPr>
              <w:spacing w:after="0"/>
            </w:pPr>
            <w:r/>
            <w:r>
              <w:rPr>
                <w:rFonts w:ascii="Arial" w:hAnsi="Arial"/>
                <w:b/>
                <w:sz w:val="18"/>
              </w:rPr>
              <w:t>Description</w:t>
            </w:r>
          </w:p>
        </w:tc>
      </w:tr>
      <w:tr>
        <w:tc>
          <w:tcPr>
            <w:tcW w:type="dxa" w:w="4939"/>
            <w:vAlign w:val="top"/>
          </w:tcPr>
          <w:p>
            <w:pPr>
              <w:spacing w:after="0"/>
            </w:pPr>
            <w:r/>
            <w:r>
              <w:rPr>
                <w:rFonts w:ascii="Arial" w:hAnsi="Arial"/>
                <w:b w:val="0"/>
                <w:sz w:val="18"/>
              </w:rPr>
              <w:t>Document</w:t>
            </w:r>
          </w:p>
        </w:tc>
        <w:tc>
          <w:tcPr>
            <w:tcW w:type="dxa" w:w="4939"/>
            <w:vAlign w:val="top"/>
          </w:tcPr>
          <w:p>
            <w:pPr>
              <w:spacing w:after="0"/>
            </w:pPr>
            <w:r/>
            <w:r>
              <w:rPr>
                <w:rFonts w:ascii="Arial" w:hAnsi="Arial"/>
                <w:b w:val="0"/>
                <w:sz w:val="18"/>
              </w:rPr>
              <w:t>Document 2 - Clinical Decision Support Decision Engine Specification</w:t>
            </w:r>
          </w:p>
        </w:tc>
      </w:tr>
      <w:tr>
        <w:tc>
          <w:tcPr>
            <w:tcW w:type="dxa" w:w="4939"/>
            <w:vAlign w:val="top"/>
          </w:tcPr>
          <w:p>
            <w:pPr>
              <w:spacing w:after="0"/>
            </w:pPr>
            <w:r/>
            <w:r>
              <w:rPr>
                <w:rFonts w:ascii="Arial" w:hAnsi="Arial"/>
                <w:b w:val="0"/>
                <w:sz w:val="18"/>
              </w:rPr>
              <w:t>Part</w:t>
            </w:r>
          </w:p>
        </w:tc>
        <w:tc>
          <w:tcPr>
            <w:tcW w:type="dxa" w:w="4939"/>
            <w:vAlign w:val="top"/>
          </w:tcPr>
          <w:p>
            <w:pPr>
              <w:spacing w:after="0"/>
            </w:pPr>
            <w:r/>
            <w:r>
              <w:rPr>
                <w:rFonts w:ascii="Arial" w:hAnsi="Arial"/>
                <w:b w:val="0"/>
                <w:sz w:val="18"/>
              </w:rPr>
              <w:t>Part 12 of 12</w:t>
            </w:r>
          </w:p>
        </w:tc>
      </w:tr>
      <w:tr>
        <w:tc>
          <w:tcPr>
            <w:tcW w:type="dxa" w:w="4939"/>
            <w:vAlign w:val="top"/>
          </w:tcPr>
          <w:p>
            <w:pPr>
              <w:spacing w:after="0"/>
            </w:pPr>
            <w:r/>
            <w:r>
              <w:rPr>
                <w:rFonts w:ascii="Arial" w:hAnsi="Arial"/>
                <w:b w:val="0"/>
                <w:sz w:val="18"/>
              </w:rPr>
              <w:t>Title</w:t>
            </w:r>
          </w:p>
        </w:tc>
        <w:tc>
          <w:tcPr>
            <w:tcW w:type="dxa" w:w="4939"/>
            <w:vAlign w:val="top"/>
          </w:tcPr>
          <w:p>
            <w:pPr>
              <w:spacing w:after="0"/>
            </w:pPr>
            <w:r/>
            <w:r>
              <w:rPr>
                <w:rFonts w:ascii="Arial" w:hAnsi="Arial"/>
                <w:b w:val="0"/>
                <w:sz w:val="18"/>
              </w:rPr>
              <w:t>Complete Decision Engine Architecture and Transition to Document 3</w:t>
            </w:r>
          </w:p>
        </w:tc>
      </w:tr>
      <w:tr>
        <w:tc>
          <w:tcPr>
            <w:tcW w:type="dxa" w:w="4939"/>
            <w:vAlign w:val="top"/>
          </w:tcPr>
          <w:p>
            <w:pPr>
              <w:spacing w:after="0"/>
            </w:pPr>
            <w:r/>
            <w:r>
              <w:rPr>
                <w:rFonts w:ascii="Arial" w:hAnsi="Arial"/>
                <w:b w:val="0"/>
                <w:sz w:val="18"/>
              </w:rPr>
              <w:t>Purpose</w:t>
            </w:r>
          </w:p>
        </w:tc>
        <w:tc>
          <w:tcPr>
            <w:tcW w:type="dxa" w:w="4939"/>
            <w:vAlign w:val="top"/>
          </w:tcPr>
          <w:p>
            <w:pPr>
              <w:spacing w:after="0"/>
            </w:pPr>
            <w:r/>
            <w:r>
              <w:rPr>
                <w:rFonts w:ascii="Arial" w:hAnsi="Arial"/>
                <w:b w:val="0"/>
                <w:sz w:val="18"/>
              </w:rPr>
              <w:t>Integrate all engines, workflows, safety controls, data flows, outputs, governance mechanisms, and implementation boundaries into one master architecture.</w:t>
            </w:r>
          </w:p>
        </w:tc>
      </w:tr>
      <w:tr>
        <w:tc>
          <w:tcPr>
            <w:tcW w:type="dxa" w:w="4939"/>
            <w:vAlign w:val="top"/>
          </w:tcPr>
          <w:p>
            <w:pPr>
              <w:spacing w:after="0"/>
            </w:pPr>
            <w:r/>
            <w:r>
              <w:rPr>
                <w:rFonts w:ascii="Arial" w:hAnsi="Arial"/>
                <w:b w:val="0"/>
                <w:sz w:val="18"/>
              </w:rPr>
              <w:t>Depends on</w:t>
            </w:r>
          </w:p>
        </w:tc>
        <w:tc>
          <w:tcPr>
            <w:tcW w:type="dxa" w:w="4939"/>
            <w:vAlign w:val="top"/>
          </w:tcPr>
          <w:p>
            <w:pPr>
              <w:spacing w:after="0"/>
            </w:pPr>
            <w:r/>
            <w:r>
              <w:rPr>
                <w:rFonts w:ascii="Arial" w:hAnsi="Arial"/>
                <w:b w:val="0"/>
                <w:sz w:val="18"/>
              </w:rPr>
              <w:t>Document 0; Document 1 Parts 1-12; Document 2 Parts 1-11</w:t>
            </w:r>
          </w:p>
        </w:tc>
      </w:tr>
      <w:tr>
        <w:tc>
          <w:tcPr>
            <w:tcW w:type="dxa" w:w="4939"/>
            <w:vAlign w:val="top"/>
          </w:tcPr>
          <w:p>
            <w:pPr>
              <w:spacing w:after="0"/>
            </w:pPr>
            <w:r/>
            <w:r>
              <w:rPr>
                <w:rFonts w:ascii="Arial" w:hAnsi="Arial"/>
                <w:b w:val="0"/>
                <w:sz w:val="18"/>
              </w:rPr>
              <w:t>Feeds into</w:t>
            </w:r>
          </w:p>
        </w:tc>
        <w:tc>
          <w:tcPr>
            <w:tcW w:type="dxa" w:w="4939"/>
            <w:vAlign w:val="top"/>
          </w:tcPr>
          <w:p>
            <w:pPr>
              <w:spacing w:after="0"/>
            </w:pPr>
            <w:r/>
            <w:r>
              <w:rPr>
                <w:rFonts w:ascii="Arial" w:hAnsi="Arial"/>
                <w:b w:val="0"/>
                <w:sz w:val="18"/>
              </w:rPr>
              <w:t>Document 3 - Machine Learning Integration and Validation; Document 6 - CDSS Implementation Guide</w:t>
            </w:r>
          </w:p>
        </w:tc>
      </w:tr>
      <w:tr>
        <w:tc>
          <w:tcPr>
            <w:tcW w:type="dxa" w:w="4939"/>
            <w:vAlign w:val="top"/>
          </w:tcPr>
          <w:p>
            <w:pPr>
              <w:spacing w:after="0"/>
            </w:pPr>
            <w:r/>
            <w:r>
              <w:rPr>
                <w:rFonts w:ascii="Arial" w:hAnsi="Arial"/>
                <w:b w:val="0"/>
                <w:sz w:val="18"/>
              </w:rPr>
              <w:t>Status</w:t>
            </w:r>
          </w:p>
        </w:tc>
        <w:tc>
          <w:tcPr>
            <w:tcW w:type="dxa" w:w="4939"/>
            <w:vAlign w:val="top"/>
          </w:tcPr>
          <w:p>
            <w:pPr>
              <w:spacing w:after="0"/>
            </w:pPr>
            <w:r/>
            <w:r>
              <w:rPr>
                <w:rFonts w:ascii="Arial" w:hAnsi="Arial"/>
                <w:b w:val="0"/>
                <w:sz w:val="18"/>
              </w:rPr>
              <w:t>Research and architecture specification; not production authorization</w:t>
            </w:r>
          </w:p>
        </w:tc>
      </w:tr>
    </w:tbl>
    <w:p/>
    <w:p>
      <w:pPr>
        <w:pStyle w:val="Heading1"/>
      </w:pPr>
      <w:r>
        <w:t>Executive Architecture Decision</w:t>
      </w:r>
    </w:p>
    <w:p>
      <w:r>
        <w:t>The final Decision Engine shall use a layered, deterministic, explainable, and auditable architecture. Rule-based clinical safety logic shall remain the authoritative decision mechanism for predefined maternal risk factors and emergency indicators. Machine learning, when introduced in Document 3, shall operate only as a bounded supporting component. It shall not suppress emergency rules, erase rule-based findings, convert missing data into reassurance, or independently determine the final clinical action.</w:t>
      </w:r>
    </w:p>
    <w:p>
      <w:r>
        <w:t>The architecture is designed so that each assessment can be reconstructed from the exact input snapshot, validation result, rule outputs, interaction findings, conflict resolution, emergency overrides, generated recommendations, explanation, confidence status, active rule-set version, software version, and subsequent human action. Published clinical rules and historical decisions shall be immutable.</w:t>
      </w:r>
    </w:p>
    <w:p>
      <w:pPr>
        <w:pStyle w:val="Heading1"/>
      </w:pPr>
      <w:r>
        <w:t>1.0 Purpose of Part 12</w:t>
      </w:r>
    </w:p>
    <w:p>
      <w:r>
        <w:t>Part 12 consolidates the twelve-part Decision Engine specification into a single master architecture. Earlier parts defined individual functions. This part defines how they operate as one governed clinical reasoning system and identifies the exact boundary between deterministic decision support and the machine-learning work reserved for Document 3.</w:t>
      </w:r>
    </w:p>
    <w:p>
      <w:pPr>
        <w:pStyle w:val="ListNumber"/>
      </w:pPr>
      <w:r>
        <w:t>Summarize the responsibilities of all Decision Engine components.</w:t>
      </w:r>
    </w:p>
    <w:p>
      <w:pPr>
        <w:pStyle w:val="ListNumber"/>
      </w:pPr>
      <w:r>
        <w:t>Define the complete information flow from patient record to clinician-facing output.</w:t>
      </w:r>
    </w:p>
    <w:p>
      <w:pPr>
        <w:pStyle w:val="ListNumber"/>
      </w:pPr>
      <w:r>
        <w:t>Establish the ordering and interruption rules among components.</w:t>
      </w:r>
    </w:p>
    <w:p>
      <w:pPr>
        <w:pStyle w:val="ListNumber"/>
      </w:pPr>
      <w:r>
        <w:t>Define safety states, terminal states, and failure behavior.</w:t>
      </w:r>
    </w:p>
    <w:p>
      <w:pPr>
        <w:pStyle w:val="ListNumber"/>
      </w:pPr>
      <w:r>
        <w:t>Map the architecture to the existing Laravel maternity management system.</w:t>
      </w:r>
    </w:p>
    <w:p>
      <w:pPr>
        <w:pStyle w:val="ListNumber"/>
      </w:pPr>
      <w:r>
        <w:t>Define the approved role and limitations of future machine-learning integration.</w:t>
      </w:r>
    </w:p>
    <w:p>
      <w:pPr>
        <w:pStyle w:val="ListNumber"/>
      </w:pPr>
      <w:r>
        <w:t>Provide the acceptance criteria for moving from architecture to implementation.</w:t>
      </w:r>
    </w:p>
    <w:p>
      <w:pPr>
        <w:pStyle w:val="Heading1"/>
      </w:pPr>
      <w:r>
        <w:t>2.0 Architectural Foundations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Foundation</w:t>
            </w:r>
          </w:p>
        </w:tc>
        <w:tc>
          <w:tcPr>
            <w:tcW w:type="dxa" w:w="4939"/>
            <w:shd w:fill="D9EAF7"/>
            <w:vAlign w:val="center"/>
          </w:tcPr>
          <w:p>
            <w:pPr>
              <w:spacing w:after="0"/>
            </w:pPr>
            <w:r/>
            <w:r>
              <w:rPr>
                <w:rFonts w:ascii="Arial" w:hAnsi="Arial"/>
                <w:b/>
                <w:sz w:val="18"/>
              </w:rPr>
              <w:t>Architectural meaning</w:t>
            </w:r>
          </w:p>
        </w:tc>
      </w:tr>
      <w:tr>
        <w:tc>
          <w:tcPr>
            <w:tcW w:type="dxa" w:w="4939"/>
            <w:vAlign w:val="top"/>
          </w:tcPr>
          <w:p>
            <w:pPr>
              <w:spacing w:after="0"/>
            </w:pPr>
            <w:r/>
            <w:r>
              <w:rPr>
                <w:rFonts w:ascii="Arial" w:hAnsi="Arial"/>
                <w:b w:val="0"/>
                <w:sz w:val="18"/>
              </w:rPr>
              <w:t>Standards-based</w:t>
            </w:r>
          </w:p>
        </w:tc>
        <w:tc>
          <w:tcPr>
            <w:tcW w:type="dxa" w:w="4939"/>
            <w:vAlign w:val="top"/>
          </w:tcPr>
          <w:p>
            <w:pPr>
              <w:spacing w:after="0"/>
            </w:pPr>
            <w:r/>
            <w:r>
              <w:rPr>
                <w:rFonts w:ascii="Arial" w:hAnsi="Arial"/>
                <w:b w:val="0"/>
                <w:sz w:val="18"/>
              </w:rPr>
              <w:t>Clinical knowledge should be mapped to identifiable evidence, controlled terminology where practical, and structured data requirements.</w:t>
            </w:r>
          </w:p>
        </w:tc>
      </w:tr>
      <w:tr>
        <w:tc>
          <w:tcPr>
            <w:tcW w:type="dxa" w:w="4939"/>
            <w:vAlign w:val="top"/>
          </w:tcPr>
          <w:p>
            <w:pPr>
              <w:spacing w:after="0"/>
            </w:pPr>
            <w:r/>
            <w:r>
              <w:rPr>
                <w:rFonts w:ascii="Arial" w:hAnsi="Arial"/>
                <w:b w:val="0"/>
                <w:sz w:val="18"/>
              </w:rPr>
              <w:t>Machine-readable</w:t>
            </w:r>
          </w:p>
        </w:tc>
        <w:tc>
          <w:tcPr>
            <w:tcW w:type="dxa" w:w="4939"/>
            <w:vAlign w:val="top"/>
          </w:tcPr>
          <w:p>
            <w:pPr>
              <w:spacing w:after="0"/>
            </w:pPr>
            <w:r/>
            <w:r>
              <w:rPr>
                <w:rFonts w:ascii="Arial" w:hAnsi="Arial"/>
                <w:b w:val="0"/>
                <w:sz w:val="18"/>
              </w:rPr>
              <w:t>Rules and decision tables must be expressible as explicit conditions, outputs, priorities, and explanations rather than hidden prose.</w:t>
            </w:r>
          </w:p>
        </w:tc>
      </w:tr>
      <w:tr>
        <w:tc>
          <w:tcPr>
            <w:tcW w:type="dxa" w:w="4939"/>
            <w:vAlign w:val="top"/>
          </w:tcPr>
          <w:p>
            <w:pPr>
              <w:spacing w:after="0"/>
            </w:pPr>
            <w:r/>
            <w:r>
              <w:rPr>
                <w:rFonts w:ascii="Arial" w:hAnsi="Arial"/>
                <w:b w:val="0"/>
                <w:sz w:val="18"/>
              </w:rPr>
              <w:t>Adaptive</w:t>
            </w:r>
          </w:p>
        </w:tc>
        <w:tc>
          <w:tcPr>
            <w:tcW w:type="dxa" w:w="4939"/>
            <w:vAlign w:val="top"/>
          </w:tcPr>
          <w:p>
            <w:pPr>
              <w:spacing w:after="0"/>
            </w:pPr>
            <w:r/>
            <w:r>
              <w:rPr>
                <w:rFonts w:ascii="Arial" w:hAnsi="Arial"/>
                <w:b w:val="0"/>
                <w:sz w:val="18"/>
              </w:rPr>
              <w:t>The knowledge base must support governed local adaptation and versioned updates without rewriting history.</w:t>
            </w:r>
          </w:p>
        </w:tc>
      </w:tr>
      <w:tr>
        <w:tc>
          <w:tcPr>
            <w:tcW w:type="dxa" w:w="4939"/>
            <w:vAlign w:val="top"/>
          </w:tcPr>
          <w:p>
            <w:pPr>
              <w:spacing w:after="0"/>
            </w:pPr>
            <w:r/>
            <w:r>
              <w:rPr>
                <w:rFonts w:ascii="Arial" w:hAnsi="Arial"/>
                <w:b w:val="0"/>
                <w:sz w:val="18"/>
              </w:rPr>
              <w:t>Requirements-based</w:t>
            </w:r>
          </w:p>
        </w:tc>
        <w:tc>
          <w:tcPr>
            <w:tcW w:type="dxa" w:w="4939"/>
            <w:vAlign w:val="top"/>
          </w:tcPr>
          <w:p>
            <w:pPr>
              <w:spacing w:after="0"/>
            </w:pPr>
            <w:r/>
            <w:r>
              <w:rPr>
                <w:rFonts w:ascii="Arial" w:hAnsi="Arial"/>
                <w:b w:val="0"/>
                <w:sz w:val="18"/>
              </w:rPr>
              <w:t>The architecture must define functional, safety, audit, data, and user-interface requirements before coding.</w:t>
            </w:r>
          </w:p>
        </w:tc>
      </w:tr>
      <w:tr>
        <w:tc>
          <w:tcPr>
            <w:tcW w:type="dxa" w:w="4939"/>
            <w:vAlign w:val="top"/>
          </w:tcPr>
          <w:p>
            <w:pPr>
              <w:spacing w:after="0"/>
            </w:pPr>
            <w:r/>
            <w:r>
              <w:rPr>
                <w:rFonts w:ascii="Arial" w:hAnsi="Arial"/>
                <w:b w:val="0"/>
                <w:sz w:val="18"/>
              </w:rPr>
              <w:t>Testable</w:t>
            </w:r>
          </w:p>
        </w:tc>
        <w:tc>
          <w:tcPr>
            <w:tcW w:type="dxa" w:w="4939"/>
            <w:vAlign w:val="top"/>
          </w:tcPr>
          <w:p>
            <w:pPr>
              <w:spacing w:after="0"/>
            </w:pPr>
            <w:r/>
            <w:r>
              <w:rPr>
                <w:rFonts w:ascii="Arial" w:hAnsi="Arial"/>
                <w:b w:val="0"/>
                <w:sz w:val="18"/>
              </w:rPr>
              <w:t>Every rule, interaction, emergency condition, failure state, and recommendation pathway must have expected test outcomes.</w:t>
            </w:r>
          </w:p>
        </w:tc>
      </w:tr>
      <w:tr>
        <w:tc>
          <w:tcPr>
            <w:tcW w:type="dxa" w:w="4939"/>
            <w:vAlign w:val="top"/>
          </w:tcPr>
          <w:p>
            <w:pPr>
              <w:spacing w:after="0"/>
            </w:pPr>
            <w:r/>
            <w:r>
              <w:rPr>
                <w:rFonts w:ascii="Arial" w:hAnsi="Arial"/>
                <w:b w:val="0"/>
                <w:sz w:val="18"/>
              </w:rPr>
              <w:t>Software-neutral core</w:t>
            </w:r>
          </w:p>
        </w:tc>
        <w:tc>
          <w:tcPr>
            <w:tcW w:type="dxa" w:w="4939"/>
            <w:vAlign w:val="top"/>
          </w:tcPr>
          <w:p>
            <w:pPr>
              <w:spacing w:after="0"/>
            </w:pPr>
            <w:r/>
            <w:r>
              <w:rPr>
                <w:rFonts w:ascii="Arial" w:hAnsi="Arial"/>
                <w:b w:val="0"/>
                <w:sz w:val="18"/>
              </w:rPr>
              <w:t>Clinical meaning must be documented independently from Laravel controllers so that logic remains understandable outside one codebase.</w:t>
            </w:r>
          </w:p>
        </w:tc>
      </w:tr>
      <w:tr>
        <w:tc>
          <w:tcPr>
            <w:tcW w:type="dxa" w:w="4939"/>
            <w:vAlign w:val="top"/>
          </w:tcPr>
          <w:p>
            <w:pPr>
              <w:spacing w:after="0"/>
            </w:pPr>
            <w:r/>
            <w:r>
              <w:rPr>
                <w:rFonts w:ascii="Arial" w:hAnsi="Arial"/>
                <w:b w:val="0"/>
                <w:sz w:val="18"/>
              </w:rPr>
              <w:t>Human-reviewable</w:t>
            </w:r>
          </w:p>
        </w:tc>
        <w:tc>
          <w:tcPr>
            <w:tcW w:type="dxa" w:w="4939"/>
            <w:vAlign w:val="top"/>
          </w:tcPr>
          <w:p>
            <w:pPr>
              <w:spacing w:after="0"/>
            </w:pPr>
            <w:r/>
            <w:r>
              <w:rPr>
                <w:rFonts w:ascii="Arial" w:hAnsi="Arial"/>
                <w:b w:val="0"/>
                <w:sz w:val="18"/>
              </w:rPr>
              <w:t>Healthcare professionals must be able to inspect the basis of each recommendation and relevant knowns and unknowns.</w:t>
            </w:r>
          </w:p>
        </w:tc>
      </w:tr>
    </w:tbl>
    <w:p/>
    <w:p>
      <w:r>
        <w:t>These foundations align with the WHO SMART Guidelines approach, which promotes standards-based, machine-readable, adaptive, requirements-based, and testable translation of recommendations into digital systems. The WHO Antenatal Care Digital Adaptation Kit also organizes guidance into linked recommendations, workflows, core data elements, decision support, indicators, and functional and non-functional requirements.</w:t>
      </w:r>
    </w:p>
    <w:p>
      <w:pPr>
        <w:pStyle w:val="Heading1"/>
      </w:pPr>
      <w:r>
        <w:t>3.0 Complete Component Model</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shd w:fill="D9EAF7"/>
            <w:vAlign w:val="center"/>
          </w:tcPr>
          <w:p>
            <w:pPr>
              <w:spacing w:after="0"/>
            </w:pPr>
            <w:r/>
            <w:r>
              <w:rPr>
                <w:rFonts w:ascii="Arial" w:hAnsi="Arial"/>
                <w:b/>
                <w:sz w:val="18"/>
              </w:rPr>
              <w:t>Part / component</w:t>
            </w:r>
          </w:p>
        </w:tc>
        <w:tc>
          <w:tcPr>
            <w:tcW w:type="dxa" w:w="3293"/>
            <w:shd w:fill="D9EAF7"/>
            <w:vAlign w:val="center"/>
          </w:tcPr>
          <w:p>
            <w:pPr>
              <w:spacing w:after="0"/>
            </w:pPr>
            <w:r/>
            <w:r>
              <w:rPr>
                <w:rFonts w:ascii="Arial" w:hAnsi="Arial"/>
                <w:b/>
                <w:sz w:val="18"/>
              </w:rPr>
              <w:t>Primary responsibility</w:t>
            </w:r>
          </w:p>
        </w:tc>
        <w:tc>
          <w:tcPr>
            <w:tcW w:type="dxa" w:w="3293"/>
            <w:shd w:fill="D9EAF7"/>
            <w:vAlign w:val="center"/>
          </w:tcPr>
          <w:p>
            <w:pPr>
              <w:spacing w:after="0"/>
            </w:pPr>
            <w:r/>
            <w:r>
              <w:rPr>
                <w:rFonts w:ascii="Arial" w:hAnsi="Arial"/>
                <w:b/>
                <w:sz w:val="18"/>
              </w:rPr>
              <w:t>Major output</w:t>
            </w:r>
          </w:p>
        </w:tc>
      </w:tr>
      <w:tr>
        <w:tc>
          <w:tcPr>
            <w:tcW w:type="dxa" w:w="3293"/>
            <w:vAlign w:val="top"/>
          </w:tcPr>
          <w:p>
            <w:pPr>
              <w:spacing w:after="0"/>
            </w:pPr>
            <w:r/>
            <w:r>
              <w:rPr>
                <w:rFonts w:ascii="Arial" w:hAnsi="Arial"/>
                <w:b w:val="0"/>
                <w:sz w:val="18"/>
              </w:rPr>
              <w:t>Part 1 - Philosophy and Architecture</w:t>
            </w:r>
          </w:p>
        </w:tc>
        <w:tc>
          <w:tcPr>
            <w:tcW w:type="dxa" w:w="3293"/>
            <w:vAlign w:val="top"/>
          </w:tcPr>
          <w:p>
            <w:pPr>
              <w:spacing w:after="0"/>
            </w:pPr>
            <w:r/>
            <w:r>
              <w:rPr>
                <w:rFonts w:ascii="Arial" w:hAnsi="Arial"/>
                <w:b w:val="0"/>
                <w:sz w:val="18"/>
              </w:rPr>
              <w:t>Defines scope, safety principles, explainability, deterministic reasoning, and human oversight.</w:t>
            </w:r>
          </w:p>
        </w:tc>
        <w:tc>
          <w:tcPr>
            <w:tcW w:type="dxa" w:w="3293"/>
            <w:vAlign w:val="top"/>
          </w:tcPr>
          <w:p>
            <w:pPr>
              <w:spacing w:after="0"/>
            </w:pPr>
            <w:r/>
            <w:r>
              <w:rPr>
                <w:rFonts w:ascii="Arial" w:hAnsi="Arial"/>
                <w:b w:val="0"/>
                <w:sz w:val="18"/>
              </w:rPr>
              <w:t>Architectural constraints</w:t>
            </w:r>
          </w:p>
        </w:tc>
      </w:tr>
      <w:tr>
        <w:tc>
          <w:tcPr>
            <w:tcW w:type="dxa" w:w="3293"/>
            <w:vAlign w:val="top"/>
          </w:tcPr>
          <w:p>
            <w:pPr>
              <w:spacing w:after="0"/>
            </w:pPr>
            <w:r/>
            <w:r>
              <w:rPr>
                <w:rFonts w:ascii="Arial" w:hAnsi="Arial"/>
                <w:b w:val="0"/>
                <w:sz w:val="18"/>
              </w:rPr>
              <w:t>Part 2 - Data Validation Engine</w:t>
            </w:r>
          </w:p>
        </w:tc>
        <w:tc>
          <w:tcPr>
            <w:tcW w:type="dxa" w:w="3293"/>
            <w:vAlign w:val="top"/>
          </w:tcPr>
          <w:p>
            <w:pPr>
              <w:spacing w:after="0"/>
            </w:pPr>
            <w:r/>
            <w:r>
              <w:rPr>
                <w:rFonts w:ascii="Arial" w:hAnsi="Arial"/>
                <w:b w:val="0"/>
                <w:sz w:val="18"/>
              </w:rPr>
              <w:t>Checks presence, format, plausibility, consistency, freshness, and source quality.</w:t>
            </w:r>
          </w:p>
        </w:tc>
        <w:tc>
          <w:tcPr>
            <w:tcW w:type="dxa" w:w="3293"/>
            <w:vAlign w:val="top"/>
          </w:tcPr>
          <w:p>
            <w:pPr>
              <w:spacing w:after="0"/>
            </w:pPr>
            <w:r/>
            <w:r>
              <w:rPr>
                <w:rFonts w:ascii="Arial" w:hAnsi="Arial"/>
                <w:b w:val="0"/>
                <w:sz w:val="18"/>
              </w:rPr>
              <w:t>Validated input package</w:t>
            </w:r>
          </w:p>
        </w:tc>
      </w:tr>
      <w:tr>
        <w:tc>
          <w:tcPr>
            <w:tcW w:type="dxa" w:w="3293"/>
            <w:vAlign w:val="top"/>
          </w:tcPr>
          <w:p>
            <w:pPr>
              <w:spacing w:after="0"/>
            </w:pPr>
            <w:r/>
            <w:r>
              <w:rPr>
                <w:rFonts w:ascii="Arial" w:hAnsi="Arial"/>
                <w:b w:val="0"/>
                <w:sz w:val="18"/>
              </w:rPr>
              <w:t>Part 3 - Knowledge Processing Engine</w:t>
            </w:r>
          </w:p>
        </w:tc>
        <w:tc>
          <w:tcPr>
            <w:tcW w:type="dxa" w:w="3293"/>
            <w:vAlign w:val="top"/>
          </w:tcPr>
          <w:p>
            <w:pPr>
              <w:spacing w:after="0"/>
            </w:pPr>
            <w:r/>
            <w:r>
              <w:rPr>
                <w:rFonts w:ascii="Arial" w:hAnsi="Arial"/>
                <w:b w:val="0"/>
                <w:sz w:val="18"/>
              </w:rPr>
              <w:t>Evaluates individual evidence-based clinical rules.</w:t>
            </w:r>
          </w:p>
        </w:tc>
        <w:tc>
          <w:tcPr>
            <w:tcW w:type="dxa" w:w="3293"/>
            <w:vAlign w:val="top"/>
          </w:tcPr>
          <w:p>
            <w:pPr>
              <w:spacing w:after="0"/>
            </w:pPr>
            <w:r/>
            <w:r>
              <w:rPr>
                <w:rFonts w:ascii="Arial" w:hAnsi="Arial"/>
                <w:b w:val="0"/>
                <w:sz w:val="18"/>
              </w:rPr>
              <w:t>Rule evaluation records</w:t>
            </w:r>
          </w:p>
        </w:tc>
      </w:tr>
      <w:tr>
        <w:tc>
          <w:tcPr>
            <w:tcW w:type="dxa" w:w="3293"/>
            <w:vAlign w:val="top"/>
          </w:tcPr>
          <w:p>
            <w:pPr>
              <w:spacing w:after="0"/>
            </w:pPr>
            <w:r/>
            <w:r>
              <w:rPr>
                <w:rFonts w:ascii="Arial" w:hAnsi="Arial"/>
                <w:b w:val="0"/>
                <w:sz w:val="18"/>
              </w:rPr>
              <w:t>Part 4 - Clinical Interaction Engine</w:t>
            </w:r>
          </w:p>
        </w:tc>
        <w:tc>
          <w:tcPr>
            <w:tcW w:type="dxa" w:w="3293"/>
            <w:vAlign w:val="top"/>
          </w:tcPr>
          <w:p>
            <w:pPr>
              <w:spacing w:after="0"/>
            </w:pPr>
            <w:r/>
            <w:r>
              <w:rPr>
                <w:rFonts w:ascii="Arial" w:hAnsi="Arial"/>
                <w:b w:val="0"/>
                <w:sz w:val="18"/>
              </w:rPr>
              <w:t>Evaluates clinically meaningful combinations of findings.</w:t>
            </w:r>
          </w:p>
        </w:tc>
        <w:tc>
          <w:tcPr>
            <w:tcW w:type="dxa" w:w="3293"/>
            <w:vAlign w:val="top"/>
          </w:tcPr>
          <w:p>
            <w:pPr>
              <w:spacing w:after="0"/>
            </w:pPr>
            <w:r/>
            <w:r>
              <w:rPr>
                <w:rFonts w:ascii="Arial" w:hAnsi="Arial"/>
                <w:b w:val="0"/>
                <w:sz w:val="18"/>
              </w:rPr>
              <w:t>Interaction records</w:t>
            </w:r>
          </w:p>
        </w:tc>
      </w:tr>
      <w:tr>
        <w:tc>
          <w:tcPr>
            <w:tcW w:type="dxa" w:w="3293"/>
            <w:vAlign w:val="top"/>
          </w:tcPr>
          <w:p>
            <w:pPr>
              <w:spacing w:after="0"/>
            </w:pPr>
            <w:r/>
            <w:r>
              <w:rPr>
                <w:rFonts w:ascii="Arial" w:hAnsi="Arial"/>
                <w:b w:val="0"/>
                <w:sz w:val="18"/>
              </w:rPr>
              <w:t>Part 5 - Conflict Resolution Engine</w:t>
            </w:r>
          </w:p>
        </w:tc>
        <w:tc>
          <w:tcPr>
            <w:tcW w:type="dxa" w:w="3293"/>
            <w:vAlign w:val="top"/>
          </w:tcPr>
          <w:p>
            <w:pPr>
              <w:spacing w:after="0"/>
            </w:pPr>
            <w:r/>
            <w:r>
              <w:rPr>
                <w:rFonts w:ascii="Arial" w:hAnsi="Arial"/>
                <w:b w:val="0"/>
                <w:sz w:val="18"/>
              </w:rPr>
              <w:t>Resolves competing findings using predefined precedence while preserving evidence.</w:t>
            </w:r>
          </w:p>
        </w:tc>
        <w:tc>
          <w:tcPr>
            <w:tcW w:type="dxa" w:w="3293"/>
            <w:vAlign w:val="top"/>
          </w:tcPr>
          <w:p>
            <w:pPr>
              <w:spacing w:after="0"/>
            </w:pPr>
            <w:r/>
            <w:r>
              <w:rPr>
                <w:rFonts w:ascii="Arial" w:hAnsi="Arial"/>
                <w:b w:val="0"/>
                <w:sz w:val="18"/>
              </w:rPr>
              <w:t>Resolution records</w:t>
            </w:r>
          </w:p>
        </w:tc>
      </w:tr>
      <w:tr>
        <w:tc>
          <w:tcPr>
            <w:tcW w:type="dxa" w:w="3293"/>
            <w:vAlign w:val="top"/>
          </w:tcPr>
          <w:p>
            <w:pPr>
              <w:spacing w:after="0"/>
            </w:pPr>
            <w:r/>
            <w:r>
              <w:rPr>
                <w:rFonts w:ascii="Arial" w:hAnsi="Arial"/>
                <w:b w:val="0"/>
                <w:sz w:val="18"/>
              </w:rPr>
              <w:t>Part 6 - Emergency Override Engine</w:t>
            </w:r>
          </w:p>
        </w:tc>
        <w:tc>
          <w:tcPr>
            <w:tcW w:type="dxa" w:w="3293"/>
            <w:vAlign w:val="top"/>
          </w:tcPr>
          <w:p>
            <w:pPr>
              <w:spacing w:after="0"/>
            </w:pPr>
            <w:r/>
            <w:r>
              <w:rPr>
                <w:rFonts w:ascii="Arial" w:hAnsi="Arial"/>
                <w:b w:val="0"/>
                <w:sz w:val="18"/>
              </w:rPr>
              <w:t>Interrupts routine processing when predefined emergency indicators are detected.</w:t>
            </w:r>
          </w:p>
        </w:tc>
        <w:tc>
          <w:tcPr>
            <w:tcW w:type="dxa" w:w="3293"/>
            <w:vAlign w:val="top"/>
          </w:tcPr>
          <w:p>
            <w:pPr>
              <w:spacing w:after="0"/>
            </w:pPr>
            <w:r/>
            <w:r>
              <w:rPr>
                <w:rFonts w:ascii="Arial" w:hAnsi="Arial"/>
                <w:b w:val="0"/>
                <w:sz w:val="18"/>
              </w:rPr>
              <w:t>Emergency-priority state</w:t>
            </w:r>
          </w:p>
        </w:tc>
      </w:tr>
      <w:tr>
        <w:tc>
          <w:tcPr>
            <w:tcW w:type="dxa" w:w="3293"/>
            <w:vAlign w:val="top"/>
          </w:tcPr>
          <w:p>
            <w:pPr>
              <w:spacing w:after="0"/>
            </w:pPr>
            <w:r/>
            <w:r>
              <w:rPr>
                <w:rFonts w:ascii="Arial" w:hAnsi="Arial"/>
                <w:b w:val="0"/>
                <w:sz w:val="18"/>
              </w:rPr>
              <w:t>Part 7 - Recommendation Generation Engine</w:t>
            </w:r>
          </w:p>
        </w:tc>
        <w:tc>
          <w:tcPr>
            <w:tcW w:type="dxa" w:w="3293"/>
            <w:vAlign w:val="top"/>
          </w:tcPr>
          <w:p>
            <w:pPr>
              <w:spacing w:after="0"/>
            </w:pPr>
            <w:r/>
            <w:r>
              <w:rPr>
                <w:rFonts w:ascii="Arial" w:hAnsi="Arial"/>
                <w:b w:val="0"/>
                <w:sz w:val="18"/>
              </w:rPr>
              <w:t>Converts processed findings into prioritized, scope-aware guidance.</w:t>
            </w:r>
          </w:p>
        </w:tc>
        <w:tc>
          <w:tcPr>
            <w:tcW w:type="dxa" w:w="3293"/>
            <w:vAlign w:val="top"/>
          </w:tcPr>
          <w:p>
            <w:pPr>
              <w:spacing w:after="0"/>
            </w:pPr>
            <w:r/>
            <w:r>
              <w:rPr>
                <w:rFonts w:ascii="Arial" w:hAnsi="Arial"/>
                <w:b w:val="0"/>
                <w:sz w:val="18"/>
              </w:rPr>
              <w:t>Recommendation package</w:t>
            </w:r>
          </w:p>
        </w:tc>
      </w:tr>
      <w:tr>
        <w:tc>
          <w:tcPr>
            <w:tcW w:type="dxa" w:w="3293"/>
            <w:vAlign w:val="top"/>
          </w:tcPr>
          <w:p>
            <w:pPr>
              <w:spacing w:after="0"/>
            </w:pPr>
            <w:r/>
            <w:r>
              <w:rPr>
                <w:rFonts w:ascii="Arial" w:hAnsi="Arial"/>
                <w:b w:val="0"/>
                <w:sz w:val="18"/>
              </w:rPr>
              <w:t>Part 8 - Explainability Engine</w:t>
            </w:r>
          </w:p>
        </w:tc>
        <w:tc>
          <w:tcPr>
            <w:tcW w:type="dxa" w:w="3293"/>
            <w:vAlign w:val="top"/>
          </w:tcPr>
          <w:p>
            <w:pPr>
              <w:spacing w:after="0"/>
            </w:pPr>
            <w:r/>
            <w:r>
              <w:rPr>
                <w:rFonts w:ascii="Arial" w:hAnsi="Arial"/>
                <w:b w:val="0"/>
                <w:sz w:val="18"/>
              </w:rPr>
              <w:t>Transforms decision provenance into clinician-readable reasoning.</w:t>
            </w:r>
          </w:p>
        </w:tc>
        <w:tc>
          <w:tcPr>
            <w:tcW w:type="dxa" w:w="3293"/>
            <w:vAlign w:val="top"/>
          </w:tcPr>
          <w:p>
            <w:pPr>
              <w:spacing w:after="0"/>
            </w:pPr>
            <w:r/>
            <w:r>
              <w:rPr>
                <w:rFonts w:ascii="Arial" w:hAnsi="Arial"/>
                <w:b w:val="0"/>
                <w:sz w:val="18"/>
              </w:rPr>
              <w:t>Explanation package</w:t>
            </w:r>
          </w:p>
        </w:tc>
      </w:tr>
      <w:tr>
        <w:tc>
          <w:tcPr>
            <w:tcW w:type="dxa" w:w="3293"/>
            <w:vAlign w:val="top"/>
          </w:tcPr>
          <w:p>
            <w:pPr>
              <w:spacing w:after="0"/>
            </w:pPr>
            <w:r/>
            <w:r>
              <w:rPr>
                <w:rFonts w:ascii="Arial" w:hAnsi="Arial"/>
                <w:b w:val="0"/>
                <w:sz w:val="18"/>
              </w:rPr>
              <w:t>Part 9 - Confidence Assessment Engine</w:t>
            </w:r>
          </w:p>
        </w:tc>
        <w:tc>
          <w:tcPr>
            <w:tcW w:type="dxa" w:w="3293"/>
            <w:vAlign w:val="top"/>
          </w:tcPr>
          <w:p>
            <w:pPr>
              <w:spacing w:after="0"/>
            </w:pPr>
            <w:r/>
            <w:r>
              <w:rPr>
                <w:rFonts w:ascii="Arial" w:hAnsi="Arial"/>
                <w:b w:val="0"/>
                <w:sz w:val="18"/>
              </w:rPr>
              <w:t>Describes reliability of supporting evidence without claiming disease probability.</w:t>
            </w:r>
          </w:p>
        </w:tc>
        <w:tc>
          <w:tcPr>
            <w:tcW w:type="dxa" w:w="3293"/>
            <w:vAlign w:val="top"/>
          </w:tcPr>
          <w:p>
            <w:pPr>
              <w:spacing w:after="0"/>
            </w:pPr>
            <w:r/>
            <w:r>
              <w:rPr>
                <w:rFonts w:ascii="Arial" w:hAnsi="Arial"/>
                <w:b w:val="0"/>
                <w:sz w:val="18"/>
              </w:rPr>
              <w:t>Confidence and limitations</w:t>
            </w:r>
          </w:p>
        </w:tc>
      </w:tr>
      <w:tr>
        <w:tc>
          <w:tcPr>
            <w:tcW w:type="dxa" w:w="3293"/>
            <w:vAlign w:val="top"/>
          </w:tcPr>
          <w:p>
            <w:pPr>
              <w:spacing w:after="0"/>
            </w:pPr>
            <w:r/>
            <w:r>
              <w:rPr>
                <w:rFonts w:ascii="Arial" w:hAnsi="Arial"/>
                <w:b w:val="0"/>
                <w:sz w:val="18"/>
              </w:rPr>
              <w:t>Part 10 - Audit and Version Control</w:t>
            </w:r>
          </w:p>
        </w:tc>
        <w:tc>
          <w:tcPr>
            <w:tcW w:type="dxa" w:w="3293"/>
            <w:vAlign w:val="top"/>
          </w:tcPr>
          <w:p>
            <w:pPr>
              <w:spacing w:after="0"/>
            </w:pPr>
            <w:r/>
            <w:r>
              <w:rPr>
                <w:rFonts w:ascii="Arial" w:hAnsi="Arial"/>
                <w:b w:val="0"/>
                <w:sz w:val="18"/>
              </w:rPr>
              <w:t>Preserves immutable provenance, rule versions, releases, recalculations, and user actions.</w:t>
            </w:r>
          </w:p>
        </w:tc>
        <w:tc>
          <w:tcPr>
            <w:tcW w:type="dxa" w:w="3293"/>
            <w:vAlign w:val="top"/>
          </w:tcPr>
          <w:p>
            <w:pPr>
              <w:spacing w:after="0"/>
            </w:pPr>
            <w:r/>
            <w:r>
              <w:rPr>
                <w:rFonts w:ascii="Arial" w:hAnsi="Arial"/>
                <w:b w:val="0"/>
                <w:sz w:val="18"/>
              </w:rPr>
              <w:t>Auditable decision history</w:t>
            </w:r>
          </w:p>
        </w:tc>
      </w:tr>
      <w:tr>
        <w:tc>
          <w:tcPr>
            <w:tcW w:type="dxa" w:w="3293"/>
            <w:vAlign w:val="top"/>
          </w:tcPr>
          <w:p>
            <w:pPr>
              <w:spacing w:after="0"/>
            </w:pPr>
            <w:r/>
            <w:r>
              <w:rPr>
                <w:rFonts w:ascii="Arial" w:hAnsi="Arial"/>
                <w:b w:val="0"/>
                <w:sz w:val="18"/>
              </w:rPr>
              <w:t>Part 11 - End-to-End Workflow</w:t>
            </w:r>
          </w:p>
        </w:tc>
        <w:tc>
          <w:tcPr>
            <w:tcW w:type="dxa" w:w="3293"/>
            <w:vAlign w:val="top"/>
          </w:tcPr>
          <w:p>
            <w:pPr>
              <w:spacing w:after="0"/>
            </w:pPr>
            <w:r/>
            <w:r>
              <w:rPr>
                <w:rFonts w:ascii="Arial" w:hAnsi="Arial"/>
                <w:b w:val="0"/>
                <w:sz w:val="18"/>
              </w:rPr>
              <w:t>Defines execution sequence, interruption points, states, recovery, and human review.</w:t>
            </w:r>
          </w:p>
        </w:tc>
        <w:tc>
          <w:tcPr>
            <w:tcW w:type="dxa" w:w="3293"/>
            <w:vAlign w:val="top"/>
          </w:tcPr>
          <w:p>
            <w:pPr>
              <w:spacing w:after="0"/>
            </w:pPr>
            <w:r/>
            <w:r>
              <w:rPr>
                <w:rFonts w:ascii="Arial" w:hAnsi="Arial"/>
                <w:b w:val="0"/>
                <w:sz w:val="18"/>
              </w:rPr>
              <w:t>Operational workflow</w:t>
            </w:r>
          </w:p>
        </w:tc>
      </w:tr>
      <w:tr>
        <w:tc>
          <w:tcPr>
            <w:tcW w:type="dxa" w:w="3293"/>
            <w:vAlign w:val="top"/>
          </w:tcPr>
          <w:p>
            <w:pPr>
              <w:spacing w:after="0"/>
            </w:pPr>
            <w:r/>
            <w:r>
              <w:rPr>
                <w:rFonts w:ascii="Arial" w:hAnsi="Arial"/>
                <w:b w:val="0"/>
                <w:sz w:val="18"/>
              </w:rPr>
              <w:t>Part 12 - Master Architecture</w:t>
            </w:r>
          </w:p>
        </w:tc>
        <w:tc>
          <w:tcPr>
            <w:tcW w:type="dxa" w:w="3293"/>
            <w:vAlign w:val="top"/>
          </w:tcPr>
          <w:p>
            <w:pPr>
              <w:spacing w:after="0"/>
            </w:pPr>
            <w:r/>
            <w:r>
              <w:rPr>
                <w:rFonts w:ascii="Arial" w:hAnsi="Arial"/>
                <w:b w:val="0"/>
                <w:sz w:val="18"/>
              </w:rPr>
              <w:t>Integrates all components and defines transition to machine learning and implementation.</w:t>
            </w:r>
          </w:p>
        </w:tc>
        <w:tc>
          <w:tcPr>
            <w:tcW w:type="dxa" w:w="3293"/>
            <w:vAlign w:val="top"/>
          </w:tcPr>
          <w:p>
            <w:pPr>
              <w:spacing w:after="0"/>
            </w:pPr>
            <w:r/>
            <w:r>
              <w:rPr>
                <w:rFonts w:ascii="Arial" w:hAnsi="Arial"/>
                <w:b w:val="0"/>
                <w:sz w:val="18"/>
              </w:rPr>
              <w:t>Final Decision Engine specification</w:t>
            </w:r>
          </w:p>
        </w:tc>
      </w:tr>
    </w:tbl>
    <w:p/>
    <w:p>
      <w:pPr>
        <w:pStyle w:val="Heading1"/>
      </w:pPr>
      <w:r>
        <w:t>4.0 Master Logical Architecture</w:t>
      </w:r>
    </w:p>
    <w:p>
      <w:r>
        <w:t>The Decision Engine is composed of five architectural layers. The layers are separated to prevent clinical knowledge, workflow control, presentation, and audit functions from being mixed inside a single controller.</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shd w:fill="D9EAF7"/>
            <w:vAlign w:val="center"/>
          </w:tcPr>
          <w:p>
            <w:pPr>
              <w:spacing w:after="0"/>
            </w:pPr>
            <w:r/>
            <w:r>
              <w:rPr>
                <w:rFonts w:ascii="Arial" w:hAnsi="Arial"/>
                <w:b/>
                <w:sz w:val="18"/>
              </w:rPr>
              <w:t>Layer</w:t>
            </w:r>
          </w:p>
        </w:tc>
        <w:tc>
          <w:tcPr>
            <w:tcW w:type="dxa" w:w="3293"/>
            <w:shd w:fill="D9EAF7"/>
            <w:vAlign w:val="center"/>
          </w:tcPr>
          <w:p>
            <w:pPr>
              <w:spacing w:after="0"/>
            </w:pPr>
            <w:r/>
            <w:r>
              <w:rPr>
                <w:rFonts w:ascii="Arial" w:hAnsi="Arial"/>
                <w:b/>
                <w:sz w:val="18"/>
              </w:rPr>
              <w:t>Contents</w:t>
            </w:r>
          </w:p>
        </w:tc>
        <w:tc>
          <w:tcPr>
            <w:tcW w:type="dxa" w:w="3293"/>
            <w:shd w:fill="D9EAF7"/>
            <w:vAlign w:val="center"/>
          </w:tcPr>
          <w:p>
            <w:pPr>
              <w:spacing w:after="0"/>
            </w:pPr>
            <w:r/>
            <w:r>
              <w:rPr>
                <w:rFonts w:ascii="Arial" w:hAnsi="Arial"/>
                <w:b/>
                <w:sz w:val="18"/>
              </w:rPr>
              <w:t>Boundary</w:t>
            </w:r>
          </w:p>
        </w:tc>
      </w:tr>
      <w:tr>
        <w:tc>
          <w:tcPr>
            <w:tcW w:type="dxa" w:w="3293"/>
            <w:vAlign w:val="top"/>
          </w:tcPr>
          <w:p>
            <w:pPr>
              <w:spacing w:after="0"/>
            </w:pPr>
            <w:r/>
            <w:r>
              <w:rPr>
                <w:rFonts w:ascii="Arial" w:hAnsi="Arial"/>
                <w:b w:val="0"/>
                <w:sz w:val="18"/>
              </w:rPr>
              <w:t>Layer A - Clinical data acquisition</w:t>
            </w:r>
          </w:p>
        </w:tc>
        <w:tc>
          <w:tcPr>
            <w:tcW w:type="dxa" w:w="3293"/>
            <w:vAlign w:val="top"/>
          </w:tcPr>
          <w:p>
            <w:pPr>
              <w:spacing w:after="0"/>
            </w:pPr>
            <w:r/>
            <w:r>
              <w:rPr>
                <w:rFonts w:ascii="Arial" w:hAnsi="Arial"/>
                <w:b w:val="0"/>
                <w:sz w:val="18"/>
              </w:rPr>
              <w:t>Patient profile, pregnancy record, prenatal visit, medical history, ultrasound record, birth plan, referral history, warning symptoms, and user-entered observations.</w:t>
            </w:r>
          </w:p>
        </w:tc>
        <w:tc>
          <w:tcPr>
            <w:tcW w:type="dxa" w:w="3293"/>
            <w:vAlign w:val="top"/>
          </w:tcPr>
          <w:p>
            <w:pPr>
              <w:spacing w:after="0"/>
            </w:pPr>
            <w:r/>
            <w:r>
              <w:rPr>
                <w:rFonts w:ascii="Arial" w:hAnsi="Arial"/>
                <w:b w:val="0"/>
                <w:sz w:val="18"/>
              </w:rPr>
              <w:t>Collects information but does not determine final risk.</w:t>
            </w:r>
          </w:p>
        </w:tc>
      </w:tr>
      <w:tr>
        <w:tc>
          <w:tcPr>
            <w:tcW w:type="dxa" w:w="3293"/>
            <w:vAlign w:val="top"/>
          </w:tcPr>
          <w:p>
            <w:pPr>
              <w:spacing w:after="0"/>
            </w:pPr>
            <w:r/>
            <w:r>
              <w:rPr>
                <w:rFonts w:ascii="Arial" w:hAnsi="Arial"/>
                <w:b w:val="0"/>
                <w:sz w:val="18"/>
              </w:rPr>
              <w:t>Layer B - Clinical reasoning</w:t>
            </w:r>
          </w:p>
        </w:tc>
        <w:tc>
          <w:tcPr>
            <w:tcW w:type="dxa" w:w="3293"/>
            <w:vAlign w:val="top"/>
          </w:tcPr>
          <w:p>
            <w:pPr>
              <w:spacing w:after="0"/>
            </w:pPr>
            <w:r/>
            <w:r>
              <w:rPr>
                <w:rFonts w:ascii="Arial" w:hAnsi="Arial"/>
                <w:b w:val="0"/>
                <w:sz w:val="18"/>
              </w:rPr>
              <w:t>Validation, rule processing, interactions, conflict resolution, and emergency override.</w:t>
            </w:r>
          </w:p>
        </w:tc>
        <w:tc>
          <w:tcPr>
            <w:tcW w:type="dxa" w:w="3293"/>
            <w:vAlign w:val="top"/>
          </w:tcPr>
          <w:p>
            <w:pPr>
              <w:spacing w:after="0"/>
            </w:pPr>
            <w:r/>
            <w:r>
              <w:rPr>
                <w:rFonts w:ascii="Arial" w:hAnsi="Arial"/>
                <w:b w:val="0"/>
                <w:sz w:val="18"/>
              </w:rPr>
              <w:t>Determines structured findings using approved logic.</w:t>
            </w:r>
          </w:p>
        </w:tc>
      </w:tr>
      <w:tr>
        <w:tc>
          <w:tcPr>
            <w:tcW w:type="dxa" w:w="3293"/>
            <w:vAlign w:val="top"/>
          </w:tcPr>
          <w:p>
            <w:pPr>
              <w:spacing w:after="0"/>
            </w:pPr>
            <w:r/>
            <w:r>
              <w:rPr>
                <w:rFonts w:ascii="Arial" w:hAnsi="Arial"/>
                <w:b w:val="0"/>
                <w:sz w:val="18"/>
              </w:rPr>
              <w:t>Layer C - Decision communication</w:t>
            </w:r>
          </w:p>
        </w:tc>
        <w:tc>
          <w:tcPr>
            <w:tcW w:type="dxa" w:w="3293"/>
            <w:vAlign w:val="top"/>
          </w:tcPr>
          <w:p>
            <w:pPr>
              <w:spacing w:after="0"/>
            </w:pPr>
            <w:r/>
            <w:r>
              <w:rPr>
                <w:rFonts w:ascii="Arial" w:hAnsi="Arial"/>
                <w:b w:val="0"/>
                <w:sz w:val="18"/>
              </w:rPr>
              <w:t>Recommendation generation, explanation, confidence, limitations, and referral prompts.</w:t>
            </w:r>
          </w:p>
        </w:tc>
        <w:tc>
          <w:tcPr>
            <w:tcW w:type="dxa" w:w="3293"/>
            <w:vAlign w:val="top"/>
          </w:tcPr>
          <w:p>
            <w:pPr>
              <w:spacing w:after="0"/>
            </w:pPr>
            <w:r/>
            <w:r>
              <w:rPr>
                <w:rFonts w:ascii="Arial" w:hAnsi="Arial"/>
                <w:b w:val="0"/>
                <w:sz w:val="18"/>
              </w:rPr>
              <w:t>Communicates support without issuing autonomous orders.</w:t>
            </w:r>
          </w:p>
        </w:tc>
      </w:tr>
      <w:tr>
        <w:tc>
          <w:tcPr>
            <w:tcW w:type="dxa" w:w="3293"/>
            <w:vAlign w:val="top"/>
          </w:tcPr>
          <w:p>
            <w:pPr>
              <w:spacing w:after="0"/>
            </w:pPr>
            <w:r/>
            <w:r>
              <w:rPr>
                <w:rFonts w:ascii="Arial" w:hAnsi="Arial"/>
                <w:b w:val="0"/>
                <w:sz w:val="18"/>
              </w:rPr>
              <w:t>Layer D - Governance and history</w:t>
            </w:r>
          </w:p>
        </w:tc>
        <w:tc>
          <w:tcPr>
            <w:tcW w:type="dxa" w:w="3293"/>
            <w:vAlign w:val="top"/>
          </w:tcPr>
          <w:p>
            <w:pPr>
              <w:spacing w:after="0"/>
            </w:pPr>
            <w:r/>
            <w:r>
              <w:rPr>
                <w:rFonts w:ascii="Arial" w:hAnsi="Arial"/>
                <w:b w:val="0"/>
                <w:sz w:val="18"/>
              </w:rPr>
              <w:t>Audit events, provenance, knowledge releases, rule versions, recalculation, and overrides.</w:t>
            </w:r>
          </w:p>
        </w:tc>
        <w:tc>
          <w:tcPr>
            <w:tcW w:type="dxa" w:w="3293"/>
            <w:vAlign w:val="top"/>
          </w:tcPr>
          <w:p>
            <w:pPr>
              <w:spacing w:after="0"/>
            </w:pPr>
            <w:r/>
            <w:r>
              <w:rPr>
                <w:rFonts w:ascii="Arial" w:hAnsi="Arial"/>
                <w:b w:val="0"/>
                <w:sz w:val="18"/>
              </w:rPr>
              <w:t>Preserves accountability and reproducibility.</w:t>
            </w:r>
          </w:p>
        </w:tc>
      </w:tr>
      <w:tr>
        <w:tc>
          <w:tcPr>
            <w:tcW w:type="dxa" w:w="3293"/>
            <w:vAlign w:val="top"/>
          </w:tcPr>
          <w:p>
            <w:pPr>
              <w:spacing w:after="0"/>
            </w:pPr>
            <w:r/>
            <w:r>
              <w:rPr>
                <w:rFonts w:ascii="Arial" w:hAnsi="Arial"/>
                <w:b w:val="0"/>
                <w:sz w:val="18"/>
              </w:rPr>
              <w:t>Layer E - Application integration</w:t>
            </w:r>
          </w:p>
        </w:tc>
        <w:tc>
          <w:tcPr>
            <w:tcW w:type="dxa" w:w="3293"/>
            <w:vAlign w:val="top"/>
          </w:tcPr>
          <w:p>
            <w:pPr>
              <w:spacing w:after="0"/>
            </w:pPr>
            <w:r/>
            <w:r>
              <w:rPr>
                <w:rFonts w:ascii="Arial" w:hAnsi="Arial"/>
                <w:b w:val="0"/>
                <w:sz w:val="18"/>
              </w:rPr>
              <w:t>Laravel services, repositories, queues, views, permissions, notifications, and reporting.</w:t>
            </w:r>
          </w:p>
        </w:tc>
        <w:tc>
          <w:tcPr>
            <w:tcW w:type="dxa" w:w="3293"/>
            <w:vAlign w:val="top"/>
          </w:tcPr>
          <w:p>
            <w:pPr>
              <w:spacing w:after="0"/>
            </w:pPr>
            <w:r/>
            <w:r>
              <w:rPr>
                <w:rFonts w:ascii="Arial" w:hAnsi="Arial"/>
                <w:b w:val="0"/>
                <w:sz w:val="18"/>
              </w:rPr>
              <w:t>Implements the architecture without changing clinical meaning.</w:t>
            </w:r>
          </w:p>
        </w:tc>
      </w:tr>
    </w:tbl>
    <w:p/>
    <w:p>
      <w:pPr>
        <w:pStyle w:val="Heading1"/>
      </w:pPr>
      <w:r>
        <w:t>5.0 Master Data Flow</w:t>
      </w:r>
    </w:p>
    <w:p>
      <w:r>
        <w:t>The system shall process one patient pregnancy and one assessment context at a time. Each run receives a frozen input snapshot so that later record changes do not silently alter the historical basis of the result.</w:t>
      </w:r>
    </w:p>
    <w:p>
      <w:pPr>
        <w:pStyle w:val="ListNumber"/>
      </w:pPr>
      <w:r>
        <w:t>A healthcare user opens or saves a prenatal assessment context.</w:t>
      </w:r>
    </w:p>
    <w:p>
      <w:pPr>
        <w:pStyle w:val="ListNumber"/>
      </w:pPr>
      <w:r>
        <w:t>The system identifies the patient, active pregnancy, encounter, and available related records.</w:t>
      </w:r>
    </w:p>
    <w:p>
      <w:pPr>
        <w:pStyle w:val="ListNumber"/>
      </w:pPr>
      <w:r>
        <w:t>A Decision Execution record is created and the active approved knowledge release is frozen for the run.</w:t>
      </w:r>
    </w:p>
    <w:p>
      <w:pPr>
        <w:pStyle w:val="ListNumber"/>
      </w:pPr>
      <w:r>
        <w:t>The Data Validation Engine evaluates required, optional, conflicting, implausible, stale, and missing data.</w:t>
      </w:r>
    </w:p>
    <w:p>
      <w:pPr>
        <w:pStyle w:val="ListNumber"/>
      </w:pPr>
      <w:r>
        <w:t>An early emergency screen checks whether any available finding requires immediate interruption and escalation.</w:t>
      </w:r>
    </w:p>
    <w:p>
      <w:pPr>
        <w:pStyle w:val="ListNumber"/>
      </w:pPr>
      <w:r>
        <w:t>If processing may safely continue, the Knowledge Processing Engine evaluates all applicable individual rules.</w:t>
      </w:r>
    </w:p>
    <w:p>
      <w:pPr>
        <w:pStyle w:val="ListNumber"/>
      </w:pPr>
      <w:r>
        <w:t>The Clinical Interaction Engine evaluates approved combinations of findings.</w:t>
      </w:r>
    </w:p>
    <w:p>
      <w:pPr>
        <w:pStyle w:val="ListNumber"/>
      </w:pPr>
      <w:r>
        <w:t>The Conflict Resolution Engine applies deterministic precedence without deleting lower-priority evidence.</w:t>
      </w:r>
    </w:p>
    <w:p>
      <w:pPr>
        <w:pStyle w:val="ListNumber"/>
      </w:pPr>
      <w:r>
        <w:t>The Emergency Override Engine performs a complete emergency review over validated rules and interactions.</w:t>
      </w:r>
    </w:p>
    <w:p>
      <w:pPr>
        <w:pStyle w:val="ListNumber"/>
      </w:pPr>
      <w:r>
        <w:t>The Recommendation Generation Engine produces prioritized and scope-aware guidance.</w:t>
      </w:r>
    </w:p>
    <w:p>
      <w:pPr>
        <w:pStyle w:val="ListNumber"/>
      </w:pPr>
      <w:r>
        <w:t>The Explainability Engine identifies the patient-specific evidence, rules, and reasoning path.</w:t>
      </w:r>
    </w:p>
    <w:p>
      <w:pPr>
        <w:pStyle w:val="ListNumber"/>
      </w:pPr>
      <w:r>
        <w:t>The Confidence Assessment Engine describes evidence reliability and unresolved limitations.</w:t>
      </w:r>
    </w:p>
    <w:p>
      <w:pPr>
        <w:pStyle w:val="ListNumber"/>
      </w:pPr>
      <w:r>
        <w:t>The Audit and Provenance Engine commits the complete decision package.</w:t>
      </w:r>
    </w:p>
    <w:p>
      <w:pPr>
        <w:pStyle w:val="ListNumber"/>
      </w:pPr>
      <w:r>
        <w:t>The user interface displays the final state, reasons, limitations, and available actions.</w:t>
      </w:r>
    </w:p>
    <w:p>
      <w:pPr>
        <w:pStyle w:val="ListNumber"/>
      </w:pPr>
      <w:r>
        <w:t>The healthcare user may acknowledge, refer, correct data, defer, or document an override according to policy.</w:t>
      </w:r>
    </w:p>
    <w:p>
      <w:pPr>
        <w:pStyle w:val="Heading1"/>
      </w:pPr>
      <w:r>
        <w:t>6.0 Decision Execution States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shd w:fill="D9EAF7"/>
            <w:vAlign w:val="center"/>
          </w:tcPr>
          <w:p>
            <w:pPr>
              <w:spacing w:after="0"/>
            </w:pPr>
            <w:r/>
            <w:r>
              <w:rPr>
                <w:rFonts w:ascii="Arial" w:hAnsi="Arial"/>
                <w:b/>
                <w:sz w:val="18"/>
              </w:rPr>
              <w:t>State</w:t>
            </w:r>
          </w:p>
        </w:tc>
        <w:tc>
          <w:tcPr>
            <w:tcW w:type="dxa" w:w="3293"/>
            <w:shd w:fill="D9EAF7"/>
            <w:vAlign w:val="center"/>
          </w:tcPr>
          <w:p>
            <w:pPr>
              <w:spacing w:after="0"/>
            </w:pPr>
            <w:r/>
            <w:r>
              <w:rPr>
                <w:rFonts w:ascii="Arial" w:hAnsi="Arial"/>
                <w:b/>
                <w:sz w:val="18"/>
              </w:rPr>
              <w:t>Meaning</w:t>
            </w:r>
          </w:p>
        </w:tc>
        <w:tc>
          <w:tcPr>
            <w:tcW w:type="dxa" w:w="3293"/>
            <w:shd w:fill="D9EAF7"/>
            <w:vAlign w:val="center"/>
          </w:tcPr>
          <w:p>
            <w:pPr>
              <w:spacing w:after="0"/>
            </w:pPr>
            <w:r/>
            <w:r>
              <w:rPr>
                <w:rFonts w:ascii="Arial" w:hAnsi="Arial"/>
                <w:b/>
                <w:sz w:val="18"/>
              </w:rPr>
              <w:t>Permitted transition</w:t>
            </w:r>
          </w:p>
        </w:tc>
      </w:tr>
      <w:tr>
        <w:tc>
          <w:tcPr>
            <w:tcW w:type="dxa" w:w="3293"/>
            <w:vAlign w:val="top"/>
          </w:tcPr>
          <w:p>
            <w:pPr>
              <w:spacing w:after="0"/>
            </w:pPr>
            <w:r/>
            <w:r>
              <w:rPr>
                <w:rFonts w:ascii="Arial" w:hAnsi="Arial"/>
                <w:b w:val="0"/>
                <w:sz w:val="18"/>
              </w:rPr>
              <w:t>CREATED</w:t>
            </w:r>
          </w:p>
        </w:tc>
        <w:tc>
          <w:tcPr>
            <w:tcW w:type="dxa" w:w="3293"/>
            <w:vAlign w:val="top"/>
          </w:tcPr>
          <w:p>
            <w:pPr>
              <w:spacing w:after="0"/>
            </w:pPr>
            <w:r/>
            <w:r>
              <w:rPr>
                <w:rFonts w:ascii="Arial" w:hAnsi="Arial"/>
                <w:b w:val="0"/>
                <w:sz w:val="18"/>
              </w:rPr>
              <w:t>Execution identity exists; inputs are not yet frozen.</w:t>
            </w:r>
          </w:p>
        </w:tc>
        <w:tc>
          <w:tcPr>
            <w:tcW w:type="dxa" w:w="3293"/>
            <w:vAlign w:val="top"/>
          </w:tcPr>
          <w:p>
            <w:pPr>
              <w:spacing w:after="0"/>
            </w:pPr>
            <w:r/>
            <w:r>
              <w:rPr>
                <w:rFonts w:ascii="Arial" w:hAnsi="Arial"/>
                <w:b w:val="0"/>
                <w:sz w:val="18"/>
              </w:rPr>
              <w:t>INPUT_CAPTURED or FAILED</w:t>
            </w:r>
          </w:p>
        </w:tc>
      </w:tr>
      <w:tr>
        <w:tc>
          <w:tcPr>
            <w:tcW w:type="dxa" w:w="3293"/>
            <w:vAlign w:val="top"/>
          </w:tcPr>
          <w:p>
            <w:pPr>
              <w:spacing w:after="0"/>
            </w:pPr>
            <w:r/>
            <w:r>
              <w:rPr>
                <w:rFonts w:ascii="Arial" w:hAnsi="Arial"/>
                <w:b w:val="0"/>
                <w:sz w:val="18"/>
              </w:rPr>
              <w:t>INPUT_CAPTURED</w:t>
            </w:r>
          </w:p>
        </w:tc>
        <w:tc>
          <w:tcPr>
            <w:tcW w:type="dxa" w:w="3293"/>
            <w:vAlign w:val="top"/>
          </w:tcPr>
          <w:p>
            <w:pPr>
              <w:spacing w:after="0"/>
            </w:pPr>
            <w:r/>
            <w:r>
              <w:rPr>
                <w:rFonts w:ascii="Arial" w:hAnsi="Arial"/>
                <w:b w:val="0"/>
                <w:sz w:val="18"/>
              </w:rPr>
              <w:t>Patient-specific input snapshot is stored.</w:t>
            </w:r>
          </w:p>
        </w:tc>
        <w:tc>
          <w:tcPr>
            <w:tcW w:type="dxa" w:w="3293"/>
            <w:vAlign w:val="top"/>
          </w:tcPr>
          <w:p>
            <w:pPr>
              <w:spacing w:after="0"/>
            </w:pPr>
            <w:r/>
            <w:r>
              <w:rPr>
                <w:rFonts w:ascii="Arial" w:hAnsi="Arial"/>
                <w:b w:val="0"/>
                <w:sz w:val="18"/>
              </w:rPr>
              <w:t>VALIDATING</w:t>
            </w:r>
          </w:p>
        </w:tc>
      </w:tr>
      <w:tr>
        <w:tc>
          <w:tcPr>
            <w:tcW w:type="dxa" w:w="3293"/>
            <w:vAlign w:val="top"/>
          </w:tcPr>
          <w:p>
            <w:pPr>
              <w:spacing w:after="0"/>
            </w:pPr>
            <w:r/>
            <w:r>
              <w:rPr>
                <w:rFonts w:ascii="Arial" w:hAnsi="Arial"/>
                <w:b w:val="0"/>
                <w:sz w:val="18"/>
              </w:rPr>
              <w:t>VALIDATING</w:t>
            </w:r>
          </w:p>
        </w:tc>
        <w:tc>
          <w:tcPr>
            <w:tcW w:type="dxa" w:w="3293"/>
            <w:vAlign w:val="top"/>
          </w:tcPr>
          <w:p>
            <w:pPr>
              <w:spacing w:after="0"/>
            </w:pPr>
            <w:r/>
            <w:r>
              <w:rPr>
                <w:rFonts w:ascii="Arial" w:hAnsi="Arial"/>
                <w:b w:val="0"/>
                <w:sz w:val="18"/>
              </w:rPr>
              <w:t>Completeness, plausibility, consistency, and freshness are being evaluated.</w:t>
            </w:r>
          </w:p>
        </w:tc>
        <w:tc>
          <w:tcPr>
            <w:tcW w:type="dxa" w:w="3293"/>
            <w:vAlign w:val="top"/>
          </w:tcPr>
          <w:p>
            <w:pPr>
              <w:spacing w:after="0"/>
            </w:pPr>
            <w:r/>
            <w:r>
              <w:rPr>
                <w:rFonts w:ascii="Arial" w:hAnsi="Arial"/>
                <w:b w:val="0"/>
                <w:sz w:val="18"/>
              </w:rPr>
              <w:t>EMERGENCY_SCREEN, INCOMPLETE, or FAILED</w:t>
            </w:r>
          </w:p>
        </w:tc>
      </w:tr>
      <w:tr>
        <w:tc>
          <w:tcPr>
            <w:tcW w:type="dxa" w:w="3293"/>
            <w:vAlign w:val="top"/>
          </w:tcPr>
          <w:p>
            <w:pPr>
              <w:spacing w:after="0"/>
            </w:pPr>
            <w:r/>
            <w:r>
              <w:rPr>
                <w:rFonts w:ascii="Arial" w:hAnsi="Arial"/>
                <w:b w:val="0"/>
                <w:sz w:val="18"/>
              </w:rPr>
              <w:t>INCOMPLETE</w:t>
            </w:r>
          </w:p>
        </w:tc>
        <w:tc>
          <w:tcPr>
            <w:tcW w:type="dxa" w:w="3293"/>
            <w:vAlign w:val="top"/>
          </w:tcPr>
          <w:p>
            <w:pPr>
              <w:spacing w:after="0"/>
            </w:pPr>
            <w:r/>
            <w:r>
              <w:rPr>
                <w:rFonts w:ascii="Arial" w:hAnsi="Arial"/>
                <w:b w:val="0"/>
                <w:sz w:val="18"/>
              </w:rPr>
              <w:t>Required evidence is unavailable or unusable for the intended assessment.</w:t>
            </w:r>
          </w:p>
        </w:tc>
        <w:tc>
          <w:tcPr>
            <w:tcW w:type="dxa" w:w="3293"/>
            <w:vAlign w:val="top"/>
          </w:tcPr>
          <w:p>
            <w:pPr>
              <w:spacing w:after="0"/>
            </w:pPr>
            <w:r/>
            <w:r>
              <w:rPr>
                <w:rFonts w:ascii="Arial" w:hAnsi="Arial"/>
                <w:b w:val="0"/>
                <w:sz w:val="18"/>
              </w:rPr>
              <w:t>Terminal for the run; new data creates a new execution</w:t>
            </w:r>
          </w:p>
        </w:tc>
      </w:tr>
      <w:tr>
        <w:tc>
          <w:tcPr>
            <w:tcW w:type="dxa" w:w="3293"/>
            <w:vAlign w:val="top"/>
          </w:tcPr>
          <w:p>
            <w:pPr>
              <w:spacing w:after="0"/>
            </w:pPr>
            <w:r/>
            <w:r>
              <w:rPr>
                <w:rFonts w:ascii="Arial" w:hAnsi="Arial"/>
                <w:b w:val="0"/>
                <w:sz w:val="18"/>
              </w:rPr>
              <w:t>EMERGENCY_SCREEN</w:t>
            </w:r>
          </w:p>
        </w:tc>
        <w:tc>
          <w:tcPr>
            <w:tcW w:type="dxa" w:w="3293"/>
            <w:vAlign w:val="top"/>
          </w:tcPr>
          <w:p>
            <w:pPr>
              <w:spacing w:after="0"/>
            </w:pPr>
            <w:r/>
            <w:r>
              <w:rPr>
                <w:rFonts w:ascii="Arial" w:hAnsi="Arial"/>
                <w:b w:val="0"/>
                <w:sz w:val="18"/>
              </w:rPr>
              <w:t>Available information is checked for immediate safety triggers.</w:t>
            </w:r>
          </w:p>
        </w:tc>
        <w:tc>
          <w:tcPr>
            <w:tcW w:type="dxa" w:w="3293"/>
            <w:vAlign w:val="top"/>
          </w:tcPr>
          <w:p>
            <w:pPr>
              <w:spacing w:after="0"/>
            </w:pPr>
            <w:r/>
            <w:r>
              <w:rPr>
                <w:rFonts w:ascii="Arial" w:hAnsi="Arial"/>
                <w:b w:val="0"/>
                <w:sz w:val="18"/>
              </w:rPr>
              <w:t>EMERGENCY, PROCESSING_RULES, or FAILED</w:t>
            </w:r>
          </w:p>
        </w:tc>
      </w:tr>
      <w:tr>
        <w:tc>
          <w:tcPr>
            <w:tcW w:type="dxa" w:w="3293"/>
            <w:vAlign w:val="top"/>
          </w:tcPr>
          <w:p>
            <w:pPr>
              <w:spacing w:after="0"/>
            </w:pPr>
            <w:r/>
            <w:r>
              <w:rPr>
                <w:rFonts w:ascii="Arial" w:hAnsi="Arial"/>
                <w:b w:val="0"/>
                <w:sz w:val="18"/>
              </w:rPr>
              <w:t>PROCESSING_RULES</w:t>
            </w:r>
          </w:p>
        </w:tc>
        <w:tc>
          <w:tcPr>
            <w:tcW w:type="dxa" w:w="3293"/>
            <w:vAlign w:val="top"/>
          </w:tcPr>
          <w:p>
            <w:pPr>
              <w:spacing w:after="0"/>
            </w:pPr>
            <w:r/>
            <w:r>
              <w:rPr>
                <w:rFonts w:ascii="Arial" w:hAnsi="Arial"/>
                <w:b w:val="0"/>
                <w:sz w:val="18"/>
              </w:rPr>
              <w:t>Individual rules are being evaluated.</w:t>
            </w:r>
          </w:p>
        </w:tc>
        <w:tc>
          <w:tcPr>
            <w:tcW w:type="dxa" w:w="3293"/>
            <w:vAlign w:val="top"/>
          </w:tcPr>
          <w:p>
            <w:pPr>
              <w:spacing w:after="0"/>
            </w:pPr>
            <w:r/>
            <w:r>
              <w:rPr>
                <w:rFonts w:ascii="Arial" w:hAnsi="Arial"/>
                <w:b w:val="0"/>
                <w:sz w:val="18"/>
              </w:rPr>
              <w:t>PROCESSING_INTERACTIONS or FAILED</w:t>
            </w:r>
          </w:p>
        </w:tc>
      </w:tr>
      <w:tr>
        <w:tc>
          <w:tcPr>
            <w:tcW w:type="dxa" w:w="3293"/>
            <w:vAlign w:val="top"/>
          </w:tcPr>
          <w:p>
            <w:pPr>
              <w:spacing w:after="0"/>
            </w:pPr>
            <w:r/>
            <w:r>
              <w:rPr>
                <w:rFonts w:ascii="Arial" w:hAnsi="Arial"/>
                <w:b w:val="0"/>
                <w:sz w:val="18"/>
              </w:rPr>
              <w:t>PROCESSING_INTERACTIONS</w:t>
            </w:r>
          </w:p>
        </w:tc>
        <w:tc>
          <w:tcPr>
            <w:tcW w:type="dxa" w:w="3293"/>
            <w:vAlign w:val="top"/>
          </w:tcPr>
          <w:p>
            <w:pPr>
              <w:spacing w:after="0"/>
            </w:pPr>
            <w:r/>
            <w:r>
              <w:rPr>
                <w:rFonts w:ascii="Arial" w:hAnsi="Arial"/>
                <w:b w:val="0"/>
                <w:sz w:val="18"/>
              </w:rPr>
              <w:t>Approved combinations are being assessed.</w:t>
            </w:r>
          </w:p>
        </w:tc>
        <w:tc>
          <w:tcPr>
            <w:tcW w:type="dxa" w:w="3293"/>
            <w:vAlign w:val="top"/>
          </w:tcPr>
          <w:p>
            <w:pPr>
              <w:spacing w:after="0"/>
            </w:pPr>
            <w:r/>
            <w:r>
              <w:rPr>
                <w:rFonts w:ascii="Arial" w:hAnsi="Arial"/>
                <w:b w:val="0"/>
                <w:sz w:val="18"/>
              </w:rPr>
              <w:t>RESOLVING_CONFLICTS or FAILED</w:t>
            </w:r>
          </w:p>
        </w:tc>
      </w:tr>
      <w:tr>
        <w:tc>
          <w:tcPr>
            <w:tcW w:type="dxa" w:w="3293"/>
            <w:vAlign w:val="top"/>
          </w:tcPr>
          <w:p>
            <w:pPr>
              <w:spacing w:after="0"/>
            </w:pPr>
            <w:r/>
            <w:r>
              <w:rPr>
                <w:rFonts w:ascii="Arial" w:hAnsi="Arial"/>
                <w:b w:val="0"/>
                <w:sz w:val="18"/>
              </w:rPr>
              <w:t>RESOLVING_CONFLICTS</w:t>
            </w:r>
          </w:p>
        </w:tc>
        <w:tc>
          <w:tcPr>
            <w:tcW w:type="dxa" w:w="3293"/>
            <w:vAlign w:val="top"/>
          </w:tcPr>
          <w:p>
            <w:pPr>
              <w:spacing w:after="0"/>
            </w:pPr>
            <w:r/>
            <w:r>
              <w:rPr>
                <w:rFonts w:ascii="Arial" w:hAnsi="Arial"/>
                <w:b w:val="0"/>
                <w:sz w:val="18"/>
              </w:rPr>
              <w:t>Precedence and unresolved conflicts are documented.</w:t>
            </w:r>
          </w:p>
        </w:tc>
        <w:tc>
          <w:tcPr>
            <w:tcW w:type="dxa" w:w="3293"/>
            <w:vAlign w:val="top"/>
          </w:tcPr>
          <w:p>
            <w:pPr>
              <w:spacing w:after="0"/>
            </w:pPr>
            <w:r/>
            <w:r>
              <w:rPr>
                <w:rFonts w:ascii="Arial" w:hAnsi="Arial"/>
                <w:b w:val="0"/>
                <w:sz w:val="18"/>
              </w:rPr>
              <w:t>FINAL_EMERGENCY_REVIEW or FAILED</w:t>
            </w:r>
          </w:p>
        </w:tc>
      </w:tr>
      <w:tr>
        <w:tc>
          <w:tcPr>
            <w:tcW w:type="dxa" w:w="3293"/>
            <w:vAlign w:val="top"/>
          </w:tcPr>
          <w:p>
            <w:pPr>
              <w:spacing w:after="0"/>
            </w:pPr>
            <w:r/>
            <w:r>
              <w:rPr>
                <w:rFonts w:ascii="Arial" w:hAnsi="Arial"/>
                <w:b w:val="0"/>
                <w:sz w:val="18"/>
              </w:rPr>
              <w:t>FINAL_EMERGENCY_REVIEW</w:t>
            </w:r>
          </w:p>
        </w:tc>
        <w:tc>
          <w:tcPr>
            <w:tcW w:type="dxa" w:w="3293"/>
            <w:vAlign w:val="top"/>
          </w:tcPr>
          <w:p>
            <w:pPr>
              <w:spacing w:after="0"/>
            </w:pPr>
            <w:r/>
            <w:r>
              <w:rPr>
                <w:rFonts w:ascii="Arial" w:hAnsi="Arial"/>
                <w:b w:val="0"/>
                <w:sz w:val="18"/>
              </w:rPr>
              <w:t>All validated evidence is checked for emergency override.</w:t>
            </w:r>
          </w:p>
        </w:tc>
        <w:tc>
          <w:tcPr>
            <w:tcW w:type="dxa" w:w="3293"/>
            <w:vAlign w:val="top"/>
          </w:tcPr>
          <w:p>
            <w:pPr>
              <w:spacing w:after="0"/>
            </w:pPr>
            <w:r/>
            <w:r>
              <w:rPr>
                <w:rFonts w:ascii="Arial" w:hAnsi="Arial"/>
                <w:b w:val="0"/>
                <w:sz w:val="18"/>
              </w:rPr>
              <w:t>EMERGENCY or GENERATING_OUTPUT</w:t>
            </w:r>
          </w:p>
        </w:tc>
      </w:tr>
      <w:tr>
        <w:tc>
          <w:tcPr>
            <w:tcW w:type="dxa" w:w="3293"/>
            <w:vAlign w:val="top"/>
          </w:tcPr>
          <w:p>
            <w:pPr>
              <w:spacing w:after="0"/>
            </w:pPr>
            <w:r/>
            <w:r>
              <w:rPr>
                <w:rFonts w:ascii="Arial" w:hAnsi="Arial"/>
                <w:b w:val="0"/>
                <w:sz w:val="18"/>
              </w:rPr>
              <w:t>EMERGENCY</w:t>
            </w:r>
          </w:p>
        </w:tc>
        <w:tc>
          <w:tcPr>
            <w:tcW w:type="dxa" w:w="3293"/>
            <w:vAlign w:val="top"/>
          </w:tcPr>
          <w:p>
            <w:pPr>
              <w:spacing w:after="0"/>
            </w:pPr>
            <w:r/>
            <w:r>
              <w:rPr>
                <w:rFonts w:ascii="Arial" w:hAnsi="Arial"/>
                <w:b w:val="0"/>
                <w:sz w:val="18"/>
              </w:rPr>
              <w:t>Emergency pathway supersedes routine recommendation ordering.</w:t>
            </w:r>
          </w:p>
        </w:tc>
        <w:tc>
          <w:tcPr>
            <w:tcW w:type="dxa" w:w="3293"/>
            <w:vAlign w:val="top"/>
          </w:tcPr>
          <w:p>
            <w:pPr>
              <w:spacing w:after="0"/>
            </w:pPr>
            <w:r/>
            <w:r>
              <w:rPr>
                <w:rFonts w:ascii="Arial" w:hAnsi="Arial"/>
                <w:b w:val="0"/>
                <w:sz w:val="18"/>
              </w:rPr>
              <w:t>GENERATING_OUTPUT</w:t>
            </w:r>
          </w:p>
        </w:tc>
      </w:tr>
      <w:tr>
        <w:tc>
          <w:tcPr>
            <w:tcW w:type="dxa" w:w="3293"/>
            <w:vAlign w:val="top"/>
          </w:tcPr>
          <w:p>
            <w:pPr>
              <w:spacing w:after="0"/>
            </w:pPr>
            <w:r/>
            <w:r>
              <w:rPr>
                <w:rFonts w:ascii="Arial" w:hAnsi="Arial"/>
                <w:b w:val="0"/>
                <w:sz w:val="18"/>
              </w:rPr>
              <w:t>GENERATING_OUTPUT</w:t>
            </w:r>
          </w:p>
        </w:tc>
        <w:tc>
          <w:tcPr>
            <w:tcW w:type="dxa" w:w="3293"/>
            <w:vAlign w:val="top"/>
          </w:tcPr>
          <w:p>
            <w:pPr>
              <w:spacing w:after="0"/>
            </w:pPr>
            <w:r/>
            <w:r>
              <w:rPr>
                <w:rFonts w:ascii="Arial" w:hAnsi="Arial"/>
                <w:b w:val="0"/>
                <w:sz w:val="18"/>
              </w:rPr>
              <w:t>Recommendations, explanation, confidence, and limitations are assembled.</w:t>
            </w:r>
          </w:p>
        </w:tc>
        <w:tc>
          <w:tcPr>
            <w:tcW w:type="dxa" w:w="3293"/>
            <w:vAlign w:val="top"/>
          </w:tcPr>
          <w:p>
            <w:pPr>
              <w:spacing w:after="0"/>
            </w:pPr>
            <w:r/>
            <w:r>
              <w:rPr>
                <w:rFonts w:ascii="Arial" w:hAnsi="Arial"/>
                <w:b w:val="0"/>
                <w:sz w:val="18"/>
              </w:rPr>
              <w:t>COMMITTING</w:t>
            </w:r>
          </w:p>
        </w:tc>
      </w:tr>
      <w:tr>
        <w:tc>
          <w:tcPr>
            <w:tcW w:type="dxa" w:w="3293"/>
            <w:vAlign w:val="top"/>
          </w:tcPr>
          <w:p>
            <w:pPr>
              <w:spacing w:after="0"/>
            </w:pPr>
            <w:r/>
            <w:r>
              <w:rPr>
                <w:rFonts w:ascii="Arial" w:hAnsi="Arial"/>
                <w:b w:val="0"/>
                <w:sz w:val="18"/>
              </w:rPr>
              <w:t>COMMITTING</w:t>
            </w:r>
          </w:p>
        </w:tc>
        <w:tc>
          <w:tcPr>
            <w:tcW w:type="dxa" w:w="3293"/>
            <w:vAlign w:val="top"/>
          </w:tcPr>
          <w:p>
            <w:pPr>
              <w:spacing w:after="0"/>
            </w:pPr>
            <w:r/>
            <w:r>
              <w:rPr>
                <w:rFonts w:ascii="Arial" w:hAnsi="Arial"/>
                <w:b w:val="0"/>
                <w:sz w:val="18"/>
              </w:rPr>
              <w:t>Minimum provenance package is stored transactionally.</w:t>
            </w:r>
          </w:p>
        </w:tc>
        <w:tc>
          <w:tcPr>
            <w:tcW w:type="dxa" w:w="3293"/>
            <w:vAlign w:val="top"/>
          </w:tcPr>
          <w:p>
            <w:pPr>
              <w:spacing w:after="0"/>
            </w:pPr>
            <w:r/>
            <w:r>
              <w:rPr>
                <w:rFonts w:ascii="Arial" w:hAnsi="Arial"/>
                <w:b w:val="0"/>
                <w:sz w:val="18"/>
              </w:rPr>
              <w:t>COMPLETED or FAILED</w:t>
            </w:r>
          </w:p>
        </w:tc>
      </w:tr>
      <w:tr>
        <w:tc>
          <w:tcPr>
            <w:tcW w:type="dxa" w:w="3293"/>
            <w:vAlign w:val="top"/>
          </w:tcPr>
          <w:p>
            <w:pPr>
              <w:spacing w:after="0"/>
            </w:pPr>
            <w:r/>
            <w:r>
              <w:rPr>
                <w:rFonts w:ascii="Arial" w:hAnsi="Arial"/>
                <w:b w:val="0"/>
                <w:sz w:val="18"/>
              </w:rPr>
              <w:t>COMPLETED</w:t>
            </w:r>
          </w:p>
        </w:tc>
        <w:tc>
          <w:tcPr>
            <w:tcW w:type="dxa" w:w="3293"/>
            <w:vAlign w:val="top"/>
          </w:tcPr>
          <w:p>
            <w:pPr>
              <w:spacing w:after="0"/>
            </w:pPr>
            <w:r/>
            <w:r>
              <w:rPr>
                <w:rFonts w:ascii="Arial" w:hAnsi="Arial"/>
                <w:b w:val="0"/>
                <w:sz w:val="18"/>
              </w:rPr>
              <w:t>Auditable decision output is available for user review.</w:t>
            </w:r>
          </w:p>
        </w:tc>
        <w:tc>
          <w:tcPr>
            <w:tcW w:type="dxa" w:w="3293"/>
            <w:vAlign w:val="top"/>
          </w:tcPr>
          <w:p>
            <w:pPr>
              <w:spacing w:after="0"/>
            </w:pPr>
            <w:r/>
            <w:r>
              <w:rPr>
                <w:rFonts w:ascii="Arial" w:hAnsi="Arial"/>
                <w:b w:val="0"/>
                <w:sz w:val="18"/>
              </w:rPr>
              <w:t>Terminal; subsequent changes create a new execution</w:t>
            </w:r>
          </w:p>
        </w:tc>
      </w:tr>
      <w:tr>
        <w:tc>
          <w:tcPr>
            <w:tcW w:type="dxa" w:w="3293"/>
            <w:vAlign w:val="top"/>
          </w:tcPr>
          <w:p>
            <w:pPr>
              <w:spacing w:after="0"/>
            </w:pPr>
            <w:r/>
            <w:r>
              <w:rPr>
                <w:rFonts w:ascii="Arial" w:hAnsi="Arial"/>
                <w:b w:val="0"/>
                <w:sz w:val="18"/>
              </w:rPr>
              <w:t>FAILED</w:t>
            </w:r>
          </w:p>
        </w:tc>
        <w:tc>
          <w:tcPr>
            <w:tcW w:type="dxa" w:w="3293"/>
            <w:vAlign w:val="top"/>
          </w:tcPr>
          <w:p>
            <w:pPr>
              <w:spacing w:after="0"/>
            </w:pPr>
            <w:r/>
            <w:r>
              <w:rPr>
                <w:rFonts w:ascii="Arial" w:hAnsi="Arial"/>
                <w:b w:val="0"/>
                <w:sz w:val="18"/>
              </w:rPr>
              <w:t>A technical or integrity failure prevents a trustworthy completed result.</w:t>
            </w:r>
          </w:p>
        </w:tc>
        <w:tc>
          <w:tcPr>
            <w:tcW w:type="dxa" w:w="3293"/>
            <w:vAlign w:val="top"/>
          </w:tcPr>
          <w:p>
            <w:pPr>
              <w:spacing w:after="0"/>
            </w:pPr>
            <w:r/>
            <w:r>
              <w:rPr>
                <w:rFonts w:ascii="Arial" w:hAnsi="Arial"/>
                <w:b w:val="0"/>
                <w:sz w:val="18"/>
              </w:rPr>
              <w:t>Terminal; retry creates a new execution or controlled retry record</w:t>
            </w:r>
          </w:p>
        </w:tc>
      </w:tr>
    </w:tbl>
    <w:p/>
    <w:p>
      <w:pPr>
        <w:pStyle w:val="Heading1"/>
      </w:pPr>
      <w:r>
        <w:t>7.0 Final Clinical Output Model</w:t>
      </w:r>
    </w:p>
    <w:p>
      <w:r>
        <w:t>The user-facing result must not be limited to one color badge. The minimum output contains a state, priority, reasons, evidence status, recommendation, explanation, limitations, and next actions.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Output element</w:t>
            </w:r>
          </w:p>
        </w:tc>
        <w:tc>
          <w:tcPr>
            <w:tcW w:type="dxa" w:w="4939"/>
            <w:shd w:fill="D9EAF7"/>
            <w:vAlign w:val="center"/>
          </w:tcPr>
          <w:p>
            <w:pPr>
              <w:spacing w:after="0"/>
            </w:pPr>
            <w:r/>
            <w:r>
              <w:rPr>
                <w:rFonts w:ascii="Arial" w:hAnsi="Arial"/>
                <w:b/>
                <w:sz w:val="18"/>
              </w:rPr>
              <w:t>Required content</w:t>
            </w:r>
          </w:p>
        </w:tc>
      </w:tr>
      <w:tr>
        <w:tc>
          <w:tcPr>
            <w:tcW w:type="dxa" w:w="4939"/>
            <w:vAlign w:val="top"/>
          </w:tcPr>
          <w:p>
            <w:pPr>
              <w:spacing w:after="0"/>
            </w:pPr>
            <w:r/>
            <w:r>
              <w:rPr>
                <w:rFonts w:ascii="Arial" w:hAnsi="Arial"/>
                <w:b w:val="0"/>
                <w:sz w:val="18"/>
              </w:rPr>
              <w:t>Assessment state</w:t>
            </w:r>
          </w:p>
        </w:tc>
        <w:tc>
          <w:tcPr>
            <w:tcW w:type="dxa" w:w="4939"/>
            <w:vAlign w:val="top"/>
          </w:tcPr>
          <w:p>
            <w:pPr>
              <w:spacing w:after="0"/>
            </w:pPr>
            <w:r/>
            <w:r>
              <w:rPr>
                <w:rFonts w:ascii="Arial" w:hAnsi="Arial"/>
                <w:b w:val="0"/>
                <w:sz w:val="18"/>
              </w:rPr>
              <w:t>HIGH, LOW, ASSESSMENT INCOMPLETE, or EMERGENCY PRIORITY where formally adopted.</w:t>
            </w:r>
          </w:p>
        </w:tc>
      </w:tr>
      <w:tr>
        <w:tc>
          <w:tcPr>
            <w:tcW w:type="dxa" w:w="4939"/>
            <w:vAlign w:val="top"/>
          </w:tcPr>
          <w:p>
            <w:pPr>
              <w:spacing w:after="0"/>
            </w:pPr>
            <w:r/>
            <w:r>
              <w:rPr>
                <w:rFonts w:ascii="Arial" w:hAnsi="Arial"/>
                <w:b w:val="0"/>
                <w:sz w:val="18"/>
              </w:rPr>
              <w:t>Priority</w:t>
            </w:r>
          </w:p>
        </w:tc>
        <w:tc>
          <w:tcPr>
            <w:tcW w:type="dxa" w:w="4939"/>
            <w:vAlign w:val="top"/>
          </w:tcPr>
          <w:p>
            <w:pPr>
              <w:spacing w:after="0"/>
            </w:pPr>
            <w:r/>
            <w:r>
              <w:rPr>
                <w:rFonts w:ascii="Arial" w:hAnsi="Arial"/>
                <w:b w:val="0"/>
                <w:sz w:val="18"/>
              </w:rPr>
              <w:t>Routine, prompt review, urgent referral, or emergency escalation according to approved local wording.</w:t>
            </w:r>
          </w:p>
        </w:tc>
      </w:tr>
      <w:tr>
        <w:tc>
          <w:tcPr>
            <w:tcW w:type="dxa" w:w="4939"/>
            <w:vAlign w:val="top"/>
          </w:tcPr>
          <w:p>
            <w:pPr>
              <w:spacing w:after="0"/>
            </w:pPr>
            <w:r/>
            <w:r>
              <w:rPr>
                <w:rFonts w:ascii="Arial" w:hAnsi="Arial"/>
                <w:b w:val="0"/>
                <w:sz w:val="18"/>
              </w:rPr>
              <w:t>Triggered findings</w:t>
            </w:r>
          </w:p>
        </w:tc>
        <w:tc>
          <w:tcPr>
            <w:tcW w:type="dxa" w:w="4939"/>
            <w:vAlign w:val="top"/>
          </w:tcPr>
          <w:p>
            <w:pPr>
              <w:spacing w:after="0"/>
            </w:pPr>
            <w:r/>
            <w:r>
              <w:rPr>
                <w:rFonts w:ascii="Arial" w:hAnsi="Arial"/>
                <w:b w:val="0"/>
                <w:sz w:val="18"/>
              </w:rPr>
              <w:t>Plain-language summary of each relevant rule and interaction.</w:t>
            </w:r>
          </w:p>
        </w:tc>
      </w:tr>
      <w:tr>
        <w:tc>
          <w:tcPr>
            <w:tcW w:type="dxa" w:w="4939"/>
            <w:vAlign w:val="top"/>
          </w:tcPr>
          <w:p>
            <w:pPr>
              <w:spacing w:after="0"/>
            </w:pPr>
            <w:r/>
            <w:r>
              <w:rPr>
                <w:rFonts w:ascii="Arial" w:hAnsi="Arial"/>
                <w:b w:val="0"/>
                <w:sz w:val="18"/>
              </w:rPr>
              <w:t>Missing or uncertain data</w:t>
            </w:r>
          </w:p>
        </w:tc>
        <w:tc>
          <w:tcPr>
            <w:tcW w:type="dxa" w:w="4939"/>
            <w:vAlign w:val="top"/>
          </w:tcPr>
          <w:p>
            <w:pPr>
              <w:spacing w:after="0"/>
            </w:pPr>
            <w:r/>
            <w:r>
              <w:rPr>
                <w:rFonts w:ascii="Arial" w:hAnsi="Arial"/>
                <w:b w:val="0"/>
                <w:sz w:val="18"/>
              </w:rPr>
              <w:t>Required records or values that reduced completeness or confidence.</w:t>
            </w:r>
          </w:p>
        </w:tc>
      </w:tr>
      <w:tr>
        <w:tc>
          <w:tcPr>
            <w:tcW w:type="dxa" w:w="4939"/>
            <w:vAlign w:val="top"/>
          </w:tcPr>
          <w:p>
            <w:pPr>
              <w:spacing w:after="0"/>
            </w:pPr>
            <w:r/>
            <w:r>
              <w:rPr>
                <w:rFonts w:ascii="Arial" w:hAnsi="Arial"/>
                <w:b w:val="0"/>
                <w:sz w:val="18"/>
              </w:rPr>
              <w:t>Recommendation</w:t>
            </w:r>
          </w:p>
        </w:tc>
        <w:tc>
          <w:tcPr>
            <w:tcW w:type="dxa" w:w="4939"/>
            <w:vAlign w:val="top"/>
          </w:tcPr>
          <w:p>
            <w:pPr>
              <w:spacing w:after="0"/>
            </w:pPr>
            <w:r/>
            <w:r>
              <w:rPr>
                <w:rFonts w:ascii="Arial" w:hAnsi="Arial"/>
                <w:b w:val="0"/>
                <w:sz w:val="18"/>
              </w:rPr>
              <w:t>Scope-aware action guidance, not a diagnosis or prescription.</w:t>
            </w:r>
          </w:p>
        </w:tc>
      </w:tr>
      <w:tr>
        <w:tc>
          <w:tcPr>
            <w:tcW w:type="dxa" w:w="4939"/>
            <w:vAlign w:val="top"/>
          </w:tcPr>
          <w:p>
            <w:pPr>
              <w:spacing w:after="0"/>
            </w:pPr>
            <w:r/>
            <w:r>
              <w:rPr>
                <w:rFonts w:ascii="Arial" w:hAnsi="Arial"/>
                <w:b w:val="0"/>
                <w:sz w:val="18"/>
              </w:rPr>
              <w:t>Explanation</w:t>
            </w:r>
          </w:p>
        </w:tc>
        <w:tc>
          <w:tcPr>
            <w:tcW w:type="dxa" w:w="4939"/>
            <w:vAlign w:val="top"/>
          </w:tcPr>
          <w:p>
            <w:pPr>
              <w:spacing w:after="0"/>
            </w:pPr>
            <w:r/>
            <w:r>
              <w:rPr>
                <w:rFonts w:ascii="Arial" w:hAnsi="Arial"/>
                <w:b w:val="0"/>
                <w:sz w:val="18"/>
              </w:rPr>
              <w:t>Why the output was produced and which patient-specific inputs contributed.</w:t>
            </w:r>
          </w:p>
        </w:tc>
      </w:tr>
      <w:tr>
        <w:tc>
          <w:tcPr>
            <w:tcW w:type="dxa" w:w="4939"/>
            <w:vAlign w:val="top"/>
          </w:tcPr>
          <w:p>
            <w:pPr>
              <w:spacing w:after="0"/>
            </w:pPr>
            <w:r/>
            <w:r>
              <w:rPr>
                <w:rFonts w:ascii="Arial" w:hAnsi="Arial"/>
                <w:b w:val="0"/>
                <w:sz w:val="18"/>
              </w:rPr>
              <w:t>Confidence description</w:t>
            </w:r>
          </w:p>
        </w:tc>
        <w:tc>
          <w:tcPr>
            <w:tcW w:type="dxa" w:w="4939"/>
            <w:vAlign w:val="top"/>
          </w:tcPr>
          <w:p>
            <w:pPr>
              <w:spacing w:after="0"/>
            </w:pPr>
            <w:r/>
            <w:r>
              <w:rPr>
                <w:rFonts w:ascii="Arial" w:hAnsi="Arial"/>
                <w:b w:val="0"/>
                <w:sz w:val="18"/>
              </w:rPr>
              <w:t>Reliability of the evidence package, not probability of disease.</w:t>
            </w:r>
          </w:p>
        </w:tc>
      </w:tr>
      <w:tr>
        <w:tc>
          <w:tcPr>
            <w:tcW w:type="dxa" w:w="4939"/>
            <w:vAlign w:val="top"/>
          </w:tcPr>
          <w:p>
            <w:pPr>
              <w:spacing w:after="0"/>
            </w:pPr>
            <w:r/>
            <w:r>
              <w:rPr>
                <w:rFonts w:ascii="Arial" w:hAnsi="Arial"/>
                <w:b w:val="0"/>
                <w:sz w:val="18"/>
              </w:rPr>
              <w:t>Referral support</w:t>
            </w:r>
          </w:p>
        </w:tc>
        <w:tc>
          <w:tcPr>
            <w:tcW w:type="dxa" w:w="4939"/>
            <w:vAlign w:val="top"/>
          </w:tcPr>
          <w:p>
            <w:pPr>
              <w:spacing w:after="0"/>
            </w:pPr>
            <w:r/>
            <w:r>
              <w:rPr>
                <w:rFonts w:ascii="Arial" w:hAnsi="Arial"/>
                <w:b w:val="0"/>
                <w:sz w:val="18"/>
              </w:rPr>
              <w:t>Referral recommendation, reason, priority, and documentation workflow.</w:t>
            </w:r>
          </w:p>
        </w:tc>
      </w:tr>
      <w:tr>
        <w:tc>
          <w:tcPr>
            <w:tcW w:type="dxa" w:w="4939"/>
            <w:vAlign w:val="top"/>
          </w:tcPr>
          <w:p>
            <w:pPr>
              <w:spacing w:after="0"/>
            </w:pPr>
            <w:r/>
            <w:r>
              <w:rPr>
                <w:rFonts w:ascii="Arial" w:hAnsi="Arial"/>
                <w:b w:val="0"/>
                <w:sz w:val="18"/>
              </w:rPr>
              <w:t>Knowledge version</w:t>
            </w:r>
          </w:p>
        </w:tc>
        <w:tc>
          <w:tcPr>
            <w:tcW w:type="dxa" w:w="4939"/>
            <w:vAlign w:val="top"/>
          </w:tcPr>
          <w:p>
            <w:pPr>
              <w:spacing w:after="0"/>
            </w:pPr>
            <w:r/>
            <w:r>
              <w:rPr>
                <w:rFonts w:ascii="Arial" w:hAnsi="Arial"/>
                <w:b w:val="0"/>
                <w:sz w:val="18"/>
              </w:rPr>
              <w:t>Rule-set or knowledge release used for the execution.</w:t>
            </w:r>
          </w:p>
        </w:tc>
      </w:tr>
      <w:tr>
        <w:tc>
          <w:tcPr>
            <w:tcW w:type="dxa" w:w="4939"/>
            <w:vAlign w:val="top"/>
          </w:tcPr>
          <w:p>
            <w:pPr>
              <w:spacing w:after="0"/>
            </w:pPr>
            <w:r/>
            <w:r>
              <w:rPr>
                <w:rFonts w:ascii="Arial" w:hAnsi="Arial"/>
                <w:b w:val="0"/>
                <w:sz w:val="18"/>
              </w:rPr>
              <w:t>Human actions</w:t>
            </w:r>
          </w:p>
        </w:tc>
        <w:tc>
          <w:tcPr>
            <w:tcW w:type="dxa" w:w="4939"/>
            <w:vAlign w:val="top"/>
          </w:tcPr>
          <w:p>
            <w:pPr>
              <w:spacing w:after="0"/>
            </w:pPr>
            <w:r/>
            <w:r>
              <w:rPr>
                <w:rFonts w:ascii="Arial" w:hAnsi="Arial"/>
                <w:b w:val="0"/>
                <w:sz w:val="18"/>
              </w:rPr>
              <w:t>Acknowledge, correct data, create referral, record refusal or override, and review history.</w:t>
            </w:r>
          </w:p>
        </w:tc>
      </w:tr>
    </w:tbl>
    <w:p/>
    <w:p>
      <w:pPr>
        <w:pStyle w:val="Heading1"/>
      </w:pPr>
      <w:r>
        <w:t>8.0 Final State Logic for the Current Capstone Scope</w:t>
      </w:r>
    </w:p>
    <w:p>
      <w:r>
        <w:t>The current capstone has three primary assessment outcomes: HIGH, LOW, and ASSESSMENT INCOMPLETE. Emergency priority is a workflow override rather than a replacement for the evidence record. The following ordering prevents false reassurance and preserves known high-risk findings.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shd w:fill="D9EAF7"/>
            <w:vAlign w:val="center"/>
          </w:tcPr>
          <w:p>
            <w:pPr>
              <w:spacing w:after="0"/>
            </w:pPr>
            <w:r/>
            <w:r>
              <w:rPr>
                <w:rFonts w:ascii="Arial" w:hAnsi="Arial"/>
                <w:b/>
                <w:sz w:val="18"/>
              </w:rPr>
              <w:t>Priority order</w:t>
            </w:r>
          </w:p>
        </w:tc>
        <w:tc>
          <w:tcPr>
            <w:tcW w:type="dxa" w:w="3293"/>
            <w:shd w:fill="D9EAF7"/>
            <w:vAlign w:val="center"/>
          </w:tcPr>
          <w:p>
            <w:pPr>
              <w:spacing w:after="0"/>
            </w:pPr>
            <w:r/>
            <w:r>
              <w:rPr>
                <w:rFonts w:ascii="Arial" w:hAnsi="Arial"/>
                <w:b/>
                <w:sz w:val="18"/>
              </w:rPr>
              <w:t>Condition</w:t>
            </w:r>
          </w:p>
        </w:tc>
        <w:tc>
          <w:tcPr>
            <w:tcW w:type="dxa" w:w="3293"/>
            <w:shd w:fill="D9EAF7"/>
            <w:vAlign w:val="center"/>
          </w:tcPr>
          <w:p>
            <w:pPr>
              <w:spacing w:after="0"/>
            </w:pPr>
            <w:r/>
            <w:r>
              <w:rPr>
                <w:rFonts w:ascii="Arial" w:hAnsi="Arial"/>
                <w:b/>
                <w:sz w:val="18"/>
              </w:rPr>
              <w:t>System behavior</w:t>
            </w:r>
          </w:p>
        </w:tc>
      </w:tr>
      <w:tr>
        <w:tc>
          <w:tcPr>
            <w:tcW w:type="dxa" w:w="3293"/>
            <w:vAlign w:val="top"/>
          </w:tcPr>
          <w:p>
            <w:pPr>
              <w:spacing w:after="0"/>
            </w:pPr>
            <w:r/>
            <w:r>
              <w:rPr>
                <w:rFonts w:ascii="Arial" w:hAnsi="Arial"/>
                <w:b w:val="0"/>
                <w:sz w:val="18"/>
              </w:rPr>
              <w:t>1</w:t>
            </w:r>
          </w:p>
        </w:tc>
        <w:tc>
          <w:tcPr>
            <w:tcW w:type="dxa" w:w="3293"/>
            <w:vAlign w:val="top"/>
          </w:tcPr>
          <w:p>
            <w:pPr>
              <w:spacing w:after="0"/>
            </w:pPr>
            <w:r/>
            <w:r>
              <w:rPr>
                <w:rFonts w:ascii="Arial" w:hAnsi="Arial"/>
                <w:b w:val="0"/>
                <w:sz w:val="18"/>
              </w:rPr>
              <w:t>A predefined emergency indicator is present.</w:t>
            </w:r>
          </w:p>
        </w:tc>
        <w:tc>
          <w:tcPr>
            <w:tcW w:type="dxa" w:w="3293"/>
            <w:vAlign w:val="top"/>
          </w:tcPr>
          <w:p>
            <w:pPr>
              <w:spacing w:after="0"/>
            </w:pPr>
            <w:r/>
            <w:r>
              <w:rPr>
                <w:rFonts w:ascii="Arial" w:hAnsi="Arial"/>
                <w:b w:val="0"/>
                <w:sz w:val="18"/>
              </w:rPr>
              <w:t>Interrupt routine ordering, display emergency-priority guidance, preserve all contributing findings, and support immediate escalation or referral.</w:t>
            </w:r>
          </w:p>
        </w:tc>
      </w:tr>
      <w:tr>
        <w:tc>
          <w:tcPr>
            <w:tcW w:type="dxa" w:w="3293"/>
            <w:vAlign w:val="top"/>
          </w:tcPr>
          <w:p>
            <w:pPr>
              <w:spacing w:after="0"/>
            </w:pPr>
            <w:r/>
            <w:r>
              <w:rPr>
                <w:rFonts w:ascii="Arial" w:hAnsi="Arial"/>
                <w:b w:val="0"/>
                <w:sz w:val="18"/>
              </w:rPr>
              <w:t>2</w:t>
            </w:r>
          </w:p>
        </w:tc>
        <w:tc>
          <w:tcPr>
            <w:tcW w:type="dxa" w:w="3293"/>
            <w:vAlign w:val="top"/>
          </w:tcPr>
          <w:p>
            <w:pPr>
              <w:spacing w:after="0"/>
            </w:pPr>
            <w:r/>
            <w:r>
              <w:rPr>
                <w:rFonts w:ascii="Arial" w:hAnsi="Arial"/>
                <w:b w:val="0"/>
                <w:sz w:val="18"/>
              </w:rPr>
              <w:t>Required assessment records or critical values are missing, invalid, or unusable.</w:t>
            </w:r>
          </w:p>
        </w:tc>
        <w:tc>
          <w:tcPr>
            <w:tcW w:type="dxa" w:w="3293"/>
            <w:vAlign w:val="top"/>
          </w:tcPr>
          <w:p>
            <w:pPr>
              <w:spacing w:after="0"/>
            </w:pPr>
            <w:r/>
            <w:r>
              <w:rPr>
                <w:rFonts w:ascii="Arial" w:hAnsi="Arial"/>
                <w:b w:val="0"/>
                <w:sz w:val="18"/>
              </w:rPr>
              <w:t>Return ASSESSMENT INCOMPLETE unless an available emergency or independently sufficient high-risk rule requires escalation.</w:t>
            </w:r>
          </w:p>
        </w:tc>
      </w:tr>
      <w:tr>
        <w:tc>
          <w:tcPr>
            <w:tcW w:type="dxa" w:w="3293"/>
            <w:vAlign w:val="top"/>
          </w:tcPr>
          <w:p>
            <w:pPr>
              <w:spacing w:after="0"/>
            </w:pPr>
            <w:r/>
            <w:r>
              <w:rPr>
                <w:rFonts w:ascii="Arial" w:hAnsi="Arial"/>
                <w:b w:val="0"/>
                <w:sz w:val="18"/>
              </w:rPr>
              <w:t>3</w:t>
            </w:r>
          </w:p>
        </w:tc>
        <w:tc>
          <w:tcPr>
            <w:tcW w:type="dxa" w:w="3293"/>
            <w:vAlign w:val="top"/>
          </w:tcPr>
          <w:p>
            <w:pPr>
              <w:spacing w:after="0"/>
            </w:pPr>
            <w:r/>
            <w:r>
              <w:rPr>
                <w:rFonts w:ascii="Arial" w:hAnsi="Arial"/>
                <w:b w:val="0"/>
                <w:sz w:val="18"/>
              </w:rPr>
              <w:t>One or more approved rule-based high-risk factors are present.</w:t>
            </w:r>
          </w:p>
        </w:tc>
        <w:tc>
          <w:tcPr>
            <w:tcW w:type="dxa" w:w="3293"/>
            <w:vAlign w:val="top"/>
          </w:tcPr>
          <w:p>
            <w:pPr>
              <w:spacing w:after="0"/>
            </w:pPr>
            <w:r/>
            <w:r>
              <w:rPr>
                <w:rFonts w:ascii="Arial" w:hAnsi="Arial"/>
                <w:b w:val="0"/>
                <w:sz w:val="18"/>
              </w:rPr>
              <w:t>Return HIGH regardless of a lower machine-learning output.</w:t>
            </w:r>
          </w:p>
        </w:tc>
      </w:tr>
      <w:tr>
        <w:tc>
          <w:tcPr>
            <w:tcW w:type="dxa" w:w="3293"/>
            <w:vAlign w:val="top"/>
          </w:tcPr>
          <w:p>
            <w:pPr>
              <w:spacing w:after="0"/>
            </w:pPr>
            <w:r/>
            <w:r>
              <w:rPr>
                <w:rFonts w:ascii="Arial" w:hAnsi="Arial"/>
                <w:b w:val="0"/>
                <w:sz w:val="18"/>
              </w:rPr>
              <w:t>4</w:t>
            </w:r>
          </w:p>
        </w:tc>
        <w:tc>
          <w:tcPr>
            <w:tcW w:type="dxa" w:w="3293"/>
            <w:vAlign w:val="top"/>
          </w:tcPr>
          <w:p>
            <w:pPr>
              <w:spacing w:after="0"/>
            </w:pPr>
            <w:r/>
            <w:r>
              <w:rPr>
                <w:rFonts w:ascii="Arial" w:hAnsi="Arial"/>
                <w:b w:val="0"/>
                <w:sz w:val="18"/>
              </w:rPr>
              <w:t>Machine-learning output is valid HIGH and no rule invalidates the execution.</w:t>
            </w:r>
          </w:p>
        </w:tc>
        <w:tc>
          <w:tcPr>
            <w:tcW w:type="dxa" w:w="3293"/>
            <w:vAlign w:val="top"/>
          </w:tcPr>
          <w:p>
            <w:pPr>
              <w:spacing w:after="0"/>
            </w:pPr>
            <w:r/>
            <w:r>
              <w:rPr>
                <w:rFonts w:ascii="Arial" w:hAnsi="Arial"/>
                <w:b w:val="0"/>
                <w:sz w:val="18"/>
              </w:rPr>
              <w:t>Return HIGH with the ML contribution identified separately.</w:t>
            </w:r>
          </w:p>
        </w:tc>
      </w:tr>
      <w:tr>
        <w:tc>
          <w:tcPr>
            <w:tcW w:type="dxa" w:w="3293"/>
            <w:vAlign w:val="top"/>
          </w:tcPr>
          <w:p>
            <w:pPr>
              <w:spacing w:after="0"/>
            </w:pPr>
            <w:r/>
            <w:r>
              <w:rPr>
                <w:rFonts w:ascii="Arial" w:hAnsi="Arial"/>
                <w:b w:val="0"/>
                <w:sz w:val="18"/>
              </w:rPr>
              <w:t>5</w:t>
            </w:r>
          </w:p>
        </w:tc>
        <w:tc>
          <w:tcPr>
            <w:tcW w:type="dxa" w:w="3293"/>
            <w:vAlign w:val="top"/>
          </w:tcPr>
          <w:p>
            <w:pPr>
              <w:spacing w:after="0"/>
            </w:pPr>
            <w:r/>
            <w:r>
              <w:rPr>
                <w:rFonts w:ascii="Arial" w:hAnsi="Arial"/>
                <w:b w:val="0"/>
                <w:sz w:val="18"/>
              </w:rPr>
              <w:t>All required records are available, no high-risk rule is present, and valid ML output is LOW.</w:t>
            </w:r>
          </w:p>
        </w:tc>
        <w:tc>
          <w:tcPr>
            <w:tcW w:type="dxa" w:w="3293"/>
            <w:vAlign w:val="top"/>
          </w:tcPr>
          <w:p>
            <w:pPr>
              <w:spacing w:after="0"/>
            </w:pPr>
            <w:r/>
            <w:r>
              <w:rPr>
                <w:rFonts w:ascii="Arial" w:hAnsi="Arial"/>
                <w:b w:val="0"/>
                <w:sz w:val="18"/>
              </w:rPr>
              <w:t>Return LOW with limitations and evidence summary.</w:t>
            </w:r>
          </w:p>
        </w:tc>
      </w:tr>
      <w:tr>
        <w:tc>
          <w:tcPr>
            <w:tcW w:type="dxa" w:w="3293"/>
            <w:vAlign w:val="top"/>
          </w:tcPr>
          <w:p>
            <w:pPr>
              <w:spacing w:after="0"/>
            </w:pPr>
            <w:r/>
            <w:r>
              <w:rPr>
                <w:rFonts w:ascii="Arial" w:hAnsi="Arial"/>
                <w:b w:val="0"/>
                <w:sz w:val="18"/>
              </w:rPr>
              <w:t>6</w:t>
            </w:r>
          </w:p>
        </w:tc>
        <w:tc>
          <w:tcPr>
            <w:tcW w:type="dxa" w:w="3293"/>
            <w:vAlign w:val="top"/>
          </w:tcPr>
          <w:p>
            <w:pPr>
              <w:spacing w:after="0"/>
            </w:pPr>
            <w:r/>
            <w:r>
              <w:rPr>
                <w:rFonts w:ascii="Arial" w:hAnsi="Arial"/>
                <w:b w:val="0"/>
                <w:sz w:val="18"/>
              </w:rPr>
              <w:t>Machine-learning output is unavailable, malformed, unsupported, or error-like.</w:t>
            </w:r>
          </w:p>
        </w:tc>
        <w:tc>
          <w:tcPr>
            <w:tcW w:type="dxa" w:w="3293"/>
            <w:vAlign w:val="top"/>
          </w:tcPr>
          <w:p>
            <w:pPr>
              <w:spacing w:after="0"/>
            </w:pPr>
            <w:r/>
            <w:r>
              <w:rPr>
                <w:rFonts w:ascii="Arial" w:hAnsi="Arial"/>
                <w:b w:val="0"/>
                <w:sz w:val="18"/>
              </w:rPr>
              <w:t>Return ASSESSMENT INCOMPLETE unless rule-based evidence already requires HIGH or emergency escalation.</w:t>
            </w:r>
          </w:p>
        </w:tc>
      </w:tr>
    </w:tbl>
    <w:p/>
    <w:p>
      <w:r>
        <w:t>This ordering means missing information cannot erase a known danger. For example, a clearly severe blood-pressure finding may require escalation even when the birth plan or another routine record is incomplete. Conversely, missing required information prevents a routine LOW conclusion.</w:t>
      </w:r>
    </w:p>
    <w:p>
      <w:pPr>
        <w:pStyle w:val="Heading1"/>
      </w:pPr>
      <w:r>
        <w:t>9.0 Rule-Based Safety Core</w:t>
      </w:r>
    </w:p>
    <w:p>
      <w:r>
        <w:t>The rule-based core remains the clinically authoritative safety mechanism for the defined project scope. Each factor must have a stable rule identifier, exact input requirements, normalized values, threshold logic, exclusions, priority, recommendation mapping, explanation template, evidence reference, version, and test cases.</w:t>
      </w:r>
    </w:p>
    <w:tbl>
      <w:tblPr>
        <w:tblStyle w:val="TableGrid"/>
        <w:tblW w:type="auto" w:w="0"/>
        <w:jc w:val="center"/>
        <w:tblLayout w:type="autofit"/>
        <w:tblLook w:firstColumn="1" w:firstRow="1" w:lastColumn="0" w:lastRow="0" w:noHBand="0" w:noVBand="1" w:val="04A0"/>
      </w:tblPr>
      <w:tblGrid>
        <w:gridCol w:w="3293"/>
        <w:gridCol w:w="3293"/>
        <w:gridCol w:w="3293"/>
      </w:tblGrid>
      <w:tr>
        <w:tc>
          <w:tcPr>
            <w:tcW w:type="dxa" w:w="3293"/>
            <w:shd w:fill="D9EAF7"/>
            <w:vAlign w:val="center"/>
          </w:tcPr>
          <w:p>
            <w:pPr>
              <w:spacing w:after="0"/>
            </w:pPr>
            <w:r/>
            <w:r>
              <w:rPr>
                <w:rFonts w:ascii="Arial" w:hAnsi="Arial"/>
                <w:b/>
                <w:sz w:val="18"/>
              </w:rPr>
              <w:t>Current rule domain</w:t>
            </w:r>
          </w:p>
        </w:tc>
        <w:tc>
          <w:tcPr>
            <w:tcW w:type="dxa" w:w="3293"/>
            <w:shd w:fill="D9EAF7"/>
            <w:vAlign w:val="center"/>
          </w:tcPr>
          <w:p>
            <w:pPr>
              <w:spacing w:after="0"/>
            </w:pPr>
            <w:r/>
            <w:r>
              <w:rPr>
                <w:rFonts w:ascii="Arial" w:hAnsi="Arial"/>
                <w:b/>
                <w:sz w:val="18"/>
              </w:rPr>
              <w:t>Current project condition</w:t>
            </w:r>
          </w:p>
        </w:tc>
        <w:tc>
          <w:tcPr>
            <w:tcW w:type="dxa" w:w="3293"/>
            <w:shd w:fill="D9EAF7"/>
            <w:vAlign w:val="center"/>
          </w:tcPr>
          <w:p>
            <w:pPr>
              <w:spacing w:after="0"/>
            </w:pPr>
            <w:r/>
            <w:r>
              <w:rPr>
                <w:rFonts w:ascii="Arial" w:hAnsi="Arial"/>
                <w:b/>
                <w:sz w:val="18"/>
              </w:rPr>
              <w:t>Architectural treatment</w:t>
            </w:r>
          </w:p>
        </w:tc>
      </w:tr>
      <w:tr>
        <w:tc>
          <w:tcPr>
            <w:tcW w:type="dxa" w:w="3293"/>
            <w:vAlign w:val="top"/>
          </w:tcPr>
          <w:p>
            <w:pPr>
              <w:spacing w:after="0"/>
            </w:pPr>
            <w:r/>
            <w:r>
              <w:rPr>
                <w:rFonts w:ascii="Arial" w:hAnsi="Arial"/>
                <w:b w:val="0"/>
                <w:sz w:val="18"/>
              </w:rPr>
              <w:t>Maternal age</w:t>
            </w:r>
          </w:p>
        </w:tc>
        <w:tc>
          <w:tcPr>
            <w:tcW w:type="dxa" w:w="3293"/>
            <w:vAlign w:val="top"/>
          </w:tcPr>
          <w:p>
            <w:pPr>
              <w:spacing w:after="0"/>
            </w:pPr>
            <w:r/>
            <w:r>
              <w:rPr>
                <w:rFonts w:ascii="Arial" w:hAnsi="Arial"/>
                <w:b w:val="0"/>
                <w:sz w:val="18"/>
              </w:rPr>
              <w:t>Age below 19; age 35 or above with first pregnancy.</w:t>
            </w:r>
          </w:p>
        </w:tc>
        <w:tc>
          <w:tcPr>
            <w:tcW w:type="dxa" w:w="3293"/>
            <w:vAlign w:val="top"/>
          </w:tcPr>
          <w:p>
            <w:pPr>
              <w:spacing w:after="0"/>
            </w:pPr>
            <w:r/>
            <w:r>
              <w:rPr>
                <w:rFonts w:ascii="Arial" w:hAnsi="Arial"/>
                <w:b w:val="0"/>
                <w:sz w:val="18"/>
              </w:rPr>
              <w:t>Deterministic HIGH rule with patient-specific explanation.</w:t>
            </w:r>
          </w:p>
        </w:tc>
      </w:tr>
      <w:tr>
        <w:tc>
          <w:tcPr>
            <w:tcW w:type="dxa" w:w="3293"/>
            <w:vAlign w:val="top"/>
          </w:tcPr>
          <w:p>
            <w:pPr>
              <w:spacing w:after="0"/>
            </w:pPr>
            <w:r/>
            <w:r>
              <w:rPr>
                <w:rFonts w:ascii="Arial" w:hAnsi="Arial"/>
                <w:b w:val="0"/>
                <w:sz w:val="18"/>
              </w:rPr>
              <w:t>Blood pressure</w:t>
            </w:r>
          </w:p>
        </w:tc>
        <w:tc>
          <w:tcPr>
            <w:tcW w:type="dxa" w:w="3293"/>
            <w:vAlign w:val="top"/>
          </w:tcPr>
          <w:p>
            <w:pPr>
              <w:spacing w:after="0"/>
            </w:pPr>
            <w:r/>
            <w:r>
              <w:rPr>
                <w:rFonts w:ascii="Arial" w:hAnsi="Arial"/>
                <w:b w:val="0"/>
                <w:sz w:val="18"/>
              </w:rPr>
              <w:t>At least 140/90; at least 160/110 treated as urgent.</w:t>
            </w:r>
          </w:p>
        </w:tc>
        <w:tc>
          <w:tcPr>
            <w:tcW w:type="dxa" w:w="3293"/>
            <w:vAlign w:val="top"/>
          </w:tcPr>
          <w:p>
            <w:pPr>
              <w:spacing w:after="0"/>
            </w:pPr>
            <w:r/>
            <w:r>
              <w:rPr>
                <w:rFonts w:ascii="Arial" w:hAnsi="Arial"/>
                <w:b w:val="0"/>
                <w:sz w:val="18"/>
              </w:rPr>
              <w:t>HIGH rule; severe threshold triggers emergency or urgent escalation pathway according to approved policy.</w:t>
            </w:r>
          </w:p>
        </w:tc>
      </w:tr>
      <w:tr>
        <w:tc>
          <w:tcPr>
            <w:tcW w:type="dxa" w:w="3293"/>
            <w:vAlign w:val="top"/>
          </w:tcPr>
          <w:p>
            <w:pPr>
              <w:spacing w:after="0"/>
            </w:pPr>
            <w:r/>
            <w:r>
              <w:rPr>
                <w:rFonts w:ascii="Arial" w:hAnsi="Arial"/>
                <w:b w:val="0"/>
                <w:sz w:val="18"/>
              </w:rPr>
              <w:t>Maternal conditions</w:t>
            </w:r>
          </w:p>
        </w:tc>
        <w:tc>
          <w:tcPr>
            <w:tcW w:type="dxa" w:w="3293"/>
            <w:vAlign w:val="top"/>
          </w:tcPr>
          <w:p>
            <w:pPr>
              <w:spacing w:after="0"/>
            </w:pPr>
            <w:r/>
            <w:r>
              <w:rPr>
                <w:rFonts w:ascii="Arial" w:hAnsi="Arial"/>
                <w:b w:val="0"/>
                <w:sz w:val="18"/>
              </w:rPr>
              <w:t>Diabetes or anemia recorded.</w:t>
            </w:r>
          </w:p>
        </w:tc>
        <w:tc>
          <w:tcPr>
            <w:tcW w:type="dxa" w:w="3293"/>
            <w:vAlign w:val="top"/>
          </w:tcPr>
          <w:p>
            <w:pPr>
              <w:spacing w:after="0"/>
            </w:pPr>
            <w:r/>
            <w:r>
              <w:rPr>
                <w:rFonts w:ascii="Arial" w:hAnsi="Arial"/>
                <w:b w:val="0"/>
                <w:sz w:val="18"/>
              </w:rPr>
              <w:t>HIGH rule linked to verified medical-history data.</w:t>
            </w:r>
          </w:p>
        </w:tc>
      </w:tr>
      <w:tr>
        <w:tc>
          <w:tcPr>
            <w:tcW w:type="dxa" w:w="3293"/>
            <w:vAlign w:val="top"/>
          </w:tcPr>
          <w:p>
            <w:pPr>
              <w:spacing w:after="0"/>
            </w:pPr>
            <w:r/>
            <w:r>
              <w:rPr>
                <w:rFonts w:ascii="Arial" w:hAnsi="Arial"/>
                <w:b w:val="0"/>
                <w:sz w:val="18"/>
              </w:rPr>
              <w:t>Obstetric history</w:t>
            </w:r>
          </w:p>
        </w:tc>
        <w:tc>
          <w:tcPr>
            <w:tcW w:type="dxa" w:w="3293"/>
            <w:vAlign w:val="top"/>
          </w:tcPr>
          <w:p>
            <w:pPr>
              <w:spacing w:after="0"/>
            </w:pPr>
            <w:r/>
            <w:r>
              <w:rPr>
                <w:rFonts w:ascii="Arial" w:hAnsi="Arial"/>
                <w:b w:val="0"/>
                <w:sz w:val="18"/>
              </w:rPr>
              <w:t>Previous caesarean section; three or more miscarriages.</w:t>
            </w:r>
          </w:p>
        </w:tc>
        <w:tc>
          <w:tcPr>
            <w:tcW w:type="dxa" w:w="3293"/>
            <w:vAlign w:val="top"/>
          </w:tcPr>
          <w:p>
            <w:pPr>
              <w:spacing w:after="0"/>
            </w:pPr>
            <w:r/>
            <w:r>
              <w:rPr>
                <w:rFonts w:ascii="Arial" w:hAnsi="Arial"/>
                <w:b w:val="0"/>
                <w:sz w:val="18"/>
              </w:rPr>
              <w:t>HIGH rule with referral-oriented recommendation.</w:t>
            </w:r>
          </w:p>
        </w:tc>
      </w:tr>
      <w:tr>
        <w:tc>
          <w:tcPr>
            <w:tcW w:type="dxa" w:w="3293"/>
            <w:vAlign w:val="top"/>
          </w:tcPr>
          <w:p>
            <w:pPr>
              <w:spacing w:after="0"/>
            </w:pPr>
            <w:r/>
            <w:r>
              <w:rPr>
                <w:rFonts w:ascii="Arial" w:hAnsi="Arial"/>
                <w:b w:val="0"/>
                <w:sz w:val="18"/>
              </w:rPr>
              <w:t>Fetal presentation</w:t>
            </w:r>
          </w:p>
        </w:tc>
        <w:tc>
          <w:tcPr>
            <w:tcW w:type="dxa" w:w="3293"/>
            <w:vAlign w:val="top"/>
          </w:tcPr>
          <w:p>
            <w:pPr>
              <w:spacing w:after="0"/>
            </w:pPr>
            <w:r/>
            <w:r>
              <w:rPr>
                <w:rFonts w:ascii="Arial" w:hAnsi="Arial"/>
                <w:b w:val="0"/>
                <w:sz w:val="18"/>
              </w:rPr>
              <w:t>Breech, transverse, or oblique.</w:t>
            </w:r>
          </w:p>
        </w:tc>
        <w:tc>
          <w:tcPr>
            <w:tcW w:type="dxa" w:w="3293"/>
            <w:vAlign w:val="top"/>
          </w:tcPr>
          <w:p>
            <w:pPr>
              <w:spacing w:after="0"/>
            </w:pPr>
            <w:r/>
            <w:r>
              <w:rPr>
                <w:rFonts w:ascii="Arial" w:hAnsi="Arial"/>
                <w:b w:val="0"/>
                <w:sz w:val="18"/>
              </w:rPr>
              <w:t>HIGH rule based on structured ultrasound record; ultrasound image interpretation remains outside scope.</w:t>
            </w:r>
          </w:p>
        </w:tc>
      </w:tr>
      <w:tr>
        <w:tc>
          <w:tcPr>
            <w:tcW w:type="dxa" w:w="3293"/>
            <w:vAlign w:val="top"/>
          </w:tcPr>
          <w:p>
            <w:pPr>
              <w:spacing w:after="0"/>
            </w:pPr>
            <w:r/>
            <w:r>
              <w:rPr>
                <w:rFonts w:ascii="Arial" w:hAnsi="Arial"/>
                <w:b w:val="0"/>
                <w:sz w:val="18"/>
              </w:rPr>
              <w:t>Amniotic fluid</w:t>
            </w:r>
          </w:p>
        </w:tc>
        <w:tc>
          <w:tcPr>
            <w:tcW w:type="dxa" w:w="3293"/>
            <w:vAlign w:val="top"/>
          </w:tcPr>
          <w:p>
            <w:pPr>
              <w:spacing w:after="0"/>
            </w:pPr>
            <w:r/>
            <w:r>
              <w:rPr>
                <w:rFonts w:ascii="Arial" w:hAnsi="Arial"/>
                <w:b w:val="0"/>
                <w:sz w:val="18"/>
              </w:rPr>
              <w:t>Low or high.</w:t>
            </w:r>
          </w:p>
        </w:tc>
        <w:tc>
          <w:tcPr>
            <w:tcW w:type="dxa" w:w="3293"/>
            <w:vAlign w:val="top"/>
          </w:tcPr>
          <w:p>
            <w:pPr>
              <w:spacing w:after="0"/>
            </w:pPr>
            <w:r/>
            <w:r>
              <w:rPr>
                <w:rFonts w:ascii="Arial" w:hAnsi="Arial"/>
                <w:b w:val="0"/>
                <w:sz w:val="18"/>
              </w:rPr>
              <w:t>HIGH rule based on recorded clinical interpretation, not system image analysis.</w:t>
            </w:r>
          </w:p>
        </w:tc>
      </w:tr>
      <w:tr>
        <w:tc>
          <w:tcPr>
            <w:tcW w:type="dxa" w:w="3293"/>
            <w:vAlign w:val="top"/>
          </w:tcPr>
          <w:p>
            <w:pPr>
              <w:spacing w:after="0"/>
            </w:pPr>
            <w:r/>
            <w:r>
              <w:rPr>
                <w:rFonts w:ascii="Arial" w:hAnsi="Arial"/>
                <w:b w:val="0"/>
                <w:sz w:val="18"/>
              </w:rPr>
              <w:t>Fetal heartbeat</w:t>
            </w:r>
          </w:p>
        </w:tc>
        <w:tc>
          <w:tcPr>
            <w:tcW w:type="dxa" w:w="3293"/>
            <w:vAlign w:val="top"/>
          </w:tcPr>
          <w:p>
            <w:pPr>
              <w:spacing w:after="0"/>
            </w:pPr>
            <w:r/>
            <w:r>
              <w:rPr>
                <w:rFonts w:ascii="Arial" w:hAnsi="Arial"/>
                <w:b w:val="0"/>
                <w:sz w:val="18"/>
              </w:rPr>
              <w:t>Weak, abnormal, or absent.</w:t>
            </w:r>
          </w:p>
        </w:tc>
        <w:tc>
          <w:tcPr>
            <w:tcW w:type="dxa" w:w="3293"/>
            <w:vAlign w:val="top"/>
          </w:tcPr>
          <w:p>
            <w:pPr>
              <w:spacing w:after="0"/>
            </w:pPr>
            <w:r/>
            <w:r>
              <w:rPr>
                <w:rFonts w:ascii="Arial" w:hAnsi="Arial"/>
                <w:b w:val="0"/>
                <w:sz w:val="18"/>
              </w:rPr>
              <w:t>HIGH or emergency-priority rule depending on approved wording and clinical review.</w:t>
            </w:r>
          </w:p>
        </w:tc>
      </w:tr>
      <w:tr>
        <w:tc>
          <w:tcPr>
            <w:tcW w:type="dxa" w:w="3293"/>
            <w:vAlign w:val="top"/>
          </w:tcPr>
          <w:p>
            <w:pPr>
              <w:spacing w:after="0"/>
            </w:pPr>
            <w:r/>
            <w:r>
              <w:rPr>
                <w:rFonts w:ascii="Arial" w:hAnsi="Arial"/>
                <w:b w:val="0"/>
                <w:sz w:val="18"/>
              </w:rPr>
              <w:t>Machine-learning contribution</w:t>
            </w:r>
          </w:p>
        </w:tc>
        <w:tc>
          <w:tcPr>
            <w:tcW w:type="dxa" w:w="3293"/>
            <w:vAlign w:val="top"/>
          </w:tcPr>
          <w:p>
            <w:pPr>
              <w:spacing w:after="0"/>
            </w:pPr>
            <w:r/>
            <w:r>
              <w:rPr>
                <w:rFonts w:ascii="Arial" w:hAnsi="Arial"/>
                <w:b w:val="0"/>
                <w:sz w:val="18"/>
              </w:rPr>
              <w:t>Valid HIGH or LOW only.</w:t>
            </w:r>
          </w:p>
        </w:tc>
        <w:tc>
          <w:tcPr>
            <w:tcW w:type="dxa" w:w="3293"/>
            <w:vAlign w:val="top"/>
          </w:tcPr>
          <w:p>
            <w:pPr>
              <w:spacing w:after="0"/>
            </w:pPr>
            <w:r/>
            <w:r>
              <w:rPr>
                <w:rFonts w:ascii="Arial" w:hAnsi="Arial"/>
                <w:b w:val="0"/>
                <w:sz w:val="18"/>
              </w:rPr>
              <w:t>Supporting result; cannot override rule-based HIGH or rescue incomplete data.</w:t>
            </w:r>
          </w:p>
        </w:tc>
      </w:tr>
    </w:tbl>
    <w:p/>
    <w:p>
      <w:r>
        <w:t>Thresholds and wording in this architecture represent the currently documented capstone logic. Before real clinical deployment, qualified maternal-health reviewers must verify every rule, source, threshold, urgency classification, and local referral pathway.</w:t>
      </w:r>
    </w:p>
    <w:p>
      <w:pPr>
        <w:pStyle w:val="Heading1"/>
      </w:pPr>
      <w:r>
        <w:t>10.0 Ultrasound Boundary</w:t>
      </w:r>
    </w:p>
    <w:p>
      <w:r>
        <w:t>The architecture deliberately separates ultrasound record use from ultrasound image interpretation. The system may store and reason over structured findings already entered or confirmed by an authorized healthcare professional, such as presentation, amniotic-fluid status, and fetal-heartbeat description. It shall not analyze raw ultrasound images, infer anatomy, estimate gestational age from images, or diagnose fetal conditions.</w:t>
      </w:r>
    </w:p>
    <w:p>
      <w:pPr>
        <w:pStyle w:val="ListBullet"/>
      </w:pPr>
      <w:r>
        <w:t>The ultrasound module is primarily a clinical record source.</w:t>
      </w:r>
    </w:p>
    <w:p>
      <w:pPr>
        <w:pStyle w:val="ListBullet"/>
      </w:pPr>
      <w:r>
        <w:t>The Decision Engine uses only approved structured fields.</w:t>
      </w:r>
    </w:p>
    <w:p>
      <w:pPr>
        <w:pStyle w:val="ListBullet"/>
      </w:pPr>
      <w:r>
        <w:t>Missing ultrasound data may contribute to ASSESSMENT INCOMPLETE where required by the assessment design.</w:t>
      </w:r>
    </w:p>
    <w:p>
      <w:pPr>
        <w:pStyle w:val="ListBullet"/>
      </w:pPr>
      <w:r>
        <w:t>An abnormal recorded ultrasound finding may trigger HIGH even if other records are incomplete.</w:t>
      </w:r>
    </w:p>
    <w:p>
      <w:pPr>
        <w:pStyle w:val="ListBullet"/>
      </w:pPr>
      <w:r>
        <w:t>Future image-analysis functionality would require a separate medical-device, validation, data-governance, and regulatory workstream.</w:t>
      </w:r>
    </w:p>
    <w:p>
      <w:pPr>
        <w:pStyle w:val="Heading1"/>
      </w:pPr>
      <w:r>
        <w:t>11.0 Human Oversight Architecture</w:t>
      </w:r>
    </w:p>
    <w:p>
      <w:r>
        <w:t>The system must support professional review rather than encourage blind acceptance. FDA clinical decision support principles emphasize that a healthcare professional should be able to independently review the basis of a recommendation, including intended use, required input information, the logic or method, relevant validation, and patient-specific knowns and unknowns. Although United States regulatory classification does not directly determine Philippine legal status, this principle is useful as a safety design standard.</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Human oversight control</w:t>
            </w:r>
          </w:p>
        </w:tc>
        <w:tc>
          <w:tcPr>
            <w:tcW w:type="dxa" w:w="4939"/>
            <w:shd w:fill="D9EAF7"/>
            <w:vAlign w:val="center"/>
          </w:tcPr>
          <w:p>
            <w:pPr>
              <w:spacing w:after="0"/>
            </w:pPr>
            <w:r/>
            <w:r>
              <w:rPr>
                <w:rFonts w:ascii="Arial" w:hAnsi="Arial"/>
                <w:b/>
                <w:sz w:val="18"/>
              </w:rPr>
              <w:t>Required implementation</w:t>
            </w:r>
          </w:p>
        </w:tc>
      </w:tr>
      <w:tr>
        <w:tc>
          <w:tcPr>
            <w:tcW w:type="dxa" w:w="4939"/>
            <w:vAlign w:val="top"/>
          </w:tcPr>
          <w:p>
            <w:pPr>
              <w:spacing w:after="0"/>
            </w:pPr>
            <w:r/>
            <w:r>
              <w:rPr>
                <w:rFonts w:ascii="Arial" w:hAnsi="Arial"/>
                <w:b w:val="0"/>
                <w:sz w:val="18"/>
              </w:rPr>
              <w:t>Basis visibility</w:t>
            </w:r>
          </w:p>
        </w:tc>
        <w:tc>
          <w:tcPr>
            <w:tcW w:type="dxa" w:w="4939"/>
            <w:vAlign w:val="top"/>
          </w:tcPr>
          <w:p>
            <w:pPr>
              <w:spacing w:after="0"/>
            </w:pPr>
            <w:r/>
            <w:r>
              <w:rPr>
                <w:rFonts w:ascii="Arial" w:hAnsi="Arial"/>
                <w:b w:val="0"/>
                <w:sz w:val="18"/>
              </w:rPr>
              <w:t>Show the specific factors and records used to produce the result.</w:t>
            </w:r>
          </w:p>
        </w:tc>
      </w:tr>
      <w:tr>
        <w:tc>
          <w:tcPr>
            <w:tcW w:type="dxa" w:w="4939"/>
            <w:vAlign w:val="top"/>
          </w:tcPr>
          <w:p>
            <w:pPr>
              <w:spacing w:after="0"/>
            </w:pPr>
            <w:r/>
            <w:r>
              <w:rPr>
                <w:rFonts w:ascii="Arial" w:hAnsi="Arial"/>
                <w:b w:val="0"/>
                <w:sz w:val="18"/>
              </w:rPr>
              <w:t>Knowns and unknowns</w:t>
            </w:r>
          </w:p>
        </w:tc>
        <w:tc>
          <w:tcPr>
            <w:tcW w:type="dxa" w:w="4939"/>
            <w:vAlign w:val="top"/>
          </w:tcPr>
          <w:p>
            <w:pPr>
              <w:spacing w:after="0"/>
            </w:pPr>
            <w:r/>
            <w:r>
              <w:rPr>
                <w:rFonts w:ascii="Arial" w:hAnsi="Arial"/>
                <w:b w:val="0"/>
                <w:sz w:val="18"/>
              </w:rPr>
              <w:t>Clearly separate present evidence from missing or uncertain information.</w:t>
            </w:r>
          </w:p>
        </w:tc>
      </w:tr>
      <w:tr>
        <w:tc>
          <w:tcPr>
            <w:tcW w:type="dxa" w:w="4939"/>
            <w:vAlign w:val="top"/>
          </w:tcPr>
          <w:p>
            <w:pPr>
              <w:spacing w:after="0"/>
            </w:pPr>
            <w:r/>
            <w:r>
              <w:rPr>
                <w:rFonts w:ascii="Arial" w:hAnsi="Arial"/>
                <w:b w:val="0"/>
                <w:sz w:val="18"/>
              </w:rPr>
              <w:t>No silent automation</w:t>
            </w:r>
          </w:p>
        </w:tc>
        <w:tc>
          <w:tcPr>
            <w:tcW w:type="dxa" w:w="4939"/>
            <w:vAlign w:val="top"/>
          </w:tcPr>
          <w:p>
            <w:pPr>
              <w:spacing w:after="0"/>
            </w:pPr>
            <w:r/>
            <w:r>
              <w:rPr>
                <w:rFonts w:ascii="Arial" w:hAnsi="Arial"/>
                <w:b w:val="0"/>
                <w:sz w:val="18"/>
              </w:rPr>
              <w:t>Do not automatically send a referral, diagnosis, or treatment instruction without authorized workflow and user review.</w:t>
            </w:r>
          </w:p>
        </w:tc>
      </w:tr>
      <w:tr>
        <w:tc>
          <w:tcPr>
            <w:tcW w:type="dxa" w:w="4939"/>
            <w:vAlign w:val="top"/>
          </w:tcPr>
          <w:p>
            <w:pPr>
              <w:spacing w:after="0"/>
            </w:pPr>
            <w:r/>
            <w:r>
              <w:rPr>
                <w:rFonts w:ascii="Arial" w:hAnsi="Arial"/>
                <w:b w:val="0"/>
                <w:sz w:val="18"/>
              </w:rPr>
              <w:t>Acknowledgement distinction</w:t>
            </w:r>
          </w:p>
        </w:tc>
        <w:tc>
          <w:tcPr>
            <w:tcW w:type="dxa" w:w="4939"/>
            <w:vAlign w:val="top"/>
          </w:tcPr>
          <w:p>
            <w:pPr>
              <w:spacing w:after="0"/>
            </w:pPr>
            <w:r/>
            <w:r>
              <w:rPr>
                <w:rFonts w:ascii="Arial" w:hAnsi="Arial"/>
                <w:b w:val="0"/>
                <w:sz w:val="18"/>
              </w:rPr>
              <w:t>Viewing, acknowledging, accepting, referring, and overriding are separate actions.</w:t>
            </w:r>
          </w:p>
        </w:tc>
      </w:tr>
      <w:tr>
        <w:tc>
          <w:tcPr>
            <w:tcW w:type="dxa" w:w="4939"/>
            <w:vAlign w:val="top"/>
          </w:tcPr>
          <w:p>
            <w:pPr>
              <w:spacing w:after="0"/>
            </w:pPr>
            <w:r/>
            <w:r>
              <w:rPr>
                <w:rFonts w:ascii="Arial" w:hAnsi="Arial"/>
                <w:b w:val="0"/>
                <w:sz w:val="18"/>
              </w:rPr>
              <w:t>Correction pathway</w:t>
            </w:r>
          </w:p>
        </w:tc>
        <w:tc>
          <w:tcPr>
            <w:tcW w:type="dxa" w:w="4939"/>
            <w:vAlign w:val="top"/>
          </w:tcPr>
          <w:p>
            <w:pPr>
              <w:spacing w:after="0"/>
            </w:pPr>
            <w:r/>
            <w:r>
              <w:rPr>
                <w:rFonts w:ascii="Arial" w:hAnsi="Arial"/>
                <w:b w:val="0"/>
                <w:sz w:val="18"/>
              </w:rPr>
              <w:t>Allow source data correction with before/after audit and a new assessment execution.</w:t>
            </w:r>
          </w:p>
        </w:tc>
      </w:tr>
      <w:tr>
        <w:tc>
          <w:tcPr>
            <w:tcW w:type="dxa" w:w="4939"/>
            <w:vAlign w:val="top"/>
          </w:tcPr>
          <w:p>
            <w:pPr>
              <w:spacing w:after="0"/>
            </w:pPr>
            <w:r/>
            <w:r>
              <w:rPr>
                <w:rFonts w:ascii="Arial" w:hAnsi="Arial"/>
                <w:b w:val="0"/>
                <w:sz w:val="18"/>
              </w:rPr>
              <w:t>Override pathway</w:t>
            </w:r>
          </w:p>
        </w:tc>
        <w:tc>
          <w:tcPr>
            <w:tcW w:type="dxa" w:w="4939"/>
            <w:vAlign w:val="top"/>
          </w:tcPr>
          <w:p>
            <w:pPr>
              <w:spacing w:after="0"/>
            </w:pPr>
            <w:r/>
            <w:r>
              <w:rPr>
                <w:rFonts w:ascii="Arial" w:hAnsi="Arial"/>
                <w:b w:val="0"/>
                <w:sz w:val="18"/>
              </w:rPr>
              <w:t>Preserve the original recommendation and record the user's reason and alternative action.</w:t>
            </w:r>
          </w:p>
        </w:tc>
      </w:tr>
      <w:tr>
        <w:tc>
          <w:tcPr>
            <w:tcW w:type="dxa" w:w="4939"/>
            <w:vAlign w:val="top"/>
          </w:tcPr>
          <w:p>
            <w:pPr>
              <w:spacing w:after="0"/>
            </w:pPr>
            <w:r/>
            <w:r>
              <w:rPr>
                <w:rFonts w:ascii="Arial" w:hAnsi="Arial"/>
                <w:b w:val="0"/>
                <w:sz w:val="18"/>
              </w:rPr>
              <w:t>Clinical scope reminder</w:t>
            </w:r>
          </w:p>
        </w:tc>
        <w:tc>
          <w:tcPr>
            <w:tcW w:type="dxa" w:w="4939"/>
            <w:vAlign w:val="top"/>
          </w:tcPr>
          <w:p>
            <w:pPr>
              <w:spacing w:after="0"/>
            </w:pPr>
            <w:r/>
            <w:r>
              <w:rPr>
                <w:rFonts w:ascii="Arial" w:hAnsi="Arial"/>
                <w:b w:val="0"/>
                <w:sz w:val="18"/>
              </w:rPr>
              <w:t>Display that the system assists and does not replace clinical judgment.</w:t>
            </w:r>
          </w:p>
        </w:tc>
      </w:tr>
    </w:tbl>
    <w:p/>
    <w:p>
      <w:pPr>
        <w:pStyle w:val="Heading1"/>
      </w:pPr>
      <w:r>
        <w:t>12.0 Safety Architecture</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Safety mechanism</w:t>
            </w:r>
          </w:p>
        </w:tc>
        <w:tc>
          <w:tcPr>
            <w:tcW w:type="dxa" w:w="4939"/>
            <w:shd w:fill="D9EAF7"/>
            <w:vAlign w:val="center"/>
          </w:tcPr>
          <w:p>
            <w:pPr>
              <w:spacing w:after="0"/>
            </w:pPr>
            <w:r/>
            <w:r>
              <w:rPr>
                <w:rFonts w:ascii="Arial" w:hAnsi="Arial"/>
                <w:b/>
                <w:sz w:val="18"/>
              </w:rPr>
              <w:t>Failure prevented</w:t>
            </w:r>
          </w:p>
        </w:tc>
      </w:tr>
      <w:tr>
        <w:tc>
          <w:tcPr>
            <w:tcW w:type="dxa" w:w="4939"/>
            <w:vAlign w:val="top"/>
          </w:tcPr>
          <w:p>
            <w:pPr>
              <w:spacing w:after="0"/>
            </w:pPr>
            <w:r/>
            <w:r>
              <w:rPr>
                <w:rFonts w:ascii="Arial" w:hAnsi="Arial"/>
                <w:b w:val="0"/>
                <w:sz w:val="18"/>
              </w:rPr>
              <w:t>Required-data validation</w:t>
            </w:r>
          </w:p>
        </w:tc>
        <w:tc>
          <w:tcPr>
            <w:tcW w:type="dxa" w:w="4939"/>
            <w:vAlign w:val="top"/>
          </w:tcPr>
          <w:p>
            <w:pPr>
              <w:spacing w:after="0"/>
            </w:pPr>
            <w:r/>
            <w:r>
              <w:rPr>
                <w:rFonts w:ascii="Arial" w:hAnsi="Arial"/>
                <w:b w:val="0"/>
                <w:sz w:val="18"/>
              </w:rPr>
              <w:t>False LOW conclusion from missing records.</w:t>
            </w:r>
          </w:p>
        </w:tc>
      </w:tr>
      <w:tr>
        <w:tc>
          <w:tcPr>
            <w:tcW w:type="dxa" w:w="4939"/>
            <w:vAlign w:val="top"/>
          </w:tcPr>
          <w:p>
            <w:pPr>
              <w:spacing w:after="0"/>
            </w:pPr>
            <w:r/>
            <w:r>
              <w:rPr>
                <w:rFonts w:ascii="Arial" w:hAnsi="Arial"/>
                <w:b w:val="0"/>
                <w:sz w:val="18"/>
              </w:rPr>
              <w:t>Value plausibility checks</w:t>
            </w:r>
          </w:p>
        </w:tc>
        <w:tc>
          <w:tcPr>
            <w:tcW w:type="dxa" w:w="4939"/>
            <w:vAlign w:val="top"/>
          </w:tcPr>
          <w:p>
            <w:pPr>
              <w:spacing w:after="0"/>
            </w:pPr>
            <w:r/>
            <w:r>
              <w:rPr>
                <w:rFonts w:ascii="Arial" w:hAnsi="Arial"/>
                <w:b w:val="0"/>
                <w:sz w:val="18"/>
              </w:rPr>
              <w:t>Use of impossible or mistyped measurements.</w:t>
            </w:r>
          </w:p>
        </w:tc>
      </w:tr>
      <w:tr>
        <w:tc>
          <w:tcPr>
            <w:tcW w:type="dxa" w:w="4939"/>
            <w:vAlign w:val="top"/>
          </w:tcPr>
          <w:p>
            <w:pPr>
              <w:spacing w:after="0"/>
            </w:pPr>
            <w:r/>
            <w:r>
              <w:rPr>
                <w:rFonts w:ascii="Arial" w:hAnsi="Arial"/>
                <w:b w:val="0"/>
                <w:sz w:val="18"/>
              </w:rPr>
              <w:t>Conflict detection</w:t>
            </w:r>
          </w:p>
        </w:tc>
        <w:tc>
          <w:tcPr>
            <w:tcW w:type="dxa" w:w="4939"/>
            <w:vAlign w:val="top"/>
          </w:tcPr>
          <w:p>
            <w:pPr>
              <w:spacing w:after="0"/>
            </w:pPr>
            <w:r/>
            <w:r>
              <w:rPr>
                <w:rFonts w:ascii="Arial" w:hAnsi="Arial"/>
                <w:b w:val="0"/>
                <w:sz w:val="18"/>
              </w:rPr>
              <w:t>Silent use of contradictory patient information.</w:t>
            </w:r>
          </w:p>
        </w:tc>
      </w:tr>
      <w:tr>
        <w:tc>
          <w:tcPr>
            <w:tcW w:type="dxa" w:w="4939"/>
            <w:vAlign w:val="top"/>
          </w:tcPr>
          <w:p>
            <w:pPr>
              <w:spacing w:after="0"/>
            </w:pPr>
            <w:r/>
            <w:r>
              <w:rPr>
                <w:rFonts w:ascii="Arial" w:hAnsi="Arial"/>
                <w:b w:val="0"/>
                <w:sz w:val="18"/>
              </w:rPr>
              <w:t>Rule-based override</w:t>
            </w:r>
          </w:p>
        </w:tc>
        <w:tc>
          <w:tcPr>
            <w:tcW w:type="dxa" w:w="4939"/>
            <w:vAlign w:val="top"/>
          </w:tcPr>
          <w:p>
            <w:pPr>
              <w:spacing w:after="0"/>
            </w:pPr>
            <w:r/>
            <w:r>
              <w:rPr>
                <w:rFonts w:ascii="Arial" w:hAnsi="Arial"/>
                <w:b w:val="0"/>
                <w:sz w:val="18"/>
              </w:rPr>
              <w:t>ML LOW suppressing a known high-risk factor.</w:t>
            </w:r>
          </w:p>
        </w:tc>
      </w:tr>
      <w:tr>
        <w:tc>
          <w:tcPr>
            <w:tcW w:type="dxa" w:w="4939"/>
            <w:vAlign w:val="top"/>
          </w:tcPr>
          <w:p>
            <w:pPr>
              <w:spacing w:after="0"/>
            </w:pPr>
            <w:r/>
            <w:r>
              <w:rPr>
                <w:rFonts w:ascii="Arial" w:hAnsi="Arial"/>
                <w:b w:val="0"/>
                <w:sz w:val="18"/>
              </w:rPr>
              <w:t>Emergency interruption</w:t>
            </w:r>
          </w:p>
        </w:tc>
        <w:tc>
          <w:tcPr>
            <w:tcW w:type="dxa" w:w="4939"/>
            <w:vAlign w:val="top"/>
          </w:tcPr>
          <w:p>
            <w:pPr>
              <w:spacing w:after="0"/>
            </w:pPr>
            <w:r/>
            <w:r>
              <w:rPr>
                <w:rFonts w:ascii="Arial" w:hAnsi="Arial"/>
                <w:b w:val="0"/>
                <w:sz w:val="18"/>
              </w:rPr>
              <w:t>Routine workflow delaying escalation.</w:t>
            </w:r>
          </w:p>
        </w:tc>
      </w:tr>
      <w:tr>
        <w:tc>
          <w:tcPr>
            <w:tcW w:type="dxa" w:w="4939"/>
            <w:vAlign w:val="top"/>
          </w:tcPr>
          <w:p>
            <w:pPr>
              <w:spacing w:after="0"/>
            </w:pPr>
            <w:r/>
            <w:r>
              <w:rPr>
                <w:rFonts w:ascii="Arial" w:hAnsi="Arial"/>
                <w:b w:val="0"/>
                <w:sz w:val="18"/>
              </w:rPr>
              <w:t>No ultrasound image interpretation</w:t>
            </w:r>
          </w:p>
        </w:tc>
        <w:tc>
          <w:tcPr>
            <w:tcW w:type="dxa" w:w="4939"/>
            <w:vAlign w:val="top"/>
          </w:tcPr>
          <w:p>
            <w:pPr>
              <w:spacing w:after="0"/>
            </w:pPr>
            <w:r/>
            <w:r>
              <w:rPr>
                <w:rFonts w:ascii="Arial" w:hAnsi="Arial"/>
                <w:b w:val="0"/>
                <w:sz w:val="18"/>
              </w:rPr>
              <w:t>Unsupported diagnostic behavior.</w:t>
            </w:r>
          </w:p>
        </w:tc>
      </w:tr>
      <w:tr>
        <w:tc>
          <w:tcPr>
            <w:tcW w:type="dxa" w:w="4939"/>
            <w:vAlign w:val="top"/>
          </w:tcPr>
          <w:p>
            <w:pPr>
              <w:spacing w:after="0"/>
            </w:pPr>
            <w:r/>
            <w:r>
              <w:rPr>
                <w:rFonts w:ascii="Arial" w:hAnsi="Arial"/>
                <w:b w:val="0"/>
                <w:sz w:val="18"/>
              </w:rPr>
              <w:t>Immutable provenance</w:t>
            </w:r>
          </w:p>
        </w:tc>
        <w:tc>
          <w:tcPr>
            <w:tcW w:type="dxa" w:w="4939"/>
            <w:vAlign w:val="top"/>
          </w:tcPr>
          <w:p>
            <w:pPr>
              <w:spacing w:after="0"/>
            </w:pPr>
            <w:r/>
            <w:r>
              <w:rPr>
                <w:rFonts w:ascii="Arial" w:hAnsi="Arial"/>
                <w:b w:val="0"/>
                <w:sz w:val="18"/>
              </w:rPr>
              <w:t>Historical reasoning being rewritten after the fact.</w:t>
            </w:r>
          </w:p>
        </w:tc>
      </w:tr>
      <w:tr>
        <w:tc>
          <w:tcPr>
            <w:tcW w:type="dxa" w:w="4939"/>
            <w:vAlign w:val="top"/>
          </w:tcPr>
          <w:p>
            <w:pPr>
              <w:spacing w:after="0"/>
            </w:pPr>
            <w:r/>
            <w:r>
              <w:rPr>
                <w:rFonts w:ascii="Arial" w:hAnsi="Arial"/>
                <w:b w:val="0"/>
                <w:sz w:val="18"/>
              </w:rPr>
              <w:t>Versioned knowledge releases</w:t>
            </w:r>
          </w:p>
        </w:tc>
        <w:tc>
          <w:tcPr>
            <w:tcW w:type="dxa" w:w="4939"/>
            <w:vAlign w:val="top"/>
          </w:tcPr>
          <w:p>
            <w:pPr>
              <w:spacing w:after="0"/>
            </w:pPr>
            <w:r/>
            <w:r>
              <w:rPr>
                <w:rFonts w:ascii="Arial" w:hAnsi="Arial"/>
                <w:b w:val="0"/>
                <w:sz w:val="18"/>
              </w:rPr>
              <w:t>Uncontrolled rule changes in production.</w:t>
            </w:r>
          </w:p>
        </w:tc>
      </w:tr>
      <w:tr>
        <w:tc>
          <w:tcPr>
            <w:tcW w:type="dxa" w:w="4939"/>
            <w:vAlign w:val="top"/>
          </w:tcPr>
          <w:p>
            <w:pPr>
              <w:spacing w:after="0"/>
            </w:pPr>
            <w:r/>
            <w:r>
              <w:rPr>
                <w:rFonts w:ascii="Arial" w:hAnsi="Arial"/>
                <w:b w:val="0"/>
                <w:sz w:val="18"/>
              </w:rPr>
              <w:t>Fail-closed completion</w:t>
            </w:r>
          </w:p>
        </w:tc>
        <w:tc>
          <w:tcPr>
            <w:tcW w:type="dxa" w:w="4939"/>
            <w:vAlign w:val="top"/>
          </w:tcPr>
          <w:p>
            <w:pPr>
              <w:spacing w:after="0"/>
            </w:pPr>
            <w:r/>
            <w:r>
              <w:rPr>
                <w:rFonts w:ascii="Arial" w:hAnsi="Arial"/>
                <w:b w:val="0"/>
                <w:sz w:val="18"/>
              </w:rPr>
              <w:t>Displaying a completed result when audit or core processing failed.</w:t>
            </w:r>
          </w:p>
        </w:tc>
      </w:tr>
      <w:tr>
        <w:tc>
          <w:tcPr>
            <w:tcW w:type="dxa" w:w="4939"/>
            <w:vAlign w:val="top"/>
          </w:tcPr>
          <w:p>
            <w:pPr>
              <w:spacing w:after="0"/>
            </w:pPr>
            <w:r/>
            <w:r>
              <w:rPr>
                <w:rFonts w:ascii="Arial" w:hAnsi="Arial"/>
                <w:b w:val="0"/>
                <w:sz w:val="18"/>
              </w:rPr>
              <w:t>Human-readable explanation</w:t>
            </w:r>
          </w:p>
        </w:tc>
        <w:tc>
          <w:tcPr>
            <w:tcW w:type="dxa" w:w="4939"/>
            <w:vAlign w:val="top"/>
          </w:tcPr>
          <w:p>
            <w:pPr>
              <w:spacing w:after="0"/>
            </w:pPr>
            <w:r/>
            <w:r>
              <w:rPr>
                <w:rFonts w:ascii="Arial" w:hAnsi="Arial"/>
                <w:b w:val="0"/>
                <w:sz w:val="18"/>
              </w:rPr>
              <w:t>Healthcare user relying on an unexplained label.</w:t>
            </w:r>
          </w:p>
        </w:tc>
      </w:tr>
      <w:tr>
        <w:tc>
          <w:tcPr>
            <w:tcW w:type="dxa" w:w="4939"/>
            <w:vAlign w:val="top"/>
          </w:tcPr>
          <w:p>
            <w:pPr>
              <w:spacing w:after="0"/>
            </w:pPr>
            <w:r/>
            <w:r>
              <w:rPr>
                <w:rFonts w:ascii="Arial" w:hAnsi="Arial"/>
                <w:b w:val="0"/>
                <w:sz w:val="18"/>
              </w:rPr>
              <w:t>Role-based permissions</w:t>
            </w:r>
          </w:p>
        </w:tc>
        <w:tc>
          <w:tcPr>
            <w:tcW w:type="dxa" w:w="4939"/>
            <w:vAlign w:val="top"/>
          </w:tcPr>
          <w:p>
            <w:pPr>
              <w:spacing w:after="0"/>
            </w:pPr>
            <w:r/>
            <w:r>
              <w:rPr>
                <w:rFonts w:ascii="Arial" w:hAnsi="Arial"/>
                <w:b w:val="0"/>
                <w:sz w:val="18"/>
              </w:rPr>
              <w:t>Unauthorized publication or modification of clinical logic.</w:t>
            </w:r>
          </w:p>
        </w:tc>
      </w:tr>
      <w:tr>
        <w:tc>
          <w:tcPr>
            <w:tcW w:type="dxa" w:w="4939"/>
            <w:vAlign w:val="top"/>
          </w:tcPr>
          <w:p>
            <w:pPr>
              <w:spacing w:after="0"/>
            </w:pPr>
            <w:r/>
            <w:r>
              <w:rPr>
                <w:rFonts w:ascii="Arial" w:hAnsi="Arial"/>
                <w:b w:val="0"/>
                <w:sz w:val="18"/>
              </w:rPr>
              <w:t>Regression validation</w:t>
            </w:r>
          </w:p>
        </w:tc>
        <w:tc>
          <w:tcPr>
            <w:tcW w:type="dxa" w:w="4939"/>
            <w:vAlign w:val="top"/>
          </w:tcPr>
          <w:p>
            <w:pPr>
              <w:spacing w:after="0"/>
            </w:pPr>
            <w:r/>
            <w:r>
              <w:rPr>
                <w:rFonts w:ascii="Arial" w:hAnsi="Arial"/>
                <w:b w:val="0"/>
                <w:sz w:val="18"/>
              </w:rPr>
              <w:t>New releases unexpectedly changing established cases.</w:t>
            </w:r>
          </w:p>
        </w:tc>
      </w:tr>
    </w:tbl>
    <w:p/>
    <w:p>
      <w:pPr>
        <w:pStyle w:val="Heading1"/>
      </w:pPr>
      <w:r>
        <w:t>13.0 Error and Degraded-Operation Architecture</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Failure</w:t>
            </w:r>
          </w:p>
        </w:tc>
        <w:tc>
          <w:tcPr>
            <w:tcW w:type="dxa" w:w="4939"/>
            <w:shd w:fill="D9EAF7"/>
            <w:vAlign w:val="center"/>
          </w:tcPr>
          <w:p>
            <w:pPr>
              <w:spacing w:after="0"/>
            </w:pPr>
            <w:r/>
            <w:r>
              <w:rPr>
                <w:rFonts w:ascii="Arial" w:hAnsi="Arial"/>
                <w:b/>
                <w:sz w:val="18"/>
              </w:rPr>
              <w:t>Required response</w:t>
            </w:r>
          </w:p>
        </w:tc>
      </w:tr>
      <w:tr>
        <w:tc>
          <w:tcPr>
            <w:tcW w:type="dxa" w:w="4939"/>
            <w:vAlign w:val="top"/>
          </w:tcPr>
          <w:p>
            <w:pPr>
              <w:spacing w:after="0"/>
            </w:pPr>
            <w:r/>
            <w:r>
              <w:rPr>
                <w:rFonts w:ascii="Arial" w:hAnsi="Arial"/>
                <w:b w:val="0"/>
                <w:sz w:val="18"/>
              </w:rPr>
              <w:t>Python or ML process unavailable</w:t>
            </w:r>
          </w:p>
        </w:tc>
        <w:tc>
          <w:tcPr>
            <w:tcW w:type="dxa" w:w="4939"/>
            <w:vAlign w:val="top"/>
          </w:tcPr>
          <w:p>
            <w:pPr>
              <w:spacing w:after="0"/>
            </w:pPr>
            <w:r/>
            <w:r>
              <w:rPr>
                <w:rFonts w:ascii="Arial" w:hAnsi="Arial"/>
                <w:b w:val="0"/>
                <w:sz w:val="18"/>
              </w:rPr>
              <w:t>Treat ML as unavailable; do not invent a result. Use rule-based HIGH when independently established; otherwise return ASSESSMENT INCOMPLETE.</w:t>
            </w:r>
          </w:p>
        </w:tc>
      </w:tr>
      <w:tr>
        <w:tc>
          <w:tcPr>
            <w:tcW w:type="dxa" w:w="4939"/>
            <w:vAlign w:val="top"/>
          </w:tcPr>
          <w:p>
            <w:pPr>
              <w:spacing w:after="0"/>
            </w:pPr>
            <w:r/>
            <w:r>
              <w:rPr>
                <w:rFonts w:ascii="Arial" w:hAnsi="Arial"/>
                <w:b w:val="0"/>
                <w:sz w:val="18"/>
              </w:rPr>
              <w:t>Malformed ML output</w:t>
            </w:r>
          </w:p>
        </w:tc>
        <w:tc>
          <w:tcPr>
            <w:tcW w:type="dxa" w:w="4939"/>
            <w:vAlign w:val="top"/>
          </w:tcPr>
          <w:p>
            <w:pPr>
              <w:spacing w:after="0"/>
            </w:pPr>
            <w:r/>
            <w:r>
              <w:rPr>
                <w:rFonts w:ascii="Arial" w:hAnsi="Arial"/>
                <w:b w:val="0"/>
                <w:sz w:val="18"/>
              </w:rPr>
              <w:t>Reject unless exactly within the approved controlled vocabulary and expected schema.</w:t>
            </w:r>
          </w:p>
        </w:tc>
      </w:tr>
      <w:tr>
        <w:tc>
          <w:tcPr>
            <w:tcW w:type="dxa" w:w="4939"/>
            <w:vAlign w:val="top"/>
          </w:tcPr>
          <w:p>
            <w:pPr>
              <w:spacing w:after="0"/>
            </w:pPr>
            <w:r/>
            <w:r>
              <w:rPr>
                <w:rFonts w:ascii="Arial" w:hAnsi="Arial"/>
                <w:b w:val="0"/>
                <w:sz w:val="18"/>
              </w:rPr>
              <w:t>Database transaction failure</w:t>
            </w:r>
          </w:p>
        </w:tc>
        <w:tc>
          <w:tcPr>
            <w:tcW w:type="dxa" w:w="4939"/>
            <w:vAlign w:val="top"/>
          </w:tcPr>
          <w:p>
            <w:pPr>
              <w:spacing w:after="0"/>
            </w:pPr>
            <w:r/>
            <w:r>
              <w:rPr>
                <w:rFonts w:ascii="Arial" w:hAnsi="Arial"/>
                <w:b w:val="0"/>
                <w:sz w:val="18"/>
              </w:rPr>
              <w:t>Do not mark the decision COMPLETED; preserve or roll back partial writes safely.</w:t>
            </w:r>
          </w:p>
        </w:tc>
      </w:tr>
      <w:tr>
        <w:tc>
          <w:tcPr>
            <w:tcW w:type="dxa" w:w="4939"/>
            <w:vAlign w:val="top"/>
          </w:tcPr>
          <w:p>
            <w:pPr>
              <w:spacing w:after="0"/>
            </w:pPr>
            <w:r/>
            <w:r>
              <w:rPr>
                <w:rFonts w:ascii="Arial" w:hAnsi="Arial"/>
                <w:b w:val="0"/>
                <w:sz w:val="18"/>
              </w:rPr>
              <w:t>Audit write failure</w:t>
            </w:r>
          </w:p>
        </w:tc>
        <w:tc>
          <w:tcPr>
            <w:tcW w:type="dxa" w:w="4939"/>
            <w:vAlign w:val="top"/>
          </w:tcPr>
          <w:p>
            <w:pPr>
              <w:spacing w:after="0"/>
            </w:pPr>
            <w:r/>
            <w:r>
              <w:rPr>
                <w:rFonts w:ascii="Arial" w:hAnsi="Arial"/>
                <w:b w:val="0"/>
                <w:sz w:val="18"/>
              </w:rPr>
              <w:t>Return FAILED or explicitly unauditable state; do not display a trustworthy completed package.</w:t>
            </w:r>
          </w:p>
        </w:tc>
      </w:tr>
      <w:tr>
        <w:tc>
          <w:tcPr>
            <w:tcW w:type="dxa" w:w="4939"/>
            <w:vAlign w:val="top"/>
          </w:tcPr>
          <w:p>
            <w:pPr>
              <w:spacing w:after="0"/>
            </w:pPr>
            <w:r/>
            <w:r>
              <w:rPr>
                <w:rFonts w:ascii="Arial" w:hAnsi="Arial"/>
                <w:b w:val="0"/>
                <w:sz w:val="18"/>
              </w:rPr>
              <w:t>Rule-set release unavailable</w:t>
            </w:r>
          </w:p>
        </w:tc>
        <w:tc>
          <w:tcPr>
            <w:tcW w:type="dxa" w:w="4939"/>
            <w:vAlign w:val="top"/>
          </w:tcPr>
          <w:p>
            <w:pPr>
              <w:spacing w:after="0"/>
            </w:pPr>
            <w:r/>
            <w:r>
              <w:rPr>
                <w:rFonts w:ascii="Arial" w:hAnsi="Arial"/>
                <w:b w:val="0"/>
                <w:sz w:val="18"/>
              </w:rPr>
              <w:t>Stop clinical decision execution and show a controlled configuration error.</w:t>
            </w:r>
          </w:p>
        </w:tc>
      </w:tr>
      <w:tr>
        <w:tc>
          <w:tcPr>
            <w:tcW w:type="dxa" w:w="4939"/>
            <w:vAlign w:val="top"/>
          </w:tcPr>
          <w:p>
            <w:pPr>
              <w:spacing w:after="0"/>
            </w:pPr>
            <w:r/>
            <w:r>
              <w:rPr>
                <w:rFonts w:ascii="Arial" w:hAnsi="Arial"/>
                <w:b w:val="0"/>
                <w:sz w:val="18"/>
              </w:rPr>
              <w:t>Required record missing</w:t>
            </w:r>
          </w:p>
        </w:tc>
        <w:tc>
          <w:tcPr>
            <w:tcW w:type="dxa" w:w="4939"/>
            <w:vAlign w:val="top"/>
          </w:tcPr>
          <w:p>
            <w:pPr>
              <w:spacing w:after="0"/>
            </w:pPr>
            <w:r/>
            <w:r>
              <w:rPr>
                <w:rFonts w:ascii="Arial" w:hAnsi="Arial"/>
                <w:b w:val="0"/>
                <w:sz w:val="18"/>
              </w:rPr>
              <w:t>Identify the exact missing component and prevent LOW.</w:t>
            </w:r>
          </w:p>
        </w:tc>
      </w:tr>
      <w:tr>
        <w:tc>
          <w:tcPr>
            <w:tcW w:type="dxa" w:w="4939"/>
            <w:vAlign w:val="top"/>
          </w:tcPr>
          <w:p>
            <w:pPr>
              <w:spacing w:after="0"/>
            </w:pPr>
            <w:r/>
            <w:r>
              <w:rPr>
                <w:rFonts w:ascii="Arial" w:hAnsi="Arial"/>
                <w:b w:val="0"/>
                <w:sz w:val="18"/>
              </w:rPr>
              <w:t>Conflicting records</w:t>
            </w:r>
          </w:p>
        </w:tc>
        <w:tc>
          <w:tcPr>
            <w:tcW w:type="dxa" w:w="4939"/>
            <w:vAlign w:val="top"/>
          </w:tcPr>
          <w:p>
            <w:pPr>
              <w:spacing w:after="0"/>
            </w:pPr>
            <w:r/>
            <w:r>
              <w:rPr>
                <w:rFonts w:ascii="Arial" w:hAnsi="Arial"/>
                <w:b w:val="0"/>
                <w:sz w:val="18"/>
              </w:rPr>
              <w:t>Use approved precedence or expose unresolved conflict; do not silently choose one value.</w:t>
            </w:r>
          </w:p>
        </w:tc>
      </w:tr>
      <w:tr>
        <w:tc>
          <w:tcPr>
            <w:tcW w:type="dxa" w:w="4939"/>
            <w:vAlign w:val="top"/>
          </w:tcPr>
          <w:p>
            <w:pPr>
              <w:spacing w:after="0"/>
            </w:pPr>
            <w:r/>
            <w:r>
              <w:rPr>
                <w:rFonts w:ascii="Arial" w:hAnsi="Arial"/>
                <w:b w:val="0"/>
                <w:sz w:val="18"/>
              </w:rPr>
              <w:t>Notification failure</w:t>
            </w:r>
          </w:p>
        </w:tc>
        <w:tc>
          <w:tcPr>
            <w:tcW w:type="dxa" w:w="4939"/>
            <w:vAlign w:val="top"/>
          </w:tcPr>
          <w:p>
            <w:pPr>
              <w:spacing w:after="0"/>
            </w:pPr>
            <w:r/>
            <w:r>
              <w:rPr>
                <w:rFonts w:ascii="Arial" w:hAnsi="Arial"/>
                <w:b w:val="0"/>
                <w:sz w:val="18"/>
              </w:rPr>
              <w:t>Preserve the clinical result and record notification failure separately; do not claim referral communication succeeded.</w:t>
            </w:r>
          </w:p>
        </w:tc>
      </w:tr>
      <w:tr>
        <w:tc>
          <w:tcPr>
            <w:tcW w:type="dxa" w:w="4939"/>
            <w:vAlign w:val="top"/>
          </w:tcPr>
          <w:p>
            <w:pPr>
              <w:spacing w:after="0"/>
            </w:pPr>
            <w:r/>
            <w:r>
              <w:rPr>
                <w:rFonts w:ascii="Arial" w:hAnsi="Arial"/>
                <w:b w:val="0"/>
                <w:sz w:val="18"/>
              </w:rPr>
              <w:t>Unauthorized access</w:t>
            </w:r>
          </w:p>
        </w:tc>
        <w:tc>
          <w:tcPr>
            <w:tcW w:type="dxa" w:w="4939"/>
            <w:vAlign w:val="top"/>
          </w:tcPr>
          <w:p>
            <w:pPr>
              <w:spacing w:after="0"/>
            </w:pPr>
            <w:r/>
            <w:r>
              <w:rPr>
                <w:rFonts w:ascii="Arial" w:hAnsi="Arial"/>
                <w:b w:val="0"/>
                <w:sz w:val="18"/>
              </w:rPr>
              <w:t>Deny action and record a security event.</w:t>
            </w:r>
          </w:p>
        </w:tc>
      </w:tr>
      <w:tr>
        <w:tc>
          <w:tcPr>
            <w:tcW w:type="dxa" w:w="4939"/>
            <w:vAlign w:val="top"/>
          </w:tcPr>
          <w:p>
            <w:pPr>
              <w:spacing w:after="0"/>
            </w:pPr>
            <w:r/>
            <w:r>
              <w:rPr>
                <w:rFonts w:ascii="Arial" w:hAnsi="Arial"/>
                <w:b w:val="0"/>
                <w:sz w:val="18"/>
              </w:rPr>
              <w:t>Unexpected exception</w:t>
            </w:r>
          </w:p>
        </w:tc>
        <w:tc>
          <w:tcPr>
            <w:tcW w:type="dxa" w:w="4939"/>
            <w:vAlign w:val="top"/>
          </w:tcPr>
          <w:p>
            <w:pPr>
              <w:spacing w:after="0"/>
            </w:pPr>
            <w:r/>
            <w:r>
              <w:rPr>
                <w:rFonts w:ascii="Arial" w:hAnsi="Arial"/>
                <w:b w:val="0"/>
                <w:sz w:val="18"/>
              </w:rPr>
              <w:t>Show a safe user message, log technical details securely, and avoid exposing sensitive data.</w:t>
            </w:r>
          </w:p>
        </w:tc>
      </w:tr>
    </w:tbl>
    <w:p/>
    <w:p>
      <w:pPr>
        <w:pStyle w:val="Heading1"/>
      </w:pPr>
      <w:r>
        <w:t>14.0 Laravel Application Mapping</w:t>
      </w:r>
    </w:p>
    <w:p>
      <w:r>
        <w:t>The current Laravel project should transition from controller-centered reasoning to service-centered reasoning. Controllers should authorize requests, validate transport-level input, call application services, and return responses. They should not contain the full clinical knowledge base.</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Laravel component</w:t>
            </w:r>
          </w:p>
        </w:tc>
        <w:tc>
          <w:tcPr>
            <w:tcW w:type="dxa" w:w="4939"/>
            <w:shd w:fill="D9EAF7"/>
            <w:vAlign w:val="center"/>
          </w:tcPr>
          <w:p>
            <w:pPr>
              <w:spacing w:after="0"/>
            </w:pPr>
            <w:r/>
            <w:r>
              <w:rPr>
                <w:rFonts w:ascii="Arial" w:hAnsi="Arial"/>
                <w:b/>
                <w:sz w:val="18"/>
              </w:rPr>
              <w:t>Recommended responsibility</w:t>
            </w:r>
          </w:p>
        </w:tc>
      </w:tr>
      <w:tr>
        <w:tc>
          <w:tcPr>
            <w:tcW w:type="dxa" w:w="4939"/>
            <w:vAlign w:val="top"/>
          </w:tcPr>
          <w:p>
            <w:pPr>
              <w:spacing w:after="0"/>
            </w:pPr>
            <w:r/>
            <w:r>
              <w:rPr>
                <w:rFonts w:ascii="Arial" w:hAnsi="Arial"/>
                <w:b w:val="0"/>
                <w:sz w:val="18"/>
              </w:rPr>
              <w:t>PrenatalVisitController</w:t>
            </w:r>
          </w:p>
        </w:tc>
        <w:tc>
          <w:tcPr>
            <w:tcW w:type="dxa" w:w="4939"/>
            <w:vAlign w:val="top"/>
          </w:tcPr>
          <w:p>
            <w:pPr>
              <w:spacing w:after="0"/>
            </w:pPr>
            <w:r/>
            <w:r>
              <w:rPr>
                <w:rFonts w:ascii="Arial" w:hAnsi="Arial"/>
                <w:b w:val="0"/>
                <w:sz w:val="18"/>
              </w:rPr>
              <w:t>Coordinates request and response; calls assessment orchestration service.</w:t>
            </w:r>
          </w:p>
        </w:tc>
      </w:tr>
      <w:tr>
        <w:tc>
          <w:tcPr>
            <w:tcW w:type="dxa" w:w="4939"/>
            <w:vAlign w:val="top"/>
          </w:tcPr>
          <w:p>
            <w:pPr>
              <w:spacing w:after="0"/>
            </w:pPr>
            <w:r/>
            <w:r>
              <w:rPr>
                <w:rFonts w:ascii="Arial" w:hAnsi="Arial"/>
                <w:b w:val="0"/>
                <w:sz w:val="18"/>
              </w:rPr>
              <w:t>ClinicalDecisionOrchestrator</w:t>
            </w:r>
          </w:p>
        </w:tc>
        <w:tc>
          <w:tcPr>
            <w:tcW w:type="dxa" w:w="4939"/>
            <w:vAlign w:val="top"/>
          </w:tcPr>
          <w:p>
            <w:pPr>
              <w:spacing w:after="0"/>
            </w:pPr>
            <w:r/>
            <w:r>
              <w:rPr>
                <w:rFonts w:ascii="Arial" w:hAnsi="Arial"/>
                <w:b w:val="0"/>
                <w:sz w:val="18"/>
              </w:rPr>
              <w:t>Executes the Part 11 state machine and coordinates all engines.</w:t>
            </w:r>
          </w:p>
        </w:tc>
      </w:tr>
      <w:tr>
        <w:tc>
          <w:tcPr>
            <w:tcW w:type="dxa" w:w="4939"/>
            <w:vAlign w:val="top"/>
          </w:tcPr>
          <w:p>
            <w:pPr>
              <w:spacing w:after="0"/>
            </w:pPr>
            <w:r/>
            <w:r>
              <w:rPr>
                <w:rFonts w:ascii="Arial" w:hAnsi="Arial"/>
                <w:b w:val="0"/>
                <w:sz w:val="18"/>
              </w:rPr>
              <w:t>ClinicalDataAssembler</w:t>
            </w:r>
          </w:p>
        </w:tc>
        <w:tc>
          <w:tcPr>
            <w:tcW w:type="dxa" w:w="4939"/>
            <w:vAlign w:val="top"/>
          </w:tcPr>
          <w:p>
            <w:pPr>
              <w:spacing w:after="0"/>
            </w:pPr>
            <w:r/>
            <w:r>
              <w:rPr>
                <w:rFonts w:ascii="Arial" w:hAnsi="Arial"/>
                <w:b w:val="0"/>
                <w:sz w:val="18"/>
              </w:rPr>
              <w:t>Loads patient, pregnancy, visit, history, ultrasound, birth plan, and referral context.</w:t>
            </w:r>
          </w:p>
        </w:tc>
      </w:tr>
      <w:tr>
        <w:tc>
          <w:tcPr>
            <w:tcW w:type="dxa" w:w="4939"/>
            <w:vAlign w:val="top"/>
          </w:tcPr>
          <w:p>
            <w:pPr>
              <w:spacing w:after="0"/>
            </w:pPr>
            <w:r/>
            <w:r>
              <w:rPr>
                <w:rFonts w:ascii="Arial" w:hAnsi="Arial"/>
                <w:b w:val="0"/>
                <w:sz w:val="18"/>
              </w:rPr>
              <w:t>DataValidationEngine</w:t>
            </w:r>
          </w:p>
        </w:tc>
        <w:tc>
          <w:tcPr>
            <w:tcW w:type="dxa" w:w="4939"/>
            <w:vAlign w:val="top"/>
          </w:tcPr>
          <w:p>
            <w:pPr>
              <w:spacing w:after="0"/>
            </w:pPr>
            <w:r/>
            <w:r>
              <w:rPr>
                <w:rFonts w:ascii="Arial" w:hAnsi="Arial"/>
                <w:b w:val="0"/>
                <w:sz w:val="18"/>
              </w:rPr>
              <w:t>Returns structured validation findings.</w:t>
            </w:r>
          </w:p>
        </w:tc>
      </w:tr>
      <w:tr>
        <w:tc>
          <w:tcPr>
            <w:tcW w:type="dxa" w:w="4939"/>
            <w:vAlign w:val="top"/>
          </w:tcPr>
          <w:p>
            <w:pPr>
              <w:spacing w:after="0"/>
            </w:pPr>
            <w:r/>
            <w:r>
              <w:rPr>
                <w:rFonts w:ascii="Arial" w:hAnsi="Arial"/>
                <w:b w:val="0"/>
                <w:sz w:val="18"/>
              </w:rPr>
              <w:t>RuleEngine</w:t>
            </w:r>
          </w:p>
        </w:tc>
        <w:tc>
          <w:tcPr>
            <w:tcW w:type="dxa" w:w="4939"/>
            <w:vAlign w:val="top"/>
          </w:tcPr>
          <w:p>
            <w:pPr>
              <w:spacing w:after="0"/>
            </w:pPr>
            <w:r/>
            <w:r>
              <w:rPr>
                <w:rFonts w:ascii="Arial" w:hAnsi="Arial"/>
                <w:b w:val="0"/>
                <w:sz w:val="18"/>
              </w:rPr>
              <w:t>Evaluates versioned deterministic rules.</w:t>
            </w:r>
          </w:p>
        </w:tc>
      </w:tr>
      <w:tr>
        <w:tc>
          <w:tcPr>
            <w:tcW w:type="dxa" w:w="4939"/>
            <w:vAlign w:val="top"/>
          </w:tcPr>
          <w:p>
            <w:pPr>
              <w:spacing w:after="0"/>
            </w:pPr>
            <w:r/>
            <w:r>
              <w:rPr>
                <w:rFonts w:ascii="Arial" w:hAnsi="Arial"/>
                <w:b w:val="0"/>
                <w:sz w:val="18"/>
              </w:rPr>
              <w:t>InteractionEngine</w:t>
            </w:r>
          </w:p>
        </w:tc>
        <w:tc>
          <w:tcPr>
            <w:tcW w:type="dxa" w:w="4939"/>
            <w:vAlign w:val="top"/>
          </w:tcPr>
          <w:p>
            <w:pPr>
              <w:spacing w:after="0"/>
            </w:pPr>
            <w:r/>
            <w:r>
              <w:rPr>
                <w:rFonts w:ascii="Arial" w:hAnsi="Arial"/>
                <w:b w:val="0"/>
                <w:sz w:val="18"/>
              </w:rPr>
              <w:t>Evaluates approved rule combinations.</w:t>
            </w:r>
          </w:p>
        </w:tc>
      </w:tr>
      <w:tr>
        <w:tc>
          <w:tcPr>
            <w:tcW w:type="dxa" w:w="4939"/>
            <w:vAlign w:val="top"/>
          </w:tcPr>
          <w:p>
            <w:pPr>
              <w:spacing w:after="0"/>
            </w:pPr>
            <w:r/>
            <w:r>
              <w:rPr>
                <w:rFonts w:ascii="Arial" w:hAnsi="Arial"/>
                <w:b w:val="0"/>
                <w:sz w:val="18"/>
              </w:rPr>
              <w:t>ConflictResolutionEngine</w:t>
            </w:r>
          </w:p>
        </w:tc>
        <w:tc>
          <w:tcPr>
            <w:tcW w:type="dxa" w:w="4939"/>
            <w:vAlign w:val="top"/>
          </w:tcPr>
          <w:p>
            <w:pPr>
              <w:spacing w:after="0"/>
            </w:pPr>
            <w:r/>
            <w:r>
              <w:rPr>
                <w:rFonts w:ascii="Arial" w:hAnsi="Arial"/>
                <w:b w:val="0"/>
                <w:sz w:val="18"/>
              </w:rPr>
              <w:t>Applies documented precedence.</w:t>
            </w:r>
          </w:p>
        </w:tc>
      </w:tr>
      <w:tr>
        <w:tc>
          <w:tcPr>
            <w:tcW w:type="dxa" w:w="4939"/>
            <w:vAlign w:val="top"/>
          </w:tcPr>
          <w:p>
            <w:pPr>
              <w:spacing w:after="0"/>
            </w:pPr>
            <w:r/>
            <w:r>
              <w:rPr>
                <w:rFonts w:ascii="Arial" w:hAnsi="Arial"/>
                <w:b w:val="0"/>
                <w:sz w:val="18"/>
              </w:rPr>
              <w:t>EmergencyOverrideEngine</w:t>
            </w:r>
          </w:p>
        </w:tc>
        <w:tc>
          <w:tcPr>
            <w:tcW w:type="dxa" w:w="4939"/>
            <w:vAlign w:val="top"/>
          </w:tcPr>
          <w:p>
            <w:pPr>
              <w:spacing w:after="0"/>
            </w:pPr>
            <w:r/>
            <w:r>
              <w:rPr>
                <w:rFonts w:ascii="Arial" w:hAnsi="Arial"/>
                <w:b w:val="0"/>
                <w:sz w:val="18"/>
              </w:rPr>
              <w:t>Checks emergency triggers before and after rule processing.</w:t>
            </w:r>
          </w:p>
        </w:tc>
      </w:tr>
      <w:tr>
        <w:tc>
          <w:tcPr>
            <w:tcW w:type="dxa" w:w="4939"/>
            <w:vAlign w:val="top"/>
          </w:tcPr>
          <w:p>
            <w:pPr>
              <w:spacing w:after="0"/>
            </w:pPr>
            <w:r/>
            <w:r>
              <w:rPr>
                <w:rFonts w:ascii="Arial" w:hAnsi="Arial"/>
                <w:b w:val="0"/>
                <w:sz w:val="18"/>
              </w:rPr>
              <w:t>MlAssessmentAdapter</w:t>
            </w:r>
          </w:p>
        </w:tc>
        <w:tc>
          <w:tcPr>
            <w:tcW w:type="dxa" w:w="4939"/>
            <w:vAlign w:val="top"/>
          </w:tcPr>
          <w:p>
            <w:pPr>
              <w:spacing w:after="0"/>
            </w:pPr>
            <w:r/>
            <w:r>
              <w:rPr>
                <w:rFonts w:ascii="Arial" w:hAnsi="Arial"/>
                <w:b w:val="0"/>
                <w:sz w:val="18"/>
              </w:rPr>
              <w:t>Calls the Python model through a strict schema and timeout; never decides the final outcome alone.</w:t>
            </w:r>
          </w:p>
        </w:tc>
      </w:tr>
      <w:tr>
        <w:tc>
          <w:tcPr>
            <w:tcW w:type="dxa" w:w="4939"/>
            <w:vAlign w:val="top"/>
          </w:tcPr>
          <w:p>
            <w:pPr>
              <w:spacing w:after="0"/>
            </w:pPr>
            <w:r/>
            <w:r>
              <w:rPr>
                <w:rFonts w:ascii="Arial" w:hAnsi="Arial"/>
                <w:b w:val="0"/>
                <w:sz w:val="18"/>
              </w:rPr>
              <w:t>RecommendationEngine</w:t>
            </w:r>
          </w:p>
        </w:tc>
        <w:tc>
          <w:tcPr>
            <w:tcW w:type="dxa" w:w="4939"/>
            <w:vAlign w:val="top"/>
          </w:tcPr>
          <w:p>
            <w:pPr>
              <w:spacing w:after="0"/>
            </w:pPr>
            <w:r/>
            <w:r>
              <w:rPr>
                <w:rFonts w:ascii="Arial" w:hAnsi="Arial"/>
                <w:b w:val="0"/>
                <w:sz w:val="18"/>
              </w:rPr>
              <w:t>Maps findings to controlled recommendation templates.</w:t>
            </w:r>
          </w:p>
        </w:tc>
      </w:tr>
      <w:tr>
        <w:tc>
          <w:tcPr>
            <w:tcW w:type="dxa" w:w="4939"/>
            <w:vAlign w:val="top"/>
          </w:tcPr>
          <w:p>
            <w:pPr>
              <w:spacing w:after="0"/>
            </w:pPr>
            <w:r/>
            <w:r>
              <w:rPr>
                <w:rFonts w:ascii="Arial" w:hAnsi="Arial"/>
                <w:b w:val="0"/>
                <w:sz w:val="18"/>
              </w:rPr>
              <w:t>ExplainabilityEngine</w:t>
            </w:r>
          </w:p>
        </w:tc>
        <w:tc>
          <w:tcPr>
            <w:tcW w:type="dxa" w:w="4939"/>
            <w:vAlign w:val="top"/>
          </w:tcPr>
          <w:p>
            <w:pPr>
              <w:spacing w:after="0"/>
            </w:pPr>
            <w:r/>
            <w:r>
              <w:rPr>
                <w:rFonts w:ascii="Arial" w:hAnsi="Arial"/>
                <w:b w:val="0"/>
                <w:sz w:val="18"/>
              </w:rPr>
              <w:t>Generates patient-specific reasoning narrative.</w:t>
            </w:r>
          </w:p>
        </w:tc>
      </w:tr>
      <w:tr>
        <w:tc>
          <w:tcPr>
            <w:tcW w:type="dxa" w:w="4939"/>
            <w:vAlign w:val="top"/>
          </w:tcPr>
          <w:p>
            <w:pPr>
              <w:spacing w:after="0"/>
            </w:pPr>
            <w:r/>
            <w:r>
              <w:rPr>
                <w:rFonts w:ascii="Arial" w:hAnsi="Arial"/>
                <w:b w:val="0"/>
                <w:sz w:val="18"/>
              </w:rPr>
              <w:t>ConfidenceEngine</w:t>
            </w:r>
          </w:p>
        </w:tc>
        <w:tc>
          <w:tcPr>
            <w:tcW w:type="dxa" w:w="4939"/>
            <w:vAlign w:val="top"/>
          </w:tcPr>
          <w:p>
            <w:pPr>
              <w:spacing w:after="0"/>
            </w:pPr>
            <w:r/>
            <w:r>
              <w:rPr>
                <w:rFonts w:ascii="Arial" w:hAnsi="Arial"/>
                <w:b w:val="0"/>
                <w:sz w:val="18"/>
              </w:rPr>
              <w:t>Describes data and evidence reliability.</w:t>
            </w:r>
          </w:p>
        </w:tc>
      </w:tr>
      <w:tr>
        <w:tc>
          <w:tcPr>
            <w:tcW w:type="dxa" w:w="4939"/>
            <w:vAlign w:val="top"/>
          </w:tcPr>
          <w:p>
            <w:pPr>
              <w:spacing w:after="0"/>
            </w:pPr>
            <w:r/>
            <w:r>
              <w:rPr>
                <w:rFonts w:ascii="Arial" w:hAnsi="Arial"/>
                <w:b w:val="0"/>
                <w:sz w:val="18"/>
              </w:rPr>
              <w:t>DecisionProvenanceRecorder</w:t>
            </w:r>
          </w:p>
        </w:tc>
        <w:tc>
          <w:tcPr>
            <w:tcW w:type="dxa" w:w="4939"/>
            <w:vAlign w:val="top"/>
          </w:tcPr>
          <w:p>
            <w:pPr>
              <w:spacing w:after="0"/>
            </w:pPr>
            <w:r/>
            <w:r>
              <w:rPr>
                <w:rFonts w:ascii="Arial" w:hAnsi="Arial"/>
                <w:b w:val="0"/>
                <w:sz w:val="18"/>
              </w:rPr>
              <w:t>Stores immutable input and output snapshots.</w:t>
            </w:r>
          </w:p>
        </w:tc>
      </w:tr>
      <w:tr>
        <w:tc>
          <w:tcPr>
            <w:tcW w:type="dxa" w:w="4939"/>
            <w:vAlign w:val="top"/>
          </w:tcPr>
          <w:p>
            <w:pPr>
              <w:spacing w:after="0"/>
            </w:pPr>
            <w:r/>
            <w:r>
              <w:rPr>
                <w:rFonts w:ascii="Arial" w:hAnsi="Arial"/>
                <w:b w:val="0"/>
                <w:sz w:val="18"/>
              </w:rPr>
              <w:t>KnowledgeReleaseRepository</w:t>
            </w:r>
          </w:p>
        </w:tc>
        <w:tc>
          <w:tcPr>
            <w:tcW w:type="dxa" w:w="4939"/>
            <w:vAlign w:val="top"/>
          </w:tcPr>
          <w:p>
            <w:pPr>
              <w:spacing w:after="0"/>
            </w:pPr>
            <w:r/>
            <w:r>
              <w:rPr>
                <w:rFonts w:ascii="Arial" w:hAnsi="Arial"/>
                <w:b w:val="0"/>
                <w:sz w:val="18"/>
              </w:rPr>
              <w:t>Loads the approved active rule-set version.</w:t>
            </w:r>
          </w:p>
        </w:tc>
      </w:tr>
      <w:tr>
        <w:tc>
          <w:tcPr>
            <w:tcW w:type="dxa" w:w="4939"/>
            <w:vAlign w:val="top"/>
          </w:tcPr>
          <w:p>
            <w:pPr>
              <w:spacing w:after="0"/>
            </w:pPr>
            <w:r/>
            <w:r>
              <w:rPr>
                <w:rFonts w:ascii="Arial" w:hAnsi="Arial"/>
                <w:b w:val="0"/>
                <w:sz w:val="18"/>
              </w:rPr>
              <w:t>ReferralWorkflowService</w:t>
            </w:r>
          </w:p>
        </w:tc>
        <w:tc>
          <w:tcPr>
            <w:tcW w:type="dxa" w:w="4939"/>
            <w:vAlign w:val="top"/>
          </w:tcPr>
          <w:p>
            <w:pPr>
              <w:spacing w:after="0"/>
            </w:pPr>
            <w:r/>
            <w:r>
              <w:rPr>
                <w:rFonts w:ascii="Arial" w:hAnsi="Arial"/>
                <w:b w:val="0"/>
                <w:sz w:val="18"/>
              </w:rPr>
              <w:t>Creates or updates referral workflow only through authorized user action or approved policy.</w:t>
            </w:r>
          </w:p>
        </w:tc>
      </w:tr>
    </w:tbl>
    <w:p/>
    <w:p>
      <w:pPr>
        <w:pStyle w:val="Heading1"/>
      </w:pPr>
      <w:r>
        <w:t>15.0 Recommended Core Data Entities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Entity</w:t>
            </w:r>
          </w:p>
        </w:tc>
        <w:tc>
          <w:tcPr>
            <w:tcW w:type="dxa" w:w="4939"/>
            <w:shd w:fill="D9EAF7"/>
            <w:vAlign w:val="center"/>
          </w:tcPr>
          <w:p>
            <w:pPr>
              <w:spacing w:after="0"/>
            </w:pPr>
            <w:r/>
            <w:r>
              <w:rPr>
                <w:rFonts w:ascii="Arial" w:hAnsi="Arial"/>
                <w:b/>
                <w:sz w:val="18"/>
              </w:rPr>
              <w:t>Purpose</w:t>
            </w:r>
          </w:p>
        </w:tc>
      </w:tr>
      <w:tr>
        <w:tc>
          <w:tcPr>
            <w:tcW w:type="dxa" w:w="4939"/>
            <w:vAlign w:val="top"/>
          </w:tcPr>
          <w:p>
            <w:pPr>
              <w:spacing w:after="0"/>
            </w:pPr>
            <w:r/>
            <w:r>
              <w:rPr>
                <w:rFonts w:ascii="Arial" w:hAnsi="Arial"/>
                <w:b w:val="0"/>
                <w:sz w:val="18"/>
              </w:rPr>
              <w:t>decision_executions</w:t>
            </w:r>
          </w:p>
        </w:tc>
        <w:tc>
          <w:tcPr>
            <w:tcW w:type="dxa" w:w="4939"/>
            <w:vAlign w:val="top"/>
          </w:tcPr>
          <w:p>
            <w:pPr>
              <w:spacing w:after="0"/>
            </w:pPr>
            <w:r/>
            <w:r>
              <w:rPr>
                <w:rFonts w:ascii="Arial" w:hAnsi="Arial"/>
                <w:b w:val="0"/>
                <w:sz w:val="18"/>
              </w:rPr>
              <w:t>One immutable record per assessment run and state transition history.</w:t>
            </w:r>
          </w:p>
        </w:tc>
      </w:tr>
      <w:tr>
        <w:tc>
          <w:tcPr>
            <w:tcW w:type="dxa" w:w="4939"/>
            <w:vAlign w:val="top"/>
          </w:tcPr>
          <w:p>
            <w:pPr>
              <w:spacing w:after="0"/>
            </w:pPr>
            <w:r/>
            <w:r>
              <w:rPr>
                <w:rFonts w:ascii="Arial" w:hAnsi="Arial"/>
                <w:b w:val="0"/>
                <w:sz w:val="18"/>
              </w:rPr>
              <w:t>decision_input_snapshots</w:t>
            </w:r>
          </w:p>
        </w:tc>
        <w:tc>
          <w:tcPr>
            <w:tcW w:type="dxa" w:w="4939"/>
            <w:vAlign w:val="top"/>
          </w:tcPr>
          <w:p>
            <w:pPr>
              <w:spacing w:after="0"/>
            </w:pPr>
            <w:r/>
            <w:r>
              <w:rPr>
                <w:rFonts w:ascii="Arial" w:hAnsi="Arial"/>
                <w:b w:val="0"/>
                <w:sz w:val="18"/>
              </w:rPr>
              <w:t>Exact values and source records used.</w:t>
            </w:r>
          </w:p>
        </w:tc>
      </w:tr>
      <w:tr>
        <w:tc>
          <w:tcPr>
            <w:tcW w:type="dxa" w:w="4939"/>
            <w:vAlign w:val="top"/>
          </w:tcPr>
          <w:p>
            <w:pPr>
              <w:spacing w:after="0"/>
            </w:pPr>
            <w:r/>
            <w:r>
              <w:rPr>
                <w:rFonts w:ascii="Arial" w:hAnsi="Arial"/>
                <w:b w:val="0"/>
                <w:sz w:val="18"/>
              </w:rPr>
              <w:t>decision_validation_findings</w:t>
            </w:r>
          </w:p>
        </w:tc>
        <w:tc>
          <w:tcPr>
            <w:tcW w:type="dxa" w:w="4939"/>
            <w:vAlign w:val="top"/>
          </w:tcPr>
          <w:p>
            <w:pPr>
              <w:spacing w:after="0"/>
            </w:pPr>
            <w:r/>
            <w:r>
              <w:rPr>
                <w:rFonts w:ascii="Arial" w:hAnsi="Arial"/>
                <w:b w:val="0"/>
                <w:sz w:val="18"/>
              </w:rPr>
              <w:t>Missing, invalid, stale, implausible, or conflicting data.</w:t>
            </w:r>
          </w:p>
        </w:tc>
      </w:tr>
      <w:tr>
        <w:tc>
          <w:tcPr>
            <w:tcW w:type="dxa" w:w="4939"/>
            <w:vAlign w:val="top"/>
          </w:tcPr>
          <w:p>
            <w:pPr>
              <w:spacing w:after="0"/>
            </w:pPr>
            <w:r/>
            <w:r>
              <w:rPr>
                <w:rFonts w:ascii="Arial" w:hAnsi="Arial"/>
                <w:b w:val="0"/>
                <w:sz w:val="18"/>
              </w:rPr>
              <w:t>decision_rule_results</w:t>
            </w:r>
          </w:p>
        </w:tc>
        <w:tc>
          <w:tcPr>
            <w:tcW w:type="dxa" w:w="4939"/>
            <w:vAlign w:val="top"/>
          </w:tcPr>
          <w:p>
            <w:pPr>
              <w:spacing w:after="0"/>
            </w:pPr>
            <w:r/>
            <w:r>
              <w:rPr>
                <w:rFonts w:ascii="Arial" w:hAnsi="Arial"/>
                <w:b w:val="0"/>
                <w:sz w:val="18"/>
              </w:rPr>
              <w:t>Every evaluated rule and result, including not-triggered or unable-to-evaluate states.</w:t>
            </w:r>
          </w:p>
        </w:tc>
      </w:tr>
      <w:tr>
        <w:tc>
          <w:tcPr>
            <w:tcW w:type="dxa" w:w="4939"/>
            <w:vAlign w:val="top"/>
          </w:tcPr>
          <w:p>
            <w:pPr>
              <w:spacing w:after="0"/>
            </w:pPr>
            <w:r/>
            <w:r>
              <w:rPr>
                <w:rFonts w:ascii="Arial" w:hAnsi="Arial"/>
                <w:b w:val="0"/>
                <w:sz w:val="18"/>
              </w:rPr>
              <w:t>decision_interactions</w:t>
            </w:r>
          </w:p>
        </w:tc>
        <w:tc>
          <w:tcPr>
            <w:tcW w:type="dxa" w:w="4939"/>
            <w:vAlign w:val="top"/>
          </w:tcPr>
          <w:p>
            <w:pPr>
              <w:spacing w:after="0"/>
            </w:pPr>
            <w:r/>
            <w:r>
              <w:rPr>
                <w:rFonts w:ascii="Arial" w:hAnsi="Arial"/>
                <w:b w:val="0"/>
                <w:sz w:val="18"/>
              </w:rPr>
              <w:t>Clinically meaningful combinations and their effects.</w:t>
            </w:r>
          </w:p>
        </w:tc>
      </w:tr>
      <w:tr>
        <w:tc>
          <w:tcPr>
            <w:tcW w:type="dxa" w:w="4939"/>
            <w:vAlign w:val="top"/>
          </w:tcPr>
          <w:p>
            <w:pPr>
              <w:spacing w:after="0"/>
            </w:pPr>
            <w:r/>
            <w:r>
              <w:rPr>
                <w:rFonts w:ascii="Arial" w:hAnsi="Arial"/>
                <w:b w:val="0"/>
                <w:sz w:val="18"/>
              </w:rPr>
              <w:t>decision_conflicts</w:t>
            </w:r>
          </w:p>
        </w:tc>
        <w:tc>
          <w:tcPr>
            <w:tcW w:type="dxa" w:w="4939"/>
            <w:vAlign w:val="top"/>
          </w:tcPr>
          <w:p>
            <w:pPr>
              <w:spacing w:after="0"/>
            </w:pPr>
            <w:r/>
            <w:r>
              <w:rPr>
                <w:rFonts w:ascii="Arial" w:hAnsi="Arial"/>
                <w:b w:val="0"/>
                <w:sz w:val="18"/>
              </w:rPr>
              <w:t>Conflicts, precedence, and unresolved uncertainty.</w:t>
            </w:r>
          </w:p>
        </w:tc>
      </w:tr>
      <w:tr>
        <w:tc>
          <w:tcPr>
            <w:tcW w:type="dxa" w:w="4939"/>
            <w:vAlign w:val="top"/>
          </w:tcPr>
          <w:p>
            <w:pPr>
              <w:spacing w:after="0"/>
            </w:pPr>
            <w:r/>
            <w:r>
              <w:rPr>
                <w:rFonts w:ascii="Arial" w:hAnsi="Arial"/>
                <w:b w:val="0"/>
                <w:sz w:val="18"/>
              </w:rPr>
              <w:t>decision_emergency_events</w:t>
            </w:r>
          </w:p>
        </w:tc>
        <w:tc>
          <w:tcPr>
            <w:tcW w:type="dxa" w:w="4939"/>
            <w:vAlign w:val="top"/>
          </w:tcPr>
          <w:p>
            <w:pPr>
              <w:spacing w:after="0"/>
            </w:pPr>
            <w:r/>
            <w:r>
              <w:rPr>
                <w:rFonts w:ascii="Arial" w:hAnsi="Arial"/>
                <w:b w:val="0"/>
                <w:sz w:val="18"/>
              </w:rPr>
              <w:t>Emergency triggers and interruption behavior.</w:t>
            </w:r>
          </w:p>
        </w:tc>
      </w:tr>
      <w:tr>
        <w:tc>
          <w:tcPr>
            <w:tcW w:type="dxa" w:w="4939"/>
            <w:vAlign w:val="top"/>
          </w:tcPr>
          <w:p>
            <w:pPr>
              <w:spacing w:after="0"/>
            </w:pPr>
            <w:r/>
            <w:r>
              <w:rPr>
                <w:rFonts w:ascii="Arial" w:hAnsi="Arial"/>
                <w:b w:val="0"/>
                <w:sz w:val="18"/>
              </w:rPr>
              <w:t>decision_recommendations</w:t>
            </w:r>
          </w:p>
        </w:tc>
        <w:tc>
          <w:tcPr>
            <w:tcW w:type="dxa" w:w="4939"/>
            <w:vAlign w:val="top"/>
          </w:tcPr>
          <w:p>
            <w:pPr>
              <w:spacing w:after="0"/>
            </w:pPr>
            <w:r/>
            <w:r>
              <w:rPr>
                <w:rFonts w:ascii="Arial" w:hAnsi="Arial"/>
                <w:b w:val="0"/>
                <w:sz w:val="18"/>
              </w:rPr>
              <w:t>Exact recommendation text and priority shown.</w:t>
            </w:r>
          </w:p>
        </w:tc>
      </w:tr>
      <w:tr>
        <w:tc>
          <w:tcPr>
            <w:tcW w:type="dxa" w:w="4939"/>
            <w:vAlign w:val="top"/>
          </w:tcPr>
          <w:p>
            <w:pPr>
              <w:spacing w:after="0"/>
            </w:pPr>
            <w:r/>
            <w:r>
              <w:rPr>
                <w:rFonts w:ascii="Arial" w:hAnsi="Arial"/>
                <w:b w:val="0"/>
                <w:sz w:val="18"/>
              </w:rPr>
              <w:t>decision_explanations</w:t>
            </w:r>
          </w:p>
        </w:tc>
        <w:tc>
          <w:tcPr>
            <w:tcW w:type="dxa" w:w="4939"/>
            <w:vAlign w:val="top"/>
          </w:tcPr>
          <w:p>
            <w:pPr>
              <w:spacing w:after="0"/>
            </w:pPr>
            <w:r/>
            <w:r>
              <w:rPr>
                <w:rFonts w:ascii="Arial" w:hAnsi="Arial"/>
                <w:b w:val="0"/>
                <w:sz w:val="18"/>
              </w:rPr>
              <w:t>Human-readable rationale and limitations.</w:t>
            </w:r>
          </w:p>
        </w:tc>
      </w:tr>
      <w:tr>
        <w:tc>
          <w:tcPr>
            <w:tcW w:type="dxa" w:w="4939"/>
            <w:vAlign w:val="top"/>
          </w:tcPr>
          <w:p>
            <w:pPr>
              <w:spacing w:after="0"/>
            </w:pPr>
            <w:r/>
            <w:r>
              <w:rPr>
                <w:rFonts w:ascii="Arial" w:hAnsi="Arial"/>
                <w:b w:val="0"/>
                <w:sz w:val="18"/>
              </w:rPr>
              <w:t>decision_confidence_records</w:t>
            </w:r>
          </w:p>
        </w:tc>
        <w:tc>
          <w:tcPr>
            <w:tcW w:type="dxa" w:w="4939"/>
            <w:vAlign w:val="top"/>
          </w:tcPr>
          <w:p>
            <w:pPr>
              <w:spacing w:after="0"/>
            </w:pPr>
            <w:r/>
            <w:r>
              <w:rPr>
                <w:rFonts w:ascii="Arial" w:hAnsi="Arial"/>
                <w:b w:val="0"/>
                <w:sz w:val="18"/>
              </w:rPr>
              <w:t>Evidence reliability description.</w:t>
            </w:r>
          </w:p>
        </w:tc>
      </w:tr>
      <w:tr>
        <w:tc>
          <w:tcPr>
            <w:tcW w:type="dxa" w:w="4939"/>
            <w:vAlign w:val="top"/>
          </w:tcPr>
          <w:p>
            <w:pPr>
              <w:spacing w:after="0"/>
            </w:pPr>
            <w:r/>
            <w:r>
              <w:rPr>
                <w:rFonts w:ascii="Arial" w:hAnsi="Arial"/>
                <w:b w:val="0"/>
                <w:sz w:val="18"/>
              </w:rPr>
              <w:t>decision_user_actions</w:t>
            </w:r>
          </w:p>
        </w:tc>
        <w:tc>
          <w:tcPr>
            <w:tcW w:type="dxa" w:w="4939"/>
            <w:vAlign w:val="top"/>
          </w:tcPr>
          <w:p>
            <w:pPr>
              <w:spacing w:after="0"/>
            </w:pPr>
            <w:r/>
            <w:r>
              <w:rPr>
                <w:rFonts w:ascii="Arial" w:hAnsi="Arial"/>
                <w:b w:val="0"/>
                <w:sz w:val="18"/>
              </w:rPr>
              <w:t>Acknowledgement, correction, referral, refusal, deferral, or override.</w:t>
            </w:r>
          </w:p>
        </w:tc>
      </w:tr>
      <w:tr>
        <w:tc>
          <w:tcPr>
            <w:tcW w:type="dxa" w:w="4939"/>
            <w:vAlign w:val="top"/>
          </w:tcPr>
          <w:p>
            <w:pPr>
              <w:spacing w:after="0"/>
            </w:pPr>
            <w:r/>
            <w:r>
              <w:rPr>
                <w:rFonts w:ascii="Arial" w:hAnsi="Arial"/>
                <w:b w:val="0"/>
                <w:sz w:val="18"/>
              </w:rPr>
              <w:t>knowledge_rules and versions</w:t>
            </w:r>
          </w:p>
        </w:tc>
        <w:tc>
          <w:tcPr>
            <w:tcW w:type="dxa" w:w="4939"/>
            <w:vAlign w:val="top"/>
          </w:tcPr>
          <w:p>
            <w:pPr>
              <w:spacing w:after="0"/>
            </w:pPr>
            <w:r/>
            <w:r>
              <w:rPr>
                <w:rFonts w:ascii="Arial" w:hAnsi="Arial"/>
                <w:b w:val="0"/>
                <w:sz w:val="18"/>
              </w:rPr>
              <w:t>Stable identifiers and immutable computable rule versions.</w:t>
            </w:r>
          </w:p>
        </w:tc>
      </w:tr>
      <w:tr>
        <w:tc>
          <w:tcPr>
            <w:tcW w:type="dxa" w:w="4939"/>
            <w:vAlign w:val="top"/>
          </w:tcPr>
          <w:p>
            <w:pPr>
              <w:spacing w:after="0"/>
            </w:pPr>
            <w:r/>
            <w:r>
              <w:rPr>
                <w:rFonts w:ascii="Arial" w:hAnsi="Arial"/>
                <w:b w:val="0"/>
                <w:sz w:val="18"/>
              </w:rPr>
              <w:t>knowledge_releases</w:t>
            </w:r>
          </w:p>
        </w:tc>
        <w:tc>
          <w:tcPr>
            <w:tcW w:type="dxa" w:w="4939"/>
            <w:vAlign w:val="top"/>
          </w:tcPr>
          <w:p>
            <w:pPr>
              <w:spacing w:after="0"/>
            </w:pPr>
            <w:r/>
            <w:r>
              <w:rPr>
                <w:rFonts w:ascii="Arial" w:hAnsi="Arial"/>
                <w:b w:val="0"/>
                <w:sz w:val="18"/>
              </w:rPr>
              <w:t>Approved coordinated releases with effective dates and rollback links.</w:t>
            </w:r>
          </w:p>
        </w:tc>
      </w:tr>
      <w:tr>
        <w:tc>
          <w:tcPr>
            <w:tcW w:type="dxa" w:w="4939"/>
            <w:vAlign w:val="top"/>
          </w:tcPr>
          <w:p>
            <w:pPr>
              <w:spacing w:after="0"/>
            </w:pPr>
            <w:r/>
            <w:r>
              <w:rPr>
                <w:rFonts w:ascii="Arial" w:hAnsi="Arial"/>
                <w:b w:val="0"/>
                <w:sz w:val="18"/>
              </w:rPr>
              <w:t>audit_events</w:t>
            </w:r>
          </w:p>
        </w:tc>
        <w:tc>
          <w:tcPr>
            <w:tcW w:type="dxa" w:w="4939"/>
            <w:vAlign w:val="top"/>
          </w:tcPr>
          <w:p>
            <w:pPr>
              <w:spacing w:after="0"/>
            </w:pPr>
            <w:r/>
            <w:r>
              <w:rPr>
                <w:rFonts w:ascii="Arial" w:hAnsi="Arial"/>
                <w:b w:val="0"/>
                <w:sz w:val="18"/>
              </w:rPr>
              <w:t>Cross-system event record.</w:t>
            </w:r>
          </w:p>
        </w:tc>
      </w:tr>
    </w:tbl>
    <w:p/>
    <w:p>
      <w:pPr>
        <w:pStyle w:val="Heading1"/>
      </w:pPr>
      <w:r>
        <w:t>16.0 Interface Architecture</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Screen or component</w:t>
            </w:r>
          </w:p>
        </w:tc>
        <w:tc>
          <w:tcPr>
            <w:tcW w:type="dxa" w:w="4939"/>
            <w:shd w:fill="D9EAF7"/>
            <w:vAlign w:val="center"/>
          </w:tcPr>
          <w:p>
            <w:pPr>
              <w:spacing w:after="0"/>
            </w:pPr>
            <w:r/>
            <w:r>
              <w:rPr>
                <w:rFonts w:ascii="Arial" w:hAnsi="Arial"/>
                <w:b/>
                <w:sz w:val="18"/>
              </w:rPr>
              <w:t>Required information</w:t>
            </w:r>
          </w:p>
        </w:tc>
      </w:tr>
      <w:tr>
        <w:tc>
          <w:tcPr>
            <w:tcW w:type="dxa" w:w="4939"/>
            <w:vAlign w:val="top"/>
          </w:tcPr>
          <w:p>
            <w:pPr>
              <w:spacing w:after="0"/>
            </w:pPr>
            <w:r/>
            <w:r>
              <w:rPr>
                <w:rFonts w:ascii="Arial" w:hAnsi="Arial"/>
                <w:b w:val="0"/>
                <w:sz w:val="18"/>
              </w:rPr>
              <w:t>Patient profile summary</w:t>
            </w:r>
          </w:p>
        </w:tc>
        <w:tc>
          <w:tcPr>
            <w:tcW w:type="dxa" w:w="4939"/>
            <w:vAlign w:val="top"/>
          </w:tcPr>
          <w:p>
            <w:pPr>
              <w:spacing w:after="0"/>
            </w:pPr>
            <w:r/>
            <w:r>
              <w:rPr>
                <w:rFonts w:ascii="Arial" w:hAnsi="Arial"/>
                <w:b w:val="0"/>
                <w:sz w:val="18"/>
              </w:rPr>
              <w:t>Latest assessment state, date, major reasons, missing requirements, and link to full explanation.</w:t>
            </w:r>
          </w:p>
        </w:tc>
      </w:tr>
      <w:tr>
        <w:tc>
          <w:tcPr>
            <w:tcW w:type="dxa" w:w="4939"/>
            <w:vAlign w:val="top"/>
          </w:tcPr>
          <w:p>
            <w:pPr>
              <w:spacing w:after="0"/>
            </w:pPr>
            <w:r/>
            <w:r>
              <w:rPr>
                <w:rFonts w:ascii="Arial" w:hAnsi="Arial"/>
                <w:b w:val="0"/>
                <w:sz w:val="18"/>
              </w:rPr>
              <w:t>Assessment detail</w:t>
            </w:r>
          </w:p>
        </w:tc>
        <w:tc>
          <w:tcPr>
            <w:tcW w:type="dxa" w:w="4939"/>
            <w:vAlign w:val="top"/>
          </w:tcPr>
          <w:p>
            <w:pPr>
              <w:spacing w:after="0"/>
            </w:pPr>
            <w:r/>
            <w:r>
              <w:rPr>
                <w:rFonts w:ascii="Arial" w:hAnsi="Arial"/>
                <w:b w:val="0"/>
                <w:sz w:val="18"/>
              </w:rPr>
              <w:t>All contributing rules, records, interactions, recommendation, confidence, limitations, and knowledge version.</w:t>
            </w:r>
          </w:p>
        </w:tc>
      </w:tr>
      <w:tr>
        <w:tc>
          <w:tcPr>
            <w:tcW w:type="dxa" w:w="4939"/>
            <w:vAlign w:val="top"/>
          </w:tcPr>
          <w:p>
            <w:pPr>
              <w:spacing w:after="0"/>
            </w:pPr>
            <w:r/>
            <w:r>
              <w:rPr>
                <w:rFonts w:ascii="Arial" w:hAnsi="Arial"/>
                <w:b w:val="0"/>
                <w:sz w:val="18"/>
              </w:rPr>
              <w:t>Incomplete-state panel</w:t>
            </w:r>
          </w:p>
        </w:tc>
        <w:tc>
          <w:tcPr>
            <w:tcW w:type="dxa" w:w="4939"/>
            <w:vAlign w:val="top"/>
          </w:tcPr>
          <w:p>
            <w:pPr>
              <w:spacing w:after="0"/>
            </w:pPr>
            <w:r/>
            <w:r>
              <w:rPr>
                <w:rFonts w:ascii="Arial" w:hAnsi="Arial"/>
                <w:b w:val="0"/>
                <w:sz w:val="18"/>
              </w:rPr>
              <w:t>Exact missing or invalid records and safe next steps.</w:t>
            </w:r>
          </w:p>
        </w:tc>
      </w:tr>
      <w:tr>
        <w:tc>
          <w:tcPr>
            <w:tcW w:type="dxa" w:w="4939"/>
            <w:vAlign w:val="top"/>
          </w:tcPr>
          <w:p>
            <w:pPr>
              <w:spacing w:after="0"/>
            </w:pPr>
            <w:r/>
            <w:r>
              <w:rPr>
                <w:rFonts w:ascii="Arial" w:hAnsi="Arial"/>
                <w:b w:val="0"/>
                <w:sz w:val="18"/>
              </w:rPr>
              <w:t>High-risk panel</w:t>
            </w:r>
          </w:p>
        </w:tc>
        <w:tc>
          <w:tcPr>
            <w:tcW w:type="dxa" w:w="4939"/>
            <w:vAlign w:val="top"/>
          </w:tcPr>
          <w:p>
            <w:pPr>
              <w:spacing w:after="0"/>
            </w:pPr>
            <w:r/>
            <w:r>
              <w:rPr>
                <w:rFonts w:ascii="Arial" w:hAnsi="Arial"/>
                <w:b w:val="0"/>
                <w:sz w:val="18"/>
              </w:rPr>
              <w:t>Contributing factors, referral-oriented recommendation, urgency, and acknowledgement controls.</w:t>
            </w:r>
          </w:p>
        </w:tc>
      </w:tr>
      <w:tr>
        <w:tc>
          <w:tcPr>
            <w:tcW w:type="dxa" w:w="4939"/>
            <w:vAlign w:val="top"/>
          </w:tcPr>
          <w:p>
            <w:pPr>
              <w:spacing w:after="0"/>
            </w:pPr>
            <w:r/>
            <w:r>
              <w:rPr>
                <w:rFonts w:ascii="Arial" w:hAnsi="Arial"/>
                <w:b w:val="0"/>
                <w:sz w:val="18"/>
              </w:rPr>
              <w:t>Emergency panel</w:t>
            </w:r>
          </w:p>
        </w:tc>
        <w:tc>
          <w:tcPr>
            <w:tcW w:type="dxa" w:w="4939"/>
            <w:vAlign w:val="top"/>
          </w:tcPr>
          <w:p>
            <w:pPr>
              <w:spacing w:after="0"/>
            </w:pPr>
            <w:r/>
            <w:r>
              <w:rPr>
                <w:rFonts w:ascii="Arial" w:hAnsi="Arial"/>
                <w:b w:val="0"/>
                <w:sz w:val="18"/>
              </w:rPr>
              <w:t>Prominent escalation wording, trigger, timestamp, and immediate action documentation.</w:t>
            </w:r>
          </w:p>
        </w:tc>
      </w:tr>
      <w:tr>
        <w:tc>
          <w:tcPr>
            <w:tcW w:type="dxa" w:w="4939"/>
            <w:vAlign w:val="top"/>
          </w:tcPr>
          <w:p>
            <w:pPr>
              <w:spacing w:after="0"/>
            </w:pPr>
            <w:r/>
            <w:r>
              <w:rPr>
                <w:rFonts w:ascii="Arial" w:hAnsi="Arial"/>
                <w:b w:val="0"/>
                <w:sz w:val="18"/>
              </w:rPr>
              <w:t>Decision history</w:t>
            </w:r>
          </w:p>
        </w:tc>
        <w:tc>
          <w:tcPr>
            <w:tcW w:type="dxa" w:w="4939"/>
            <w:vAlign w:val="top"/>
          </w:tcPr>
          <w:p>
            <w:pPr>
              <w:spacing w:after="0"/>
            </w:pPr>
            <w:r/>
            <w:r>
              <w:rPr>
                <w:rFonts w:ascii="Arial" w:hAnsi="Arial"/>
                <w:b w:val="0"/>
                <w:sz w:val="18"/>
              </w:rPr>
              <w:t>Chronological immutable executions with recalculation links.</w:t>
            </w:r>
          </w:p>
        </w:tc>
      </w:tr>
      <w:tr>
        <w:tc>
          <w:tcPr>
            <w:tcW w:type="dxa" w:w="4939"/>
            <w:vAlign w:val="top"/>
          </w:tcPr>
          <w:p>
            <w:pPr>
              <w:spacing w:after="0"/>
            </w:pPr>
            <w:r/>
            <w:r>
              <w:rPr>
                <w:rFonts w:ascii="Arial" w:hAnsi="Arial"/>
                <w:b w:val="0"/>
                <w:sz w:val="18"/>
              </w:rPr>
              <w:t>Referral form</w:t>
            </w:r>
          </w:p>
        </w:tc>
        <w:tc>
          <w:tcPr>
            <w:tcW w:type="dxa" w:w="4939"/>
            <w:vAlign w:val="top"/>
          </w:tcPr>
          <w:p>
            <w:pPr>
              <w:spacing w:after="0"/>
            </w:pPr>
            <w:r/>
            <w:r>
              <w:rPr>
                <w:rFonts w:ascii="Arial" w:hAnsi="Arial"/>
                <w:b w:val="0"/>
                <w:sz w:val="18"/>
              </w:rPr>
              <w:t>Patient, reason mapping, urgency, facility, clinician, date, notes, and status.</w:t>
            </w:r>
          </w:p>
        </w:tc>
      </w:tr>
      <w:tr>
        <w:tc>
          <w:tcPr>
            <w:tcW w:type="dxa" w:w="4939"/>
            <w:vAlign w:val="top"/>
          </w:tcPr>
          <w:p>
            <w:pPr>
              <w:spacing w:after="0"/>
            </w:pPr>
            <w:r/>
            <w:r>
              <w:rPr>
                <w:rFonts w:ascii="Arial" w:hAnsi="Arial"/>
                <w:b w:val="0"/>
                <w:sz w:val="18"/>
              </w:rPr>
              <w:t>Knowledge administration</w:t>
            </w:r>
          </w:p>
        </w:tc>
        <w:tc>
          <w:tcPr>
            <w:tcW w:type="dxa" w:w="4939"/>
            <w:vAlign w:val="top"/>
          </w:tcPr>
          <w:p>
            <w:pPr>
              <w:spacing w:after="0"/>
            </w:pPr>
            <w:r/>
            <w:r>
              <w:rPr>
                <w:rFonts w:ascii="Arial" w:hAnsi="Arial"/>
                <w:b w:val="0"/>
                <w:sz w:val="18"/>
              </w:rPr>
              <w:t>Restricted release and rule-version management with review and approval workflow.</w:t>
            </w:r>
          </w:p>
        </w:tc>
      </w:tr>
      <w:tr>
        <w:tc>
          <w:tcPr>
            <w:tcW w:type="dxa" w:w="4939"/>
            <w:vAlign w:val="top"/>
          </w:tcPr>
          <w:p>
            <w:pPr>
              <w:spacing w:after="0"/>
            </w:pPr>
            <w:r/>
            <w:r>
              <w:rPr>
                <w:rFonts w:ascii="Arial" w:hAnsi="Arial"/>
                <w:b w:val="0"/>
                <w:sz w:val="18"/>
              </w:rPr>
              <w:t>Audit detail</w:t>
            </w:r>
          </w:p>
        </w:tc>
        <w:tc>
          <w:tcPr>
            <w:tcW w:type="dxa" w:w="4939"/>
            <w:vAlign w:val="top"/>
          </w:tcPr>
          <w:p>
            <w:pPr>
              <w:spacing w:after="0"/>
            </w:pPr>
            <w:r/>
            <w:r>
              <w:rPr>
                <w:rFonts w:ascii="Arial" w:hAnsi="Arial"/>
                <w:b w:val="0"/>
                <w:sz w:val="18"/>
              </w:rPr>
              <w:t>Authorized view of decision provenance and user actions.</w:t>
            </w:r>
          </w:p>
        </w:tc>
      </w:tr>
    </w:tbl>
    <w:p/>
    <w:p>
      <w:pPr>
        <w:pStyle w:val="Heading1"/>
      </w:pPr>
      <w:r>
        <w:t>17.0 Non-Functional Requirements</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Requirement</w:t>
            </w:r>
          </w:p>
        </w:tc>
        <w:tc>
          <w:tcPr>
            <w:tcW w:type="dxa" w:w="4939"/>
            <w:shd w:fill="D9EAF7"/>
            <w:vAlign w:val="center"/>
          </w:tcPr>
          <w:p>
            <w:pPr>
              <w:spacing w:after="0"/>
            </w:pPr>
            <w:r/>
            <w:r>
              <w:rPr>
                <w:rFonts w:ascii="Arial" w:hAnsi="Arial"/>
                <w:b/>
                <w:sz w:val="18"/>
              </w:rPr>
              <w:t>Minimum expectation</w:t>
            </w:r>
          </w:p>
        </w:tc>
      </w:tr>
      <w:tr>
        <w:tc>
          <w:tcPr>
            <w:tcW w:type="dxa" w:w="4939"/>
            <w:vAlign w:val="top"/>
          </w:tcPr>
          <w:p>
            <w:pPr>
              <w:spacing w:after="0"/>
            </w:pPr>
            <w:r/>
            <w:r>
              <w:rPr>
                <w:rFonts w:ascii="Arial" w:hAnsi="Arial"/>
                <w:b w:val="0"/>
                <w:sz w:val="18"/>
              </w:rPr>
              <w:t>Determinism</w:t>
            </w:r>
          </w:p>
        </w:tc>
        <w:tc>
          <w:tcPr>
            <w:tcW w:type="dxa" w:w="4939"/>
            <w:vAlign w:val="top"/>
          </w:tcPr>
          <w:p>
            <w:pPr>
              <w:spacing w:after="0"/>
            </w:pPr>
            <w:r/>
            <w:r>
              <w:rPr>
                <w:rFonts w:ascii="Arial" w:hAnsi="Arial"/>
                <w:b w:val="0"/>
                <w:sz w:val="18"/>
              </w:rPr>
              <w:t>The same input snapshot and active deterministic rule release produce the same rule outcome.</w:t>
            </w:r>
          </w:p>
        </w:tc>
      </w:tr>
      <w:tr>
        <w:tc>
          <w:tcPr>
            <w:tcW w:type="dxa" w:w="4939"/>
            <w:vAlign w:val="top"/>
          </w:tcPr>
          <w:p>
            <w:pPr>
              <w:spacing w:after="0"/>
            </w:pPr>
            <w:r/>
            <w:r>
              <w:rPr>
                <w:rFonts w:ascii="Arial" w:hAnsi="Arial"/>
                <w:b w:val="0"/>
                <w:sz w:val="18"/>
              </w:rPr>
              <w:t>Traceability</w:t>
            </w:r>
          </w:p>
        </w:tc>
        <w:tc>
          <w:tcPr>
            <w:tcW w:type="dxa" w:w="4939"/>
            <w:vAlign w:val="top"/>
          </w:tcPr>
          <w:p>
            <w:pPr>
              <w:spacing w:after="0"/>
            </w:pPr>
            <w:r/>
            <w:r>
              <w:rPr>
                <w:rFonts w:ascii="Arial" w:hAnsi="Arial"/>
                <w:b w:val="0"/>
                <w:sz w:val="18"/>
              </w:rPr>
              <w:t>Every final statement can be linked to source inputs and processing records.</w:t>
            </w:r>
          </w:p>
        </w:tc>
      </w:tr>
      <w:tr>
        <w:tc>
          <w:tcPr>
            <w:tcW w:type="dxa" w:w="4939"/>
            <w:vAlign w:val="top"/>
          </w:tcPr>
          <w:p>
            <w:pPr>
              <w:spacing w:after="0"/>
            </w:pPr>
            <w:r/>
            <w:r>
              <w:rPr>
                <w:rFonts w:ascii="Arial" w:hAnsi="Arial"/>
                <w:b w:val="0"/>
                <w:sz w:val="18"/>
              </w:rPr>
              <w:t>Availability</w:t>
            </w:r>
          </w:p>
        </w:tc>
        <w:tc>
          <w:tcPr>
            <w:tcW w:type="dxa" w:w="4939"/>
            <w:vAlign w:val="top"/>
          </w:tcPr>
          <w:p>
            <w:pPr>
              <w:spacing w:after="0"/>
            </w:pPr>
            <w:r/>
            <w:r>
              <w:rPr>
                <w:rFonts w:ascii="Arial" w:hAnsi="Arial"/>
                <w:b w:val="0"/>
                <w:sz w:val="18"/>
              </w:rPr>
              <w:t>Rule-based safety assessment remains available even when the optional ML service is unavailable, subject to required data.</w:t>
            </w:r>
          </w:p>
        </w:tc>
      </w:tr>
      <w:tr>
        <w:tc>
          <w:tcPr>
            <w:tcW w:type="dxa" w:w="4939"/>
            <w:vAlign w:val="top"/>
          </w:tcPr>
          <w:p>
            <w:pPr>
              <w:spacing w:after="0"/>
            </w:pPr>
            <w:r/>
            <w:r>
              <w:rPr>
                <w:rFonts w:ascii="Arial" w:hAnsi="Arial"/>
                <w:b w:val="0"/>
                <w:sz w:val="18"/>
              </w:rPr>
              <w:t>Performance</w:t>
            </w:r>
          </w:p>
        </w:tc>
        <w:tc>
          <w:tcPr>
            <w:tcW w:type="dxa" w:w="4939"/>
            <w:vAlign w:val="top"/>
          </w:tcPr>
          <w:p>
            <w:pPr>
              <w:spacing w:after="0"/>
            </w:pPr>
            <w:r/>
            <w:r>
              <w:rPr>
                <w:rFonts w:ascii="Arial" w:hAnsi="Arial"/>
                <w:b w:val="0"/>
                <w:sz w:val="18"/>
              </w:rPr>
              <w:t>Routine assessment should complete within a clinically acceptable response time defined during implementation testing.</w:t>
            </w:r>
          </w:p>
        </w:tc>
      </w:tr>
      <w:tr>
        <w:tc>
          <w:tcPr>
            <w:tcW w:type="dxa" w:w="4939"/>
            <w:vAlign w:val="top"/>
          </w:tcPr>
          <w:p>
            <w:pPr>
              <w:spacing w:after="0"/>
            </w:pPr>
            <w:r/>
            <w:r>
              <w:rPr>
                <w:rFonts w:ascii="Arial" w:hAnsi="Arial"/>
                <w:b w:val="0"/>
                <w:sz w:val="18"/>
              </w:rPr>
              <w:t>Security</w:t>
            </w:r>
          </w:p>
        </w:tc>
        <w:tc>
          <w:tcPr>
            <w:tcW w:type="dxa" w:w="4939"/>
            <w:vAlign w:val="top"/>
          </w:tcPr>
          <w:p>
            <w:pPr>
              <w:spacing w:after="0"/>
            </w:pPr>
            <w:r/>
            <w:r>
              <w:rPr>
                <w:rFonts w:ascii="Arial" w:hAnsi="Arial"/>
                <w:b w:val="0"/>
                <w:sz w:val="18"/>
              </w:rPr>
              <w:t>Authentication, authorization, encrypted transport, protected secrets, and controlled audit access.</w:t>
            </w:r>
          </w:p>
        </w:tc>
      </w:tr>
      <w:tr>
        <w:tc>
          <w:tcPr>
            <w:tcW w:type="dxa" w:w="4939"/>
            <w:vAlign w:val="top"/>
          </w:tcPr>
          <w:p>
            <w:pPr>
              <w:spacing w:after="0"/>
            </w:pPr>
            <w:r/>
            <w:r>
              <w:rPr>
                <w:rFonts w:ascii="Arial" w:hAnsi="Arial"/>
                <w:b w:val="0"/>
                <w:sz w:val="18"/>
              </w:rPr>
              <w:t>Privacy</w:t>
            </w:r>
          </w:p>
        </w:tc>
        <w:tc>
          <w:tcPr>
            <w:tcW w:type="dxa" w:w="4939"/>
            <w:vAlign w:val="top"/>
          </w:tcPr>
          <w:p>
            <w:pPr>
              <w:spacing w:after="0"/>
            </w:pPr>
            <w:r/>
            <w:r>
              <w:rPr>
                <w:rFonts w:ascii="Arial" w:hAnsi="Arial"/>
                <w:b w:val="0"/>
                <w:sz w:val="18"/>
              </w:rPr>
              <w:t>Minimum necessary collection and access; no unnecessary sensitive data in logs.</w:t>
            </w:r>
          </w:p>
        </w:tc>
      </w:tr>
      <w:tr>
        <w:tc>
          <w:tcPr>
            <w:tcW w:type="dxa" w:w="4939"/>
            <w:vAlign w:val="top"/>
          </w:tcPr>
          <w:p>
            <w:pPr>
              <w:spacing w:after="0"/>
            </w:pPr>
            <w:r/>
            <w:r>
              <w:rPr>
                <w:rFonts w:ascii="Arial" w:hAnsi="Arial"/>
                <w:b w:val="0"/>
                <w:sz w:val="18"/>
              </w:rPr>
              <w:t>Maintainability</w:t>
            </w:r>
          </w:p>
        </w:tc>
        <w:tc>
          <w:tcPr>
            <w:tcW w:type="dxa" w:w="4939"/>
            <w:vAlign w:val="top"/>
          </w:tcPr>
          <w:p>
            <w:pPr>
              <w:spacing w:after="0"/>
            </w:pPr>
            <w:r/>
            <w:r>
              <w:rPr>
                <w:rFonts w:ascii="Arial" w:hAnsi="Arial"/>
                <w:b w:val="0"/>
                <w:sz w:val="18"/>
              </w:rPr>
              <w:t>Clinical rules are separate from controllers and published through governed releases.</w:t>
            </w:r>
          </w:p>
        </w:tc>
      </w:tr>
      <w:tr>
        <w:tc>
          <w:tcPr>
            <w:tcW w:type="dxa" w:w="4939"/>
            <w:vAlign w:val="top"/>
          </w:tcPr>
          <w:p>
            <w:pPr>
              <w:spacing w:after="0"/>
            </w:pPr>
            <w:r/>
            <w:r>
              <w:rPr>
                <w:rFonts w:ascii="Arial" w:hAnsi="Arial"/>
                <w:b w:val="0"/>
                <w:sz w:val="18"/>
              </w:rPr>
              <w:t>Testability</w:t>
            </w:r>
          </w:p>
        </w:tc>
        <w:tc>
          <w:tcPr>
            <w:tcW w:type="dxa" w:w="4939"/>
            <w:vAlign w:val="top"/>
          </w:tcPr>
          <w:p>
            <w:pPr>
              <w:spacing w:after="0"/>
            </w:pPr>
            <w:r/>
            <w:r>
              <w:rPr>
                <w:rFonts w:ascii="Arial" w:hAnsi="Arial"/>
                <w:b w:val="0"/>
                <w:sz w:val="18"/>
              </w:rPr>
              <w:t>Unit, integration, regression, boundary, failure, and user-acceptance tests are required.</w:t>
            </w:r>
          </w:p>
        </w:tc>
      </w:tr>
      <w:tr>
        <w:tc>
          <w:tcPr>
            <w:tcW w:type="dxa" w:w="4939"/>
            <w:vAlign w:val="top"/>
          </w:tcPr>
          <w:p>
            <w:pPr>
              <w:spacing w:after="0"/>
            </w:pPr>
            <w:r/>
            <w:r>
              <w:rPr>
                <w:rFonts w:ascii="Arial" w:hAnsi="Arial"/>
                <w:b w:val="0"/>
                <w:sz w:val="18"/>
              </w:rPr>
              <w:t>Usability</w:t>
            </w:r>
          </w:p>
        </w:tc>
        <w:tc>
          <w:tcPr>
            <w:tcW w:type="dxa" w:w="4939"/>
            <w:vAlign w:val="top"/>
          </w:tcPr>
          <w:p>
            <w:pPr>
              <w:spacing w:after="0"/>
            </w:pPr>
            <w:r/>
            <w:r>
              <w:rPr>
                <w:rFonts w:ascii="Arial" w:hAnsi="Arial"/>
                <w:b w:val="0"/>
                <w:sz w:val="18"/>
              </w:rPr>
              <w:t>Outputs use clear language suitable for the intended clinic users and avoid unsupported certainty.</w:t>
            </w:r>
          </w:p>
        </w:tc>
      </w:tr>
      <w:tr>
        <w:tc>
          <w:tcPr>
            <w:tcW w:type="dxa" w:w="4939"/>
            <w:vAlign w:val="top"/>
          </w:tcPr>
          <w:p>
            <w:pPr>
              <w:spacing w:after="0"/>
            </w:pPr>
            <w:r/>
            <w:r>
              <w:rPr>
                <w:rFonts w:ascii="Arial" w:hAnsi="Arial"/>
                <w:b w:val="0"/>
                <w:sz w:val="18"/>
              </w:rPr>
              <w:t>Recoverability</w:t>
            </w:r>
          </w:p>
        </w:tc>
        <w:tc>
          <w:tcPr>
            <w:tcW w:type="dxa" w:w="4939"/>
            <w:vAlign w:val="top"/>
          </w:tcPr>
          <w:p>
            <w:pPr>
              <w:spacing w:after="0"/>
            </w:pPr>
            <w:r/>
            <w:r>
              <w:rPr>
                <w:rFonts w:ascii="Arial" w:hAnsi="Arial"/>
                <w:b w:val="0"/>
                <w:sz w:val="18"/>
              </w:rPr>
              <w:t>Backups and restoration preserve decision history and active knowledge-release integrity.</w:t>
            </w:r>
          </w:p>
        </w:tc>
      </w:tr>
    </w:tbl>
    <w:p/>
    <w:p>
      <w:pPr>
        <w:pStyle w:val="Heading1"/>
      </w:pPr>
      <w:r>
        <w:t>18.0 Verification and Acceptance Matrix</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Architecture claim</w:t>
            </w:r>
          </w:p>
        </w:tc>
        <w:tc>
          <w:tcPr>
            <w:tcW w:type="dxa" w:w="4939"/>
            <w:shd w:fill="D9EAF7"/>
            <w:vAlign w:val="center"/>
          </w:tcPr>
          <w:p>
            <w:pPr>
              <w:spacing w:after="0"/>
            </w:pPr>
            <w:r/>
            <w:r>
              <w:rPr>
                <w:rFonts w:ascii="Arial" w:hAnsi="Arial"/>
                <w:b/>
                <w:sz w:val="18"/>
              </w:rPr>
              <w:t>Acceptance evidence</w:t>
            </w:r>
          </w:p>
        </w:tc>
      </w:tr>
      <w:tr>
        <w:tc>
          <w:tcPr>
            <w:tcW w:type="dxa" w:w="4939"/>
            <w:vAlign w:val="top"/>
          </w:tcPr>
          <w:p>
            <w:pPr>
              <w:spacing w:after="0"/>
            </w:pPr>
            <w:r/>
            <w:r>
              <w:rPr>
                <w:rFonts w:ascii="Arial" w:hAnsi="Arial"/>
                <w:b w:val="0"/>
                <w:sz w:val="18"/>
              </w:rPr>
              <w:t>Missing required records prevent LOW.</w:t>
            </w:r>
          </w:p>
        </w:tc>
        <w:tc>
          <w:tcPr>
            <w:tcW w:type="dxa" w:w="4939"/>
            <w:vAlign w:val="top"/>
          </w:tcPr>
          <w:p>
            <w:pPr>
              <w:spacing w:after="0"/>
            </w:pPr>
            <w:r/>
            <w:r>
              <w:rPr>
                <w:rFonts w:ascii="Arial" w:hAnsi="Arial"/>
                <w:b w:val="0"/>
                <w:sz w:val="18"/>
              </w:rPr>
              <w:t>Automated tests for each missing-record combination.</w:t>
            </w:r>
          </w:p>
        </w:tc>
      </w:tr>
      <w:tr>
        <w:tc>
          <w:tcPr>
            <w:tcW w:type="dxa" w:w="4939"/>
            <w:vAlign w:val="top"/>
          </w:tcPr>
          <w:p>
            <w:pPr>
              <w:spacing w:after="0"/>
            </w:pPr>
            <w:r/>
            <w:r>
              <w:rPr>
                <w:rFonts w:ascii="Arial" w:hAnsi="Arial"/>
                <w:b w:val="0"/>
                <w:sz w:val="18"/>
              </w:rPr>
              <w:t>Rule-based HIGH overrides ML LOW.</w:t>
            </w:r>
          </w:p>
        </w:tc>
        <w:tc>
          <w:tcPr>
            <w:tcW w:type="dxa" w:w="4939"/>
            <w:vAlign w:val="top"/>
          </w:tcPr>
          <w:p>
            <w:pPr>
              <w:spacing w:after="0"/>
            </w:pPr>
            <w:r/>
            <w:r>
              <w:rPr>
                <w:rFonts w:ascii="Arial" w:hAnsi="Arial"/>
                <w:b w:val="0"/>
                <w:sz w:val="18"/>
              </w:rPr>
              <w:t>Regression cases showing final HIGH with separate ML record.</w:t>
            </w:r>
          </w:p>
        </w:tc>
      </w:tr>
      <w:tr>
        <w:tc>
          <w:tcPr>
            <w:tcW w:type="dxa" w:w="4939"/>
            <w:vAlign w:val="top"/>
          </w:tcPr>
          <w:p>
            <w:pPr>
              <w:spacing w:after="0"/>
            </w:pPr>
            <w:r/>
            <w:r>
              <w:rPr>
                <w:rFonts w:ascii="Arial" w:hAnsi="Arial"/>
                <w:b w:val="0"/>
                <w:sz w:val="18"/>
              </w:rPr>
              <w:t>Emergency logic interrupts routine ordering.</w:t>
            </w:r>
          </w:p>
        </w:tc>
        <w:tc>
          <w:tcPr>
            <w:tcW w:type="dxa" w:w="4939"/>
            <w:vAlign w:val="top"/>
          </w:tcPr>
          <w:p>
            <w:pPr>
              <w:spacing w:after="0"/>
            </w:pPr>
            <w:r/>
            <w:r>
              <w:rPr>
                <w:rFonts w:ascii="Arial" w:hAnsi="Arial"/>
                <w:b w:val="0"/>
                <w:sz w:val="18"/>
              </w:rPr>
              <w:t>Tests showing emergency event before normal recommendation output.</w:t>
            </w:r>
          </w:p>
        </w:tc>
      </w:tr>
      <w:tr>
        <w:tc>
          <w:tcPr>
            <w:tcW w:type="dxa" w:w="4939"/>
            <w:vAlign w:val="top"/>
          </w:tcPr>
          <w:p>
            <w:pPr>
              <w:spacing w:after="0"/>
            </w:pPr>
            <w:r/>
            <w:r>
              <w:rPr>
                <w:rFonts w:ascii="Arial" w:hAnsi="Arial"/>
                <w:b w:val="0"/>
                <w:sz w:val="18"/>
              </w:rPr>
              <w:t>Malformed ML output is rejected.</w:t>
            </w:r>
          </w:p>
        </w:tc>
        <w:tc>
          <w:tcPr>
            <w:tcW w:type="dxa" w:w="4939"/>
            <w:vAlign w:val="top"/>
          </w:tcPr>
          <w:p>
            <w:pPr>
              <w:spacing w:after="0"/>
            </w:pPr>
            <w:r/>
            <w:r>
              <w:rPr>
                <w:rFonts w:ascii="Arial" w:hAnsi="Arial"/>
                <w:b w:val="0"/>
                <w:sz w:val="18"/>
              </w:rPr>
              <w:t>Schema, controlled-vocabulary, timeout, empty-output, and error-text tests.</w:t>
            </w:r>
          </w:p>
        </w:tc>
      </w:tr>
      <w:tr>
        <w:tc>
          <w:tcPr>
            <w:tcW w:type="dxa" w:w="4939"/>
            <w:vAlign w:val="top"/>
          </w:tcPr>
          <w:p>
            <w:pPr>
              <w:spacing w:after="0"/>
            </w:pPr>
            <w:r/>
            <w:r>
              <w:rPr>
                <w:rFonts w:ascii="Arial" w:hAnsi="Arial"/>
                <w:b w:val="0"/>
                <w:sz w:val="18"/>
              </w:rPr>
              <w:t>Historical decisions are immutable.</w:t>
            </w:r>
          </w:p>
        </w:tc>
        <w:tc>
          <w:tcPr>
            <w:tcW w:type="dxa" w:w="4939"/>
            <w:vAlign w:val="top"/>
          </w:tcPr>
          <w:p>
            <w:pPr>
              <w:spacing w:after="0"/>
            </w:pPr>
            <w:r/>
            <w:r>
              <w:rPr>
                <w:rFonts w:ascii="Arial" w:hAnsi="Arial"/>
                <w:b w:val="0"/>
                <w:sz w:val="18"/>
              </w:rPr>
              <w:t>Database and authorization tests blocking direct update or deletion.</w:t>
            </w:r>
          </w:p>
        </w:tc>
      </w:tr>
      <w:tr>
        <w:tc>
          <w:tcPr>
            <w:tcW w:type="dxa" w:w="4939"/>
            <w:vAlign w:val="top"/>
          </w:tcPr>
          <w:p>
            <w:pPr>
              <w:spacing w:after="0"/>
            </w:pPr>
            <w:r/>
            <w:r>
              <w:rPr>
                <w:rFonts w:ascii="Arial" w:hAnsi="Arial"/>
                <w:b w:val="0"/>
                <w:sz w:val="18"/>
              </w:rPr>
              <w:t>Recalculation preserves history.</w:t>
            </w:r>
          </w:p>
        </w:tc>
        <w:tc>
          <w:tcPr>
            <w:tcW w:type="dxa" w:w="4939"/>
            <w:vAlign w:val="top"/>
          </w:tcPr>
          <w:p>
            <w:pPr>
              <w:spacing w:after="0"/>
            </w:pPr>
            <w:r/>
            <w:r>
              <w:rPr>
                <w:rFonts w:ascii="Arial" w:hAnsi="Arial"/>
                <w:b w:val="0"/>
                <w:sz w:val="18"/>
              </w:rPr>
              <w:t>New linked execution created after source-data correction.</w:t>
            </w:r>
          </w:p>
        </w:tc>
      </w:tr>
      <w:tr>
        <w:tc>
          <w:tcPr>
            <w:tcW w:type="dxa" w:w="4939"/>
            <w:vAlign w:val="top"/>
          </w:tcPr>
          <w:p>
            <w:pPr>
              <w:spacing w:after="0"/>
            </w:pPr>
            <w:r/>
            <w:r>
              <w:rPr>
                <w:rFonts w:ascii="Arial" w:hAnsi="Arial"/>
                <w:b w:val="0"/>
                <w:sz w:val="18"/>
              </w:rPr>
              <w:t>Every recommendation is explainable.</w:t>
            </w:r>
          </w:p>
        </w:tc>
        <w:tc>
          <w:tcPr>
            <w:tcW w:type="dxa" w:w="4939"/>
            <w:vAlign w:val="top"/>
          </w:tcPr>
          <w:p>
            <w:pPr>
              <w:spacing w:after="0"/>
            </w:pPr>
            <w:r/>
            <w:r>
              <w:rPr>
                <w:rFonts w:ascii="Arial" w:hAnsi="Arial"/>
                <w:b w:val="0"/>
                <w:sz w:val="18"/>
              </w:rPr>
              <w:t>UI and storage verification for factors, sources, logic, limitations, and versions.</w:t>
            </w:r>
          </w:p>
        </w:tc>
      </w:tr>
      <w:tr>
        <w:tc>
          <w:tcPr>
            <w:tcW w:type="dxa" w:w="4939"/>
            <w:vAlign w:val="top"/>
          </w:tcPr>
          <w:p>
            <w:pPr>
              <w:spacing w:after="0"/>
            </w:pPr>
            <w:r/>
            <w:r>
              <w:rPr>
                <w:rFonts w:ascii="Arial" w:hAnsi="Arial"/>
                <w:b w:val="0"/>
                <w:sz w:val="18"/>
              </w:rPr>
              <w:t>Rules are governed and versioned.</w:t>
            </w:r>
          </w:p>
        </w:tc>
        <w:tc>
          <w:tcPr>
            <w:tcW w:type="dxa" w:w="4939"/>
            <w:vAlign w:val="top"/>
          </w:tcPr>
          <w:p>
            <w:pPr>
              <w:spacing w:after="0"/>
            </w:pPr>
            <w:r/>
            <w:r>
              <w:rPr>
                <w:rFonts w:ascii="Arial" w:hAnsi="Arial"/>
                <w:b w:val="0"/>
                <w:sz w:val="18"/>
              </w:rPr>
              <w:t>Draft-review-approval-publish-deprecate-rollback workflow tests.</w:t>
            </w:r>
          </w:p>
        </w:tc>
      </w:tr>
      <w:tr>
        <w:tc>
          <w:tcPr>
            <w:tcW w:type="dxa" w:w="4939"/>
            <w:vAlign w:val="top"/>
          </w:tcPr>
          <w:p>
            <w:pPr>
              <w:spacing w:after="0"/>
            </w:pPr>
            <w:r/>
            <w:r>
              <w:rPr>
                <w:rFonts w:ascii="Arial" w:hAnsi="Arial"/>
                <w:b w:val="0"/>
                <w:sz w:val="18"/>
              </w:rPr>
              <w:t>Delivered pregnancies are read-only.</w:t>
            </w:r>
          </w:p>
        </w:tc>
        <w:tc>
          <w:tcPr>
            <w:tcW w:type="dxa" w:w="4939"/>
            <w:vAlign w:val="top"/>
          </w:tcPr>
          <w:p>
            <w:pPr>
              <w:spacing w:after="0"/>
            </w:pPr>
            <w:r/>
            <w:r>
              <w:rPr>
                <w:rFonts w:ascii="Arial" w:hAnsi="Arial"/>
                <w:b w:val="0"/>
                <w:sz w:val="18"/>
              </w:rPr>
              <w:t>Controller, policy, and feature tests for all relevant modules.</w:t>
            </w:r>
          </w:p>
        </w:tc>
      </w:tr>
      <w:tr>
        <w:tc>
          <w:tcPr>
            <w:tcW w:type="dxa" w:w="4939"/>
            <w:vAlign w:val="top"/>
          </w:tcPr>
          <w:p>
            <w:pPr>
              <w:spacing w:after="0"/>
            </w:pPr>
            <w:r/>
            <w:r>
              <w:rPr>
                <w:rFonts w:ascii="Arial" w:hAnsi="Arial"/>
                <w:b w:val="0"/>
                <w:sz w:val="18"/>
              </w:rPr>
              <w:t>New pregnancy creates a distinct record.</w:t>
            </w:r>
          </w:p>
        </w:tc>
        <w:tc>
          <w:tcPr>
            <w:tcW w:type="dxa" w:w="4939"/>
            <w:vAlign w:val="top"/>
          </w:tcPr>
          <w:p>
            <w:pPr>
              <w:spacing w:after="0"/>
            </w:pPr>
            <w:r/>
            <w:r>
              <w:rPr>
                <w:rFonts w:ascii="Arial" w:hAnsi="Arial"/>
                <w:b w:val="0"/>
                <w:sz w:val="18"/>
              </w:rPr>
              <w:t>Tests proving historical pregnancy data is not overwritten.</w:t>
            </w:r>
          </w:p>
        </w:tc>
      </w:tr>
      <w:tr>
        <w:tc>
          <w:tcPr>
            <w:tcW w:type="dxa" w:w="4939"/>
            <w:vAlign w:val="top"/>
          </w:tcPr>
          <w:p>
            <w:pPr>
              <w:spacing w:after="0"/>
            </w:pPr>
            <w:r/>
            <w:r>
              <w:rPr>
                <w:rFonts w:ascii="Arial" w:hAnsi="Arial"/>
                <w:b w:val="0"/>
                <w:sz w:val="18"/>
              </w:rPr>
              <w:t>Referral workflow is attributable.</w:t>
            </w:r>
          </w:p>
        </w:tc>
        <w:tc>
          <w:tcPr>
            <w:tcW w:type="dxa" w:w="4939"/>
            <w:vAlign w:val="top"/>
          </w:tcPr>
          <w:p>
            <w:pPr>
              <w:spacing w:after="0"/>
            </w:pPr>
            <w:r/>
            <w:r>
              <w:rPr>
                <w:rFonts w:ascii="Arial" w:hAnsi="Arial"/>
                <w:b w:val="0"/>
                <w:sz w:val="18"/>
              </w:rPr>
              <w:t>User, reason, date, status, and linked assessment are recorded.</w:t>
            </w:r>
          </w:p>
        </w:tc>
      </w:tr>
      <w:tr>
        <w:tc>
          <w:tcPr>
            <w:tcW w:type="dxa" w:w="4939"/>
            <w:vAlign w:val="top"/>
          </w:tcPr>
          <w:p>
            <w:pPr>
              <w:spacing w:after="0"/>
            </w:pPr>
            <w:r/>
            <w:r>
              <w:rPr>
                <w:rFonts w:ascii="Arial" w:hAnsi="Arial"/>
                <w:b w:val="0"/>
                <w:sz w:val="18"/>
              </w:rPr>
              <w:t>ML is bounded.</w:t>
            </w:r>
          </w:p>
        </w:tc>
        <w:tc>
          <w:tcPr>
            <w:tcW w:type="dxa" w:w="4939"/>
            <w:vAlign w:val="top"/>
          </w:tcPr>
          <w:p>
            <w:pPr>
              <w:spacing w:after="0"/>
            </w:pPr>
            <w:r/>
            <w:r>
              <w:rPr>
                <w:rFonts w:ascii="Arial" w:hAnsi="Arial"/>
                <w:b w:val="0"/>
                <w:sz w:val="18"/>
              </w:rPr>
              <w:t>System operates safely when ML is absent and never lets ML suppress emergency or rule-based HIGH.</w:t>
            </w:r>
          </w:p>
        </w:tc>
      </w:tr>
    </w:tbl>
    <w:p/>
    <w:p>
      <w:pPr>
        <w:pStyle w:val="Heading1"/>
      </w:pPr>
      <w:r>
        <w:t>19.0 Transition to Document 3 - Machine Learning Integration</w:t>
      </w:r>
    </w:p>
    <w:p>
      <w:r>
        <w:t>Document 3 shall not begin by choosing a model or writing Python code. It shall begin by defining the exact clinical and technical role of machine learning within the architecture established here. The ML component is a bounded evidence contributor, not the Decision Engine itself.</w:t>
      </w:r>
    </w:p>
    <w:p>
      <w:pPr>
        <w:pStyle w:val="Heading2"/>
      </w:pPr>
      <w:r>
        <w:t>19.1 Approved ML Role</w:t>
      </w:r>
    </w:p>
    <w:p>
      <w:pPr>
        <w:pStyle w:val="ListBullet"/>
      </w:pPr>
      <w:r>
        <w:t>Receive only an approved, versioned feature set derived from validated structured data.</w:t>
      </w:r>
    </w:p>
    <w:p>
      <w:pPr>
        <w:pStyle w:val="ListBullet"/>
      </w:pPr>
      <w:r>
        <w:t>Return only a strict machine-readable response using the approved schema.</w:t>
      </w:r>
    </w:p>
    <w:p>
      <w:pPr>
        <w:pStyle w:val="ListBullet"/>
      </w:pPr>
      <w:r>
        <w:t>Provide a model identifier, version, execution timestamp, and validation metadata.</w:t>
      </w:r>
    </w:p>
    <w:p>
      <w:pPr>
        <w:pStyle w:val="ListBullet"/>
      </w:pPr>
      <w:r>
        <w:t>Contribute HIGH or LOW only after output validation.</w:t>
      </w:r>
    </w:p>
    <w:p>
      <w:pPr>
        <w:pStyle w:val="ListBullet"/>
      </w:pPr>
      <w:r>
        <w:t>Remain subordinate to emergency and deterministic high-risk rules.</w:t>
      </w:r>
    </w:p>
    <w:p>
      <w:pPr>
        <w:pStyle w:val="ListBullet"/>
      </w:pPr>
      <w:r>
        <w:t>Expose limitations, training-data context, performance metrics, and known failure modes.</w:t>
      </w:r>
    </w:p>
    <w:p>
      <w:pPr>
        <w:pStyle w:val="ListBullet"/>
      </w:pPr>
      <w:r>
        <w:t>Fail safely without preventing rule-based escalation.</w:t>
      </w:r>
    </w:p>
    <w:p>
      <w:pPr>
        <w:pStyle w:val="Heading2"/>
      </w:pPr>
      <w:r>
        <w:t>19.2 Prohibited ML Roles</w:t>
      </w:r>
    </w:p>
    <w:p>
      <w:pPr>
        <w:pStyle w:val="ListBullet"/>
      </w:pPr>
      <w:r>
        <w:t>No autonomous diagnosis or treatment recommendation.</w:t>
      </w:r>
    </w:p>
    <w:p>
      <w:pPr>
        <w:pStyle w:val="ListBullet"/>
      </w:pPr>
      <w:r>
        <w:t>No interpretation of raw ultrasound images in the current scope.</w:t>
      </w:r>
    </w:p>
    <w:p>
      <w:pPr>
        <w:pStyle w:val="ListBullet"/>
      </w:pPr>
      <w:r>
        <w:t>No generation of free-text clinical conclusions used without validation.</w:t>
      </w:r>
    </w:p>
    <w:p>
      <w:pPr>
        <w:pStyle w:val="ListBullet"/>
      </w:pPr>
      <w:r>
        <w:t>No conversion of missing required data into LOW.</w:t>
      </w:r>
    </w:p>
    <w:p>
      <w:pPr>
        <w:pStyle w:val="ListBullet"/>
      </w:pPr>
      <w:r>
        <w:t>No suppression of rule-based HIGH or emergency findings.</w:t>
      </w:r>
    </w:p>
    <w:p>
      <w:pPr>
        <w:pStyle w:val="ListBullet"/>
      </w:pPr>
      <w:r>
        <w:t>No hidden model update without versioning, approval, regression testing, and rollback.</w:t>
      </w:r>
    </w:p>
    <w:p>
      <w:pPr>
        <w:pStyle w:val="ListBullet"/>
      </w:pPr>
      <w:r>
        <w:t>No use of sensitive or irrelevant features without documented justification and governance.</w:t>
      </w:r>
    </w:p>
    <w:p>
      <w:pPr>
        <w:pStyle w:val="Heading2"/>
      </w:pPr>
      <w:r>
        <w:t>19.3 Required Sections of Document 3</w:t>
      </w:r>
    </w:p>
    <w:p>
      <w:pPr>
        <w:pStyle w:val="ListNumber"/>
      </w:pPr>
      <w:r>
        <w:t>ML purpose, intended users, patient population, and out-of-scope uses.</w:t>
      </w:r>
    </w:p>
    <w:p>
      <w:pPr>
        <w:pStyle w:val="ListNumber"/>
      </w:pPr>
      <w:r>
        <w:t>Target definition and relationship to HIGH, LOW, and ASSESSMENT INCOMPLETE.</w:t>
      </w:r>
    </w:p>
    <w:p>
      <w:pPr>
        <w:pStyle w:val="ListNumber"/>
      </w:pPr>
      <w:r>
        <w:t>Dataset origin, inclusion criteria, exclusions, representativeness, and governance.</w:t>
      </w:r>
    </w:p>
    <w:p>
      <w:pPr>
        <w:pStyle w:val="ListNumber"/>
      </w:pPr>
      <w:r>
        <w:t>Feature dictionary and mapping to the validated clinical data model.</w:t>
      </w:r>
    </w:p>
    <w:p>
      <w:pPr>
        <w:pStyle w:val="ListNumber"/>
      </w:pPr>
      <w:r>
        <w:t>Preprocessing, missing-data policy, encoding, and leakage prevention.</w:t>
      </w:r>
    </w:p>
    <w:p>
      <w:pPr>
        <w:pStyle w:val="ListNumber"/>
      </w:pPr>
      <w:r>
        <w:t>Model selection rationale and baseline comparison.</w:t>
      </w:r>
    </w:p>
    <w:p>
      <w:pPr>
        <w:pStyle w:val="ListNumber"/>
      </w:pPr>
      <w:r>
        <w:t>Training, validation, test separation, and reproducibility.</w:t>
      </w:r>
    </w:p>
    <w:p>
      <w:pPr>
        <w:pStyle w:val="ListNumber"/>
      </w:pPr>
      <w:r>
        <w:t>Performance metrics with emphasis on clinically important errors.</w:t>
      </w:r>
    </w:p>
    <w:p>
      <w:pPr>
        <w:pStyle w:val="ListNumber"/>
      </w:pPr>
      <w:r>
        <w:t>Calibration, threshold selection, class imbalance, and uncertainty.</w:t>
      </w:r>
    </w:p>
    <w:p>
      <w:pPr>
        <w:pStyle w:val="ListNumber"/>
      </w:pPr>
      <w:r>
        <w:t>Subgroup and fairness evaluation where data permit.</w:t>
      </w:r>
    </w:p>
    <w:p>
      <w:pPr>
        <w:pStyle w:val="ListNumber"/>
      </w:pPr>
      <w:r>
        <w:t>External or prospective validation plan.</w:t>
      </w:r>
    </w:p>
    <w:p>
      <w:pPr>
        <w:pStyle w:val="ListNumber"/>
      </w:pPr>
      <w:r>
        <w:t>Strict integration contract between Laravel and Python.</w:t>
      </w:r>
    </w:p>
    <w:p>
      <w:pPr>
        <w:pStyle w:val="ListNumber"/>
      </w:pPr>
      <w:r>
        <w:t>Failure handling, timeout, schema validation, monitoring, and rollback.</w:t>
      </w:r>
    </w:p>
    <w:p>
      <w:pPr>
        <w:pStyle w:val="ListNumber"/>
      </w:pPr>
      <w:r>
        <w:t>Explainability and clinician-facing disclosure.</w:t>
      </w:r>
    </w:p>
    <w:p>
      <w:pPr>
        <w:pStyle w:val="ListNumber"/>
      </w:pPr>
      <w:r>
        <w:t>Human-factors validation and post-deployment monitoring.</w:t>
      </w:r>
    </w:p>
    <w:p>
      <w:r>
        <w:t>A model shall not be accepted solely because it reports high accuracy. Document 3 must examine false negatives, false positives, sensitivity, specificity, predictive values where appropriate, calibration, subgroup behavior, dataset shift, and the clinical consequences of each error type. The final ML threshold must be justified within the bounded role defined by this architecture.</w:t>
      </w:r>
    </w:p>
    <w:p>
      <w:pPr>
        <w:pStyle w:val="Heading1"/>
      </w:pPr>
      <w:r>
        <w:t>20.0 Research Contribution of Document 2</w:t>
      </w:r>
    </w:p>
    <w:p>
      <w:r>
        <w:t>Document 2 contributes a complete knowledge-to-software reasoning architecture for a maternity management system in a resource-constrained lying-in clinic context. Its contribution is not a new medical guideline. Its contribution is the structured translation of reviewed clinical knowledge into a transparent, governed, testable, and implementation-ready decision-support design.</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D9EAF7"/>
            <w:vAlign w:val="center"/>
          </w:tcPr>
          <w:p>
            <w:pPr>
              <w:spacing w:after="0"/>
            </w:pPr>
            <w:r/>
            <w:r>
              <w:rPr>
                <w:rFonts w:ascii="Arial" w:hAnsi="Arial"/>
                <w:b/>
                <w:sz w:val="18"/>
              </w:rPr>
              <w:t>Research problem</w:t>
            </w:r>
          </w:p>
        </w:tc>
        <w:tc>
          <w:tcPr>
            <w:tcW w:type="dxa" w:w="4939"/>
            <w:shd w:fill="D9EAF7"/>
            <w:vAlign w:val="center"/>
          </w:tcPr>
          <w:p>
            <w:pPr>
              <w:spacing w:after="0"/>
            </w:pPr>
            <w:r/>
            <w:r>
              <w:rPr>
                <w:rFonts w:ascii="Arial" w:hAnsi="Arial"/>
                <w:b/>
                <w:sz w:val="18"/>
              </w:rPr>
              <w:t>Architectural response</w:t>
            </w:r>
          </w:p>
        </w:tc>
      </w:tr>
      <w:tr>
        <w:tc>
          <w:tcPr>
            <w:tcW w:type="dxa" w:w="4939"/>
            <w:vAlign w:val="top"/>
          </w:tcPr>
          <w:p>
            <w:pPr>
              <w:spacing w:after="0"/>
            </w:pPr>
            <w:r/>
            <w:r>
              <w:rPr>
                <w:rFonts w:ascii="Arial" w:hAnsi="Arial"/>
                <w:b w:val="0"/>
                <w:sz w:val="18"/>
              </w:rPr>
              <w:t>Clinical logic repeatedly changes inside controllers.</w:t>
            </w:r>
          </w:p>
        </w:tc>
        <w:tc>
          <w:tcPr>
            <w:tcW w:type="dxa" w:w="4939"/>
            <w:vAlign w:val="top"/>
          </w:tcPr>
          <w:p>
            <w:pPr>
              <w:spacing w:after="0"/>
            </w:pPr>
            <w:r/>
            <w:r>
              <w:rPr>
                <w:rFonts w:ascii="Arial" w:hAnsi="Arial"/>
                <w:b w:val="0"/>
                <w:sz w:val="18"/>
              </w:rPr>
              <w:t>Separate clinical knowledge, workflow orchestration, communication, and audit layers.</w:t>
            </w:r>
          </w:p>
        </w:tc>
      </w:tr>
      <w:tr>
        <w:tc>
          <w:tcPr>
            <w:tcW w:type="dxa" w:w="4939"/>
            <w:vAlign w:val="top"/>
          </w:tcPr>
          <w:p>
            <w:pPr>
              <w:spacing w:after="0"/>
            </w:pPr>
            <w:r/>
            <w:r>
              <w:rPr>
                <w:rFonts w:ascii="Arial" w:hAnsi="Arial"/>
                <w:b w:val="0"/>
                <w:sz w:val="18"/>
              </w:rPr>
              <w:t>A single risk label hides reasoning.</w:t>
            </w:r>
          </w:p>
        </w:tc>
        <w:tc>
          <w:tcPr>
            <w:tcW w:type="dxa" w:w="4939"/>
            <w:vAlign w:val="top"/>
          </w:tcPr>
          <w:p>
            <w:pPr>
              <w:spacing w:after="0"/>
            </w:pPr>
            <w:r/>
            <w:r>
              <w:rPr>
                <w:rFonts w:ascii="Arial" w:hAnsi="Arial"/>
                <w:b w:val="0"/>
                <w:sz w:val="18"/>
              </w:rPr>
              <w:t>Store and display the complete decision provenance package.</w:t>
            </w:r>
          </w:p>
        </w:tc>
      </w:tr>
      <w:tr>
        <w:tc>
          <w:tcPr>
            <w:tcW w:type="dxa" w:w="4939"/>
            <w:vAlign w:val="top"/>
          </w:tcPr>
          <w:p>
            <w:pPr>
              <w:spacing w:after="0"/>
            </w:pPr>
            <w:r/>
            <w:r>
              <w:rPr>
                <w:rFonts w:ascii="Arial" w:hAnsi="Arial"/>
                <w:b w:val="0"/>
                <w:sz w:val="18"/>
              </w:rPr>
              <w:t>Missing data may be mistaken for low risk.</w:t>
            </w:r>
          </w:p>
        </w:tc>
        <w:tc>
          <w:tcPr>
            <w:tcW w:type="dxa" w:w="4939"/>
            <w:vAlign w:val="top"/>
          </w:tcPr>
          <w:p>
            <w:pPr>
              <w:spacing w:after="0"/>
            </w:pPr>
            <w:r/>
            <w:r>
              <w:rPr>
                <w:rFonts w:ascii="Arial" w:hAnsi="Arial"/>
                <w:b w:val="0"/>
                <w:sz w:val="18"/>
              </w:rPr>
              <w:t>Use ASSESSMENT INCOMPLETE and prevent unsupported LOW.</w:t>
            </w:r>
          </w:p>
        </w:tc>
      </w:tr>
      <w:tr>
        <w:tc>
          <w:tcPr>
            <w:tcW w:type="dxa" w:w="4939"/>
            <w:vAlign w:val="top"/>
          </w:tcPr>
          <w:p>
            <w:pPr>
              <w:spacing w:after="0"/>
            </w:pPr>
            <w:r/>
            <w:r>
              <w:rPr>
                <w:rFonts w:ascii="Arial" w:hAnsi="Arial"/>
                <w:b w:val="0"/>
                <w:sz w:val="18"/>
              </w:rPr>
              <w:t>ML failure or output may be trusted too much.</w:t>
            </w:r>
          </w:p>
        </w:tc>
        <w:tc>
          <w:tcPr>
            <w:tcW w:type="dxa" w:w="4939"/>
            <w:vAlign w:val="top"/>
          </w:tcPr>
          <w:p>
            <w:pPr>
              <w:spacing w:after="0"/>
            </w:pPr>
            <w:r/>
            <w:r>
              <w:rPr>
                <w:rFonts w:ascii="Arial" w:hAnsi="Arial"/>
                <w:b w:val="0"/>
                <w:sz w:val="18"/>
              </w:rPr>
              <w:t>Bound ML through strict validation and deterministic safety precedence.</w:t>
            </w:r>
          </w:p>
        </w:tc>
      </w:tr>
      <w:tr>
        <w:tc>
          <w:tcPr>
            <w:tcW w:type="dxa" w:w="4939"/>
            <w:vAlign w:val="top"/>
          </w:tcPr>
          <w:p>
            <w:pPr>
              <w:spacing w:after="0"/>
            </w:pPr>
            <w:r/>
            <w:r>
              <w:rPr>
                <w:rFonts w:ascii="Arial" w:hAnsi="Arial"/>
                <w:b w:val="0"/>
                <w:sz w:val="18"/>
              </w:rPr>
              <w:t>Lying-in clinics have limited capability.</w:t>
            </w:r>
          </w:p>
        </w:tc>
        <w:tc>
          <w:tcPr>
            <w:tcW w:type="dxa" w:w="4939"/>
            <w:vAlign w:val="top"/>
          </w:tcPr>
          <w:p>
            <w:pPr>
              <w:spacing w:after="0"/>
            </w:pPr>
            <w:r/>
            <w:r>
              <w:rPr>
                <w:rFonts w:ascii="Arial" w:hAnsi="Arial"/>
                <w:b w:val="0"/>
                <w:sz w:val="18"/>
              </w:rPr>
              <w:t>Generate scope-aware monitoring and referral support rather than unsupported treatment plans.</w:t>
            </w:r>
          </w:p>
        </w:tc>
      </w:tr>
      <w:tr>
        <w:tc>
          <w:tcPr>
            <w:tcW w:type="dxa" w:w="4939"/>
            <w:vAlign w:val="top"/>
          </w:tcPr>
          <w:p>
            <w:pPr>
              <w:spacing w:after="0"/>
            </w:pPr>
            <w:r/>
            <w:r>
              <w:rPr>
                <w:rFonts w:ascii="Arial" w:hAnsi="Arial"/>
                <w:b w:val="0"/>
                <w:sz w:val="18"/>
              </w:rPr>
              <w:t>Rules need future updates.</w:t>
            </w:r>
          </w:p>
        </w:tc>
        <w:tc>
          <w:tcPr>
            <w:tcW w:type="dxa" w:w="4939"/>
            <w:vAlign w:val="top"/>
          </w:tcPr>
          <w:p>
            <w:pPr>
              <w:spacing w:after="0"/>
            </w:pPr>
            <w:r/>
            <w:r>
              <w:rPr>
                <w:rFonts w:ascii="Arial" w:hAnsi="Arial"/>
                <w:b w:val="0"/>
                <w:sz w:val="18"/>
              </w:rPr>
              <w:t>Use immutable versions, approved releases, regression testing, and rollback.</w:t>
            </w:r>
          </w:p>
        </w:tc>
      </w:tr>
      <w:tr>
        <w:tc>
          <w:tcPr>
            <w:tcW w:type="dxa" w:w="4939"/>
            <w:vAlign w:val="top"/>
          </w:tcPr>
          <w:p>
            <w:pPr>
              <w:spacing w:after="0"/>
            </w:pPr>
            <w:r/>
            <w:r>
              <w:rPr>
                <w:rFonts w:ascii="Arial" w:hAnsi="Arial"/>
                <w:b w:val="0"/>
                <w:sz w:val="18"/>
              </w:rPr>
              <w:t>Panel members may ask how the system reasons.</w:t>
            </w:r>
          </w:p>
        </w:tc>
        <w:tc>
          <w:tcPr>
            <w:tcW w:type="dxa" w:w="4939"/>
            <w:vAlign w:val="top"/>
          </w:tcPr>
          <w:p>
            <w:pPr>
              <w:spacing w:after="0"/>
            </w:pPr>
            <w:r/>
            <w:r>
              <w:rPr>
                <w:rFonts w:ascii="Arial" w:hAnsi="Arial"/>
                <w:b w:val="0"/>
                <w:sz w:val="18"/>
              </w:rPr>
              <w:t>Provide a documented end-to-end architecture and testable decision sequence.</w:t>
            </w:r>
          </w:p>
        </w:tc>
      </w:tr>
    </w:tbl>
    <w:p/>
    <w:p>
      <w:pPr>
        <w:pStyle w:val="Heading1"/>
      </w:pPr>
      <w:r>
        <w:t>21.0 Implementation Readiness Checklist</w:t>
      </w:r>
    </w:p>
    <w:p>
      <w:pPr>
        <w:pStyle w:val="ListBullet"/>
      </w:pPr>
      <w:r>
        <w:t>Document 1 rules have stable identifiers, evidence mappings, thresholds, exclusions, and clinical review status.</w:t>
      </w:r>
    </w:p>
    <w:p>
      <w:pPr>
        <w:pStyle w:val="ListBullet"/>
      </w:pPr>
      <w:r>
        <w:t>All required data elements are mapped to existing or planned database fields.</w:t>
      </w:r>
    </w:p>
    <w:p>
      <w:pPr>
        <w:pStyle w:val="ListBullet"/>
      </w:pPr>
      <w:r>
        <w:t>The three final assessment states and emergency pathway have approved definitions.</w:t>
      </w:r>
    </w:p>
    <w:p>
      <w:pPr>
        <w:pStyle w:val="ListBullet"/>
      </w:pPr>
      <w:r>
        <w:t>Precedence among emergency, incomplete, rule-based, and ML states is formally approved.</w:t>
      </w:r>
    </w:p>
    <w:p>
      <w:pPr>
        <w:pStyle w:val="ListBullet"/>
      </w:pPr>
      <w:r>
        <w:t>Each rule and interaction has positive, negative, boundary, missing-data, and conflict test cases.</w:t>
      </w:r>
    </w:p>
    <w:p>
      <w:pPr>
        <w:pStyle w:val="ListBullet"/>
      </w:pPr>
      <w:r>
        <w:t>Recommendation and explanation templates are reviewed for safe wording.</w:t>
      </w:r>
    </w:p>
    <w:p>
      <w:pPr>
        <w:pStyle w:val="ListBullet"/>
      </w:pPr>
      <w:r>
        <w:t>The active rule-set release mechanism is designed before controller refactoring.</w:t>
      </w:r>
    </w:p>
    <w:p>
      <w:pPr>
        <w:pStyle w:val="ListBullet"/>
      </w:pPr>
      <w:r>
        <w:t>The provenance package and recalculation model are implemented before enabling automatic reassessment.</w:t>
      </w:r>
    </w:p>
    <w:p>
      <w:pPr>
        <w:pStyle w:val="ListBullet"/>
      </w:pPr>
      <w:r>
        <w:t>ML integration is disabled until Document 3 validation and the strict interface contract are complete.</w:t>
      </w:r>
    </w:p>
    <w:p>
      <w:pPr>
        <w:pStyle w:val="ListBullet"/>
      </w:pPr>
      <w:r>
        <w:t>Clinical, technical, privacy, and institutional reviewers approve the release candidate before real patient use.</w:t>
      </w:r>
    </w:p>
    <w:p>
      <w:pPr>
        <w:pStyle w:val="Heading1"/>
      </w:pPr>
      <w:r>
        <w:t>22.0 Final Decision Statement</w:t>
      </w:r>
    </w:p>
    <w:p>
      <w:r>
        <w:t>Document 2 is complete when the Decision Engine can be described, reviewed, tested, and implemented without relying on undocumented assumptions inside Laravel controllers or Python scripts. The engine must be able to explain what it knew, what it did not know, which rules it applied, why it prioritized a recommendation, which version produced the result, and what the healthcare user did afterward.</w:t>
      </w:r>
    </w:p>
    <w:p>
      <w:r>
        <w:t>The approved architecture is therefore a layered hybrid CDSS: deterministic clinical safety rules and emergency overrides form the authoritative core; validation prevents unsupported reassurance; interaction and conflict components organize complex findings; recommendation, explanation, and confidence components communicate the result; audit and version control preserve accountability; and machine learning is introduced only as a bounded, validated, replaceable supporting component.</w:t>
      </w:r>
    </w:p>
    <w:p>
      <w:pPr>
        <w:pStyle w:val="Heading1"/>
      </w:pPr>
      <w:r>
        <w:t>References</w:t>
      </w:r>
    </w:p>
    <w:p>
      <w:pPr>
        <w:pStyle w:val="ListNumber"/>
      </w:pPr>
      <w:r>
        <w:t>World Health Organization. SMART Guidelines. Standards-based, Machine-readable, Adaptive, Requirements-based, and Testable digital health guidance. WHO Digital Health and Innovation.</w:t>
      </w:r>
    </w:p>
    <w:p>
      <w:pPr>
        <w:pStyle w:val="ListNumber"/>
      </w:pPr>
      <w:r>
        <w:t>World Health Organization. Digital Adaptation Kit for Antenatal Care: Operational requirements for implementing WHO recommendations in digital systems. Geneva: WHO; 2021. ISBN 978-92-4-002030-6.</w:t>
      </w:r>
    </w:p>
    <w:p>
      <w:pPr>
        <w:pStyle w:val="ListNumber"/>
      </w:pPr>
      <w:r>
        <w:t>World Health Organization. WHO recommendations on antenatal care for a positive pregnancy experience. Geneva: WHO; 2016, with subsequent topic updates.</w:t>
      </w:r>
    </w:p>
    <w:p>
      <w:pPr>
        <w:pStyle w:val="ListNumber"/>
      </w:pPr>
      <w:r>
        <w:t>World Health Organization. From paper to digital pathway: WHO launches first SMART Guidelines. 18 February 2021.</w:t>
      </w:r>
    </w:p>
    <w:p>
      <w:pPr>
        <w:pStyle w:val="ListNumber"/>
      </w:pPr>
      <w:r>
        <w:t>U.S. Food and Drug Administration. Clinical Decision Support Software Guidance for Industry and FDA Staff. Final guidance, January 2026.</w:t>
      </w:r>
    </w:p>
    <w:p>
      <w:pPr>
        <w:pStyle w:val="ListNumber"/>
      </w:pPr>
      <w:r>
        <w:t>U.S. Food and Drug Administration. Digital Health Policy Navigator, Step 6: Clinical Decision Support and independent review of the basis for recommendations.</w:t>
      </w:r>
    </w:p>
    <w:p>
      <w:pPr>
        <w:pStyle w:val="ListNumber"/>
      </w:pPr>
      <w:r>
        <w:t>HL7 International. FHIR Clinical Reasoning module and versioned knowledge-artifact resources, including PlanDefinition and Library. Used as an interoperability design reference, subject to local validation.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 2 - Part 12 | Complete Decision Engine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