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2</w:t>
      </w:r>
    </w:p>
    <w:p>
      <w:pPr>
        <w:jc w:val="center"/>
      </w:pPr>
      <w:r>
        <w:rPr>
          <w:rFonts w:ascii="Arial" w:hAnsi="Arial"/>
          <w:b/>
          <w:sz w:val="44"/>
        </w:rPr>
        <w:t>Clinical Decision Support Decision Engine Specification</w:t>
      </w:r>
    </w:p>
    <w:p>
      <w:pPr>
        <w:jc w:val="center"/>
      </w:pPr>
      <w:r>
        <w:rPr>
          <w:rFonts w:ascii="Arial" w:hAnsi="Arial"/>
          <w:b/>
          <w:sz w:val="31"/>
        </w:rPr>
        <w:t>Part 2 - Data Validation Engine</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2.0 - Expanded and Harmonized Research Draft</w:t>
      </w:r>
    </w:p>
    <w:p>
      <w:pPr>
        <w:jc w:val="center"/>
      </w:pPr>
      <w:r>
        <w:rPr>
          <w:i/>
        </w:rPr>
        <w:t>July 2026</w:t>
      </w:r>
    </w:p>
    <w:p>
      <w:r>
        <w:br w:type="page"/>
      </w:r>
    </w:p>
    <w:p>
      <w:pPr>
        <w:pStyle w:val="Heading1"/>
      </w:pPr>
      <w:r>
        <w:t>Clinical Safety Statement</w:t>
      </w:r>
    </w:p>
    <w:p>
      <w:r>
        <w:t>The Data Validation Engine is the first operational safety barrier. It prevents the system from treating absent, malformed, implausible, stale, or conflicting information as reliable clinical evidence. Validation identifies data quality; it does not diagnose disease or determine treatment.</w:t>
      </w:r>
    </w:p>
    <w:p>
      <w:r>
        <w:t>This specification must be reviewed against applicable Philippine professional, institutional, privacy, records-management, referral, and health-service requirements before real clinical deployment.</w:t>
      </w:r>
    </w:p>
    <w:p>
      <w:pPr>
        <w:pStyle w:val="Heading1"/>
      </w:pPr>
      <w:r>
        <w:t>Document Status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Item</w:t>
            </w:r>
          </w:p>
        </w:tc>
        <w:tc>
          <w:tcPr>
            <w:tcW w:type="dxa" w:w="4939"/>
            <w:shd w:fill="D9EAF7"/>
          </w:tcPr>
          <w:p>
            <w:pPr>
              <w:spacing w:after="0"/>
            </w:pPr>
            <w:r/>
            <w:r>
              <w:rPr>
                <w:rFonts w:ascii="Arial" w:hAnsi="Arial"/>
                <w:b/>
                <w:sz w:val="18"/>
              </w:rPr>
              <w:t>Description</w:t>
            </w:r>
          </w:p>
        </w:tc>
      </w:tr>
      <w:tr>
        <w:tc>
          <w:tcPr>
            <w:tcW w:type="dxa" w:w="4939"/>
            <w:vAlign w:val="top"/>
          </w:tcPr>
          <w:p>
            <w:pPr>
              <w:spacing w:after="0"/>
            </w:pPr>
            <w:r/>
            <w:r>
              <w:rPr>
                <w:rFonts w:ascii="Arial" w:hAnsi="Arial"/>
                <w:b w:val="0"/>
                <w:sz w:val="18"/>
              </w:rPr>
              <w:t>Document</w:t>
            </w:r>
          </w:p>
        </w:tc>
        <w:tc>
          <w:tcPr>
            <w:tcW w:type="dxa" w:w="4939"/>
            <w:vAlign w:val="top"/>
          </w:tcPr>
          <w:p>
            <w:pPr>
              <w:spacing w:after="0"/>
            </w:pPr>
            <w:r/>
            <w:r>
              <w:rPr>
                <w:rFonts w:ascii="Arial" w:hAnsi="Arial"/>
                <w:b w:val="0"/>
                <w:sz w:val="18"/>
              </w:rPr>
              <w:t>Document 2 - Clinical Decision Support Decision Engine Specification</w:t>
            </w:r>
          </w:p>
        </w:tc>
      </w:tr>
      <w:tr>
        <w:tc>
          <w:tcPr>
            <w:tcW w:type="dxa" w:w="4939"/>
            <w:vAlign w:val="top"/>
          </w:tcPr>
          <w:p>
            <w:pPr>
              <w:spacing w:after="0"/>
            </w:pPr>
            <w:r/>
            <w:r>
              <w:rPr>
                <w:rFonts w:ascii="Arial" w:hAnsi="Arial"/>
                <w:b w:val="0"/>
                <w:sz w:val="18"/>
              </w:rPr>
              <w:t>Part</w:t>
            </w:r>
          </w:p>
        </w:tc>
        <w:tc>
          <w:tcPr>
            <w:tcW w:type="dxa" w:w="4939"/>
            <w:vAlign w:val="top"/>
          </w:tcPr>
          <w:p>
            <w:pPr>
              <w:spacing w:after="0"/>
            </w:pPr>
            <w:r/>
            <w:r>
              <w:rPr>
                <w:rFonts w:ascii="Arial" w:hAnsi="Arial"/>
                <w:b w:val="0"/>
                <w:sz w:val="18"/>
              </w:rPr>
              <w:t>Part 2 of 12</w:t>
            </w:r>
          </w:p>
        </w:tc>
      </w:tr>
      <w:tr>
        <w:tc>
          <w:tcPr>
            <w:tcW w:type="dxa" w:w="4939"/>
            <w:vAlign w:val="top"/>
          </w:tcPr>
          <w:p>
            <w:pPr>
              <w:spacing w:after="0"/>
            </w:pPr>
            <w:r/>
            <w:r>
              <w:rPr>
                <w:rFonts w:ascii="Arial" w:hAnsi="Arial"/>
                <w:b w:val="0"/>
                <w:sz w:val="18"/>
              </w:rPr>
              <w:t>Title</w:t>
            </w:r>
          </w:p>
        </w:tc>
        <w:tc>
          <w:tcPr>
            <w:tcW w:type="dxa" w:w="4939"/>
            <w:vAlign w:val="top"/>
          </w:tcPr>
          <w:p>
            <w:pPr>
              <w:spacing w:after="0"/>
            </w:pPr>
            <w:r/>
            <w:r>
              <w:rPr>
                <w:rFonts w:ascii="Arial" w:hAnsi="Arial"/>
                <w:b w:val="0"/>
                <w:sz w:val="18"/>
              </w:rPr>
              <w:t>Data Validation Engine</w:t>
            </w:r>
          </w:p>
        </w:tc>
      </w:tr>
      <w:tr>
        <w:tc>
          <w:tcPr>
            <w:tcW w:type="dxa" w:w="4939"/>
            <w:vAlign w:val="top"/>
          </w:tcPr>
          <w:p>
            <w:pPr>
              <w:spacing w:after="0"/>
            </w:pPr>
            <w:r/>
            <w:r>
              <w:rPr>
                <w:rFonts w:ascii="Arial" w:hAnsi="Arial"/>
                <w:b w:val="0"/>
                <w:sz w:val="18"/>
              </w:rPr>
              <w:t>Purpose</w:t>
            </w:r>
          </w:p>
        </w:tc>
        <w:tc>
          <w:tcPr>
            <w:tcW w:type="dxa" w:w="4939"/>
            <w:vAlign w:val="top"/>
          </w:tcPr>
          <w:p>
            <w:pPr>
              <w:spacing w:after="0"/>
            </w:pPr>
            <w:r/>
            <w:r>
              <w:rPr>
                <w:rFonts w:ascii="Arial" w:hAnsi="Arial"/>
                <w:b w:val="0"/>
                <w:sz w:val="18"/>
              </w:rPr>
              <w:t>Expanded architecture specification harmonized with Parts 10-12.</w:t>
            </w:r>
          </w:p>
        </w:tc>
      </w:tr>
      <w:tr>
        <w:tc>
          <w:tcPr>
            <w:tcW w:type="dxa" w:w="4939"/>
            <w:vAlign w:val="top"/>
          </w:tcPr>
          <w:p>
            <w:pPr>
              <w:spacing w:after="0"/>
            </w:pPr>
            <w:r/>
            <w:r>
              <w:rPr>
                <w:rFonts w:ascii="Arial" w:hAnsi="Arial"/>
                <w:b w:val="0"/>
                <w:sz w:val="18"/>
              </w:rPr>
              <w:t>Depends on</w:t>
            </w:r>
          </w:p>
        </w:tc>
        <w:tc>
          <w:tcPr>
            <w:tcW w:type="dxa" w:w="4939"/>
            <w:vAlign w:val="top"/>
          </w:tcPr>
          <w:p>
            <w:pPr>
              <w:spacing w:after="0"/>
            </w:pPr>
            <w:r/>
            <w:r>
              <w:rPr>
                <w:rFonts w:ascii="Arial" w:hAnsi="Arial"/>
                <w:b w:val="0"/>
                <w:sz w:val="18"/>
              </w:rPr>
              <w:t>Document 0, Document 1, and preceding Document 2 parts where applicable.</w:t>
            </w:r>
          </w:p>
        </w:tc>
      </w:tr>
      <w:tr>
        <w:tc>
          <w:tcPr>
            <w:tcW w:type="dxa" w:w="4939"/>
            <w:vAlign w:val="top"/>
          </w:tcPr>
          <w:p>
            <w:pPr>
              <w:spacing w:after="0"/>
            </w:pPr>
            <w:r/>
            <w:r>
              <w:rPr>
                <w:rFonts w:ascii="Arial" w:hAnsi="Arial"/>
                <w:b w:val="0"/>
                <w:sz w:val="18"/>
              </w:rPr>
              <w:t>Feeds into</w:t>
            </w:r>
          </w:p>
        </w:tc>
        <w:tc>
          <w:tcPr>
            <w:tcW w:type="dxa" w:w="4939"/>
            <w:vAlign w:val="top"/>
          </w:tcPr>
          <w:p>
            <w:pPr>
              <w:spacing w:after="0"/>
            </w:pPr>
            <w:r/>
            <w:r>
              <w:rPr>
                <w:rFonts w:ascii="Arial" w:hAnsi="Arial"/>
                <w:b w:val="0"/>
                <w:sz w:val="18"/>
              </w:rPr>
              <w:t>Document 2 Part 3</w:t>
            </w:r>
          </w:p>
        </w:tc>
      </w:tr>
      <w:tr>
        <w:tc>
          <w:tcPr>
            <w:tcW w:type="dxa" w:w="4939"/>
            <w:vAlign w:val="top"/>
          </w:tcPr>
          <w:p>
            <w:pPr>
              <w:spacing w:after="0"/>
            </w:pPr>
            <w:r/>
            <w:r>
              <w:rPr>
                <w:rFonts w:ascii="Arial" w:hAnsi="Arial"/>
                <w:b w:val="0"/>
                <w:sz w:val="18"/>
              </w:rPr>
              <w:t>Status</w:t>
            </w:r>
          </w:p>
        </w:tc>
        <w:tc>
          <w:tcPr>
            <w:tcW w:type="dxa" w:w="4939"/>
            <w:vAlign w:val="top"/>
          </w:tcPr>
          <w:p>
            <w:pPr>
              <w:spacing w:after="0"/>
            </w:pPr>
            <w:r/>
            <w:r>
              <w:rPr>
                <w:rFonts w:ascii="Arial" w:hAnsi="Arial"/>
                <w:b w:val="0"/>
                <w:sz w:val="18"/>
              </w:rPr>
              <w:t>Research and architecture draft; not production authorization.</w:t>
            </w:r>
          </w:p>
        </w:tc>
      </w:tr>
    </w:tbl>
    <w:p/>
    <w:p>
      <w:pPr>
        <w:pStyle w:val="Heading1"/>
      </w:pPr>
      <w:r>
        <w:t>Executive Architecture Decision</w:t>
      </w:r>
    </w:p>
    <w:p>
      <w:r>
        <w:t>No routine LOW assessment shall be produced unless required evidence passes the defined validation requirements. Validation findings shall be structured, explainable, and preserved in the decision provenance. A known emergency or independently sufficient HIGH rule may still require escalation even when other records are incomplete.</w:t>
      </w:r>
    </w:p>
    <w:p>
      <w:pPr>
        <w:pStyle w:val="Heading1"/>
      </w:pPr>
      <w:r>
        <w:t>1.0 Purpose and Scope</w:t>
      </w:r>
    </w:p>
    <w:p>
      <w:r>
        <w:t>This part defines the Data Validation Engine as a formal component of the complete Decision Engine.</w:t>
      </w:r>
    </w:p>
    <w:p>
      <w:pPr>
        <w:pStyle w:val="ListNumber"/>
      </w:pPr>
      <w:r>
        <w:t>Determine whether required assessment information is present and usable.</w:t>
      </w:r>
    </w:p>
    <w:p>
      <w:pPr>
        <w:pStyle w:val="ListNumber"/>
      </w:pPr>
      <w:r>
        <w:t>Normalize controlled values and measurement units before rule evaluation.</w:t>
      </w:r>
    </w:p>
    <w:p>
      <w:pPr>
        <w:pStyle w:val="ListNumber"/>
      </w:pPr>
      <w:r>
        <w:t>Detect impossible, contradictory, stale, duplicated, or temporally inconsistent records.</w:t>
      </w:r>
    </w:p>
    <w:p>
      <w:pPr>
        <w:pStyle w:val="ListNumber"/>
      </w:pPr>
      <w:r>
        <w:t>Classify findings as valid, invalid, missing, uncertain, conflicting, or not applicable.</w:t>
      </w:r>
    </w:p>
    <w:p>
      <w:pPr>
        <w:pStyle w:val="ListNumber"/>
      </w:pPr>
      <w:r>
        <w:t>Produce a validated input package and explicit limitations for downstream engines.</w:t>
      </w:r>
    </w:p>
    <w:p>
      <w:pPr>
        <w:pStyle w:val="Heading1"/>
      </w:pPr>
      <w:r>
        <w:t>2.0 Architectural Foundations</w:t>
      </w:r>
    </w:p>
    <w:p>
      <w:r>
        <w:t>The component follows a software-neutral translation approach: clinical meaning is documented first, then implemented through governed software services. It supports the WHO SMART Guidelines direction of standards-based, machine-readable, adaptive, requirements-based, and testable digital health content.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Principle</w:t>
            </w:r>
          </w:p>
        </w:tc>
        <w:tc>
          <w:tcPr>
            <w:tcW w:type="dxa" w:w="4939"/>
            <w:shd w:fill="D9EAF7"/>
          </w:tcPr>
          <w:p>
            <w:pPr>
              <w:spacing w:after="0"/>
            </w:pPr>
            <w:r/>
            <w:r>
              <w:rPr>
                <w:rFonts w:ascii="Arial" w:hAnsi="Arial"/>
                <w:b/>
                <w:sz w:val="18"/>
              </w:rPr>
              <w:t>Required behavior</w:t>
            </w:r>
          </w:p>
        </w:tc>
      </w:tr>
      <w:tr>
        <w:tc>
          <w:tcPr>
            <w:tcW w:type="dxa" w:w="4939"/>
            <w:vAlign w:val="top"/>
          </w:tcPr>
          <w:p>
            <w:pPr>
              <w:spacing w:after="0"/>
            </w:pPr>
            <w:r/>
            <w:r>
              <w:rPr>
                <w:rFonts w:ascii="Arial" w:hAnsi="Arial"/>
                <w:b w:val="0"/>
                <w:sz w:val="18"/>
              </w:rPr>
              <w:t>No silent correction</w:t>
            </w:r>
          </w:p>
        </w:tc>
        <w:tc>
          <w:tcPr>
            <w:tcW w:type="dxa" w:w="4939"/>
            <w:vAlign w:val="top"/>
          </w:tcPr>
          <w:p>
            <w:pPr>
              <w:spacing w:after="0"/>
            </w:pPr>
            <w:r/>
            <w:r>
              <w:rPr>
                <w:rFonts w:ascii="Arial" w:hAnsi="Arial"/>
                <w:b w:val="0"/>
                <w:sz w:val="18"/>
              </w:rPr>
              <w:t>The engine may normalize formatting but must not invent or clinically reinterpret missing values.</w:t>
            </w:r>
          </w:p>
        </w:tc>
      </w:tr>
      <w:tr>
        <w:tc>
          <w:tcPr>
            <w:tcW w:type="dxa" w:w="4939"/>
            <w:vAlign w:val="top"/>
          </w:tcPr>
          <w:p>
            <w:pPr>
              <w:spacing w:after="0"/>
            </w:pPr>
            <w:r/>
            <w:r>
              <w:rPr>
                <w:rFonts w:ascii="Arial" w:hAnsi="Arial"/>
                <w:b w:val="0"/>
                <w:sz w:val="18"/>
              </w:rPr>
              <w:t>Field-level traceability</w:t>
            </w:r>
          </w:p>
        </w:tc>
        <w:tc>
          <w:tcPr>
            <w:tcW w:type="dxa" w:w="4939"/>
            <w:vAlign w:val="top"/>
          </w:tcPr>
          <w:p>
            <w:pPr>
              <w:spacing w:after="0"/>
            </w:pPr>
            <w:r/>
            <w:r>
              <w:rPr>
                <w:rFonts w:ascii="Arial" w:hAnsi="Arial"/>
                <w:b w:val="0"/>
                <w:sz w:val="18"/>
              </w:rPr>
              <w:t>Every validation result links to the exact source field and record.</w:t>
            </w:r>
          </w:p>
        </w:tc>
      </w:tr>
      <w:tr>
        <w:tc>
          <w:tcPr>
            <w:tcW w:type="dxa" w:w="4939"/>
            <w:vAlign w:val="top"/>
          </w:tcPr>
          <w:p>
            <w:pPr>
              <w:spacing w:after="0"/>
            </w:pPr>
            <w:r/>
            <w:r>
              <w:rPr>
                <w:rFonts w:ascii="Arial" w:hAnsi="Arial"/>
                <w:b w:val="0"/>
                <w:sz w:val="18"/>
              </w:rPr>
              <w:t>Clinical time awareness</w:t>
            </w:r>
          </w:p>
        </w:tc>
        <w:tc>
          <w:tcPr>
            <w:tcW w:type="dxa" w:w="4939"/>
            <w:vAlign w:val="top"/>
          </w:tcPr>
          <w:p>
            <w:pPr>
              <w:spacing w:after="0"/>
            </w:pPr>
            <w:r/>
            <w:r>
              <w:rPr>
                <w:rFonts w:ascii="Arial" w:hAnsi="Arial"/>
                <w:b w:val="0"/>
                <w:sz w:val="18"/>
              </w:rPr>
              <w:t>Observation time, entry time, and update time are distinguished.</w:t>
            </w:r>
          </w:p>
        </w:tc>
      </w:tr>
      <w:tr>
        <w:tc>
          <w:tcPr>
            <w:tcW w:type="dxa" w:w="4939"/>
            <w:vAlign w:val="top"/>
          </w:tcPr>
          <w:p>
            <w:pPr>
              <w:spacing w:after="0"/>
            </w:pPr>
            <w:r/>
            <w:r>
              <w:rPr>
                <w:rFonts w:ascii="Arial" w:hAnsi="Arial"/>
                <w:b w:val="0"/>
                <w:sz w:val="18"/>
              </w:rPr>
              <w:t>Context sensitivity</w:t>
            </w:r>
          </w:p>
        </w:tc>
        <w:tc>
          <w:tcPr>
            <w:tcW w:type="dxa" w:w="4939"/>
            <w:vAlign w:val="top"/>
          </w:tcPr>
          <w:p>
            <w:pPr>
              <w:spacing w:after="0"/>
            </w:pPr>
            <w:r/>
            <w:r>
              <w:rPr>
                <w:rFonts w:ascii="Arial" w:hAnsi="Arial"/>
                <w:b w:val="0"/>
                <w:sz w:val="18"/>
              </w:rPr>
              <w:t>Required data may vary by assessment purpose and pregnancy state.</w:t>
            </w:r>
          </w:p>
        </w:tc>
      </w:tr>
      <w:tr>
        <w:tc>
          <w:tcPr>
            <w:tcW w:type="dxa" w:w="4939"/>
            <w:vAlign w:val="top"/>
          </w:tcPr>
          <w:p>
            <w:pPr>
              <w:spacing w:after="0"/>
            </w:pPr>
            <w:r/>
            <w:r>
              <w:rPr>
                <w:rFonts w:ascii="Arial" w:hAnsi="Arial"/>
                <w:b w:val="0"/>
                <w:sz w:val="18"/>
              </w:rPr>
              <w:t>Preserve usable danger signals</w:t>
            </w:r>
          </w:p>
        </w:tc>
        <w:tc>
          <w:tcPr>
            <w:tcW w:type="dxa" w:w="4939"/>
            <w:vAlign w:val="top"/>
          </w:tcPr>
          <w:p>
            <w:pPr>
              <w:spacing w:after="0"/>
            </w:pPr>
            <w:r/>
            <w:r>
              <w:rPr>
                <w:rFonts w:ascii="Arial" w:hAnsi="Arial"/>
                <w:b w:val="0"/>
                <w:sz w:val="18"/>
              </w:rPr>
              <w:t>An incomplete package does not erase a valid emergency or high-risk finding.</w:t>
            </w:r>
          </w:p>
        </w:tc>
      </w:tr>
      <w:tr>
        <w:tc>
          <w:tcPr>
            <w:tcW w:type="dxa" w:w="4939"/>
            <w:vAlign w:val="top"/>
          </w:tcPr>
          <w:p>
            <w:pPr>
              <w:spacing w:after="0"/>
            </w:pPr>
            <w:r/>
            <w:r>
              <w:rPr>
                <w:rFonts w:ascii="Arial" w:hAnsi="Arial"/>
                <w:b w:val="0"/>
                <w:sz w:val="18"/>
              </w:rPr>
              <w:t>Actionable feedback</w:t>
            </w:r>
          </w:p>
        </w:tc>
        <w:tc>
          <w:tcPr>
            <w:tcW w:type="dxa" w:w="4939"/>
            <w:vAlign w:val="top"/>
          </w:tcPr>
          <w:p>
            <w:pPr>
              <w:spacing w:after="0"/>
            </w:pPr>
            <w:r/>
            <w:r>
              <w:rPr>
                <w:rFonts w:ascii="Arial" w:hAnsi="Arial"/>
                <w:b w:val="0"/>
                <w:sz w:val="18"/>
              </w:rPr>
              <w:t>Users are told exactly what must be corrected or completed.</w:t>
            </w:r>
          </w:p>
        </w:tc>
      </w:tr>
    </w:tbl>
    <w:p/>
    <w:p>
      <w:pPr>
        <w:pStyle w:val="Heading1"/>
      </w:pPr>
      <w:r>
        <w:t>3.0 Inputs and Preconditions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Input group</w:t>
            </w:r>
          </w:p>
        </w:tc>
        <w:tc>
          <w:tcPr>
            <w:tcW w:type="dxa" w:w="4939"/>
            <w:shd w:fill="D9EAF7"/>
          </w:tcPr>
          <w:p>
            <w:pPr>
              <w:spacing w:after="0"/>
            </w:pPr>
            <w:r/>
            <w:r>
              <w:rPr>
                <w:rFonts w:ascii="Arial" w:hAnsi="Arial"/>
                <w:b/>
                <w:sz w:val="18"/>
              </w:rPr>
              <w:t>Required contents</w:t>
            </w:r>
          </w:p>
        </w:tc>
      </w:tr>
      <w:tr>
        <w:tc>
          <w:tcPr>
            <w:tcW w:type="dxa" w:w="4939"/>
            <w:vAlign w:val="top"/>
          </w:tcPr>
          <w:p>
            <w:pPr>
              <w:spacing w:after="0"/>
            </w:pPr>
            <w:r/>
            <w:r>
              <w:rPr>
                <w:rFonts w:ascii="Arial" w:hAnsi="Arial"/>
                <w:b w:val="0"/>
                <w:sz w:val="18"/>
              </w:rPr>
              <w:t>Patient demographics</w:t>
            </w:r>
          </w:p>
        </w:tc>
        <w:tc>
          <w:tcPr>
            <w:tcW w:type="dxa" w:w="4939"/>
            <w:vAlign w:val="top"/>
          </w:tcPr>
          <w:p>
            <w:pPr>
              <w:spacing w:after="0"/>
            </w:pPr>
            <w:r/>
            <w:r>
              <w:rPr>
                <w:rFonts w:ascii="Arial" w:hAnsi="Arial"/>
                <w:b w:val="0"/>
                <w:sz w:val="18"/>
              </w:rPr>
              <w:t>Date of birth, sex-related pregnancy context, identifiers, contact details, and status.</w:t>
            </w:r>
          </w:p>
        </w:tc>
      </w:tr>
      <w:tr>
        <w:tc>
          <w:tcPr>
            <w:tcW w:type="dxa" w:w="4939"/>
            <w:vAlign w:val="top"/>
          </w:tcPr>
          <w:p>
            <w:pPr>
              <w:spacing w:after="0"/>
            </w:pPr>
            <w:r/>
            <w:r>
              <w:rPr>
                <w:rFonts w:ascii="Arial" w:hAnsi="Arial"/>
                <w:b w:val="0"/>
                <w:sz w:val="18"/>
              </w:rPr>
              <w:t>Pregnancy context</w:t>
            </w:r>
          </w:p>
        </w:tc>
        <w:tc>
          <w:tcPr>
            <w:tcW w:type="dxa" w:w="4939"/>
            <w:vAlign w:val="top"/>
          </w:tcPr>
          <w:p>
            <w:pPr>
              <w:spacing w:after="0"/>
            </w:pPr>
            <w:r/>
            <w:r>
              <w:rPr>
                <w:rFonts w:ascii="Arial" w:hAnsi="Arial"/>
                <w:b w:val="0"/>
                <w:sz w:val="18"/>
              </w:rPr>
              <w:t>Pregnancy identifier, current status, gravidity/parity information, and relevant dates.</w:t>
            </w:r>
          </w:p>
        </w:tc>
      </w:tr>
      <w:tr>
        <w:tc>
          <w:tcPr>
            <w:tcW w:type="dxa" w:w="4939"/>
            <w:vAlign w:val="top"/>
          </w:tcPr>
          <w:p>
            <w:pPr>
              <w:spacing w:after="0"/>
            </w:pPr>
            <w:r/>
            <w:r>
              <w:rPr>
                <w:rFonts w:ascii="Arial" w:hAnsi="Arial"/>
                <w:b w:val="0"/>
                <w:sz w:val="18"/>
              </w:rPr>
              <w:t>Prenatal observations</w:t>
            </w:r>
          </w:p>
        </w:tc>
        <w:tc>
          <w:tcPr>
            <w:tcW w:type="dxa" w:w="4939"/>
            <w:vAlign w:val="top"/>
          </w:tcPr>
          <w:p>
            <w:pPr>
              <w:spacing w:after="0"/>
            </w:pPr>
            <w:r/>
            <w:r>
              <w:rPr>
                <w:rFonts w:ascii="Arial" w:hAnsi="Arial"/>
                <w:b w:val="0"/>
                <w:sz w:val="18"/>
              </w:rPr>
              <w:t>Blood pressure, gestational information, symptoms, and encounter date.</w:t>
            </w:r>
          </w:p>
        </w:tc>
      </w:tr>
      <w:tr>
        <w:tc>
          <w:tcPr>
            <w:tcW w:type="dxa" w:w="4939"/>
            <w:vAlign w:val="top"/>
          </w:tcPr>
          <w:p>
            <w:pPr>
              <w:spacing w:after="0"/>
            </w:pPr>
            <w:r/>
            <w:r>
              <w:rPr>
                <w:rFonts w:ascii="Arial" w:hAnsi="Arial"/>
                <w:b w:val="0"/>
                <w:sz w:val="18"/>
              </w:rPr>
              <w:t>Medical history</w:t>
            </w:r>
          </w:p>
        </w:tc>
        <w:tc>
          <w:tcPr>
            <w:tcW w:type="dxa" w:w="4939"/>
            <w:vAlign w:val="top"/>
          </w:tcPr>
          <w:p>
            <w:pPr>
              <w:spacing w:after="0"/>
            </w:pPr>
            <w:r/>
            <w:r>
              <w:rPr>
                <w:rFonts w:ascii="Arial" w:hAnsi="Arial"/>
                <w:b w:val="0"/>
                <w:sz w:val="18"/>
              </w:rPr>
              <w:t>Diabetes, anemia, previous caesarean section, miscarriage count, and other approved fields.</w:t>
            </w:r>
          </w:p>
        </w:tc>
      </w:tr>
      <w:tr>
        <w:tc>
          <w:tcPr>
            <w:tcW w:type="dxa" w:w="4939"/>
            <w:vAlign w:val="top"/>
          </w:tcPr>
          <w:p>
            <w:pPr>
              <w:spacing w:after="0"/>
            </w:pPr>
            <w:r/>
            <w:r>
              <w:rPr>
                <w:rFonts w:ascii="Arial" w:hAnsi="Arial"/>
                <w:b w:val="0"/>
                <w:sz w:val="18"/>
              </w:rPr>
              <w:t>Ultrasound record</w:t>
            </w:r>
          </w:p>
        </w:tc>
        <w:tc>
          <w:tcPr>
            <w:tcW w:type="dxa" w:w="4939"/>
            <w:vAlign w:val="top"/>
          </w:tcPr>
          <w:p>
            <w:pPr>
              <w:spacing w:after="0"/>
            </w:pPr>
            <w:r/>
            <w:r>
              <w:rPr>
                <w:rFonts w:ascii="Arial" w:hAnsi="Arial"/>
                <w:b w:val="0"/>
                <w:sz w:val="18"/>
              </w:rPr>
              <w:t>Structured clinician-entered presentation, amniotic-fluid status, and fetal-heartbeat description.</w:t>
            </w:r>
          </w:p>
        </w:tc>
      </w:tr>
      <w:tr>
        <w:tc>
          <w:tcPr>
            <w:tcW w:type="dxa" w:w="4939"/>
            <w:vAlign w:val="top"/>
          </w:tcPr>
          <w:p>
            <w:pPr>
              <w:spacing w:after="0"/>
            </w:pPr>
            <w:r/>
            <w:r>
              <w:rPr>
                <w:rFonts w:ascii="Arial" w:hAnsi="Arial"/>
                <w:b w:val="0"/>
                <w:sz w:val="18"/>
              </w:rPr>
              <w:t>Birth plan</w:t>
            </w:r>
          </w:p>
        </w:tc>
        <w:tc>
          <w:tcPr>
            <w:tcW w:type="dxa" w:w="4939"/>
            <w:vAlign w:val="top"/>
          </w:tcPr>
          <w:p>
            <w:pPr>
              <w:spacing w:after="0"/>
            </w:pPr>
            <w:r/>
            <w:r>
              <w:rPr>
                <w:rFonts w:ascii="Arial" w:hAnsi="Arial"/>
                <w:b w:val="0"/>
                <w:sz w:val="18"/>
              </w:rPr>
              <w:t>Required preparedness and referral-planning elements defined by the project.</w:t>
            </w:r>
          </w:p>
        </w:tc>
      </w:tr>
      <w:tr>
        <w:tc>
          <w:tcPr>
            <w:tcW w:type="dxa" w:w="4939"/>
            <w:vAlign w:val="top"/>
          </w:tcPr>
          <w:p>
            <w:pPr>
              <w:spacing w:after="0"/>
            </w:pPr>
            <w:r/>
            <w:r>
              <w:rPr>
                <w:rFonts w:ascii="Arial" w:hAnsi="Arial"/>
                <w:b w:val="0"/>
                <w:sz w:val="18"/>
              </w:rPr>
              <w:t>ML response</w:t>
            </w:r>
          </w:p>
        </w:tc>
        <w:tc>
          <w:tcPr>
            <w:tcW w:type="dxa" w:w="4939"/>
            <w:vAlign w:val="top"/>
          </w:tcPr>
          <w:p>
            <w:pPr>
              <w:spacing w:after="0"/>
            </w:pPr>
            <w:r/>
            <w:r>
              <w:rPr>
                <w:rFonts w:ascii="Arial" w:hAnsi="Arial"/>
                <w:b w:val="0"/>
                <w:sz w:val="18"/>
              </w:rPr>
              <w:t>Strict controlled output, model version, execution status, and error indicators.</w:t>
            </w:r>
          </w:p>
        </w:tc>
      </w:tr>
    </w:tbl>
    <w:p/>
    <w:p>
      <w:r>
        <w:t>All inputs must retain source identifiers, patient and pregnancy context, relevant timestamps, validation status, and the active knowledge or policy version.</w:t>
      </w:r>
    </w:p>
    <w:p>
      <w:pPr>
        <w:pStyle w:val="Heading1"/>
      </w:pPr>
      <w:r>
        <w:t>4.0 Internal Processing Workflow</w:t>
      </w:r>
    </w:p>
    <w:p>
      <w:pPr>
        <w:pStyle w:val="ListNumber"/>
      </w:pPr>
      <w:r>
        <w:t>Load the assessment-specific validation profile.</w:t>
      </w:r>
    </w:p>
    <w:p>
      <w:pPr>
        <w:pStyle w:val="ListNumber"/>
      </w:pPr>
      <w:r>
        <w:t>Verify patient, pregnancy, encounter, and source-record linkage.</w:t>
      </w:r>
    </w:p>
    <w:p>
      <w:pPr>
        <w:pStyle w:val="ListNumber"/>
      </w:pPr>
      <w:r>
        <w:t>Check required record presence.</w:t>
      </w:r>
    </w:p>
    <w:p>
      <w:pPr>
        <w:pStyle w:val="ListNumber"/>
      </w:pPr>
      <w:r>
        <w:t>Validate data types, controlled vocabulary, date formats, and units.</w:t>
      </w:r>
    </w:p>
    <w:p>
      <w:pPr>
        <w:pStyle w:val="ListNumber"/>
      </w:pPr>
      <w:r>
        <w:t>Evaluate clinical plausibility and boundary conditions defined by approved rules.</w:t>
      </w:r>
    </w:p>
    <w:p>
      <w:pPr>
        <w:pStyle w:val="ListNumber"/>
      </w:pPr>
      <w:r>
        <w:t>Check temporal freshness and sequence consistency.</w:t>
      </w:r>
    </w:p>
    <w:p>
      <w:pPr>
        <w:pStyle w:val="ListNumber"/>
      </w:pPr>
      <w:r>
        <w:t>Detect duplicate, contradictory, or superseded observations.</w:t>
      </w:r>
    </w:p>
    <w:p>
      <w:pPr>
        <w:pStyle w:val="ListNumber"/>
      </w:pPr>
      <w:r>
        <w:t>Normalize accepted values while preserving the original snapshot.</w:t>
      </w:r>
    </w:p>
    <w:p>
      <w:pPr>
        <w:pStyle w:val="ListNumber"/>
      </w:pPr>
      <w:r>
        <w:t>Assign field, record, and package-level validation statuses.</w:t>
      </w:r>
    </w:p>
    <w:p>
      <w:pPr>
        <w:pStyle w:val="ListNumber"/>
      </w:pPr>
      <w:r>
        <w:t>Return validated values, missing requirements, conflicts, warnings, and a downstream eligibility decision.</w:t>
      </w:r>
    </w:p>
    <w:p>
      <w:pPr>
        <w:pStyle w:val="Heading1"/>
      </w:pPr>
      <w:r>
        <w:t>5.0 Decision Logic and Precedence</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Condition or scenario</w:t>
            </w:r>
          </w:p>
        </w:tc>
        <w:tc>
          <w:tcPr>
            <w:tcW w:type="dxa" w:w="4939"/>
            <w:shd w:fill="D9EAF7"/>
          </w:tcPr>
          <w:p>
            <w:pPr>
              <w:spacing w:after="0"/>
            </w:pPr>
            <w:r/>
            <w:r>
              <w:rPr>
                <w:rFonts w:ascii="Arial" w:hAnsi="Arial"/>
                <w:b/>
                <w:sz w:val="18"/>
              </w:rPr>
              <w:t>Required system behavior</w:t>
            </w:r>
          </w:p>
        </w:tc>
      </w:tr>
      <w:tr>
        <w:tc>
          <w:tcPr>
            <w:tcW w:type="dxa" w:w="4939"/>
            <w:vAlign w:val="top"/>
          </w:tcPr>
          <w:p>
            <w:pPr>
              <w:spacing w:after="0"/>
            </w:pPr>
            <w:r/>
            <w:r>
              <w:rPr>
                <w:rFonts w:ascii="Arial" w:hAnsi="Arial"/>
                <w:b w:val="0"/>
                <w:sz w:val="18"/>
              </w:rPr>
              <w:t>Required record absent</w:t>
            </w:r>
          </w:p>
        </w:tc>
        <w:tc>
          <w:tcPr>
            <w:tcW w:type="dxa" w:w="4939"/>
            <w:vAlign w:val="top"/>
          </w:tcPr>
          <w:p>
            <w:pPr>
              <w:spacing w:after="0"/>
            </w:pPr>
            <w:r/>
            <w:r>
              <w:rPr>
                <w:rFonts w:ascii="Arial" w:hAnsi="Arial"/>
                <w:b w:val="0"/>
                <w:sz w:val="18"/>
              </w:rPr>
              <w:t>Mark missing and prevent routine LOW.</w:t>
            </w:r>
          </w:p>
        </w:tc>
      </w:tr>
      <w:tr>
        <w:tc>
          <w:tcPr>
            <w:tcW w:type="dxa" w:w="4939"/>
            <w:vAlign w:val="top"/>
          </w:tcPr>
          <w:p>
            <w:pPr>
              <w:spacing w:after="0"/>
            </w:pPr>
            <w:r/>
            <w:r>
              <w:rPr>
                <w:rFonts w:ascii="Arial" w:hAnsi="Arial"/>
                <w:b w:val="0"/>
                <w:sz w:val="18"/>
              </w:rPr>
              <w:t>Required value blank or malformed</w:t>
            </w:r>
          </w:p>
        </w:tc>
        <w:tc>
          <w:tcPr>
            <w:tcW w:type="dxa" w:w="4939"/>
            <w:vAlign w:val="top"/>
          </w:tcPr>
          <w:p>
            <w:pPr>
              <w:spacing w:after="0"/>
            </w:pPr>
            <w:r/>
            <w:r>
              <w:rPr>
                <w:rFonts w:ascii="Arial" w:hAnsi="Arial"/>
                <w:b w:val="0"/>
                <w:sz w:val="18"/>
              </w:rPr>
              <w:t>Mark invalid; do not substitute a default.</w:t>
            </w:r>
          </w:p>
        </w:tc>
      </w:tr>
      <w:tr>
        <w:tc>
          <w:tcPr>
            <w:tcW w:type="dxa" w:w="4939"/>
            <w:vAlign w:val="top"/>
          </w:tcPr>
          <w:p>
            <w:pPr>
              <w:spacing w:after="0"/>
            </w:pPr>
            <w:r/>
            <w:r>
              <w:rPr>
                <w:rFonts w:ascii="Arial" w:hAnsi="Arial"/>
                <w:b w:val="0"/>
                <w:sz w:val="18"/>
              </w:rPr>
              <w:t>Controlled value unsupported</w:t>
            </w:r>
          </w:p>
        </w:tc>
        <w:tc>
          <w:tcPr>
            <w:tcW w:type="dxa" w:w="4939"/>
            <w:vAlign w:val="top"/>
          </w:tcPr>
          <w:p>
            <w:pPr>
              <w:spacing w:after="0"/>
            </w:pPr>
            <w:r/>
            <w:r>
              <w:rPr>
                <w:rFonts w:ascii="Arial" w:hAnsi="Arial"/>
                <w:b w:val="0"/>
                <w:sz w:val="18"/>
              </w:rPr>
              <w:t>Reject for rule use and identify the allowed values.</w:t>
            </w:r>
          </w:p>
        </w:tc>
      </w:tr>
      <w:tr>
        <w:tc>
          <w:tcPr>
            <w:tcW w:type="dxa" w:w="4939"/>
            <w:vAlign w:val="top"/>
          </w:tcPr>
          <w:p>
            <w:pPr>
              <w:spacing w:after="0"/>
            </w:pPr>
            <w:r/>
            <w:r>
              <w:rPr>
                <w:rFonts w:ascii="Arial" w:hAnsi="Arial"/>
                <w:b w:val="0"/>
                <w:sz w:val="18"/>
              </w:rPr>
              <w:t>Two active values conflict</w:t>
            </w:r>
          </w:p>
        </w:tc>
        <w:tc>
          <w:tcPr>
            <w:tcW w:type="dxa" w:w="4939"/>
            <w:vAlign w:val="top"/>
          </w:tcPr>
          <w:p>
            <w:pPr>
              <w:spacing w:after="0"/>
            </w:pPr>
            <w:r/>
            <w:r>
              <w:rPr>
                <w:rFonts w:ascii="Arial" w:hAnsi="Arial"/>
                <w:b w:val="0"/>
                <w:sz w:val="18"/>
              </w:rPr>
              <w:t>Mark conflict and pass to Conflict Resolution only if approved precedence exists.</w:t>
            </w:r>
          </w:p>
        </w:tc>
      </w:tr>
      <w:tr>
        <w:tc>
          <w:tcPr>
            <w:tcW w:type="dxa" w:w="4939"/>
            <w:vAlign w:val="top"/>
          </w:tcPr>
          <w:p>
            <w:pPr>
              <w:spacing w:after="0"/>
            </w:pPr>
            <w:r/>
            <w:r>
              <w:rPr>
                <w:rFonts w:ascii="Arial" w:hAnsi="Arial"/>
                <w:b w:val="0"/>
                <w:sz w:val="18"/>
              </w:rPr>
              <w:t>Observation is stale</w:t>
            </w:r>
          </w:p>
        </w:tc>
        <w:tc>
          <w:tcPr>
            <w:tcW w:type="dxa" w:w="4939"/>
            <w:vAlign w:val="top"/>
          </w:tcPr>
          <w:p>
            <w:pPr>
              <w:spacing w:after="0"/>
            </w:pPr>
            <w:r/>
            <w:r>
              <w:rPr>
                <w:rFonts w:ascii="Arial" w:hAnsi="Arial"/>
                <w:b w:val="0"/>
                <w:sz w:val="18"/>
              </w:rPr>
              <w:t>Mark temporal limitation and apply the assessment-specific policy.</w:t>
            </w:r>
          </w:p>
        </w:tc>
      </w:tr>
      <w:tr>
        <w:tc>
          <w:tcPr>
            <w:tcW w:type="dxa" w:w="4939"/>
            <w:vAlign w:val="top"/>
          </w:tcPr>
          <w:p>
            <w:pPr>
              <w:spacing w:after="0"/>
            </w:pPr>
            <w:r/>
            <w:r>
              <w:rPr>
                <w:rFonts w:ascii="Arial" w:hAnsi="Arial"/>
                <w:b w:val="0"/>
                <w:sz w:val="18"/>
              </w:rPr>
              <w:t>Valid emergency value present</w:t>
            </w:r>
          </w:p>
        </w:tc>
        <w:tc>
          <w:tcPr>
            <w:tcW w:type="dxa" w:w="4939"/>
            <w:vAlign w:val="top"/>
          </w:tcPr>
          <w:p>
            <w:pPr>
              <w:spacing w:after="0"/>
            </w:pPr>
            <w:r/>
            <w:r>
              <w:rPr>
                <w:rFonts w:ascii="Arial" w:hAnsi="Arial"/>
                <w:b w:val="0"/>
                <w:sz w:val="18"/>
              </w:rPr>
              <w:t>Forward immediately to emergency screening even if the overall package is incomplete.</w:t>
            </w:r>
          </w:p>
        </w:tc>
      </w:tr>
      <w:tr>
        <w:tc>
          <w:tcPr>
            <w:tcW w:type="dxa" w:w="4939"/>
            <w:vAlign w:val="top"/>
          </w:tcPr>
          <w:p>
            <w:pPr>
              <w:spacing w:after="0"/>
            </w:pPr>
            <w:r/>
            <w:r>
              <w:rPr>
                <w:rFonts w:ascii="Arial" w:hAnsi="Arial"/>
                <w:b w:val="0"/>
                <w:sz w:val="18"/>
              </w:rPr>
              <w:t>ML output not exactly approved</w:t>
            </w:r>
          </w:p>
        </w:tc>
        <w:tc>
          <w:tcPr>
            <w:tcW w:type="dxa" w:w="4939"/>
            <w:vAlign w:val="top"/>
          </w:tcPr>
          <w:p>
            <w:pPr>
              <w:spacing w:after="0"/>
            </w:pPr>
            <w:r/>
            <w:r>
              <w:rPr>
                <w:rFonts w:ascii="Arial" w:hAnsi="Arial"/>
                <w:b w:val="0"/>
                <w:sz w:val="18"/>
              </w:rPr>
              <w:t>Mark ML unavailable or invalid; never parse error text as a clinical label.</w:t>
            </w:r>
          </w:p>
        </w:tc>
      </w:tr>
    </w:tbl>
    <w:p/>
    <w:p>
      <w:r>
        <w:t>The listed logic represents the current documented capstone architecture. Exact clinical thresholds, wording, applicability, and urgency must remain linked to qualified review and versioned evidence sources.</w:t>
      </w:r>
    </w:p>
    <w:p>
      <w:pPr>
        <w:pStyle w:val="Heading1"/>
      </w:pPr>
      <w:r>
        <w:t>6.0 Output Contract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Output field</w:t>
            </w:r>
          </w:p>
        </w:tc>
        <w:tc>
          <w:tcPr>
            <w:tcW w:type="dxa" w:w="4939"/>
            <w:shd w:fill="D9EAF7"/>
          </w:tcPr>
          <w:p>
            <w:pPr>
              <w:spacing w:after="0"/>
            </w:pPr>
            <w:r/>
            <w:r>
              <w:rPr>
                <w:rFonts w:ascii="Arial" w:hAnsi="Arial"/>
                <w:b/>
                <w:sz w:val="18"/>
              </w:rPr>
              <w:t>Requirement</w:t>
            </w:r>
          </w:p>
        </w:tc>
      </w:tr>
      <w:tr>
        <w:tc>
          <w:tcPr>
            <w:tcW w:type="dxa" w:w="4939"/>
            <w:vAlign w:val="top"/>
          </w:tcPr>
          <w:p>
            <w:pPr>
              <w:spacing w:after="0"/>
            </w:pPr>
            <w:r/>
            <w:r>
              <w:rPr>
                <w:rFonts w:ascii="Arial" w:hAnsi="Arial"/>
                <w:b w:val="0"/>
                <w:sz w:val="18"/>
              </w:rPr>
              <w:t>execution_id</w:t>
            </w:r>
          </w:p>
        </w:tc>
        <w:tc>
          <w:tcPr>
            <w:tcW w:type="dxa" w:w="4939"/>
            <w:vAlign w:val="top"/>
          </w:tcPr>
          <w:p>
            <w:pPr>
              <w:spacing w:after="0"/>
            </w:pPr>
            <w:r/>
            <w:r>
              <w:rPr>
                <w:rFonts w:ascii="Arial" w:hAnsi="Arial"/>
                <w:b w:val="0"/>
                <w:sz w:val="18"/>
              </w:rPr>
              <w:t>Unique decision execution identifier.</w:t>
            </w:r>
          </w:p>
        </w:tc>
      </w:tr>
      <w:tr>
        <w:tc>
          <w:tcPr>
            <w:tcW w:type="dxa" w:w="4939"/>
            <w:vAlign w:val="top"/>
          </w:tcPr>
          <w:p>
            <w:pPr>
              <w:spacing w:after="0"/>
            </w:pPr>
            <w:r/>
            <w:r>
              <w:rPr>
                <w:rFonts w:ascii="Arial" w:hAnsi="Arial"/>
                <w:b w:val="0"/>
                <w:sz w:val="18"/>
              </w:rPr>
              <w:t>component_status</w:t>
            </w:r>
          </w:p>
        </w:tc>
        <w:tc>
          <w:tcPr>
            <w:tcW w:type="dxa" w:w="4939"/>
            <w:vAlign w:val="top"/>
          </w:tcPr>
          <w:p>
            <w:pPr>
              <w:spacing w:after="0"/>
            </w:pPr>
            <w:r/>
            <w:r>
              <w:rPr>
                <w:rFonts w:ascii="Arial" w:hAnsi="Arial"/>
                <w:b w:val="0"/>
                <w:sz w:val="18"/>
              </w:rPr>
              <w:t>Completed, incomplete, unable to evaluate, emergency interruption, or failed.</w:t>
            </w:r>
          </w:p>
        </w:tc>
      </w:tr>
      <w:tr>
        <w:tc>
          <w:tcPr>
            <w:tcW w:type="dxa" w:w="4939"/>
            <w:vAlign w:val="top"/>
          </w:tcPr>
          <w:p>
            <w:pPr>
              <w:spacing w:after="0"/>
            </w:pPr>
            <w:r/>
            <w:r>
              <w:rPr>
                <w:rFonts w:ascii="Arial" w:hAnsi="Arial"/>
                <w:b w:val="0"/>
                <w:sz w:val="18"/>
              </w:rPr>
              <w:t>structured_results</w:t>
            </w:r>
          </w:p>
        </w:tc>
        <w:tc>
          <w:tcPr>
            <w:tcW w:type="dxa" w:w="4939"/>
            <w:vAlign w:val="top"/>
          </w:tcPr>
          <w:p>
            <w:pPr>
              <w:spacing w:after="0"/>
            </w:pPr>
            <w:r/>
            <w:r>
              <w:rPr>
                <w:rFonts w:ascii="Arial" w:hAnsi="Arial"/>
                <w:b w:val="0"/>
                <w:sz w:val="18"/>
              </w:rPr>
              <w:t>Machine-readable findings with controlled identifiers and versions.</w:t>
            </w:r>
          </w:p>
        </w:tc>
      </w:tr>
      <w:tr>
        <w:tc>
          <w:tcPr>
            <w:tcW w:type="dxa" w:w="4939"/>
            <w:vAlign w:val="top"/>
          </w:tcPr>
          <w:p>
            <w:pPr>
              <w:spacing w:after="0"/>
            </w:pPr>
            <w:r/>
            <w:r>
              <w:rPr>
                <w:rFonts w:ascii="Arial" w:hAnsi="Arial"/>
                <w:b w:val="0"/>
                <w:sz w:val="18"/>
              </w:rPr>
              <w:t>patient_specific_rationale</w:t>
            </w:r>
          </w:p>
        </w:tc>
        <w:tc>
          <w:tcPr>
            <w:tcW w:type="dxa" w:w="4939"/>
            <w:vAlign w:val="top"/>
          </w:tcPr>
          <w:p>
            <w:pPr>
              <w:spacing w:after="0"/>
            </w:pPr>
            <w:r/>
            <w:r>
              <w:rPr>
                <w:rFonts w:ascii="Arial" w:hAnsi="Arial"/>
                <w:b w:val="0"/>
                <w:sz w:val="18"/>
              </w:rPr>
              <w:t>Values and source records that caused each result.</w:t>
            </w:r>
          </w:p>
        </w:tc>
      </w:tr>
      <w:tr>
        <w:tc>
          <w:tcPr>
            <w:tcW w:type="dxa" w:w="4939"/>
            <w:vAlign w:val="top"/>
          </w:tcPr>
          <w:p>
            <w:pPr>
              <w:spacing w:after="0"/>
            </w:pPr>
            <w:r/>
            <w:r>
              <w:rPr>
                <w:rFonts w:ascii="Arial" w:hAnsi="Arial"/>
                <w:b w:val="0"/>
                <w:sz w:val="18"/>
              </w:rPr>
              <w:t>limitations</w:t>
            </w:r>
          </w:p>
        </w:tc>
        <w:tc>
          <w:tcPr>
            <w:tcW w:type="dxa" w:w="4939"/>
            <w:vAlign w:val="top"/>
          </w:tcPr>
          <w:p>
            <w:pPr>
              <w:spacing w:after="0"/>
            </w:pPr>
            <w:r/>
            <w:r>
              <w:rPr>
                <w:rFonts w:ascii="Arial" w:hAnsi="Arial"/>
                <w:b w:val="0"/>
                <w:sz w:val="18"/>
              </w:rPr>
              <w:t>Missing, invalid, stale, conflicting, unavailable, or out-of-scope information.</w:t>
            </w:r>
          </w:p>
        </w:tc>
      </w:tr>
      <w:tr>
        <w:tc>
          <w:tcPr>
            <w:tcW w:type="dxa" w:w="4939"/>
            <w:vAlign w:val="top"/>
          </w:tcPr>
          <w:p>
            <w:pPr>
              <w:spacing w:after="0"/>
            </w:pPr>
            <w:r/>
            <w:r>
              <w:rPr>
                <w:rFonts w:ascii="Arial" w:hAnsi="Arial"/>
                <w:b w:val="0"/>
                <w:sz w:val="18"/>
              </w:rPr>
              <w:t>priority_effect</w:t>
            </w:r>
          </w:p>
        </w:tc>
        <w:tc>
          <w:tcPr>
            <w:tcW w:type="dxa" w:w="4939"/>
            <w:vAlign w:val="top"/>
          </w:tcPr>
          <w:p>
            <w:pPr>
              <w:spacing w:after="0"/>
            </w:pPr>
            <w:r/>
            <w:r>
              <w:rPr>
                <w:rFonts w:ascii="Arial" w:hAnsi="Arial"/>
                <w:b w:val="0"/>
                <w:sz w:val="18"/>
              </w:rPr>
              <w:t>No effect, routine, HIGH, urgent, or emergency effect as approved.</w:t>
            </w:r>
          </w:p>
        </w:tc>
      </w:tr>
      <w:tr>
        <w:tc>
          <w:tcPr>
            <w:tcW w:type="dxa" w:w="4939"/>
            <w:vAlign w:val="top"/>
          </w:tcPr>
          <w:p>
            <w:pPr>
              <w:spacing w:after="0"/>
            </w:pPr>
            <w:r/>
            <w:r>
              <w:rPr>
                <w:rFonts w:ascii="Arial" w:hAnsi="Arial"/>
                <w:b w:val="0"/>
                <w:sz w:val="18"/>
              </w:rPr>
              <w:t>next_component</w:t>
            </w:r>
          </w:p>
        </w:tc>
        <w:tc>
          <w:tcPr>
            <w:tcW w:type="dxa" w:w="4939"/>
            <w:vAlign w:val="top"/>
          </w:tcPr>
          <w:p>
            <w:pPr>
              <w:spacing w:after="0"/>
            </w:pPr>
            <w:r/>
            <w:r>
              <w:rPr>
                <w:rFonts w:ascii="Arial" w:hAnsi="Arial"/>
                <w:b w:val="0"/>
                <w:sz w:val="18"/>
              </w:rPr>
              <w:t>Named downstream engine or terminal state.</w:t>
            </w:r>
          </w:p>
        </w:tc>
      </w:tr>
      <w:tr>
        <w:tc>
          <w:tcPr>
            <w:tcW w:type="dxa" w:w="4939"/>
            <w:vAlign w:val="top"/>
          </w:tcPr>
          <w:p>
            <w:pPr>
              <w:spacing w:after="0"/>
            </w:pPr>
            <w:r/>
            <w:r>
              <w:rPr>
                <w:rFonts w:ascii="Arial" w:hAnsi="Arial"/>
                <w:b w:val="0"/>
                <w:sz w:val="18"/>
              </w:rPr>
              <w:t>audit_metadata</w:t>
            </w:r>
          </w:p>
        </w:tc>
        <w:tc>
          <w:tcPr>
            <w:tcW w:type="dxa" w:w="4939"/>
            <w:vAlign w:val="top"/>
          </w:tcPr>
          <w:p>
            <w:pPr>
              <w:spacing w:after="0"/>
            </w:pPr>
            <w:r/>
            <w:r>
              <w:rPr>
                <w:rFonts w:ascii="Arial" w:hAnsi="Arial"/>
                <w:b w:val="0"/>
                <w:sz w:val="18"/>
              </w:rPr>
              <w:t>Timestamps, actor or system process, rule/policy release, and software version.</w:t>
            </w:r>
          </w:p>
        </w:tc>
      </w:tr>
    </w:tbl>
    <w:p/>
    <w:p>
      <w:pPr>
        <w:pStyle w:val="Heading1"/>
      </w:pPr>
      <w:r>
        <w:t>7.0 Safety Mechanisms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Control</w:t>
            </w:r>
          </w:p>
        </w:tc>
        <w:tc>
          <w:tcPr>
            <w:tcW w:type="dxa" w:w="4939"/>
            <w:shd w:fill="D9EAF7"/>
          </w:tcPr>
          <w:p>
            <w:pPr>
              <w:spacing w:after="0"/>
            </w:pPr>
            <w:r/>
            <w:r>
              <w:rPr>
                <w:rFonts w:ascii="Arial" w:hAnsi="Arial"/>
                <w:b/>
                <w:sz w:val="18"/>
              </w:rPr>
              <w:t>Safety purpose</w:t>
            </w:r>
          </w:p>
        </w:tc>
      </w:tr>
      <w:tr>
        <w:tc>
          <w:tcPr>
            <w:tcW w:type="dxa" w:w="4939"/>
            <w:vAlign w:val="top"/>
          </w:tcPr>
          <w:p>
            <w:pPr>
              <w:spacing w:after="0"/>
            </w:pPr>
            <w:r/>
            <w:r>
              <w:rPr>
                <w:rFonts w:ascii="Arial" w:hAnsi="Arial"/>
                <w:b w:val="0"/>
                <w:sz w:val="18"/>
              </w:rPr>
              <w:t>Schema validation</w:t>
            </w:r>
          </w:p>
        </w:tc>
        <w:tc>
          <w:tcPr>
            <w:tcW w:type="dxa" w:w="4939"/>
            <w:vAlign w:val="top"/>
          </w:tcPr>
          <w:p>
            <w:pPr>
              <w:spacing w:after="0"/>
            </w:pPr>
            <w:r/>
            <w:r>
              <w:rPr>
                <w:rFonts w:ascii="Arial" w:hAnsi="Arial"/>
                <w:b w:val="0"/>
                <w:sz w:val="18"/>
              </w:rPr>
              <w:t>Prevents unexpected text or malformed values from entering rules.</w:t>
            </w:r>
          </w:p>
        </w:tc>
      </w:tr>
      <w:tr>
        <w:tc>
          <w:tcPr>
            <w:tcW w:type="dxa" w:w="4939"/>
            <w:vAlign w:val="top"/>
          </w:tcPr>
          <w:p>
            <w:pPr>
              <w:spacing w:after="0"/>
            </w:pPr>
            <w:r/>
            <w:r>
              <w:rPr>
                <w:rFonts w:ascii="Arial" w:hAnsi="Arial"/>
                <w:b w:val="0"/>
                <w:sz w:val="18"/>
              </w:rPr>
              <w:t>Completeness matrix</w:t>
            </w:r>
          </w:p>
        </w:tc>
        <w:tc>
          <w:tcPr>
            <w:tcW w:type="dxa" w:w="4939"/>
            <w:vAlign w:val="top"/>
          </w:tcPr>
          <w:p>
            <w:pPr>
              <w:spacing w:after="0"/>
            </w:pPr>
            <w:r/>
            <w:r>
              <w:rPr>
                <w:rFonts w:ascii="Arial" w:hAnsi="Arial"/>
                <w:b w:val="0"/>
                <w:sz w:val="18"/>
              </w:rPr>
              <w:t>Prevents incomplete evidence from producing LOW.</w:t>
            </w:r>
          </w:p>
        </w:tc>
      </w:tr>
      <w:tr>
        <w:tc>
          <w:tcPr>
            <w:tcW w:type="dxa" w:w="4939"/>
            <w:vAlign w:val="top"/>
          </w:tcPr>
          <w:p>
            <w:pPr>
              <w:spacing w:after="0"/>
            </w:pPr>
            <w:r/>
            <w:r>
              <w:rPr>
                <w:rFonts w:ascii="Arial" w:hAnsi="Arial"/>
                <w:b w:val="0"/>
                <w:sz w:val="18"/>
              </w:rPr>
              <w:t>Plausibility boundaries</w:t>
            </w:r>
          </w:p>
        </w:tc>
        <w:tc>
          <w:tcPr>
            <w:tcW w:type="dxa" w:w="4939"/>
            <w:vAlign w:val="top"/>
          </w:tcPr>
          <w:p>
            <w:pPr>
              <w:spacing w:after="0"/>
            </w:pPr>
            <w:r/>
            <w:r>
              <w:rPr>
                <w:rFonts w:ascii="Arial" w:hAnsi="Arial"/>
                <w:b w:val="0"/>
                <w:sz w:val="18"/>
              </w:rPr>
              <w:t>Detects likely entry mistakes without silently changing them.</w:t>
            </w:r>
          </w:p>
        </w:tc>
      </w:tr>
      <w:tr>
        <w:tc>
          <w:tcPr>
            <w:tcW w:type="dxa" w:w="4939"/>
            <w:vAlign w:val="top"/>
          </w:tcPr>
          <w:p>
            <w:pPr>
              <w:spacing w:after="0"/>
            </w:pPr>
            <w:r/>
            <w:r>
              <w:rPr>
                <w:rFonts w:ascii="Arial" w:hAnsi="Arial"/>
                <w:b w:val="0"/>
                <w:sz w:val="18"/>
              </w:rPr>
              <w:t>Temporal validation</w:t>
            </w:r>
          </w:p>
        </w:tc>
        <w:tc>
          <w:tcPr>
            <w:tcW w:type="dxa" w:w="4939"/>
            <w:vAlign w:val="top"/>
          </w:tcPr>
          <w:p>
            <w:pPr>
              <w:spacing w:after="0"/>
            </w:pPr>
            <w:r/>
            <w:r>
              <w:rPr>
                <w:rFonts w:ascii="Arial" w:hAnsi="Arial"/>
                <w:b w:val="0"/>
                <w:sz w:val="18"/>
              </w:rPr>
              <w:t>Prevents outdated findings from being treated as current.</w:t>
            </w:r>
          </w:p>
        </w:tc>
      </w:tr>
      <w:tr>
        <w:tc>
          <w:tcPr>
            <w:tcW w:type="dxa" w:w="4939"/>
            <w:vAlign w:val="top"/>
          </w:tcPr>
          <w:p>
            <w:pPr>
              <w:spacing w:after="0"/>
            </w:pPr>
            <w:r/>
            <w:r>
              <w:rPr>
                <w:rFonts w:ascii="Arial" w:hAnsi="Arial"/>
                <w:b w:val="0"/>
                <w:sz w:val="18"/>
              </w:rPr>
              <w:t>Source linkage</w:t>
            </w:r>
          </w:p>
        </w:tc>
        <w:tc>
          <w:tcPr>
            <w:tcW w:type="dxa" w:w="4939"/>
            <w:vAlign w:val="top"/>
          </w:tcPr>
          <w:p>
            <w:pPr>
              <w:spacing w:after="0"/>
            </w:pPr>
            <w:r/>
            <w:r>
              <w:rPr>
                <w:rFonts w:ascii="Arial" w:hAnsi="Arial"/>
                <w:b w:val="0"/>
                <w:sz w:val="18"/>
              </w:rPr>
              <w:t>Prevents evidence from another pregnancy or encounter being used.</w:t>
            </w:r>
          </w:p>
        </w:tc>
      </w:tr>
      <w:tr>
        <w:tc>
          <w:tcPr>
            <w:tcW w:type="dxa" w:w="4939"/>
            <w:vAlign w:val="top"/>
          </w:tcPr>
          <w:p>
            <w:pPr>
              <w:spacing w:after="0"/>
            </w:pPr>
            <w:r/>
            <w:r>
              <w:rPr>
                <w:rFonts w:ascii="Arial" w:hAnsi="Arial"/>
                <w:b w:val="0"/>
                <w:sz w:val="18"/>
              </w:rPr>
              <w:t>Original-value preservation</w:t>
            </w:r>
          </w:p>
        </w:tc>
        <w:tc>
          <w:tcPr>
            <w:tcW w:type="dxa" w:w="4939"/>
            <w:vAlign w:val="top"/>
          </w:tcPr>
          <w:p>
            <w:pPr>
              <w:spacing w:after="0"/>
            </w:pPr>
            <w:r/>
            <w:r>
              <w:rPr>
                <w:rFonts w:ascii="Arial" w:hAnsi="Arial"/>
                <w:b w:val="0"/>
                <w:sz w:val="18"/>
              </w:rPr>
              <w:t>Supports audit and correction review.</w:t>
            </w:r>
          </w:p>
        </w:tc>
      </w:tr>
    </w:tbl>
    <w:p/>
    <w:p>
      <w:pPr>
        <w:pStyle w:val="Heading1"/>
      </w:pPr>
      <w:r>
        <w:t>8.0 Failure and Degraded-Operation Handling</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Failure condition</w:t>
            </w:r>
          </w:p>
        </w:tc>
        <w:tc>
          <w:tcPr>
            <w:tcW w:type="dxa" w:w="4939"/>
            <w:shd w:fill="D9EAF7"/>
          </w:tcPr>
          <w:p>
            <w:pPr>
              <w:spacing w:after="0"/>
            </w:pPr>
            <w:r/>
            <w:r>
              <w:rPr>
                <w:rFonts w:ascii="Arial" w:hAnsi="Arial"/>
                <w:b/>
                <w:sz w:val="18"/>
              </w:rPr>
              <w:t>Required response</w:t>
            </w:r>
          </w:p>
        </w:tc>
      </w:tr>
      <w:tr>
        <w:tc>
          <w:tcPr>
            <w:tcW w:type="dxa" w:w="4939"/>
            <w:vAlign w:val="top"/>
          </w:tcPr>
          <w:p>
            <w:pPr>
              <w:spacing w:after="0"/>
            </w:pPr>
            <w:r/>
            <w:r>
              <w:rPr>
                <w:rFonts w:ascii="Arial" w:hAnsi="Arial"/>
                <w:b w:val="0"/>
                <w:sz w:val="18"/>
              </w:rPr>
              <w:t>Required dependency unavailable</w:t>
            </w:r>
          </w:p>
        </w:tc>
        <w:tc>
          <w:tcPr>
            <w:tcW w:type="dxa" w:w="4939"/>
            <w:vAlign w:val="top"/>
          </w:tcPr>
          <w:p>
            <w:pPr>
              <w:spacing w:after="0"/>
            </w:pPr>
            <w:r/>
            <w:r>
              <w:rPr>
                <w:rFonts w:ascii="Arial" w:hAnsi="Arial"/>
                <w:b w:val="0"/>
                <w:sz w:val="18"/>
              </w:rPr>
              <w:t>Do not invent a result; return a controlled unavailable or incomplete state.</w:t>
            </w:r>
          </w:p>
        </w:tc>
      </w:tr>
      <w:tr>
        <w:tc>
          <w:tcPr>
            <w:tcW w:type="dxa" w:w="4939"/>
            <w:vAlign w:val="top"/>
          </w:tcPr>
          <w:p>
            <w:pPr>
              <w:spacing w:after="0"/>
            </w:pPr>
            <w:r/>
            <w:r>
              <w:rPr>
                <w:rFonts w:ascii="Arial" w:hAnsi="Arial"/>
                <w:b w:val="0"/>
                <w:sz w:val="18"/>
              </w:rPr>
              <w:t>Unexpected value or schema</w:t>
            </w:r>
          </w:p>
        </w:tc>
        <w:tc>
          <w:tcPr>
            <w:tcW w:type="dxa" w:w="4939"/>
            <w:vAlign w:val="top"/>
          </w:tcPr>
          <w:p>
            <w:pPr>
              <w:spacing w:after="0"/>
            </w:pPr>
            <w:r/>
            <w:r>
              <w:rPr>
                <w:rFonts w:ascii="Arial" w:hAnsi="Arial"/>
                <w:b w:val="0"/>
                <w:sz w:val="18"/>
              </w:rPr>
              <w:t>Reject the value for clinical reasoning and record the validation or processing failure.</w:t>
            </w:r>
          </w:p>
        </w:tc>
      </w:tr>
      <w:tr>
        <w:tc>
          <w:tcPr>
            <w:tcW w:type="dxa" w:w="4939"/>
            <w:vAlign w:val="top"/>
          </w:tcPr>
          <w:p>
            <w:pPr>
              <w:spacing w:after="0"/>
            </w:pPr>
            <w:r/>
            <w:r>
              <w:rPr>
                <w:rFonts w:ascii="Arial" w:hAnsi="Arial"/>
                <w:b w:val="0"/>
                <w:sz w:val="18"/>
              </w:rPr>
              <w:t>Knowledge release missing</w:t>
            </w:r>
          </w:p>
        </w:tc>
        <w:tc>
          <w:tcPr>
            <w:tcW w:type="dxa" w:w="4939"/>
            <w:vAlign w:val="top"/>
          </w:tcPr>
          <w:p>
            <w:pPr>
              <w:spacing w:after="0"/>
            </w:pPr>
            <w:r/>
            <w:r>
              <w:rPr>
                <w:rFonts w:ascii="Arial" w:hAnsi="Arial"/>
                <w:b w:val="0"/>
                <w:sz w:val="18"/>
              </w:rPr>
              <w:t>Stop execution and display a controlled configuration error.</w:t>
            </w:r>
          </w:p>
        </w:tc>
      </w:tr>
      <w:tr>
        <w:tc>
          <w:tcPr>
            <w:tcW w:type="dxa" w:w="4939"/>
            <w:vAlign w:val="top"/>
          </w:tcPr>
          <w:p>
            <w:pPr>
              <w:spacing w:after="0"/>
            </w:pPr>
            <w:r/>
            <w:r>
              <w:rPr>
                <w:rFonts w:ascii="Arial" w:hAnsi="Arial"/>
                <w:b w:val="0"/>
                <w:sz w:val="18"/>
              </w:rPr>
              <w:t>Database write failure</w:t>
            </w:r>
          </w:p>
        </w:tc>
        <w:tc>
          <w:tcPr>
            <w:tcW w:type="dxa" w:w="4939"/>
            <w:vAlign w:val="top"/>
          </w:tcPr>
          <w:p>
            <w:pPr>
              <w:spacing w:after="0"/>
            </w:pPr>
            <w:r/>
            <w:r>
              <w:rPr>
                <w:rFonts w:ascii="Arial" w:hAnsi="Arial"/>
                <w:b w:val="0"/>
                <w:sz w:val="18"/>
              </w:rPr>
              <w:t>Do not mark the component or decision execution as completed.</w:t>
            </w:r>
          </w:p>
        </w:tc>
      </w:tr>
      <w:tr>
        <w:tc>
          <w:tcPr>
            <w:tcW w:type="dxa" w:w="4939"/>
            <w:vAlign w:val="top"/>
          </w:tcPr>
          <w:p>
            <w:pPr>
              <w:spacing w:after="0"/>
            </w:pPr>
            <w:r/>
            <w:r>
              <w:rPr>
                <w:rFonts w:ascii="Arial" w:hAnsi="Arial"/>
                <w:b w:val="0"/>
                <w:sz w:val="18"/>
              </w:rPr>
              <w:t>Audit/provenance failure</w:t>
            </w:r>
          </w:p>
        </w:tc>
        <w:tc>
          <w:tcPr>
            <w:tcW w:type="dxa" w:w="4939"/>
            <w:vAlign w:val="top"/>
          </w:tcPr>
          <w:p>
            <w:pPr>
              <w:spacing w:after="0"/>
            </w:pPr>
            <w:r/>
            <w:r>
              <w:rPr>
                <w:rFonts w:ascii="Arial" w:hAnsi="Arial"/>
                <w:b w:val="0"/>
                <w:sz w:val="18"/>
              </w:rPr>
              <w:t>Do not claim the output is fully trustworthy or auditable.</w:t>
            </w:r>
          </w:p>
        </w:tc>
      </w:tr>
      <w:tr>
        <w:tc>
          <w:tcPr>
            <w:tcW w:type="dxa" w:w="4939"/>
            <w:vAlign w:val="top"/>
          </w:tcPr>
          <w:p>
            <w:pPr>
              <w:spacing w:after="0"/>
            </w:pPr>
            <w:r/>
            <w:r>
              <w:rPr>
                <w:rFonts w:ascii="Arial" w:hAnsi="Arial"/>
                <w:b w:val="0"/>
                <w:sz w:val="18"/>
              </w:rPr>
              <w:t>Unauthorized operation</w:t>
            </w:r>
          </w:p>
        </w:tc>
        <w:tc>
          <w:tcPr>
            <w:tcW w:type="dxa" w:w="4939"/>
            <w:vAlign w:val="top"/>
          </w:tcPr>
          <w:p>
            <w:pPr>
              <w:spacing w:after="0"/>
            </w:pPr>
            <w:r/>
            <w:r>
              <w:rPr>
                <w:rFonts w:ascii="Arial" w:hAnsi="Arial"/>
                <w:b w:val="0"/>
                <w:sz w:val="18"/>
              </w:rPr>
              <w:t>Deny the action and create a security event.</w:t>
            </w:r>
          </w:p>
        </w:tc>
      </w:tr>
      <w:tr>
        <w:tc>
          <w:tcPr>
            <w:tcW w:type="dxa" w:w="4939"/>
            <w:vAlign w:val="top"/>
          </w:tcPr>
          <w:p>
            <w:pPr>
              <w:spacing w:after="0"/>
            </w:pPr>
            <w:r/>
            <w:r>
              <w:rPr>
                <w:rFonts w:ascii="Arial" w:hAnsi="Arial"/>
                <w:b w:val="0"/>
                <w:sz w:val="18"/>
              </w:rPr>
              <w:t>Unexpected exception</w:t>
            </w:r>
          </w:p>
        </w:tc>
        <w:tc>
          <w:tcPr>
            <w:tcW w:type="dxa" w:w="4939"/>
            <w:vAlign w:val="top"/>
          </w:tcPr>
          <w:p>
            <w:pPr>
              <w:spacing w:after="0"/>
            </w:pPr>
            <w:r/>
            <w:r>
              <w:rPr>
                <w:rFonts w:ascii="Arial" w:hAnsi="Arial"/>
                <w:b w:val="0"/>
                <w:sz w:val="18"/>
              </w:rPr>
              <w:t>Show a safe message, log technical details securely, and avoid exposing sensitive information.</w:t>
            </w:r>
          </w:p>
        </w:tc>
      </w:tr>
    </w:tbl>
    <w:p/>
    <w:p>
      <w:pPr>
        <w:pStyle w:val="Heading1"/>
      </w:pPr>
      <w:r>
        <w:t>9.0 Laravel-Oriented Translation</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Proposed component</w:t>
            </w:r>
          </w:p>
        </w:tc>
        <w:tc>
          <w:tcPr>
            <w:tcW w:type="dxa" w:w="4939"/>
            <w:shd w:fill="D9EAF7"/>
          </w:tcPr>
          <w:p>
            <w:pPr>
              <w:spacing w:after="0"/>
            </w:pPr>
            <w:r/>
            <w:r>
              <w:rPr>
                <w:rFonts w:ascii="Arial" w:hAnsi="Arial"/>
                <w:b/>
                <w:sz w:val="18"/>
              </w:rPr>
              <w:t>Responsibility</w:t>
            </w:r>
          </w:p>
        </w:tc>
      </w:tr>
      <w:tr>
        <w:tc>
          <w:tcPr>
            <w:tcW w:type="dxa" w:w="4939"/>
            <w:vAlign w:val="top"/>
          </w:tcPr>
          <w:p>
            <w:pPr>
              <w:spacing w:after="0"/>
            </w:pPr>
            <w:r/>
            <w:r>
              <w:rPr>
                <w:rFonts w:ascii="Arial" w:hAnsi="Arial"/>
                <w:b w:val="0"/>
                <w:sz w:val="18"/>
              </w:rPr>
              <w:t>ClinicalDataAssembler</w:t>
            </w:r>
          </w:p>
        </w:tc>
        <w:tc>
          <w:tcPr>
            <w:tcW w:type="dxa" w:w="4939"/>
            <w:vAlign w:val="top"/>
          </w:tcPr>
          <w:p>
            <w:pPr>
              <w:spacing w:after="0"/>
            </w:pPr>
            <w:r/>
            <w:r>
              <w:rPr>
                <w:rFonts w:ascii="Arial" w:hAnsi="Arial"/>
                <w:b w:val="0"/>
                <w:sz w:val="18"/>
              </w:rPr>
              <w:t>Retrieves source records by patient and active pregnancy.</w:t>
            </w:r>
          </w:p>
        </w:tc>
      </w:tr>
      <w:tr>
        <w:tc>
          <w:tcPr>
            <w:tcW w:type="dxa" w:w="4939"/>
            <w:vAlign w:val="top"/>
          </w:tcPr>
          <w:p>
            <w:pPr>
              <w:spacing w:after="0"/>
            </w:pPr>
            <w:r/>
            <w:r>
              <w:rPr>
                <w:rFonts w:ascii="Arial" w:hAnsi="Arial"/>
                <w:b w:val="0"/>
                <w:sz w:val="18"/>
              </w:rPr>
              <w:t>ValidationProfileRepository</w:t>
            </w:r>
          </w:p>
        </w:tc>
        <w:tc>
          <w:tcPr>
            <w:tcW w:type="dxa" w:w="4939"/>
            <w:vAlign w:val="top"/>
          </w:tcPr>
          <w:p>
            <w:pPr>
              <w:spacing w:after="0"/>
            </w:pPr>
            <w:r/>
            <w:r>
              <w:rPr>
                <w:rFonts w:ascii="Arial" w:hAnsi="Arial"/>
                <w:b w:val="0"/>
                <w:sz w:val="18"/>
              </w:rPr>
              <w:t>Defines required fields and policies for the assessment type.</w:t>
            </w:r>
          </w:p>
        </w:tc>
      </w:tr>
      <w:tr>
        <w:tc>
          <w:tcPr>
            <w:tcW w:type="dxa" w:w="4939"/>
            <w:vAlign w:val="top"/>
          </w:tcPr>
          <w:p>
            <w:pPr>
              <w:spacing w:after="0"/>
            </w:pPr>
            <w:r/>
            <w:r>
              <w:rPr>
                <w:rFonts w:ascii="Arial" w:hAnsi="Arial"/>
                <w:b w:val="0"/>
                <w:sz w:val="18"/>
              </w:rPr>
              <w:t>DataValidationEngine</w:t>
            </w:r>
          </w:p>
        </w:tc>
        <w:tc>
          <w:tcPr>
            <w:tcW w:type="dxa" w:w="4939"/>
            <w:vAlign w:val="top"/>
          </w:tcPr>
          <w:p>
            <w:pPr>
              <w:spacing w:after="0"/>
            </w:pPr>
            <w:r/>
            <w:r>
              <w:rPr>
                <w:rFonts w:ascii="Arial" w:hAnsi="Arial"/>
                <w:b w:val="0"/>
                <w:sz w:val="18"/>
              </w:rPr>
              <w:t>Returns a structured ValidationReport object.</w:t>
            </w:r>
          </w:p>
        </w:tc>
      </w:tr>
      <w:tr>
        <w:tc>
          <w:tcPr>
            <w:tcW w:type="dxa" w:w="4939"/>
            <w:vAlign w:val="top"/>
          </w:tcPr>
          <w:p>
            <w:pPr>
              <w:spacing w:after="0"/>
            </w:pPr>
            <w:r/>
            <w:r>
              <w:rPr>
                <w:rFonts w:ascii="Arial" w:hAnsi="Arial"/>
                <w:b w:val="0"/>
                <w:sz w:val="18"/>
              </w:rPr>
              <w:t>Form requests</w:t>
            </w:r>
          </w:p>
        </w:tc>
        <w:tc>
          <w:tcPr>
            <w:tcW w:type="dxa" w:w="4939"/>
            <w:vAlign w:val="top"/>
          </w:tcPr>
          <w:p>
            <w:pPr>
              <w:spacing w:after="0"/>
            </w:pPr>
            <w:r/>
            <w:r>
              <w:rPr>
                <w:rFonts w:ascii="Arial" w:hAnsi="Arial"/>
                <w:b w:val="0"/>
                <w:sz w:val="18"/>
              </w:rPr>
              <w:t>Handle transport-level formatting but do not replace clinical validation.</w:t>
            </w:r>
          </w:p>
        </w:tc>
      </w:tr>
      <w:tr>
        <w:tc>
          <w:tcPr>
            <w:tcW w:type="dxa" w:w="4939"/>
            <w:vAlign w:val="top"/>
          </w:tcPr>
          <w:p>
            <w:pPr>
              <w:spacing w:after="0"/>
            </w:pPr>
            <w:r/>
            <w:r>
              <w:rPr>
                <w:rFonts w:ascii="Arial" w:hAnsi="Arial"/>
                <w:b w:val="0"/>
                <w:sz w:val="18"/>
              </w:rPr>
              <w:t>DecisionProvenanceRecorder</w:t>
            </w:r>
          </w:p>
        </w:tc>
        <w:tc>
          <w:tcPr>
            <w:tcW w:type="dxa" w:w="4939"/>
            <w:vAlign w:val="top"/>
          </w:tcPr>
          <w:p>
            <w:pPr>
              <w:spacing w:after="0"/>
            </w:pPr>
            <w:r/>
            <w:r>
              <w:rPr>
                <w:rFonts w:ascii="Arial" w:hAnsi="Arial"/>
                <w:b w:val="0"/>
                <w:sz w:val="18"/>
              </w:rPr>
              <w:t>Stores validation findings and normalized values.</w:t>
            </w:r>
          </w:p>
        </w:tc>
      </w:tr>
      <w:tr>
        <w:tc>
          <w:tcPr>
            <w:tcW w:type="dxa" w:w="4939"/>
            <w:vAlign w:val="top"/>
          </w:tcPr>
          <w:p>
            <w:pPr>
              <w:spacing w:after="0"/>
            </w:pPr>
            <w:r/>
            <w:r>
              <w:rPr>
                <w:rFonts w:ascii="Arial" w:hAnsi="Arial"/>
                <w:b w:val="0"/>
                <w:sz w:val="18"/>
              </w:rPr>
              <w:t>UI validation panel</w:t>
            </w:r>
          </w:p>
        </w:tc>
        <w:tc>
          <w:tcPr>
            <w:tcW w:type="dxa" w:w="4939"/>
            <w:vAlign w:val="top"/>
          </w:tcPr>
          <w:p>
            <w:pPr>
              <w:spacing w:after="0"/>
            </w:pPr>
            <w:r/>
            <w:r>
              <w:rPr>
                <w:rFonts w:ascii="Arial" w:hAnsi="Arial"/>
                <w:b w:val="0"/>
                <w:sz w:val="18"/>
              </w:rPr>
              <w:t>Displays exact missing, invalid, conflicting, and stale items.</w:t>
            </w:r>
          </w:p>
        </w:tc>
      </w:tr>
    </w:tbl>
    <w:p/>
    <w:p>
      <w:r>
        <w:t>Controllers should not contain the complete clinical reasoning logic. They should coordinate authorization, request handling, service invocation, and presentation. Clinical meaning belongs in versioned domain services and knowledge artifacts.</w:t>
      </w:r>
    </w:p>
    <w:p>
      <w:pPr>
        <w:pStyle w:val="Heading1"/>
      </w:pPr>
      <w:r>
        <w:t>10.0 Data and Audit Blueprint</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Record</w:t>
            </w:r>
          </w:p>
        </w:tc>
        <w:tc>
          <w:tcPr>
            <w:tcW w:type="dxa" w:w="4939"/>
            <w:shd w:fill="D9EAF7"/>
          </w:tcPr>
          <w:p>
            <w:pPr>
              <w:spacing w:after="0"/>
            </w:pPr>
            <w:r/>
            <w:r>
              <w:rPr>
                <w:rFonts w:ascii="Arial" w:hAnsi="Arial"/>
                <w:b/>
                <w:sz w:val="18"/>
              </w:rPr>
              <w:t>Minimum contents</w:t>
            </w:r>
          </w:p>
        </w:tc>
      </w:tr>
      <w:tr>
        <w:tc>
          <w:tcPr>
            <w:tcW w:type="dxa" w:w="4939"/>
            <w:vAlign w:val="top"/>
          </w:tcPr>
          <w:p>
            <w:pPr>
              <w:spacing w:after="0"/>
            </w:pPr>
            <w:r/>
            <w:r>
              <w:rPr>
                <w:rFonts w:ascii="Arial" w:hAnsi="Arial"/>
                <w:b w:val="0"/>
                <w:sz w:val="18"/>
              </w:rPr>
              <w:t>component_execution</w:t>
            </w:r>
          </w:p>
        </w:tc>
        <w:tc>
          <w:tcPr>
            <w:tcW w:type="dxa" w:w="4939"/>
            <w:vAlign w:val="top"/>
          </w:tcPr>
          <w:p>
            <w:pPr>
              <w:spacing w:after="0"/>
            </w:pPr>
            <w:r/>
            <w:r>
              <w:rPr>
                <w:rFonts w:ascii="Arial" w:hAnsi="Arial"/>
                <w:b w:val="0"/>
                <w:sz w:val="18"/>
              </w:rPr>
              <w:t>Decision execution ID, component name, start/end time, status, active versions, and correlation ID.</w:t>
            </w:r>
          </w:p>
        </w:tc>
      </w:tr>
      <w:tr>
        <w:tc>
          <w:tcPr>
            <w:tcW w:type="dxa" w:w="4939"/>
            <w:vAlign w:val="top"/>
          </w:tcPr>
          <w:p>
            <w:pPr>
              <w:spacing w:after="0"/>
            </w:pPr>
            <w:r/>
            <w:r>
              <w:rPr>
                <w:rFonts w:ascii="Arial" w:hAnsi="Arial"/>
                <w:b w:val="0"/>
                <w:sz w:val="18"/>
              </w:rPr>
              <w:t>input_references</w:t>
            </w:r>
          </w:p>
        </w:tc>
        <w:tc>
          <w:tcPr>
            <w:tcW w:type="dxa" w:w="4939"/>
            <w:vAlign w:val="top"/>
          </w:tcPr>
          <w:p>
            <w:pPr>
              <w:spacing w:after="0"/>
            </w:pPr>
            <w:r/>
            <w:r>
              <w:rPr>
                <w:rFonts w:ascii="Arial" w:hAnsi="Arial"/>
                <w:b w:val="0"/>
                <w:sz w:val="18"/>
              </w:rPr>
              <w:t>Source record IDs, original values, normalized values, units, and timestamps.</w:t>
            </w:r>
          </w:p>
        </w:tc>
      </w:tr>
      <w:tr>
        <w:tc>
          <w:tcPr>
            <w:tcW w:type="dxa" w:w="4939"/>
            <w:vAlign w:val="top"/>
          </w:tcPr>
          <w:p>
            <w:pPr>
              <w:spacing w:after="0"/>
            </w:pPr>
            <w:r/>
            <w:r>
              <w:rPr>
                <w:rFonts w:ascii="Arial" w:hAnsi="Arial"/>
                <w:b w:val="0"/>
                <w:sz w:val="18"/>
              </w:rPr>
              <w:t>component_results</w:t>
            </w:r>
          </w:p>
        </w:tc>
        <w:tc>
          <w:tcPr>
            <w:tcW w:type="dxa" w:w="4939"/>
            <w:vAlign w:val="top"/>
          </w:tcPr>
          <w:p>
            <w:pPr>
              <w:spacing w:after="0"/>
            </w:pPr>
            <w:r/>
            <w:r>
              <w:rPr>
                <w:rFonts w:ascii="Arial" w:hAnsi="Arial"/>
                <w:b w:val="0"/>
                <w:sz w:val="18"/>
              </w:rPr>
              <w:t>Structured outcome, rationale, priority effect, and next component.</w:t>
            </w:r>
          </w:p>
        </w:tc>
      </w:tr>
      <w:tr>
        <w:tc>
          <w:tcPr>
            <w:tcW w:type="dxa" w:w="4939"/>
            <w:vAlign w:val="top"/>
          </w:tcPr>
          <w:p>
            <w:pPr>
              <w:spacing w:after="0"/>
            </w:pPr>
            <w:r/>
            <w:r>
              <w:rPr>
                <w:rFonts w:ascii="Arial" w:hAnsi="Arial"/>
                <w:b w:val="0"/>
                <w:sz w:val="18"/>
              </w:rPr>
              <w:t>limitations</w:t>
            </w:r>
          </w:p>
        </w:tc>
        <w:tc>
          <w:tcPr>
            <w:tcW w:type="dxa" w:w="4939"/>
            <w:vAlign w:val="top"/>
          </w:tcPr>
          <w:p>
            <w:pPr>
              <w:spacing w:after="0"/>
            </w:pPr>
            <w:r/>
            <w:r>
              <w:rPr>
                <w:rFonts w:ascii="Arial" w:hAnsi="Arial"/>
                <w:b w:val="0"/>
                <w:sz w:val="18"/>
              </w:rPr>
              <w:t>Missing, invalid, conflicting, uncertain, or unavailable evidence.</w:t>
            </w:r>
          </w:p>
        </w:tc>
      </w:tr>
      <w:tr>
        <w:tc>
          <w:tcPr>
            <w:tcW w:type="dxa" w:w="4939"/>
            <w:vAlign w:val="top"/>
          </w:tcPr>
          <w:p>
            <w:pPr>
              <w:spacing w:after="0"/>
            </w:pPr>
            <w:r/>
            <w:r>
              <w:rPr>
                <w:rFonts w:ascii="Arial" w:hAnsi="Arial"/>
                <w:b w:val="0"/>
                <w:sz w:val="18"/>
              </w:rPr>
              <w:t>user_actions</w:t>
            </w:r>
          </w:p>
        </w:tc>
        <w:tc>
          <w:tcPr>
            <w:tcW w:type="dxa" w:w="4939"/>
            <w:vAlign w:val="top"/>
          </w:tcPr>
          <w:p>
            <w:pPr>
              <w:spacing w:after="0"/>
            </w:pPr>
            <w:r/>
            <w:r>
              <w:rPr>
                <w:rFonts w:ascii="Arial" w:hAnsi="Arial"/>
                <w:b w:val="0"/>
                <w:sz w:val="18"/>
              </w:rPr>
              <w:t>Acknowledgement, correction, referral, deferral, refusal, or override where applicable.</w:t>
            </w:r>
          </w:p>
        </w:tc>
      </w:tr>
      <w:tr>
        <w:tc>
          <w:tcPr>
            <w:tcW w:type="dxa" w:w="4939"/>
            <w:vAlign w:val="top"/>
          </w:tcPr>
          <w:p>
            <w:pPr>
              <w:spacing w:after="0"/>
            </w:pPr>
            <w:r/>
            <w:r>
              <w:rPr>
                <w:rFonts w:ascii="Arial" w:hAnsi="Arial"/>
                <w:b w:val="0"/>
                <w:sz w:val="18"/>
              </w:rPr>
              <w:t>version_metadata</w:t>
            </w:r>
          </w:p>
        </w:tc>
        <w:tc>
          <w:tcPr>
            <w:tcW w:type="dxa" w:w="4939"/>
            <w:vAlign w:val="top"/>
          </w:tcPr>
          <w:p>
            <w:pPr>
              <w:spacing w:after="0"/>
            </w:pPr>
            <w:r/>
            <w:r>
              <w:rPr>
                <w:rFonts w:ascii="Arial" w:hAnsi="Arial"/>
                <w:b w:val="0"/>
                <w:sz w:val="18"/>
              </w:rPr>
              <w:t>Knowledge, rule, policy, recommendation template, ML, software, and schema versions as applicable.</w:t>
            </w:r>
          </w:p>
        </w:tc>
      </w:tr>
    </w:tbl>
    <w:p/>
    <w:p>
      <w:pPr>
        <w:pStyle w:val="Heading1"/>
      </w:pPr>
      <w:r>
        <w:t>11.0 Verification and Test Requirements</w:t>
      </w:r>
    </w:p>
    <w:tbl>
      <w:tblPr>
        <w:tblStyle w:val="TableGrid"/>
        <w:tblW w:type="auto" w:w="0"/>
        <w:jc w:val="center"/>
        <w:tblLook w:firstColumn="1" w:firstRow="1" w:lastColumn="0" w:lastRow="0" w:noHBand="0" w:noVBand="1" w:val="04A0"/>
      </w:tblPr>
      <w:tblGrid>
        <w:gridCol w:w="4939"/>
        <w:gridCol w:w="4939"/>
      </w:tblGrid>
      <w:tr>
        <w:tc>
          <w:tcPr>
            <w:tcW w:type="dxa" w:w="4939"/>
            <w:shd w:fill="D9EAF7"/>
          </w:tcPr>
          <w:p>
            <w:pPr>
              <w:spacing w:after="0"/>
            </w:pPr>
            <w:r/>
            <w:r>
              <w:rPr>
                <w:rFonts w:ascii="Arial" w:hAnsi="Arial"/>
                <w:b/>
                <w:sz w:val="18"/>
              </w:rPr>
              <w:t>Test category</w:t>
            </w:r>
          </w:p>
        </w:tc>
        <w:tc>
          <w:tcPr>
            <w:tcW w:type="dxa" w:w="4939"/>
            <w:shd w:fill="D9EAF7"/>
          </w:tcPr>
          <w:p>
            <w:pPr>
              <w:spacing w:after="0"/>
            </w:pPr>
            <w:r/>
            <w:r>
              <w:rPr>
                <w:rFonts w:ascii="Arial" w:hAnsi="Arial"/>
                <w:b/>
                <w:sz w:val="18"/>
              </w:rPr>
              <w:t>Minimum scenario</w:t>
            </w:r>
          </w:p>
        </w:tc>
      </w:tr>
      <w:tr>
        <w:tc>
          <w:tcPr>
            <w:tcW w:type="dxa" w:w="4939"/>
            <w:vAlign w:val="top"/>
          </w:tcPr>
          <w:p>
            <w:pPr>
              <w:spacing w:after="0"/>
            </w:pPr>
            <w:r/>
            <w:r>
              <w:rPr>
                <w:rFonts w:ascii="Arial" w:hAnsi="Arial"/>
                <w:b w:val="0"/>
                <w:sz w:val="18"/>
              </w:rPr>
              <w:t>Missing-record matrix</w:t>
            </w:r>
          </w:p>
        </w:tc>
        <w:tc>
          <w:tcPr>
            <w:tcW w:type="dxa" w:w="4939"/>
            <w:vAlign w:val="top"/>
          </w:tcPr>
          <w:p>
            <w:pPr>
              <w:spacing w:after="0"/>
            </w:pPr>
            <w:r/>
            <w:r>
              <w:rPr>
                <w:rFonts w:ascii="Arial" w:hAnsi="Arial"/>
                <w:b w:val="0"/>
                <w:sz w:val="18"/>
              </w:rPr>
              <w:t>Test every combination of absent medical history, ultrasound, and birth plan.</w:t>
            </w:r>
          </w:p>
        </w:tc>
      </w:tr>
      <w:tr>
        <w:tc>
          <w:tcPr>
            <w:tcW w:type="dxa" w:w="4939"/>
            <w:vAlign w:val="top"/>
          </w:tcPr>
          <w:p>
            <w:pPr>
              <w:spacing w:after="0"/>
            </w:pPr>
            <w:r/>
            <w:r>
              <w:rPr>
                <w:rFonts w:ascii="Arial" w:hAnsi="Arial"/>
                <w:b w:val="0"/>
                <w:sz w:val="18"/>
              </w:rPr>
              <w:t>Boundary values</w:t>
            </w:r>
          </w:p>
        </w:tc>
        <w:tc>
          <w:tcPr>
            <w:tcW w:type="dxa" w:w="4939"/>
            <w:vAlign w:val="top"/>
          </w:tcPr>
          <w:p>
            <w:pPr>
              <w:spacing w:after="0"/>
            </w:pPr>
            <w:r/>
            <w:r>
              <w:rPr>
                <w:rFonts w:ascii="Arial" w:hAnsi="Arial"/>
                <w:b w:val="0"/>
                <w:sz w:val="18"/>
              </w:rPr>
              <w:t>Test values immediately below, at, and above each approved threshold.</w:t>
            </w:r>
          </w:p>
        </w:tc>
      </w:tr>
      <w:tr>
        <w:tc>
          <w:tcPr>
            <w:tcW w:type="dxa" w:w="4939"/>
            <w:vAlign w:val="top"/>
          </w:tcPr>
          <w:p>
            <w:pPr>
              <w:spacing w:after="0"/>
            </w:pPr>
            <w:r/>
            <w:r>
              <w:rPr>
                <w:rFonts w:ascii="Arial" w:hAnsi="Arial"/>
                <w:b w:val="0"/>
                <w:sz w:val="18"/>
              </w:rPr>
              <w:t>Temporal conflict</w:t>
            </w:r>
          </w:p>
        </w:tc>
        <w:tc>
          <w:tcPr>
            <w:tcW w:type="dxa" w:w="4939"/>
            <w:vAlign w:val="top"/>
          </w:tcPr>
          <w:p>
            <w:pPr>
              <w:spacing w:after="0"/>
            </w:pPr>
            <w:r/>
            <w:r>
              <w:rPr>
                <w:rFonts w:ascii="Arial" w:hAnsi="Arial"/>
                <w:b w:val="0"/>
                <w:sz w:val="18"/>
              </w:rPr>
              <w:t>Test observation dates that occur after delivery or before pregnancy start.</w:t>
            </w:r>
          </w:p>
        </w:tc>
      </w:tr>
      <w:tr>
        <w:tc>
          <w:tcPr>
            <w:tcW w:type="dxa" w:w="4939"/>
            <w:vAlign w:val="top"/>
          </w:tcPr>
          <w:p>
            <w:pPr>
              <w:spacing w:after="0"/>
            </w:pPr>
            <w:r/>
            <w:r>
              <w:rPr>
                <w:rFonts w:ascii="Arial" w:hAnsi="Arial"/>
                <w:b w:val="0"/>
                <w:sz w:val="18"/>
              </w:rPr>
              <w:t>Vocabulary</w:t>
            </w:r>
          </w:p>
        </w:tc>
        <w:tc>
          <w:tcPr>
            <w:tcW w:type="dxa" w:w="4939"/>
            <w:vAlign w:val="top"/>
          </w:tcPr>
          <w:p>
            <w:pPr>
              <w:spacing w:after="0"/>
            </w:pPr>
            <w:r/>
            <w:r>
              <w:rPr>
                <w:rFonts w:ascii="Arial" w:hAnsi="Arial"/>
                <w:b w:val="0"/>
                <w:sz w:val="18"/>
              </w:rPr>
              <w:t>Reject unsupported presentation, fluid, heartbeat, and ML values.</w:t>
            </w:r>
          </w:p>
        </w:tc>
      </w:tr>
      <w:tr>
        <w:tc>
          <w:tcPr>
            <w:tcW w:type="dxa" w:w="4939"/>
            <w:vAlign w:val="top"/>
          </w:tcPr>
          <w:p>
            <w:pPr>
              <w:spacing w:after="0"/>
            </w:pPr>
            <w:r/>
            <w:r>
              <w:rPr>
                <w:rFonts w:ascii="Arial" w:hAnsi="Arial"/>
                <w:b w:val="0"/>
                <w:sz w:val="18"/>
              </w:rPr>
              <w:t>Cross-pregnancy isolation</w:t>
            </w:r>
          </w:p>
        </w:tc>
        <w:tc>
          <w:tcPr>
            <w:tcW w:type="dxa" w:w="4939"/>
            <w:vAlign w:val="top"/>
          </w:tcPr>
          <w:p>
            <w:pPr>
              <w:spacing w:after="0"/>
            </w:pPr>
            <w:r/>
            <w:r>
              <w:rPr>
                <w:rFonts w:ascii="Arial" w:hAnsi="Arial"/>
                <w:b w:val="0"/>
                <w:sz w:val="18"/>
              </w:rPr>
              <w:t>Verify records from a previous delivered pregnancy are not used.</w:t>
            </w:r>
          </w:p>
        </w:tc>
      </w:tr>
      <w:tr>
        <w:tc>
          <w:tcPr>
            <w:tcW w:type="dxa" w:w="4939"/>
            <w:vAlign w:val="top"/>
          </w:tcPr>
          <w:p>
            <w:pPr>
              <w:spacing w:after="0"/>
            </w:pPr>
            <w:r/>
            <w:r>
              <w:rPr>
                <w:rFonts w:ascii="Arial" w:hAnsi="Arial"/>
                <w:b w:val="0"/>
                <w:sz w:val="18"/>
              </w:rPr>
              <w:t>Emergency preservation</w:t>
            </w:r>
          </w:p>
        </w:tc>
        <w:tc>
          <w:tcPr>
            <w:tcW w:type="dxa" w:w="4939"/>
            <w:vAlign w:val="top"/>
          </w:tcPr>
          <w:p>
            <w:pPr>
              <w:spacing w:after="0"/>
            </w:pPr>
            <w:r/>
            <w:r>
              <w:rPr>
                <w:rFonts w:ascii="Arial" w:hAnsi="Arial"/>
                <w:b w:val="0"/>
                <w:sz w:val="18"/>
              </w:rPr>
              <w:t>Confirm a valid urgent finding is not hidden by unrelated missing data.</w:t>
            </w:r>
          </w:p>
        </w:tc>
      </w:tr>
    </w:tbl>
    <w:p/>
    <w:p>
      <w:r>
        <w:t>Each test must define the complete input snapshot, active version, expected component output, expected final effect, and expected audit records. Boundary and regression cases are mandatory before a knowledge release is activated.</w:t>
      </w:r>
    </w:p>
    <w:p>
      <w:pPr>
        <w:pStyle w:val="Heading1"/>
      </w:pPr>
      <w:r>
        <w:t>12.0 Acceptance Criteria</w:t>
      </w:r>
    </w:p>
    <w:p>
      <w:pPr>
        <w:pStyle w:val="ListBullet"/>
      </w:pPr>
      <w:r>
        <w:t>The component's inputs, outputs, and failure states are structured and documented.</w:t>
      </w:r>
    </w:p>
    <w:p>
      <w:pPr>
        <w:pStyle w:val="ListBullet"/>
      </w:pPr>
      <w:r>
        <w:t>Every result is traceable to exact patient-specific evidence and active versioned logic.</w:t>
      </w:r>
    </w:p>
    <w:p>
      <w:pPr>
        <w:pStyle w:val="ListBullet"/>
      </w:pPr>
      <w:r>
        <w:t>Missing or uncertain information is never silently converted into a negative finding.</w:t>
      </w:r>
    </w:p>
    <w:p>
      <w:pPr>
        <w:pStyle w:val="ListBullet"/>
      </w:pPr>
      <w:r>
        <w:t>Emergency and deterministic safety precedence are preserved.</w:t>
      </w:r>
    </w:p>
    <w:p>
      <w:pPr>
        <w:pStyle w:val="ListBullet"/>
      </w:pPr>
      <w:r>
        <w:t>The component can be tested independently from controllers and user-interface code.</w:t>
      </w:r>
    </w:p>
    <w:p>
      <w:pPr>
        <w:pStyle w:val="ListBullet"/>
      </w:pPr>
      <w:r>
        <w:t>Historical executions remain reproducible after future updates.</w:t>
      </w:r>
    </w:p>
    <w:p>
      <w:pPr>
        <w:pStyle w:val="ListBullet"/>
      </w:pPr>
      <w:r>
        <w:t>Clinician-facing wording stays within the intended lying-in clinic scope.</w:t>
      </w:r>
    </w:p>
    <w:p>
      <w:pPr>
        <w:pStyle w:val="ListBullet"/>
      </w:pPr>
      <w:r>
        <w:t>Qualified clinical and technical reviewers approve the implementation before real patient use.</w:t>
      </w:r>
    </w:p>
    <w:p>
      <w:pPr>
        <w:pStyle w:val="Heading1"/>
      </w:pPr>
      <w:r>
        <w:t>13.0 Implementation Notes and Prohibited Shortcuts</w:t>
      </w:r>
    </w:p>
    <w:p>
      <w:pPr>
        <w:pStyle w:val="ListBullet"/>
      </w:pPr>
      <w:r>
        <w:t>Do not store only a final color badge or label.</w:t>
      </w:r>
    </w:p>
    <w:p>
      <w:pPr>
        <w:pStyle w:val="ListBullet"/>
      </w:pPr>
      <w:r>
        <w:t>Do not place undocumented thresholds directly inside controllers or Blade templates.</w:t>
      </w:r>
    </w:p>
    <w:p>
      <w:pPr>
        <w:pStyle w:val="ListBullet"/>
      </w:pPr>
      <w:r>
        <w:t>Do not interpret blank, false, zero, unknown, and not applicable as interchangeable values.</w:t>
      </w:r>
    </w:p>
    <w:p>
      <w:pPr>
        <w:pStyle w:val="ListBullet"/>
      </w:pPr>
      <w:r>
        <w:t>Do not silently modify published clinical rules or historical results.</w:t>
      </w:r>
    </w:p>
    <w:p>
      <w:pPr>
        <w:pStyle w:val="ListBullet"/>
      </w:pPr>
      <w:r>
        <w:t>Do not allow ML output to suppress rule-based HIGH or emergency findings.</w:t>
      </w:r>
    </w:p>
    <w:p>
      <w:pPr>
        <w:pStyle w:val="ListBullet"/>
      </w:pPr>
      <w:r>
        <w:t>Do not claim diagnosis, treatment, or referral completion when the system only generated advice.</w:t>
      </w:r>
    </w:p>
    <w:p>
      <w:pPr>
        <w:pStyle w:val="ListBullet"/>
      </w:pPr>
      <w:r>
        <w:t>Do not use records from a previous delivered pregnancy for a new active pregnancy.</w:t>
      </w:r>
    </w:p>
    <w:p>
      <w:pPr>
        <w:pStyle w:val="Heading1"/>
      </w:pPr>
      <w:r>
        <w:t>14.0 Transition to the Next Part</w:t>
      </w:r>
    </w:p>
    <w:p>
      <w:r>
        <w:t>Part 3 receives the validated input package and evaluates individual evidence-based rules without yet combining them into multi-factor interactions.</w:t>
      </w:r>
    </w:p>
    <w:p>
      <w:pPr>
        <w:pStyle w:val="Heading1"/>
      </w:pPr>
      <w:r>
        <w:t>References</w:t>
      </w:r>
    </w:p>
    <w:p>
      <w:pPr>
        <w:pStyle w:val="ListNumber"/>
      </w:pPr>
      <w:r>
        <w:t>World Health Organization. SMART Guidelines. Standards-based, Machine-readable, Adaptive, Requirements-based, and Testable digital health guidance.</w:t>
      </w:r>
    </w:p>
    <w:p>
      <w:pPr>
        <w:pStyle w:val="ListNumber"/>
      </w:pPr>
      <w:r>
        <w:t>World Health Organization. Digital Adaptation Kit for Antenatal Care: Operational requirements for implementing WHO recommendations in digital systems. Geneva: WHO; 2021. ISBN 978-92-4-002030-6.</w:t>
      </w:r>
    </w:p>
    <w:p>
      <w:pPr>
        <w:pStyle w:val="ListNumber"/>
      </w:pPr>
      <w:r>
        <w:t>World Health Organization. WHO recommendations on antenatal care for a positive pregnancy experience. Geneva: WHO; 2016, with subsequent topic updates.</w:t>
      </w:r>
    </w:p>
    <w:p>
      <w:pPr>
        <w:pStyle w:val="ListNumber"/>
      </w:pPr>
      <w:r>
        <w:t>World Health Organization. Toolkit for adaptation of the WHO recommendations for a positive pregnancy and postnatal experience. Geneva: WHO; 2025.</w:t>
      </w:r>
    </w:p>
    <w:p>
      <w:pPr>
        <w:pStyle w:val="ListNumber"/>
      </w:pPr>
      <w:r>
        <w:t>U.S. Food and Drug Administration. Clinical Decision Support Software: Guidance for Industry and Food and Drug Administration Staff. Final guidance, January 2026.</w:t>
      </w:r>
    </w:p>
    <w:p>
      <w:pPr>
        <w:pStyle w:val="ListNumber"/>
      </w:pPr>
      <w:r>
        <w:t>HL7 International. FHIR Clinical Reasoning module and versioned knowledge-artifact resources. Used as an interoperability design reference, subject to local validation.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 2 - Part 2 | Data Validation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