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30"/>
        </w:rPr>
        <w:t>DOCUMENT 3</w:t>
      </w:r>
    </w:p>
    <w:p>
      <w:pPr>
        <w:jc w:val="center"/>
      </w:pPr>
      <w:r>
        <w:rPr>
          <w:b/>
          <w:color w:val="7F8C8D"/>
          <w:sz w:val="26"/>
        </w:rPr>
        <w:t>PART 4</w:t>
      </w:r>
    </w:p>
    <w:p>
      <w:pPr>
        <w:spacing w:before="600"/>
        <w:jc w:val="center"/>
      </w:pPr>
      <w:r>
        <w:rPr>
          <w:b/>
          <w:color w:val="17365D"/>
          <w:sz w:val="50"/>
        </w:rPr>
        <w:t>Model Development Architecture</w:t>
      </w:r>
    </w:p>
    <w:p>
      <w:pPr>
        <w:jc w:val="center"/>
      </w:pPr>
      <w:r>
        <w:rPr>
          <w:i/>
          <w:color w:val="44546A"/>
          <w:sz w:val="24"/>
        </w:rPr>
        <w:t>Selection, construction, constraint, and governance of the Random Forest risk-prediction component</w:t>
      </w:r>
    </w:p>
    <w:p/>
    <w:p/>
    <w:p/>
    <w:tbl>
      <w:tblPr>
        <w:tblStyle w:val="TableGrid"/>
        <w:tblW w:type="auto" w:w="0"/>
        <w:jc w:val="center"/>
        <w:tblLook w:firstColumn="1" w:firstRow="1" w:lastColumn="0" w:lastRow="0" w:noHBand="0" w:noVBand="1" w:val="04A0"/>
      </w:tblPr>
      <w:tblGrid>
        <w:gridCol w:w="4939"/>
        <w:gridCol w:w="4939"/>
      </w:tblGrid>
      <w:tr>
        <w:tc>
          <w:tcPr>
            <w:tcW w:type="dxa" w:w="4939"/>
            <w:shd w:fill="D9EAF7"/>
            <w:tcMar>
              <w:top w:w="80" w:type="dxa"/>
              <w:start w:w="90" w:type="dxa"/>
              <w:bottom w:w="80" w:type="dxa"/>
              <w:end w:w="90" w:type="dxa"/>
            </w:tcMar>
            <w:vAlign w:val="center"/>
          </w:tcPr>
          <w:p>
            <w:r>
              <w:rPr>
                <w:b/>
              </w:rPr>
              <w:t>System</w:t>
            </w:r>
          </w:p>
        </w:tc>
        <w:tc>
          <w:tcPr>
            <w:tcW w:type="dxa" w:w="4939"/>
            <w:tcMar>
              <w:top w:w="80" w:type="dxa"/>
              <w:start w:w="90" w:type="dxa"/>
              <w:bottom w:w="80" w:type="dxa"/>
              <w:end w:w="90" w:type="dxa"/>
            </w:tcMar>
            <w:vAlign w:val="center"/>
          </w:tcPr>
          <w:p>
            <w:r>
              <w:t>Explainable Clinical Decision Support System for a Web-Based Maternity Management System</w:t>
            </w:r>
          </w:p>
        </w:tc>
      </w:tr>
      <w:tr>
        <w:tc>
          <w:tcPr>
            <w:tcW w:type="dxa" w:w="4939"/>
            <w:shd w:fill="D9EAF7"/>
            <w:tcMar>
              <w:top w:w="80" w:type="dxa"/>
              <w:start w:w="90" w:type="dxa"/>
              <w:bottom w:w="80" w:type="dxa"/>
              <w:end w:w="90" w:type="dxa"/>
            </w:tcMar>
            <w:vAlign w:val="center"/>
          </w:tcPr>
          <w:p>
            <w:r>
              <w:rPr>
                <w:b/>
              </w:rPr>
              <w:t>Clinical setting</w:t>
            </w:r>
          </w:p>
        </w:tc>
        <w:tc>
          <w:tcPr>
            <w:tcW w:type="dxa" w:w="4939"/>
            <w:tcMar>
              <w:top w:w="80" w:type="dxa"/>
              <w:start w:w="90" w:type="dxa"/>
              <w:bottom w:w="80" w:type="dxa"/>
              <w:end w:w="90" w:type="dxa"/>
            </w:tcMar>
            <w:vAlign w:val="center"/>
          </w:tcPr>
          <w:p>
            <w:r>
              <w:t>Philippine lying-in clinic / maternity clinic</w:t>
            </w:r>
          </w:p>
        </w:tc>
      </w:tr>
      <w:tr>
        <w:tc>
          <w:tcPr>
            <w:tcW w:type="dxa" w:w="4939"/>
            <w:shd w:fill="D9EAF7"/>
            <w:tcMar>
              <w:top w:w="80" w:type="dxa"/>
              <w:start w:w="90" w:type="dxa"/>
              <w:bottom w:w="80" w:type="dxa"/>
              <w:end w:w="90" w:type="dxa"/>
            </w:tcMar>
            <w:vAlign w:val="center"/>
          </w:tcPr>
          <w:p>
            <w:r>
              <w:rPr>
                <w:b/>
              </w:rPr>
              <w:t>Technology scope</w:t>
            </w:r>
          </w:p>
        </w:tc>
        <w:tc>
          <w:tcPr>
            <w:tcW w:type="dxa" w:w="4939"/>
            <w:tcMar>
              <w:top w:w="80" w:type="dxa"/>
              <w:start w:w="90" w:type="dxa"/>
              <w:bottom w:w="80" w:type="dxa"/>
              <w:end w:w="90" w:type="dxa"/>
            </w:tcMar>
            <w:vAlign w:val="center"/>
          </w:tcPr>
          <w:p>
            <w:r>
              <w:t>Laravel, Python, Random Forest, deterministic clinical rules</w:t>
            </w:r>
          </w:p>
        </w:tc>
      </w:tr>
      <w:tr>
        <w:tc>
          <w:tcPr>
            <w:tcW w:type="dxa" w:w="4939"/>
            <w:shd w:fill="D9EAF7"/>
            <w:tcMar>
              <w:top w:w="80" w:type="dxa"/>
              <w:start w:w="90" w:type="dxa"/>
              <w:bottom w:w="80" w:type="dxa"/>
              <w:end w:w="90" w:type="dxa"/>
            </w:tcMar>
            <w:vAlign w:val="center"/>
          </w:tcPr>
          <w:p>
            <w:r>
              <w:rPr>
                <w:b/>
              </w:rPr>
              <w:t>Document status</w:t>
            </w:r>
          </w:p>
        </w:tc>
        <w:tc>
          <w:tcPr>
            <w:tcW w:type="dxa" w:w="4939"/>
            <w:tcMar>
              <w:top w:w="80" w:type="dxa"/>
              <w:start w:w="90" w:type="dxa"/>
              <w:bottom w:w="80" w:type="dxa"/>
              <w:end w:w="90" w:type="dxa"/>
            </w:tcMar>
            <w:vAlign w:val="center"/>
          </w:tcPr>
          <w:p>
            <w:r>
              <w:t>Research and architecture specification; implementation evidence must be verified</w:t>
            </w:r>
          </w:p>
        </w:tc>
      </w:tr>
      <w:tr>
        <w:tc>
          <w:tcPr>
            <w:tcW w:type="dxa" w:w="4939"/>
            <w:shd w:fill="D9EAF7"/>
            <w:tcMar>
              <w:top w:w="80" w:type="dxa"/>
              <w:start w:w="90" w:type="dxa"/>
              <w:bottom w:w="80" w:type="dxa"/>
              <w:end w:w="90" w:type="dxa"/>
            </w:tcMar>
            <w:vAlign w:val="center"/>
          </w:tcPr>
          <w:p>
            <w:r>
              <w:rPr>
                <w:b/>
              </w:rPr>
              <w:t>Safety boundary</w:t>
            </w:r>
          </w:p>
        </w:tc>
        <w:tc>
          <w:tcPr>
            <w:tcW w:type="dxa" w:w="4939"/>
            <w:tcMar>
              <w:top w:w="80" w:type="dxa"/>
              <w:start w:w="90" w:type="dxa"/>
              <w:bottom w:w="80" w:type="dxa"/>
              <w:end w:w="90" w:type="dxa"/>
            </w:tcMar>
            <w:vAlign w:val="center"/>
          </w:tcPr>
          <w:p>
            <w:r>
              <w:t>Advisory support only; not autonomous diagnosis or treatment</w:t>
            </w:r>
          </w:p>
        </w:tc>
      </w:tr>
    </w:tbl>
    <w:p/>
    <w:p>
      <w:pPr>
        <w:pStyle w:val="SafetyNote"/>
        <w:jc w:val="center"/>
      </w:pPr>
      <w:r>
        <w:t>Prepared as a design-control and research specification. Statements describing completed experiments, measured performance, or deployed safeguards must be supported by project artifacts before being presented as implemented facts.</w:t>
      </w:r>
    </w:p>
    <w:p>
      <w:r>
        <w:br w:type="page"/>
      </w:r>
    </w:p>
    <w:p>
      <w:pPr>
        <w:pStyle w:val="Heading1"/>
      </w:pPr>
      <w:r>
        <w:t>Clinical Safety Statement</w:t>
      </w:r>
    </w:p>
    <w:p>
      <w:r>
        <w:t>The machine learning component described in this chapter is a bounded evidence contributor within a hybrid clinical decision support system. It must not independently diagnose a maternal or fetal condition, authorize treatment, suppress an emergency rule, or replace referral judgment. The deterministic rule engine, emergency override logic, completeness checks, and human clinical review remain authoritative.</w:t>
      </w:r>
    </w:p>
    <w:p>
      <w:r>
        <w:t>A model output is only one input to the final decision engine. When the model fails, returns an unrecognized value, or receives invalid data, the safe system response is ASSESSMENT INCOMPLETE rather than an assumed LOW result.</w:t>
      </w:r>
    </w:p>
    <w:p>
      <w:pPr>
        <w:pStyle w:val="Heading1"/>
      </w:pPr>
      <w:r>
        <w:t>1. Executive Architecture Decision</w:t>
      </w:r>
    </w:p>
    <w:p>
      <w:r>
        <w:t>The project shall use a supervised binary classification model implemented as a scikit-learn RandomForestClassifier, subject to a fixed feature contract, documented training configuration, versioned model artifact, and independent runtime validation. The model's permitted output vocabulary is limited to HIGH and LOW. The model cannot override deterministic HIGH-risk findings or emergency conditions.</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2160"/>
            <w:shd w:fill="1F4E78"/>
          </w:tcPr>
          <w:p>
            <w:r>
              <w:rPr>
                <w:b/>
                <w:color w:val="FFFFFF"/>
                <w:sz w:val="18"/>
              </w:rPr>
              <w:t>Decision element</w:t>
            </w:r>
          </w:p>
        </w:tc>
        <w:tc>
          <w:tcPr>
            <w:tcW w:type="dxa" w:w="3024"/>
            <w:shd w:fill="1F4E78"/>
          </w:tcPr>
          <w:p>
            <w:r>
              <w:rPr>
                <w:b/>
                <w:color w:val="FFFFFF"/>
                <w:sz w:val="18"/>
              </w:rPr>
              <w:t>Architecture position</w:t>
            </w:r>
          </w:p>
        </w:tc>
        <w:tc>
          <w:tcPr>
            <w:tcW w:type="dxa" w:w="4464"/>
            <w:shd w:fill="1F4E78"/>
          </w:tcPr>
          <w:p>
            <w:r>
              <w:rPr>
                <w:b/>
                <w:color w:val="FFFFFF"/>
                <w:sz w:val="18"/>
              </w:rPr>
              <w:t>Reason</w:t>
            </w:r>
          </w:p>
        </w:tc>
      </w:tr>
      <w:tr>
        <w:tc>
          <w:tcPr>
            <w:tcW w:type="dxa" w:w="2160"/>
            <w:tcMar>
              <w:top w:w="55" w:type="dxa"/>
              <w:start w:w="70" w:type="dxa"/>
              <w:bottom w:w="55" w:type="dxa"/>
              <w:end w:w="70" w:type="dxa"/>
            </w:tcMar>
            <w:vAlign w:val="center"/>
          </w:tcPr>
          <w:p>
            <w:r>
              <w:rPr>
                <w:sz w:val="17"/>
              </w:rPr>
              <w:t>Model family</w:t>
            </w:r>
          </w:p>
        </w:tc>
        <w:tc>
          <w:tcPr>
            <w:tcW w:type="dxa" w:w="3024"/>
            <w:tcMar>
              <w:top w:w="55" w:type="dxa"/>
              <w:start w:w="70" w:type="dxa"/>
              <w:bottom w:w="55" w:type="dxa"/>
              <w:end w:w="70" w:type="dxa"/>
            </w:tcMar>
            <w:vAlign w:val="center"/>
          </w:tcPr>
          <w:p>
            <w:r>
              <w:rPr>
                <w:sz w:val="17"/>
              </w:rPr>
              <w:t>Random Forest classifier</w:t>
            </w:r>
          </w:p>
        </w:tc>
        <w:tc>
          <w:tcPr>
            <w:tcW w:type="dxa" w:w="4464"/>
            <w:tcMar>
              <w:top w:w="55" w:type="dxa"/>
              <w:start w:w="70" w:type="dxa"/>
              <w:bottom w:w="55" w:type="dxa"/>
              <w:end w:w="70" w:type="dxa"/>
            </w:tcMar>
            <w:vAlign w:val="center"/>
          </w:tcPr>
          <w:p>
            <w:r>
              <w:rPr>
                <w:sz w:val="17"/>
              </w:rPr>
              <w:t>Suitable for structured tabular variables, non-linear interactions, mixed feature scales, and relatively modest implementation complexity.</w:t>
            </w:r>
          </w:p>
        </w:tc>
      </w:tr>
      <w:tr>
        <w:tc>
          <w:tcPr>
            <w:tcW w:type="dxa" w:w="2160"/>
            <w:shd w:fill="F3F6F9"/>
            <w:tcMar>
              <w:top w:w="55" w:type="dxa"/>
              <w:start w:w="70" w:type="dxa"/>
              <w:bottom w:w="55" w:type="dxa"/>
              <w:end w:w="70" w:type="dxa"/>
            </w:tcMar>
            <w:vAlign w:val="center"/>
          </w:tcPr>
          <w:p>
            <w:r>
              <w:rPr>
                <w:sz w:val="17"/>
              </w:rPr>
              <w:t>Clinical role</w:t>
            </w:r>
          </w:p>
        </w:tc>
        <w:tc>
          <w:tcPr>
            <w:tcW w:type="dxa" w:w="3024"/>
            <w:shd w:fill="F3F6F9"/>
            <w:tcMar>
              <w:top w:w="55" w:type="dxa"/>
              <w:start w:w="70" w:type="dxa"/>
              <w:bottom w:w="55" w:type="dxa"/>
              <w:end w:w="70" w:type="dxa"/>
            </w:tcMar>
            <w:vAlign w:val="center"/>
          </w:tcPr>
          <w:p>
            <w:r>
              <w:rPr>
                <w:sz w:val="17"/>
              </w:rPr>
              <w:t>Advisory evidence contributor</w:t>
            </w:r>
          </w:p>
        </w:tc>
        <w:tc>
          <w:tcPr>
            <w:tcW w:type="dxa" w:w="4464"/>
            <w:shd w:fill="F3F6F9"/>
            <w:tcMar>
              <w:top w:w="55" w:type="dxa"/>
              <w:start w:w="70" w:type="dxa"/>
              <w:bottom w:w="55" w:type="dxa"/>
              <w:end w:w="70" w:type="dxa"/>
            </w:tcMar>
            <w:vAlign w:val="center"/>
          </w:tcPr>
          <w:p>
            <w:r>
              <w:rPr>
                <w:sz w:val="17"/>
              </w:rPr>
              <w:t>Preserves human and deterministic-rule authority.</w:t>
            </w:r>
          </w:p>
        </w:tc>
      </w:tr>
      <w:tr>
        <w:tc>
          <w:tcPr>
            <w:tcW w:type="dxa" w:w="2160"/>
            <w:tcMar>
              <w:top w:w="55" w:type="dxa"/>
              <w:start w:w="70" w:type="dxa"/>
              <w:bottom w:w="55" w:type="dxa"/>
              <w:end w:w="70" w:type="dxa"/>
            </w:tcMar>
            <w:vAlign w:val="center"/>
          </w:tcPr>
          <w:p>
            <w:r>
              <w:rPr>
                <w:sz w:val="17"/>
              </w:rPr>
              <w:t>Output</w:t>
            </w:r>
          </w:p>
        </w:tc>
        <w:tc>
          <w:tcPr>
            <w:tcW w:type="dxa" w:w="3024"/>
            <w:tcMar>
              <w:top w:w="55" w:type="dxa"/>
              <w:start w:w="70" w:type="dxa"/>
              <w:bottom w:w="55" w:type="dxa"/>
              <w:end w:w="70" w:type="dxa"/>
            </w:tcMar>
            <w:vAlign w:val="center"/>
          </w:tcPr>
          <w:p>
            <w:r>
              <w:rPr>
                <w:sz w:val="17"/>
              </w:rPr>
              <w:t>HIGH or LOW only</w:t>
            </w:r>
          </w:p>
        </w:tc>
        <w:tc>
          <w:tcPr>
            <w:tcW w:type="dxa" w:w="4464"/>
            <w:tcMar>
              <w:top w:w="55" w:type="dxa"/>
              <w:start w:w="70" w:type="dxa"/>
              <w:bottom w:w="55" w:type="dxa"/>
              <w:end w:w="70" w:type="dxa"/>
            </w:tcMar>
            <w:vAlign w:val="center"/>
          </w:tcPr>
          <w:p>
            <w:r>
              <w:rPr>
                <w:sz w:val="17"/>
              </w:rPr>
              <w:t>Matches the implemented decision-engine contract and avoids unsupported intermediate categories.</w:t>
            </w:r>
          </w:p>
        </w:tc>
      </w:tr>
      <w:tr>
        <w:tc>
          <w:tcPr>
            <w:tcW w:type="dxa" w:w="2160"/>
            <w:shd w:fill="F3F6F9"/>
            <w:tcMar>
              <w:top w:w="55" w:type="dxa"/>
              <w:start w:w="70" w:type="dxa"/>
              <w:bottom w:w="55" w:type="dxa"/>
              <w:end w:w="70" w:type="dxa"/>
            </w:tcMar>
            <w:vAlign w:val="center"/>
          </w:tcPr>
          <w:p>
            <w:r>
              <w:rPr>
                <w:sz w:val="17"/>
              </w:rPr>
              <w:t>Deployment</w:t>
            </w:r>
          </w:p>
        </w:tc>
        <w:tc>
          <w:tcPr>
            <w:tcW w:type="dxa" w:w="3024"/>
            <w:shd w:fill="F3F6F9"/>
            <w:tcMar>
              <w:top w:w="55" w:type="dxa"/>
              <w:start w:w="70" w:type="dxa"/>
              <w:bottom w:w="55" w:type="dxa"/>
              <w:end w:w="70" w:type="dxa"/>
            </w:tcMar>
            <w:vAlign w:val="center"/>
          </w:tcPr>
          <w:p>
            <w:r>
              <w:rPr>
                <w:sz w:val="17"/>
              </w:rPr>
              <w:t>Frozen serialized artifact loaded by Python</w:t>
            </w:r>
          </w:p>
        </w:tc>
        <w:tc>
          <w:tcPr>
            <w:tcW w:type="dxa" w:w="4464"/>
            <w:shd w:fill="F3F6F9"/>
            <w:tcMar>
              <w:top w:w="55" w:type="dxa"/>
              <w:start w:w="70" w:type="dxa"/>
              <w:bottom w:w="55" w:type="dxa"/>
              <w:end w:w="70" w:type="dxa"/>
            </w:tcMar>
            <w:vAlign w:val="center"/>
          </w:tcPr>
          <w:p>
            <w:r>
              <w:rPr>
                <w:sz w:val="17"/>
              </w:rPr>
              <w:t>Supports reproducibility and controlled release.</w:t>
            </w:r>
          </w:p>
        </w:tc>
      </w:tr>
      <w:tr>
        <w:tc>
          <w:tcPr>
            <w:tcW w:type="dxa" w:w="2160"/>
            <w:tcMar>
              <w:top w:w="55" w:type="dxa"/>
              <w:start w:w="70" w:type="dxa"/>
              <w:bottom w:w="55" w:type="dxa"/>
              <w:end w:w="70" w:type="dxa"/>
            </w:tcMar>
            <w:vAlign w:val="center"/>
          </w:tcPr>
          <w:p>
            <w:r>
              <w:rPr>
                <w:sz w:val="17"/>
              </w:rPr>
              <w:t>Update policy</w:t>
            </w:r>
          </w:p>
        </w:tc>
        <w:tc>
          <w:tcPr>
            <w:tcW w:type="dxa" w:w="3024"/>
            <w:tcMar>
              <w:top w:w="55" w:type="dxa"/>
              <w:start w:w="70" w:type="dxa"/>
              <w:bottom w:w="55" w:type="dxa"/>
              <w:end w:w="70" w:type="dxa"/>
            </w:tcMar>
            <w:vAlign w:val="center"/>
          </w:tcPr>
          <w:p>
            <w:r>
              <w:rPr>
                <w:sz w:val="17"/>
              </w:rPr>
              <w:t>No automatic online learning</w:t>
            </w:r>
          </w:p>
        </w:tc>
        <w:tc>
          <w:tcPr>
            <w:tcW w:type="dxa" w:w="4464"/>
            <w:tcMar>
              <w:top w:w="55" w:type="dxa"/>
              <w:start w:w="70" w:type="dxa"/>
              <w:bottom w:w="55" w:type="dxa"/>
              <w:end w:w="70" w:type="dxa"/>
            </w:tcMar>
            <w:vAlign w:val="center"/>
          </w:tcPr>
          <w:p>
            <w:r>
              <w:rPr>
                <w:sz w:val="17"/>
              </w:rPr>
              <w:t>Prevents unreviewed behavior changes in a clinical workflow.</w:t>
            </w:r>
          </w:p>
        </w:tc>
      </w:tr>
      <w:tr>
        <w:tc>
          <w:tcPr>
            <w:tcW w:type="dxa" w:w="2160"/>
            <w:shd w:fill="F3F6F9"/>
            <w:tcMar>
              <w:top w:w="55" w:type="dxa"/>
              <w:start w:w="70" w:type="dxa"/>
              <w:bottom w:w="55" w:type="dxa"/>
              <w:end w:w="70" w:type="dxa"/>
            </w:tcMar>
            <w:vAlign w:val="center"/>
          </w:tcPr>
          <w:p>
            <w:r>
              <w:rPr>
                <w:sz w:val="17"/>
              </w:rPr>
              <w:t>Failure policy</w:t>
            </w:r>
          </w:p>
        </w:tc>
        <w:tc>
          <w:tcPr>
            <w:tcW w:type="dxa" w:w="3024"/>
            <w:shd w:fill="F3F6F9"/>
            <w:tcMar>
              <w:top w:w="55" w:type="dxa"/>
              <w:start w:w="70" w:type="dxa"/>
              <w:bottom w:w="55" w:type="dxa"/>
              <w:end w:w="70" w:type="dxa"/>
            </w:tcMar>
            <w:vAlign w:val="center"/>
          </w:tcPr>
          <w:p>
            <w:r>
              <w:rPr>
                <w:sz w:val="17"/>
              </w:rPr>
              <w:t>Reject invalid output and mark assessment incomplete</w:t>
            </w:r>
          </w:p>
        </w:tc>
        <w:tc>
          <w:tcPr>
            <w:tcW w:type="dxa" w:w="4464"/>
            <w:shd w:fill="F3F6F9"/>
            <w:tcMar>
              <w:top w:w="55" w:type="dxa"/>
              <w:start w:w="70" w:type="dxa"/>
              <w:bottom w:w="55" w:type="dxa"/>
              <w:end w:w="70" w:type="dxa"/>
            </w:tcMar>
            <w:vAlign w:val="center"/>
          </w:tcPr>
          <w:p>
            <w:r>
              <w:rPr>
                <w:sz w:val="17"/>
              </w:rPr>
              <w:t>Avoids false reassurance from technical failure.</w:t>
            </w:r>
          </w:p>
        </w:tc>
      </w:tr>
    </w:tbl>
    <w:p/>
    <w:p>
      <w:pPr>
        <w:pStyle w:val="Heading1"/>
      </w:pPr>
      <w:r>
        <w:t>2. Purpose and Scope</w:t>
      </w:r>
    </w:p>
    <w:p>
      <w:r>
        <w:t>This part defines how the model is selected, constructed, constrained, reviewed, packaged, and accepted for integration. It does not claim that the current project has completed every experiment described. Experimental results must be inserted only after they are reproduced from the actual dataset, code, trained model, and test outputs.</w:t>
      </w:r>
    </w:p>
    <w:p>
      <w:pPr>
        <w:pStyle w:val="ListBullet"/>
      </w:pPr>
      <w:r>
        <w:t>Define the model's intended use, users, inputs, outputs, and prohibited uses.</w:t>
      </w:r>
    </w:p>
    <w:p>
      <w:pPr>
        <w:pStyle w:val="ListBullet"/>
      </w:pPr>
      <w:r>
        <w:t>Establish a defensible basis for selecting Random Forest over plausible baselines.</w:t>
      </w:r>
    </w:p>
    <w:p>
      <w:pPr>
        <w:pStyle w:val="ListBullet"/>
      </w:pPr>
      <w:r>
        <w:t>Separate model-development decisions from clinical decision-engine rules.</w:t>
      </w:r>
    </w:p>
    <w:p>
      <w:pPr>
        <w:pStyle w:val="ListBullet"/>
      </w:pPr>
      <w:r>
        <w:t>Prevent leakage, unsupported claims, and hidden changes to model behavior.</w:t>
      </w:r>
    </w:p>
    <w:p>
      <w:pPr>
        <w:pStyle w:val="ListBullet"/>
      </w:pPr>
      <w:r>
        <w:t>Specify the implementation evidence required before the model is described as validated.</w:t>
      </w:r>
    </w:p>
    <w:p>
      <w:pPr>
        <w:pStyle w:val="Heading1"/>
      </w:pPr>
      <w:r>
        <w:t>3. Intended Use and Model Boundary</w:t>
      </w:r>
    </w:p>
    <w:p>
      <w:r>
        <w:t>The model estimates whether a validated prenatal record resembles the project's HIGH- or LOW-risk training patterns. It is intended to support a midwife or authorized clinic user in recognizing records that warrant attention. It is not intended to determine a diagnosis, predict a specific complication, interpret ultrasound images, or decide that a patient is safe for delivery at the lying-in clinic.</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Permitted use</w:t>
            </w:r>
          </w:p>
        </w:tc>
        <w:tc>
          <w:tcPr>
            <w:tcW w:type="dxa" w:w="4939"/>
            <w:shd w:fill="1F4E78"/>
          </w:tcPr>
          <w:p>
            <w:r>
              <w:rPr>
                <w:b/>
                <w:color w:val="FFFFFF"/>
                <w:sz w:val="18"/>
              </w:rPr>
              <w:t>Prohibited use</w:t>
            </w:r>
          </w:p>
        </w:tc>
      </w:tr>
      <w:tr>
        <w:tc>
          <w:tcPr>
            <w:tcW w:type="dxa" w:w="4939"/>
            <w:tcMar>
              <w:top w:w="55" w:type="dxa"/>
              <w:start w:w="70" w:type="dxa"/>
              <w:bottom w:w="55" w:type="dxa"/>
              <w:end w:w="70" w:type="dxa"/>
            </w:tcMar>
            <w:vAlign w:val="center"/>
          </w:tcPr>
          <w:p>
            <w:r>
              <w:rPr>
                <w:sz w:val="17"/>
              </w:rPr>
              <w:t>Generate a bounded HIGH/LOW signal from approved structured features.</w:t>
            </w:r>
          </w:p>
        </w:tc>
        <w:tc>
          <w:tcPr>
            <w:tcW w:type="dxa" w:w="4939"/>
            <w:tcMar>
              <w:top w:w="55" w:type="dxa"/>
              <w:start w:w="70" w:type="dxa"/>
              <w:bottom w:w="55" w:type="dxa"/>
              <w:end w:w="70" w:type="dxa"/>
            </w:tcMar>
            <w:vAlign w:val="center"/>
          </w:tcPr>
          <w:p>
            <w:r>
              <w:rPr>
                <w:sz w:val="17"/>
              </w:rPr>
              <w:t>Diagnose preeclampsia, fetal distress, diabetes, anemia, or any other disease.</w:t>
            </w:r>
          </w:p>
        </w:tc>
      </w:tr>
      <w:tr>
        <w:tc>
          <w:tcPr>
            <w:tcW w:type="dxa" w:w="4939"/>
            <w:shd w:fill="F3F6F9"/>
            <w:tcMar>
              <w:top w:w="55" w:type="dxa"/>
              <w:start w:w="70" w:type="dxa"/>
              <w:bottom w:w="55" w:type="dxa"/>
              <w:end w:w="70" w:type="dxa"/>
            </w:tcMar>
            <w:vAlign w:val="center"/>
          </w:tcPr>
          <w:p>
            <w:r>
              <w:rPr>
                <w:sz w:val="17"/>
              </w:rPr>
              <w:t>Contribute to the hybrid decision engine.</w:t>
            </w:r>
          </w:p>
        </w:tc>
        <w:tc>
          <w:tcPr>
            <w:tcW w:type="dxa" w:w="4939"/>
            <w:shd w:fill="F3F6F9"/>
            <w:tcMar>
              <w:top w:w="55" w:type="dxa"/>
              <w:start w:w="70" w:type="dxa"/>
              <w:bottom w:w="55" w:type="dxa"/>
              <w:end w:w="70" w:type="dxa"/>
            </w:tcMar>
            <w:vAlign w:val="center"/>
          </w:tcPr>
          <w:p>
            <w:r>
              <w:rPr>
                <w:sz w:val="17"/>
              </w:rPr>
              <w:t>Override emergency or deterministic HIGH-risk rules.</w:t>
            </w:r>
          </w:p>
        </w:tc>
      </w:tr>
      <w:tr>
        <w:tc>
          <w:tcPr>
            <w:tcW w:type="dxa" w:w="4939"/>
            <w:tcMar>
              <w:top w:w="55" w:type="dxa"/>
              <w:start w:w="70" w:type="dxa"/>
              <w:bottom w:w="55" w:type="dxa"/>
              <w:end w:w="70" w:type="dxa"/>
            </w:tcMar>
            <w:vAlign w:val="center"/>
          </w:tcPr>
          <w:p>
            <w:r>
              <w:rPr>
                <w:sz w:val="17"/>
              </w:rPr>
              <w:t>Support review and referral documentation.</w:t>
            </w:r>
          </w:p>
        </w:tc>
        <w:tc>
          <w:tcPr>
            <w:tcW w:type="dxa" w:w="4939"/>
            <w:tcMar>
              <w:top w:w="55" w:type="dxa"/>
              <w:start w:w="70" w:type="dxa"/>
              <w:bottom w:w="55" w:type="dxa"/>
              <w:end w:w="70" w:type="dxa"/>
            </w:tcMar>
            <w:vAlign w:val="center"/>
          </w:tcPr>
          <w:p>
            <w:r>
              <w:rPr>
                <w:sz w:val="17"/>
              </w:rPr>
              <w:t>Replace a physician, midwife, or receiving facility decision.</w:t>
            </w:r>
          </w:p>
        </w:tc>
      </w:tr>
      <w:tr>
        <w:tc>
          <w:tcPr>
            <w:tcW w:type="dxa" w:w="4939"/>
            <w:shd w:fill="F3F6F9"/>
            <w:tcMar>
              <w:top w:w="55" w:type="dxa"/>
              <w:start w:w="70" w:type="dxa"/>
              <w:bottom w:w="55" w:type="dxa"/>
              <w:end w:w="70" w:type="dxa"/>
            </w:tcMar>
            <w:vAlign w:val="center"/>
          </w:tcPr>
          <w:p>
            <w:r>
              <w:rPr>
                <w:sz w:val="17"/>
              </w:rPr>
              <w:t>Operate on validated tabular data.</w:t>
            </w:r>
          </w:p>
        </w:tc>
        <w:tc>
          <w:tcPr>
            <w:tcW w:type="dxa" w:w="4939"/>
            <w:shd w:fill="F3F6F9"/>
            <w:tcMar>
              <w:top w:w="55" w:type="dxa"/>
              <w:start w:w="70" w:type="dxa"/>
              <w:bottom w:w="55" w:type="dxa"/>
              <w:end w:w="70" w:type="dxa"/>
            </w:tcMar>
            <w:vAlign w:val="center"/>
          </w:tcPr>
          <w:p>
            <w:r>
              <w:rPr>
                <w:sz w:val="17"/>
              </w:rPr>
              <w:t>Analyze ultrasound images, free-text notes, or undocumented variables.</w:t>
            </w:r>
          </w:p>
        </w:tc>
      </w:tr>
      <w:tr>
        <w:tc>
          <w:tcPr>
            <w:tcW w:type="dxa" w:w="4939"/>
            <w:tcMar>
              <w:top w:w="55" w:type="dxa"/>
              <w:start w:w="70" w:type="dxa"/>
              <w:bottom w:w="55" w:type="dxa"/>
              <w:end w:w="70" w:type="dxa"/>
            </w:tcMar>
            <w:vAlign w:val="center"/>
          </w:tcPr>
          <w:p>
            <w:r>
              <w:rPr>
                <w:sz w:val="17"/>
              </w:rPr>
              <w:t>Fail closed when execution or validation fails.</w:t>
            </w:r>
          </w:p>
        </w:tc>
        <w:tc>
          <w:tcPr>
            <w:tcW w:type="dxa" w:w="4939"/>
            <w:tcMar>
              <w:top w:w="55" w:type="dxa"/>
              <w:start w:w="70" w:type="dxa"/>
              <w:bottom w:w="55" w:type="dxa"/>
              <w:end w:w="70" w:type="dxa"/>
            </w:tcMar>
            <w:vAlign w:val="center"/>
          </w:tcPr>
          <w:p>
            <w:r>
              <w:rPr>
                <w:sz w:val="17"/>
              </w:rPr>
              <w:t>Default to LOW when data or model execution is incomplete.</w:t>
            </w:r>
          </w:p>
        </w:tc>
      </w:tr>
    </w:tbl>
    <w:p/>
    <w:p>
      <w:pPr>
        <w:pStyle w:val="Heading1"/>
      </w:pPr>
      <w:r>
        <w:t>4. Model Selection Framework</w:t>
      </w:r>
    </w:p>
    <w:p>
      <w:r>
        <w:t>Model choice must be based on the clinical use case, dataset size and structure, class distribution, interpretability needs, operational constraints, and reproducibility—not on a single accuracy value. Good Machine Learning Practice emphasizes representative data, independence of training and test sets, clinically relevant performance, and the performance of the human-AI team.</w:t>
      </w:r>
    </w:p>
    <w:tbl>
      <w:tblPr>
        <w:tblStyle w:val="TableGrid"/>
        <w:tblW w:type="auto" w:w="0"/>
        <w:jc w:val="center"/>
        <w:tblLook w:firstColumn="1" w:firstRow="1" w:lastColumn="0" w:lastRow="0" w:noHBand="0" w:noVBand="1" w:val="04A0"/>
      </w:tblPr>
      <w:tblGrid>
        <w:gridCol w:w="2469"/>
        <w:gridCol w:w="2469"/>
        <w:gridCol w:w="2469"/>
        <w:gridCol w:w="2469"/>
      </w:tblGrid>
      <w:tr>
        <w:trPr>
          <w:tblHeader w:val="true"/>
        </w:trPr>
        <w:tc>
          <w:tcPr>
            <w:tcW w:type="dxa" w:w="1584"/>
            <w:shd w:fill="1F4E78"/>
          </w:tcPr>
          <w:p>
            <w:r>
              <w:rPr>
                <w:b/>
                <w:color w:val="FFFFFF"/>
                <w:sz w:val="18"/>
              </w:rPr>
              <w:t>Candidate</w:t>
            </w:r>
          </w:p>
        </w:tc>
        <w:tc>
          <w:tcPr>
            <w:tcW w:type="dxa" w:w="2448"/>
            <w:shd w:fill="1F4E78"/>
          </w:tcPr>
          <w:p>
            <w:r>
              <w:rPr>
                <w:b/>
                <w:color w:val="FFFFFF"/>
                <w:sz w:val="18"/>
              </w:rPr>
              <w:t>Strengths</w:t>
            </w:r>
          </w:p>
        </w:tc>
        <w:tc>
          <w:tcPr>
            <w:tcW w:type="dxa" w:w="3600"/>
            <w:shd w:fill="1F4E78"/>
          </w:tcPr>
          <w:p>
            <w:r>
              <w:rPr>
                <w:b/>
                <w:color w:val="FFFFFF"/>
                <w:sz w:val="18"/>
              </w:rPr>
              <w:t>Limitations in this project</w:t>
            </w:r>
          </w:p>
        </w:tc>
        <w:tc>
          <w:tcPr>
            <w:tcW w:type="dxa" w:w="1728"/>
            <w:shd w:fill="1F4E78"/>
          </w:tcPr>
          <w:p>
            <w:r>
              <w:rPr>
                <w:b/>
                <w:color w:val="FFFFFF"/>
                <w:sz w:val="18"/>
              </w:rPr>
              <w:t>Decision</w:t>
            </w:r>
          </w:p>
        </w:tc>
      </w:tr>
      <w:tr>
        <w:tc>
          <w:tcPr>
            <w:tcW w:type="dxa" w:w="1584"/>
            <w:tcMar>
              <w:top w:w="55" w:type="dxa"/>
              <w:start w:w="70" w:type="dxa"/>
              <w:bottom w:w="55" w:type="dxa"/>
              <w:end w:w="70" w:type="dxa"/>
            </w:tcMar>
            <w:vAlign w:val="center"/>
          </w:tcPr>
          <w:p>
            <w:r>
              <w:rPr>
                <w:sz w:val="17"/>
              </w:rPr>
              <w:t>Logistic regression</w:t>
            </w:r>
          </w:p>
        </w:tc>
        <w:tc>
          <w:tcPr>
            <w:tcW w:type="dxa" w:w="2448"/>
            <w:tcMar>
              <w:top w:w="55" w:type="dxa"/>
              <w:start w:w="70" w:type="dxa"/>
              <w:bottom w:w="55" w:type="dxa"/>
              <w:end w:w="70" w:type="dxa"/>
            </w:tcMar>
            <w:vAlign w:val="center"/>
          </w:tcPr>
          <w:p>
            <w:r>
              <w:rPr>
                <w:sz w:val="17"/>
              </w:rPr>
              <w:t>Transparent coefficients; strong baseline; easy calibration.</w:t>
            </w:r>
          </w:p>
        </w:tc>
        <w:tc>
          <w:tcPr>
            <w:tcW w:type="dxa" w:w="3600"/>
            <w:tcMar>
              <w:top w:w="55" w:type="dxa"/>
              <w:start w:w="70" w:type="dxa"/>
              <w:bottom w:w="55" w:type="dxa"/>
              <w:end w:w="70" w:type="dxa"/>
            </w:tcMar>
            <w:vAlign w:val="center"/>
          </w:tcPr>
          <w:p>
            <w:r>
              <w:rPr>
                <w:sz w:val="17"/>
              </w:rPr>
              <w:t>May underfit non-linear interactions without careful feature construction.</w:t>
            </w:r>
          </w:p>
        </w:tc>
        <w:tc>
          <w:tcPr>
            <w:tcW w:type="dxa" w:w="1728"/>
            <w:tcMar>
              <w:top w:w="55" w:type="dxa"/>
              <w:start w:w="70" w:type="dxa"/>
              <w:bottom w:w="55" w:type="dxa"/>
              <w:end w:w="70" w:type="dxa"/>
            </w:tcMar>
            <w:vAlign w:val="center"/>
          </w:tcPr>
          <w:p>
            <w:r>
              <w:rPr>
                <w:sz w:val="17"/>
              </w:rPr>
              <w:t>Retain as baseline comparator.</w:t>
            </w:r>
          </w:p>
        </w:tc>
      </w:tr>
      <w:tr>
        <w:tc>
          <w:tcPr>
            <w:tcW w:type="dxa" w:w="1584"/>
            <w:shd w:fill="F3F6F9"/>
            <w:tcMar>
              <w:top w:w="55" w:type="dxa"/>
              <w:start w:w="70" w:type="dxa"/>
              <w:bottom w:w="55" w:type="dxa"/>
              <w:end w:w="70" w:type="dxa"/>
            </w:tcMar>
            <w:vAlign w:val="center"/>
          </w:tcPr>
          <w:p>
            <w:r>
              <w:rPr>
                <w:sz w:val="17"/>
              </w:rPr>
              <w:t>Decision tree</w:t>
            </w:r>
          </w:p>
        </w:tc>
        <w:tc>
          <w:tcPr>
            <w:tcW w:type="dxa" w:w="2448"/>
            <w:shd w:fill="F3F6F9"/>
            <w:tcMar>
              <w:top w:w="55" w:type="dxa"/>
              <w:start w:w="70" w:type="dxa"/>
              <w:bottom w:w="55" w:type="dxa"/>
              <w:end w:w="70" w:type="dxa"/>
            </w:tcMar>
            <w:vAlign w:val="center"/>
          </w:tcPr>
          <w:p>
            <w:r>
              <w:rPr>
                <w:sz w:val="17"/>
              </w:rPr>
              <w:t>Highly understandable; simple rules.</w:t>
            </w:r>
          </w:p>
        </w:tc>
        <w:tc>
          <w:tcPr>
            <w:tcW w:type="dxa" w:w="3600"/>
            <w:shd w:fill="F3F6F9"/>
            <w:tcMar>
              <w:top w:w="55" w:type="dxa"/>
              <w:start w:w="70" w:type="dxa"/>
              <w:bottom w:w="55" w:type="dxa"/>
              <w:end w:w="70" w:type="dxa"/>
            </w:tcMar>
            <w:vAlign w:val="center"/>
          </w:tcPr>
          <w:p>
            <w:r>
              <w:rPr>
                <w:sz w:val="17"/>
              </w:rPr>
              <w:t>Unstable; can overfit; single-tree variance.</w:t>
            </w:r>
          </w:p>
        </w:tc>
        <w:tc>
          <w:tcPr>
            <w:tcW w:type="dxa" w:w="1728"/>
            <w:shd w:fill="F3F6F9"/>
            <w:tcMar>
              <w:top w:w="55" w:type="dxa"/>
              <w:start w:w="70" w:type="dxa"/>
              <w:bottom w:w="55" w:type="dxa"/>
              <w:end w:w="70" w:type="dxa"/>
            </w:tcMar>
            <w:vAlign w:val="center"/>
          </w:tcPr>
          <w:p>
            <w:r>
              <w:rPr>
                <w:sz w:val="17"/>
              </w:rPr>
              <w:t>Retain as interpretable comparator.</w:t>
            </w:r>
          </w:p>
        </w:tc>
      </w:tr>
      <w:tr>
        <w:tc>
          <w:tcPr>
            <w:tcW w:type="dxa" w:w="1584"/>
            <w:tcMar>
              <w:top w:w="55" w:type="dxa"/>
              <w:start w:w="70" w:type="dxa"/>
              <w:bottom w:w="55" w:type="dxa"/>
              <w:end w:w="70" w:type="dxa"/>
            </w:tcMar>
            <w:vAlign w:val="center"/>
          </w:tcPr>
          <w:p>
            <w:r>
              <w:rPr>
                <w:sz w:val="17"/>
              </w:rPr>
              <w:t>Random Forest</w:t>
            </w:r>
          </w:p>
        </w:tc>
        <w:tc>
          <w:tcPr>
            <w:tcW w:type="dxa" w:w="2448"/>
            <w:tcMar>
              <w:top w:w="55" w:type="dxa"/>
              <w:start w:w="70" w:type="dxa"/>
              <w:bottom w:w="55" w:type="dxa"/>
              <w:end w:w="70" w:type="dxa"/>
            </w:tcMar>
            <w:vAlign w:val="center"/>
          </w:tcPr>
          <w:p>
            <w:r>
              <w:rPr>
                <w:sz w:val="17"/>
              </w:rPr>
              <w:t>Handles non-linearity and interactions; robust ensemble; limited scaling requirements.</w:t>
            </w:r>
          </w:p>
        </w:tc>
        <w:tc>
          <w:tcPr>
            <w:tcW w:type="dxa" w:w="3600"/>
            <w:tcMar>
              <w:top w:w="55" w:type="dxa"/>
              <w:start w:w="70" w:type="dxa"/>
              <w:bottom w:w="55" w:type="dxa"/>
              <w:end w:w="70" w:type="dxa"/>
            </w:tcMar>
            <w:vAlign w:val="center"/>
          </w:tcPr>
          <w:p>
            <w:r>
              <w:rPr>
                <w:sz w:val="17"/>
              </w:rPr>
              <w:t>Less directly interpretable than a single tree; can overfit if unconstrained; probability may require calibration.</w:t>
            </w:r>
          </w:p>
        </w:tc>
        <w:tc>
          <w:tcPr>
            <w:tcW w:type="dxa" w:w="1728"/>
            <w:tcMar>
              <w:top w:w="55" w:type="dxa"/>
              <w:start w:w="70" w:type="dxa"/>
              <w:bottom w:w="55" w:type="dxa"/>
              <w:end w:w="70" w:type="dxa"/>
            </w:tcMar>
            <w:vAlign w:val="center"/>
          </w:tcPr>
          <w:p>
            <w:r>
              <w:rPr>
                <w:sz w:val="17"/>
              </w:rPr>
              <w:t>Selected model family, subject to validation.</w:t>
            </w:r>
          </w:p>
        </w:tc>
      </w:tr>
      <w:tr>
        <w:tc>
          <w:tcPr>
            <w:tcW w:type="dxa" w:w="1584"/>
            <w:shd w:fill="F3F6F9"/>
            <w:tcMar>
              <w:top w:w="55" w:type="dxa"/>
              <w:start w:w="70" w:type="dxa"/>
              <w:bottom w:w="55" w:type="dxa"/>
              <w:end w:w="70" w:type="dxa"/>
            </w:tcMar>
            <w:vAlign w:val="center"/>
          </w:tcPr>
          <w:p>
            <w:r>
              <w:rPr>
                <w:sz w:val="17"/>
              </w:rPr>
              <w:t>Gradient boosting</w:t>
            </w:r>
          </w:p>
        </w:tc>
        <w:tc>
          <w:tcPr>
            <w:tcW w:type="dxa" w:w="2448"/>
            <w:shd w:fill="F3F6F9"/>
            <w:tcMar>
              <w:top w:w="55" w:type="dxa"/>
              <w:start w:w="70" w:type="dxa"/>
              <w:bottom w:w="55" w:type="dxa"/>
              <w:end w:w="70" w:type="dxa"/>
            </w:tcMar>
            <w:vAlign w:val="center"/>
          </w:tcPr>
          <w:p>
            <w:r>
              <w:rPr>
                <w:sz w:val="17"/>
              </w:rPr>
              <w:t>Often strong tabular performance.</w:t>
            </w:r>
          </w:p>
        </w:tc>
        <w:tc>
          <w:tcPr>
            <w:tcW w:type="dxa" w:w="3600"/>
            <w:shd w:fill="F3F6F9"/>
            <w:tcMar>
              <w:top w:w="55" w:type="dxa"/>
              <w:start w:w="70" w:type="dxa"/>
              <w:bottom w:w="55" w:type="dxa"/>
              <w:end w:w="70" w:type="dxa"/>
            </w:tcMar>
            <w:vAlign w:val="center"/>
          </w:tcPr>
          <w:p>
            <w:r>
              <w:rPr>
                <w:sz w:val="17"/>
              </w:rPr>
              <w:t>Greater tuning complexity and higher risk of opaque optimization in a small capstone pipeline.</w:t>
            </w:r>
          </w:p>
        </w:tc>
        <w:tc>
          <w:tcPr>
            <w:tcW w:type="dxa" w:w="1728"/>
            <w:shd w:fill="F3F6F9"/>
            <w:tcMar>
              <w:top w:w="55" w:type="dxa"/>
              <w:start w:w="70" w:type="dxa"/>
              <w:bottom w:w="55" w:type="dxa"/>
              <w:end w:w="70" w:type="dxa"/>
            </w:tcMar>
            <w:vAlign w:val="center"/>
          </w:tcPr>
          <w:p>
            <w:r>
              <w:rPr>
                <w:sz w:val="17"/>
              </w:rPr>
              <w:t>Optional research comparator only.</w:t>
            </w:r>
          </w:p>
        </w:tc>
      </w:tr>
      <w:tr>
        <w:tc>
          <w:tcPr>
            <w:tcW w:type="dxa" w:w="1584"/>
            <w:tcMar>
              <w:top w:w="55" w:type="dxa"/>
              <w:start w:w="70" w:type="dxa"/>
              <w:bottom w:w="55" w:type="dxa"/>
              <w:end w:w="70" w:type="dxa"/>
            </w:tcMar>
            <w:vAlign w:val="center"/>
          </w:tcPr>
          <w:p>
            <w:r>
              <w:rPr>
                <w:sz w:val="17"/>
              </w:rPr>
              <w:t>Neural network</w:t>
            </w:r>
          </w:p>
        </w:tc>
        <w:tc>
          <w:tcPr>
            <w:tcW w:type="dxa" w:w="2448"/>
            <w:tcMar>
              <w:top w:w="55" w:type="dxa"/>
              <w:start w:w="70" w:type="dxa"/>
              <w:bottom w:w="55" w:type="dxa"/>
              <w:end w:w="70" w:type="dxa"/>
            </w:tcMar>
            <w:vAlign w:val="center"/>
          </w:tcPr>
          <w:p>
            <w:r>
              <w:rPr>
                <w:sz w:val="17"/>
              </w:rPr>
              <w:t>Flexible function approximation.</w:t>
            </w:r>
          </w:p>
        </w:tc>
        <w:tc>
          <w:tcPr>
            <w:tcW w:type="dxa" w:w="3600"/>
            <w:tcMar>
              <w:top w:w="55" w:type="dxa"/>
              <w:start w:w="70" w:type="dxa"/>
              <w:bottom w:w="55" w:type="dxa"/>
              <w:end w:w="70" w:type="dxa"/>
            </w:tcMar>
            <w:vAlign w:val="center"/>
          </w:tcPr>
          <w:p>
            <w:r>
              <w:rPr>
                <w:sz w:val="17"/>
              </w:rPr>
              <w:t>Not justified for a small structured dataset; greater data and governance burden.</w:t>
            </w:r>
          </w:p>
        </w:tc>
        <w:tc>
          <w:tcPr>
            <w:tcW w:type="dxa" w:w="1728"/>
            <w:tcMar>
              <w:top w:w="55" w:type="dxa"/>
              <w:start w:w="70" w:type="dxa"/>
              <w:bottom w:w="55" w:type="dxa"/>
              <w:end w:w="70" w:type="dxa"/>
            </w:tcMar>
            <w:vAlign w:val="center"/>
          </w:tcPr>
          <w:p>
            <w:r>
              <w:rPr>
                <w:sz w:val="17"/>
              </w:rPr>
              <w:t>Not selected.</w:t>
            </w:r>
          </w:p>
        </w:tc>
      </w:tr>
    </w:tbl>
    <w:p/>
    <w:p>
      <w:pPr>
        <w:pStyle w:val="Heading1"/>
      </w:pPr>
      <w:r>
        <w:t>5. Why Random Forest Is Defensible—but Not Automatically Superior</w:t>
      </w:r>
    </w:p>
    <w:p>
      <w:r>
        <w:t>A Random Forest combines predictions from multiple decision trees trained on resampled data and randomized feature subsets. This can reduce the variance of a single decision tree and capture interactions between prenatal variables. These properties make it a reasonable candidate for structured clinical data. However, model family alone does not establish safety, validity, generalizability, or fairness.</w:t>
      </w:r>
    </w:p>
    <w:p>
      <w:pPr>
        <w:pStyle w:val="ListBullet"/>
      </w:pPr>
      <w:r>
        <w:t>Selection is provisional until compared with simple baselines on the same patient-level split.</w:t>
      </w:r>
    </w:p>
    <w:p>
      <w:pPr>
        <w:pStyle w:val="ListBullet"/>
      </w:pPr>
      <w:r>
        <w:t>Hyperparameters must be recorded; library defaults must not be treated as clinically optimized.</w:t>
      </w:r>
    </w:p>
    <w:p>
      <w:pPr>
        <w:pStyle w:val="ListBullet"/>
      </w:pPr>
      <w:r>
        <w:t>Probability estimates must not be displayed as clinical certainty unless calibration is evaluated.</w:t>
      </w:r>
    </w:p>
    <w:p>
      <w:pPr>
        <w:pStyle w:val="ListBullet"/>
      </w:pPr>
      <w:r>
        <w:t>Feature importance must not be interpreted as causation.</w:t>
      </w:r>
    </w:p>
    <w:p>
      <w:pPr>
        <w:pStyle w:val="ListBullet"/>
      </w:pPr>
      <w:r>
        <w:t>Strong internal results do not establish performance in other clinics or populations.</w:t>
      </w:r>
    </w:p>
    <w:p>
      <w:pPr>
        <w:pStyle w:val="Heading1"/>
      </w:pPr>
      <w:r>
        <w:t>6. Development Input Contract</w:t>
      </w:r>
    </w:p>
    <w:p>
      <w:r>
        <w:t>The model may consume only versioned features defined in the feature-engineering specification. Feature order, type, encoding, valid range, and missing-data policy form a machine-readable contract shared by training and prediction.</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Contract field</w:t>
            </w:r>
          </w:p>
        </w:tc>
        <w:tc>
          <w:tcPr>
            <w:tcW w:type="dxa" w:w="3293"/>
            <w:shd w:fill="1F4E78"/>
          </w:tcPr>
          <w:p>
            <w:r>
              <w:rPr>
                <w:b/>
                <w:color w:val="FFFFFF"/>
                <w:sz w:val="18"/>
              </w:rPr>
              <w:t>Requirement</w:t>
            </w:r>
          </w:p>
        </w:tc>
        <w:tc>
          <w:tcPr>
            <w:tcW w:type="dxa" w:w="3293"/>
            <w:shd w:fill="1F4E78"/>
          </w:tcPr>
          <w:p>
            <w:r>
              <w:rPr>
                <w:b/>
                <w:color w:val="FFFFFF"/>
                <w:sz w:val="18"/>
              </w:rPr>
              <w:t>Failure response</w:t>
            </w:r>
          </w:p>
        </w:tc>
      </w:tr>
      <w:tr>
        <w:tc>
          <w:tcPr>
            <w:tcW w:type="dxa" w:w="3293"/>
            <w:tcMar>
              <w:top w:w="55" w:type="dxa"/>
              <w:start w:w="70" w:type="dxa"/>
              <w:bottom w:w="55" w:type="dxa"/>
              <w:end w:w="70" w:type="dxa"/>
            </w:tcMar>
            <w:vAlign w:val="center"/>
          </w:tcPr>
          <w:p>
            <w:r>
              <w:rPr>
                <w:sz w:val="17"/>
              </w:rPr>
              <w:t>Feature name</w:t>
            </w:r>
          </w:p>
        </w:tc>
        <w:tc>
          <w:tcPr>
            <w:tcW w:type="dxa" w:w="3293"/>
            <w:tcMar>
              <w:top w:w="55" w:type="dxa"/>
              <w:start w:w="70" w:type="dxa"/>
              <w:bottom w:w="55" w:type="dxa"/>
              <w:end w:w="70" w:type="dxa"/>
            </w:tcMar>
            <w:vAlign w:val="center"/>
          </w:tcPr>
          <w:p>
            <w:r>
              <w:rPr>
                <w:sz w:val="17"/>
              </w:rPr>
              <w:t>Exact canonical name; no aliases at runtime.</w:t>
            </w:r>
          </w:p>
        </w:tc>
        <w:tc>
          <w:tcPr>
            <w:tcW w:type="dxa" w:w="3293"/>
            <w:tcMar>
              <w:top w:w="55" w:type="dxa"/>
              <w:start w:w="70" w:type="dxa"/>
              <w:bottom w:w="55" w:type="dxa"/>
              <w:end w:w="70" w:type="dxa"/>
            </w:tcMar>
            <w:vAlign w:val="center"/>
          </w:tcPr>
          <w:p>
            <w:r>
              <w:rPr>
                <w:sz w:val="17"/>
              </w:rPr>
              <w:t>Reject record.</w:t>
            </w:r>
          </w:p>
        </w:tc>
      </w:tr>
      <w:tr>
        <w:tc>
          <w:tcPr>
            <w:tcW w:type="dxa" w:w="3293"/>
            <w:shd w:fill="F3F6F9"/>
            <w:tcMar>
              <w:top w:w="55" w:type="dxa"/>
              <w:start w:w="70" w:type="dxa"/>
              <w:bottom w:w="55" w:type="dxa"/>
              <w:end w:w="70" w:type="dxa"/>
            </w:tcMar>
            <w:vAlign w:val="center"/>
          </w:tcPr>
          <w:p>
            <w:r>
              <w:rPr>
                <w:sz w:val="17"/>
              </w:rPr>
              <w:t>Order</w:t>
            </w:r>
          </w:p>
        </w:tc>
        <w:tc>
          <w:tcPr>
            <w:tcW w:type="dxa" w:w="3293"/>
            <w:shd w:fill="F3F6F9"/>
            <w:tcMar>
              <w:top w:w="55" w:type="dxa"/>
              <w:start w:w="70" w:type="dxa"/>
              <w:bottom w:w="55" w:type="dxa"/>
              <w:end w:w="70" w:type="dxa"/>
            </w:tcMar>
            <w:vAlign w:val="center"/>
          </w:tcPr>
          <w:p>
            <w:r>
              <w:rPr>
                <w:sz w:val="17"/>
              </w:rPr>
              <w:t>Identical to training pipeline or passed by named column mapping.</w:t>
            </w:r>
          </w:p>
        </w:tc>
        <w:tc>
          <w:tcPr>
            <w:tcW w:type="dxa" w:w="3293"/>
            <w:shd w:fill="F3F6F9"/>
            <w:tcMar>
              <w:top w:w="55" w:type="dxa"/>
              <w:start w:w="70" w:type="dxa"/>
              <w:bottom w:w="55" w:type="dxa"/>
              <w:end w:w="70" w:type="dxa"/>
            </w:tcMar>
            <w:vAlign w:val="center"/>
          </w:tcPr>
          <w:p>
            <w:r>
              <w:rPr>
                <w:sz w:val="17"/>
              </w:rPr>
              <w:t>Reject or reorder only through verified schema mapping.</w:t>
            </w:r>
          </w:p>
        </w:tc>
      </w:tr>
      <w:tr>
        <w:tc>
          <w:tcPr>
            <w:tcW w:type="dxa" w:w="3293"/>
            <w:tcMar>
              <w:top w:w="55" w:type="dxa"/>
              <w:start w:w="70" w:type="dxa"/>
              <w:bottom w:w="55" w:type="dxa"/>
              <w:end w:w="70" w:type="dxa"/>
            </w:tcMar>
            <w:vAlign w:val="center"/>
          </w:tcPr>
          <w:p>
            <w:r>
              <w:rPr>
                <w:sz w:val="17"/>
              </w:rPr>
              <w:t>Data type</w:t>
            </w:r>
          </w:p>
        </w:tc>
        <w:tc>
          <w:tcPr>
            <w:tcW w:type="dxa" w:w="3293"/>
            <w:tcMar>
              <w:top w:w="55" w:type="dxa"/>
              <w:start w:w="70" w:type="dxa"/>
              <w:bottom w:w="55" w:type="dxa"/>
              <w:end w:w="70" w:type="dxa"/>
            </w:tcMar>
            <w:vAlign w:val="center"/>
          </w:tcPr>
          <w:p>
            <w:r>
              <w:rPr>
                <w:sz w:val="17"/>
              </w:rPr>
              <w:t>Numeric, Boolean, or approved encoded category.</w:t>
            </w:r>
          </w:p>
        </w:tc>
        <w:tc>
          <w:tcPr>
            <w:tcW w:type="dxa" w:w="3293"/>
            <w:tcMar>
              <w:top w:w="55" w:type="dxa"/>
              <w:start w:w="70" w:type="dxa"/>
              <w:bottom w:w="55" w:type="dxa"/>
              <w:end w:w="70" w:type="dxa"/>
            </w:tcMar>
            <w:vAlign w:val="center"/>
          </w:tcPr>
          <w:p>
            <w:r>
              <w:rPr>
                <w:sz w:val="17"/>
              </w:rPr>
              <w:t>Reject incompatible value.</w:t>
            </w:r>
          </w:p>
        </w:tc>
      </w:tr>
      <w:tr>
        <w:tc>
          <w:tcPr>
            <w:tcW w:type="dxa" w:w="3293"/>
            <w:shd w:fill="F3F6F9"/>
            <w:tcMar>
              <w:top w:w="55" w:type="dxa"/>
              <w:start w:w="70" w:type="dxa"/>
              <w:bottom w:w="55" w:type="dxa"/>
              <w:end w:w="70" w:type="dxa"/>
            </w:tcMar>
            <w:vAlign w:val="center"/>
          </w:tcPr>
          <w:p>
            <w:r>
              <w:rPr>
                <w:sz w:val="17"/>
              </w:rPr>
              <w:t>Range/domain</w:t>
            </w:r>
          </w:p>
        </w:tc>
        <w:tc>
          <w:tcPr>
            <w:tcW w:type="dxa" w:w="3293"/>
            <w:shd w:fill="F3F6F9"/>
            <w:tcMar>
              <w:top w:w="55" w:type="dxa"/>
              <w:start w:w="70" w:type="dxa"/>
              <w:bottom w:w="55" w:type="dxa"/>
              <w:end w:w="70" w:type="dxa"/>
            </w:tcMar>
            <w:vAlign w:val="center"/>
          </w:tcPr>
          <w:p>
            <w:r>
              <w:rPr>
                <w:sz w:val="17"/>
              </w:rPr>
              <w:t>Must pass clinical and technical validation.</w:t>
            </w:r>
          </w:p>
        </w:tc>
        <w:tc>
          <w:tcPr>
            <w:tcW w:type="dxa" w:w="3293"/>
            <w:shd w:fill="F3F6F9"/>
            <w:tcMar>
              <w:top w:w="55" w:type="dxa"/>
              <w:start w:w="70" w:type="dxa"/>
              <w:bottom w:w="55" w:type="dxa"/>
              <w:end w:w="70" w:type="dxa"/>
            </w:tcMar>
            <w:vAlign w:val="center"/>
          </w:tcPr>
          <w:p>
            <w:r>
              <w:rPr>
                <w:sz w:val="17"/>
              </w:rPr>
              <w:t>Mark incomplete or request correction.</w:t>
            </w:r>
          </w:p>
        </w:tc>
      </w:tr>
      <w:tr>
        <w:tc>
          <w:tcPr>
            <w:tcW w:type="dxa" w:w="3293"/>
            <w:tcMar>
              <w:top w:w="55" w:type="dxa"/>
              <w:start w:w="70" w:type="dxa"/>
              <w:bottom w:w="55" w:type="dxa"/>
              <w:end w:w="70" w:type="dxa"/>
            </w:tcMar>
            <w:vAlign w:val="center"/>
          </w:tcPr>
          <w:p>
            <w:r>
              <w:rPr>
                <w:sz w:val="17"/>
              </w:rPr>
              <w:t>Missingness</w:t>
            </w:r>
          </w:p>
        </w:tc>
        <w:tc>
          <w:tcPr>
            <w:tcW w:type="dxa" w:w="3293"/>
            <w:tcMar>
              <w:top w:w="55" w:type="dxa"/>
              <w:start w:w="70" w:type="dxa"/>
              <w:bottom w:w="55" w:type="dxa"/>
              <w:end w:w="70" w:type="dxa"/>
            </w:tcMar>
            <w:vAlign w:val="center"/>
          </w:tcPr>
          <w:p>
            <w:r>
              <w:rPr>
                <w:sz w:val="17"/>
              </w:rPr>
              <w:t>Handled only through approved strategy.</w:t>
            </w:r>
          </w:p>
        </w:tc>
        <w:tc>
          <w:tcPr>
            <w:tcW w:type="dxa" w:w="3293"/>
            <w:tcMar>
              <w:top w:w="55" w:type="dxa"/>
              <w:start w:w="70" w:type="dxa"/>
              <w:bottom w:w="55" w:type="dxa"/>
              <w:end w:w="70" w:type="dxa"/>
            </w:tcMar>
            <w:vAlign w:val="center"/>
          </w:tcPr>
          <w:p>
            <w:r>
              <w:rPr>
                <w:sz w:val="17"/>
              </w:rPr>
              <w:t>No silent zero-filling.</w:t>
            </w:r>
          </w:p>
        </w:tc>
      </w:tr>
      <w:tr>
        <w:tc>
          <w:tcPr>
            <w:tcW w:type="dxa" w:w="3293"/>
            <w:shd w:fill="F3F6F9"/>
            <w:tcMar>
              <w:top w:w="55" w:type="dxa"/>
              <w:start w:w="70" w:type="dxa"/>
              <w:bottom w:w="55" w:type="dxa"/>
              <w:end w:w="70" w:type="dxa"/>
            </w:tcMar>
            <w:vAlign w:val="center"/>
          </w:tcPr>
          <w:p>
            <w:r>
              <w:rPr>
                <w:sz w:val="17"/>
              </w:rPr>
              <w:t>Schema version</w:t>
            </w:r>
          </w:p>
        </w:tc>
        <w:tc>
          <w:tcPr>
            <w:tcW w:type="dxa" w:w="3293"/>
            <w:shd w:fill="F3F6F9"/>
            <w:tcMar>
              <w:top w:w="55" w:type="dxa"/>
              <w:start w:w="70" w:type="dxa"/>
              <w:bottom w:w="55" w:type="dxa"/>
              <w:end w:w="70" w:type="dxa"/>
            </w:tcMar>
            <w:vAlign w:val="center"/>
          </w:tcPr>
          <w:p>
            <w:r>
              <w:rPr>
                <w:sz w:val="17"/>
              </w:rPr>
              <w:t>Must match model package.</w:t>
            </w:r>
          </w:p>
        </w:tc>
        <w:tc>
          <w:tcPr>
            <w:tcW w:type="dxa" w:w="3293"/>
            <w:shd w:fill="F3F6F9"/>
            <w:tcMar>
              <w:top w:w="55" w:type="dxa"/>
              <w:start w:w="70" w:type="dxa"/>
              <w:bottom w:w="55" w:type="dxa"/>
              <w:end w:w="70" w:type="dxa"/>
            </w:tcMar>
            <w:vAlign w:val="center"/>
          </w:tcPr>
          <w:p>
            <w:r>
              <w:rPr>
                <w:sz w:val="17"/>
              </w:rPr>
              <w:t>Reject model-input mismatch.</w:t>
            </w:r>
          </w:p>
        </w:tc>
      </w:tr>
    </w:tbl>
    <w:p/>
    <w:p>
      <w:pPr>
        <w:pStyle w:val="Heading1"/>
      </w:pPr>
      <w:r>
        <w:t>7. Label and Prediction Contract</w:t>
      </w:r>
    </w:p>
    <w:p>
      <w:r>
        <w:t>The target label is a binary development label: HIGH or LOW. ASSESSMENT INCOMPLETE is not a model class; it is a decision-engine state produced when required evidence or valid model output is unavailable. Keeping technical incompleteness outside the learned target prevents the model from learning that missing documentation is a clinical risk category.</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Prediction Contract</w:t>
            </w:r>
          </w:p>
        </w:tc>
      </w:tr>
      <w:tr>
        <w:tc>
          <w:tcPr>
            <w:tcW w:type="dxa" w:w="9878"/>
            <w:shd w:fill="EAF2F8"/>
          </w:tcPr>
          <w:p>
            <w:pPr>
              <w:jc w:val="center"/>
            </w:pPr>
            <w:r>
              <w:rPr>
                <w:rFonts w:ascii="Consolas" w:hAnsi="Consolas"/>
                <w:sz w:val="18"/>
              </w:rPr>
              <w:t>Validated feature vector + schema version</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Frozen preprocessing pipeline</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Random Forest model artifact</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Raw predicted label and optional internal score</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Output validator: only HIGH or LOW accepted</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Hybrid decision engine applies emergency and rule precedence</w:t>
            </w:r>
          </w:p>
        </w:tc>
      </w:tr>
    </w:tbl>
    <w:p/>
    <w:p>
      <w:pPr>
        <w:pStyle w:val="Heading1"/>
      </w:pPr>
      <w:r>
        <w:t>8. Baseline and Comparator Strategy</w:t>
      </w:r>
    </w:p>
    <w:p>
      <w:r>
        <w:t>A credible development study should compare the selected Random Forest with at least a majority-class baseline and one simple statistical or tree baseline. This guards against presenting a complex model as useful when it performs no better than a trivial rule.</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Comparator</w:t>
            </w:r>
          </w:p>
        </w:tc>
        <w:tc>
          <w:tcPr>
            <w:tcW w:type="dxa" w:w="4939"/>
            <w:shd w:fill="1F4E78"/>
          </w:tcPr>
          <w:p>
            <w:r>
              <w:rPr>
                <w:b/>
                <w:color w:val="FFFFFF"/>
                <w:sz w:val="18"/>
              </w:rPr>
              <w:t>Question answered</w:t>
            </w:r>
          </w:p>
        </w:tc>
      </w:tr>
      <w:tr>
        <w:tc>
          <w:tcPr>
            <w:tcW w:type="dxa" w:w="4939"/>
            <w:tcMar>
              <w:top w:w="55" w:type="dxa"/>
              <w:start w:w="70" w:type="dxa"/>
              <w:bottom w:w="55" w:type="dxa"/>
              <w:end w:w="70" w:type="dxa"/>
            </w:tcMar>
            <w:vAlign w:val="center"/>
          </w:tcPr>
          <w:p>
            <w:r>
              <w:rPr>
                <w:sz w:val="17"/>
              </w:rPr>
              <w:t>Majority-class prediction</w:t>
            </w:r>
          </w:p>
        </w:tc>
        <w:tc>
          <w:tcPr>
            <w:tcW w:type="dxa" w:w="4939"/>
            <w:tcMar>
              <w:top w:w="55" w:type="dxa"/>
              <w:start w:w="70" w:type="dxa"/>
              <w:bottom w:w="55" w:type="dxa"/>
              <w:end w:w="70" w:type="dxa"/>
            </w:tcMar>
            <w:vAlign w:val="center"/>
          </w:tcPr>
          <w:p>
            <w:r>
              <w:rPr>
                <w:sz w:val="17"/>
              </w:rPr>
              <w:t>Does the model add value beyond always predicting the most common class?</w:t>
            </w:r>
          </w:p>
        </w:tc>
      </w:tr>
      <w:tr>
        <w:tc>
          <w:tcPr>
            <w:tcW w:type="dxa" w:w="4939"/>
            <w:shd w:fill="F3F6F9"/>
            <w:tcMar>
              <w:top w:w="55" w:type="dxa"/>
              <w:start w:w="70" w:type="dxa"/>
              <w:bottom w:w="55" w:type="dxa"/>
              <w:end w:w="70" w:type="dxa"/>
            </w:tcMar>
            <w:vAlign w:val="center"/>
          </w:tcPr>
          <w:p>
            <w:r>
              <w:rPr>
                <w:sz w:val="17"/>
              </w:rPr>
              <w:t>Clinical deterministic rules</w:t>
            </w:r>
          </w:p>
        </w:tc>
        <w:tc>
          <w:tcPr>
            <w:tcW w:type="dxa" w:w="4939"/>
            <w:shd w:fill="F3F6F9"/>
            <w:tcMar>
              <w:top w:w="55" w:type="dxa"/>
              <w:start w:w="70" w:type="dxa"/>
              <w:bottom w:w="55" w:type="dxa"/>
              <w:end w:w="70" w:type="dxa"/>
            </w:tcMar>
            <w:vAlign w:val="center"/>
          </w:tcPr>
          <w:p>
            <w:r>
              <w:rPr>
                <w:sz w:val="17"/>
              </w:rPr>
              <w:t>How does learned evidence differ from the explicit knowledge engine?</w:t>
            </w:r>
          </w:p>
        </w:tc>
      </w:tr>
      <w:tr>
        <w:tc>
          <w:tcPr>
            <w:tcW w:type="dxa" w:w="4939"/>
            <w:tcMar>
              <w:top w:w="55" w:type="dxa"/>
              <w:start w:w="70" w:type="dxa"/>
              <w:bottom w:w="55" w:type="dxa"/>
              <w:end w:w="70" w:type="dxa"/>
            </w:tcMar>
            <w:vAlign w:val="center"/>
          </w:tcPr>
          <w:p>
            <w:r>
              <w:rPr>
                <w:sz w:val="17"/>
              </w:rPr>
              <w:t>Logistic regression</w:t>
            </w:r>
          </w:p>
        </w:tc>
        <w:tc>
          <w:tcPr>
            <w:tcW w:type="dxa" w:w="4939"/>
            <w:tcMar>
              <w:top w:w="55" w:type="dxa"/>
              <w:start w:w="70" w:type="dxa"/>
              <w:bottom w:w="55" w:type="dxa"/>
              <w:end w:w="70" w:type="dxa"/>
            </w:tcMar>
            <w:vAlign w:val="center"/>
          </w:tcPr>
          <w:p>
            <w:r>
              <w:rPr>
                <w:sz w:val="17"/>
              </w:rPr>
              <w:t>Does non-linearity materially improve discrimination?</w:t>
            </w:r>
          </w:p>
        </w:tc>
      </w:tr>
      <w:tr>
        <w:tc>
          <w:tcPr>
            <w:tcW w:type="dxa" w:w="4939"/>
            <w:shd w:fill="F3F6F9"/>
            <w:tcMar>
              <w:top w:w="55" w:type="dxa"/>
              <w:start w:w="70" w:type="dxa"/>
              <w:bottom w:w="55" w:type="dxa"/>
              <w:end w:w="70" w:type="dxa"/>
            </w:tcMar>
            <w:vAlign w:val="center"/>
          </w:tcPr>
          <w:p>
            <w:r>
              <w:rPr>
                <w:sz w:val="17"/>
              </w:rPr>
              <w:t>Single decision tree</w:t>
            </w:r>
          </w:p>
        </w:tc>
        <w:tc>
          <w:tcPr>
            <w:tcW w:type="dxa" w:w="4939"/>
            <w:shd w:fill="F3F6F9"/>
            <w:tcMar>
              <w:top w:w="55" w:type="dxa"/>
              <w:start w:w="70" w:type="dxa"/>
              <w:bottom w:w="55" w:type="dxa"/>
              <w:end w:w="70" w:type="dxa"/>
            </w:tcMar>
            <w:vAlign w:val="center"/>
          </w:tcPr>
          <w:p>
            <w:r>
              <w:rPr>
                <w:sz w:val="17"/>
              </w:rPr>
              <w:t>Does the ensemble improve stability and generalization?</w:t>
            </w:r>
          </w:p>
        </w:tc>
      </w:tr>
      <w:tr>
        <w:tc>
          <w:tcPr>
            <w:tcW w:type="dxa" w:w="4939"/>
            <w:tcMar>
              <w:top w:w="55" w:type="dxa"/>
              <w:start w:w="70" w:type="dxa"/>
              <w:bottom w:w="55" w:type="dxa"/>
              <w:end w:w="70" w:type="dxa"/>
            </w:tcMar>
            <w:vAlign w:val="center"/>
          </w:tcPr>
          <w:p>
            <w:r>
              <w:rPr>
                <w:sz w:val="17"/>
              </w:rPr>
              <w:t>Random Forest</w:t>
            </w:r>
          </w:p>
        </w:tc>
        <w:tc>
          <w:tcPr>
            <w:tcW w:type="dxa" w:w="4939"/>
            <w:tcMar>
              <w:top w:w="55" w:type="dxa"/>
              <w:start w:w="70" w:type="dxa"/>
              <w:bottom w:w="55" w:type="dxa"/>
              <w:end w:w="70" w:type="dxa"/>
            </w:tcMar>
            <w:vAlign w:val="center"/>
          </w:tcPr>
          <w:p>
            <w:r>
              <w:rPr>
                <w:sz w:val="17"/>
              </w:rPr>
              <w:t>Does the selected model provide the best justified balance of performance, stability, and implementability?</w:t>
            </w:r>
          </w:p>
        </w:tc>
      </w:tr>
    </w:tbl>
    <w:p/>
    <w:p>
      <w:pPr>
        <w:pStyle w:val="Heading1"/>
      </w:pPr>
      <w:r>
        <w:t>9. Hyperparameter Governance</w:t>
      </w:r>
    </w:p>
    <w:p>
      <w:r>
        <w:t>Hyperparameters control model capacity and must be treated as versioned design decisions. The project must not claim that values are optimal unless a documented search was performed exclusively on training and validation data.</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Parameter</w:t>
            </w:r>
          </w:p>
        </w:tc>
        <w:tc>
          <w:tcPr>
            <w:tcW w:type="dxa" w:w="3293"/>
            <w:shd w:fill="1F4E78"/>
          </w:tcPr>
          <w:p>
            <w:r>
              <w:rPr>
                <w:b/>
                <w:color w:val="FFFFFF"/>
                <w:sz w:val="18"/>
              </w:rPr>
              <w:t>Purpose</w:t>
            </w:r>
          </w:p>
        </w:tc>
        <w:tc>
          <w:tcPr>
            <w:tcW w:type="dxa" w:w="3293"/>
            <w:shd w:fill="1F4E78"/>
          </w:tcPr>
          <w:p>
            <w:r>
              <w:rPr>
                <w:b/>
                <w:color w:val="FFFFFF"/>
                <w:sz w:val="18"/>
              </w:rPr>
              <w:t>Governance expectation</w:t>
            </w:r>
          </w:p>
        </w:tc>
      </w:tr>
      <w:tr>
        <w:tc>
          <w:tcPr>
            <w:tcW w:type="dxa" w:w="3293"/>
            <w:tcMar>
              <w:top w:w="55" w:type="dxa"/>
              <w:start w:w="70" w:type="dxa"/>
              <w:bottom w:w="55" w:type="dxa"/>
              <w:end w:w="70" w:type="dxa"/>
            </w:tcMar>
            <w:vAlign w:val="center"/>
          </w:tcPr>
          <w:p>
            <w:r>
              <w:rPr>
                <w:sz w:val="17"/>
              </w:rPr>
              <w:t>n_estimators</w:t>
            </w:r>
          </w:p>
        </w:tc>
        <w:tc>
          <w:tcPr>
            <w:tcW w:type="dxa" w:w="3293"/>
            <w:tcMar>
              <w:top w:w="55" w:type="dxa"/>
              <w:start w:w="70" w:type="dxa"/>
              <w:bottom w:w="55" w:type="dxa"/>
              <w:end w:w="70" w:type="dxa"/>
            </w:tcMar>
            <w:vAlign w:val="center"/>
          </w:tcPr>
          <w:p>
            <w:r>
              <w:rPr>
                <w:sz w:val="17"/>
              </w:rPr>
              <w:t>Number of trees.</w:t>
            </w:r>
          </w:p>
        </w:tc>
        <w:tc>
          <w:tcPr>
            <w:tcW w:type="dxa" w:w="3293"/>
            <w:tcMar>
              <w:top w:w="55" w:type="dxa"/>
              <w:start w:w="70" w:type="dxa"/>
              <w:bottom w:w="55" w:type="dxa"/>
              <w:end w:w="70" w:type="dxa"/>
            </w:tcMar>
            <w:vAlign w:val="center"/>
          </w:tcPr>
          <w:p>
            <w:r>
              <w:rPr>
                <w:sz w:val="17"/>
              </w:rPr>
              <w:t>Record value; assess stability and computation.</w:t>
            </w:r>
          </w:p>
        </w:tc>
      </w:tr>
      <w:tr>
        <w:tc>
          <w:tcPr>
            <w:tcW w:type="dxa" w:w="3293"/>
            <w:shd w:fill="F3F6F9"/>
            <w:tcMar>
              <w:top w:w="55" w:type="dxa"/>
              <w:start w:w="70" w:type="dxa"/>
              <w:bottom w:w="55" w:type="dxa"/>
              <w:end w:w="70" w:type="dxa"/>
            </w:tcMar>
            <w:vAlign w:val="center"/>
          </w:tcPr>
          <w:p>
            <w:r>
              <w:rPr>
                <w:sz w:val="17"/>
              </w:rPr>
              <w:t>max_depth</w:t>
            </w:r>
          </w:p>
        </w:tc>
        <w:tc>
          <w:tcPr>
            <w:tcW w:type="dxa" w:w="3293"/>
            <w:shd w:fill="F3F6F9"/>
            <w:tcMar>
              <w:top w:w="55" w:type="dxa"/>
              <w:start w:w="70" w:type="dxa"/>
              <w:bottom w:w="55" w:type="dxa"/>
              <w:end w:w="70" w:type="dxa"/>
            </w:tcMar>
            <w:vAlign w:val="center"/>
          </w:tcPr>
          <w:p>
            <w:r>
              <w:rPr>
                <w:sz w:val="17"/>
              </w:rPr>
              <w:t>Maximum tree depth.</w:t>
            </w:r>
          </w:p>
        </w:tc>
        <w:tc>
          <w:tcPr>
            <w:tcW w:type="dxa" w:w="3293"/>
            <w:shd w:fill="F3F6F9"/>
            <w:tcMar>
              <w:top w:w="55" w:type="dxa"/>
              <w:start w:w="70" w:type="dxa"/>
              <w:bottom w:w="55" w:type="dxa"/>
              <w:end w:w="70" w:type="dxa"/>
            </w:tcMar>
            <w:vAlign w:val="center"/>
          </w:tcPr>
          <w:p>
            <w:r>
              <w:rPr>
                <w:sz w:val="17"/>
              </w:rPr>
              <w:t>Constrain if unrestricted trees overfit.</w:t>
            </w:r>
          </w:p>
        </w:tc>
      </w:tr>
      <w:tr>
        <w:tc>
          <w:tcPr>
            <w:tcW w:type="dxa" w:w="3293"/>
            <w:tcMar>
              <w:top w:w="55" w:type="dxa"/>
              <w:start w:w="70" w:type="dxa"/>
              <w:bottom w:w="55" w:type="dxa"/>
              <w:end w:w="70" w:type="dxa"/>
            </w:tcMar>
            <w:vAlign w:val="center"/>
          </w:tcPr>
          <w:p>
            <w:r>
              <w:rPr>
                <w:sz w:val="17"/>
              </w:rPr>
              <w:t>min_samples_split / leaf</w:t>
            </w:r>
          </w:p>
        </w:tc>
        <w:tc>
          <w:tcPr>
            <w:tcW w:type="dxa" w:w="3293"/>
            <w:tcMar>
              <w:top w:w="55" w:type="dxa"/>
              <w:start w:w="70" w:type="dxa"/>
              <w:bottom w:w="55" w:type="dxa"/>
              <w:end w:w="70" w:type="dxa"/>
            </w:tcMar>
            <w:vAlign w:val="center"/>
          </w:tcPr>
          <w:p>
            <w:r>
              <w:rPr>
                <w:sz w:val="17"/>
              </w:rPr>
              <w:t>Minimum observations for splits/leaves.</w:t>
            </w:r>
          </w:p>
        </w:tc>
        <w:tc>
          <w:tcPr>
            <w:tcW w:type="dxa" w:w="3293"/>
            <w:tcMar>
              <w:top w:w="55" w:type="dxa"/>
              <w:start w:w="70" w:type="dxa"/>
              <w:bottom w:w="55" w:type="dxa"/>
              <w:end w:w="70" w:type="dxa"/>
            </w:tcMar>
            <w:vAlign w:val="center"/>
          </w:tcPr>
          <w:p>
            <w:r>
              <w:rPr>
                <w:sz w:val="17"/>
              </w:rPr>
              <w:t>Use to control fragile small-sample rules.</w:t>
            </w:r>
          </w:p>
        </w:tc>
      </w:tr>
      <w:tr>
        <w:tc>
          <w:tcPr>
            <w:tcW w:type="dxa" w:w="3293"/>
            <w:shd w:fill="F3F6F9"/>
            <w:tcMar>
              <w:top w:w="55" w:type="dxa"/>
              <w:start w:w="70" w:type="dxa"/>
              <w:bottom w:w="55" w:type="dxa"/>
              <w:end w:w="70" w:type="dxa"/>
            </w:tcMar>
            <w:vAlign w:val="center"/>
          </w:tcPr>
          <w:p>
            <w:r>
              <w:rPr>
                <w:sz w:val="17"/>
              </w:rPr>
              <w:t>max_features</w:t>
            </w:r>
          </w:p>
        </w:tc>
        <w:tc>
          <w:tcPr>
            <w:tcW w:type="dxa" w:w="3293"/>
            <w:shd w:fill="F3F6F9"/>
            <w:tcMar>
              <w:top w:w="55" w:type="dxa"/>
              <w:start w:w="70" w:type="dxa"/>
              <w:bottom w:w="55" w:type="dxa"/>
              <w:end w:w="70" w:type="dxa"/>
            </w:tcMar>
            <w:vAlign w:val="center"/>
          </w:tcPr>
          <w:p>
            <w:r>
              <w:rPr>
                <w:sz w:val="17"/>
              </w:rPr>
              <w:t>Features considered per split.</w:t>
            </w:r>
          </w:p>
        </w:tc>
        <w:tc>
          <w:tcPr>
            <w:tcW w:type="dxa" w:w="3293"/>
            <w:shd w:fill="F3F6F9"/>
            <w:tcMar>
              <w:top w:w="55" w:type="dxa"/>
              <w:start w:w="70" w:type="dxa"/>
              <w:bottom w:w="55" w:type="dxa"/>
              <w:end w:w="70" w:type="dxa"/>
            </w:tcMar>
            <w:vAlign w:val="center"/>
          </w:tcPr>
          <w:p>
            <w:r>
              <w:rPr>
                <w:sz w:val="17"/>
              </w:rPr>
              <w:t>Record and justify.</w:t>
            </w:r>
          </w:p>
        </w:tc>
      </w:tr>
      <w:tr>
        <w:tc>
          <w:tcPr>
            <w:tcW w:type="dxa" w:w="3293"/>
            <w:tcMar>
              <w:top w:w="55" w:type="dxa"/>
              <w:start w:w="70" w:type="dxa"/>
              <w:bottom w:w="55" w:type="dxa"/>
              <w:end w:w="70" w:type="dxa"/>
            </w:tcMar>
            <w:vAlign w:val="center"/>
          </w:tcPr>
          <w:p>
            <w:r>
              <w:rPr>
                <w:sz w:val="17"/>
              </w:rPr>
              <w:t>class_weight</w:t>
            </w:r>
          </w:p>
        </w:tc>
        <w:tc>
          <w:tcPr>
            <w:tcW w:type="dxa" w:w="3293"/>
            <w:tcMar>
              <w:top w:w="55" w:type="dxa"/>
              <w:start w:w="70" w:type="dxa"/>
              <w:bottom w:w="55" w:type="dxa"/>
              <w:end w:w="70" w:type="dxa"/>
            </w:tcMar>
            <w:vAlign w:val="center"/>
          </w:tcPr>
          <w:p>
            <w:r>
              <w:rPr>
                <w:sz w:val="17"/>
              </w:rPr>
              <w:t>Relative class weighting.</w:t>
            </w:r>
          </w:p>
        </w:tc>
        <w:tc>
          <w:tcPr>
            <w:tcW w:type="dxa" w:w="3293"/>
            <w:tcMar>
              <w:top w:w="55" w:type="dxa"/>
              <w:start w:w="70" w:type="dxa"/>
              <w:bottom w:w="55" w:type="dxa"/>
              <w:end w:w="70" w:type="dxa"/>
            </w:tcMar>
            <w:vAlign w:val="center"/>
          </w:tcPr>
          <w:p>
            <w:r>
              <w:rPr>
                <w:sz w:val="17"/>
              </w:rPr>
              <w:t>Use only after class imbalance analysis.</w:t>
            </w:r>
          </w:p>
        </w:tc>
      </w:tr>
      <w:tr>
        <w:tc>
          <w:tcPr>
            <w:tcW w:type="dxa" w:w="3293"/>
            <w:shd w:fill="F3F6F9"/>
            <w:tcMar>
              <w:top w:w="55" w:type="dxa"/>
              <w:start w:w="70" w:type="dxa"/>
              <w:bottom w:w="55" w:type="dxa"/>
              <w:end w:w="70" w:type="dxa"/>
            </w:tcMar>
            <w:vAlign w:val="center"/>
          </w:tcPr>
          <w:p>
            <w:r>
              <w:rPr>
                <w:sz w:val="17"/>
              </w:rPr>
              <w:t>bootstrap</w:t>
            </w:r>
          </w:p>
        </w:tc>
        <w:tc>
          <w:tcPr>
            <w:tcW w:type="dxa" w:w="3293"/>
            <w:shd w:fill="F3F6F9"/>
            <w:tcMar>
              <w:top w:w="55" w:type="dxa"/>
              <w:start w:w="70" w:type="dxa"/>
              <w:bottom w:w="55" w:type="dxa"/>
              <w:end w:w="70" w:type="dxa"/>
            </w:tcMar>
            <w:vAlign w:val="center"/>
          </w:tcPr>
          <w:p>
            <w:r>
              <w:rPr>
                <w:sz w:val="17"/>
              </w:rPr>
              <w:t>Sampling strategy for trees.</w:t>
            </w:r>
          </w:p>
        </w:tc>
        <w:tc>
          <w:tcPr>
            <w:tcW w:type="dxa" w:w="3293"/>
            <w:shd w:fill="F3F6F9"/>
            <w:tcMar>
              <w:top w:w="55" w:type="dxa"/>
              <w:start w:w="70" w:type="dxa"/>
              <w:bottom w:w="55" w:type="dxa"/>
              <w:end w:w="70" w:type="dxa"/>
            </w:tcMar>
            <w:vAlign w:val="center"/>
          </w:tcPr>
          <w:p>
            <w:r>
              <w:rPr>
                <w:sz w:val="17"/>
              </w:rPr>
              <w:t>Record explicitly.</w:t>
            </w:r>
          </w:p>
        </w:tc>
      </w:tr>
      <w:tr>
        <w:tc>
          <w:tcPr>
            <w:tcW w:type="dxa" w:w="3293"/>
            <w:tcMar>
              <w:top w:w="55" w:type="dxa"/>
              <w:start w:w="70" w:type="dxa"/>
              <w:bottom w:w="55" w:type="dxa"/>
              <w:end w:w="70" w:type="dxa"/>
            </w:tcMar>
            <w:vAlign w:val="center"/>
          </w:tcPr>
          <w:p>
            <w:r>
              <w:rPr>
                <w:sz w:val="17"/>
              </w:rPr>
              <w:t>random_state</w:t>
            </w:r>
          </w:p>
        </w:tc>
        <w:tc>
          <w:tcPr>
            <w:tcW w:type="dxa" w:w="3293"/>
            <w:tcMar>
              <w:top w:w="55" w:type="dxa"/>
              <w:start w:w="70" w:type="dxa"/>
              <w:bottom w:w="55" w:type="dxa"/>
              <w:end w:w="70" w:type="dxa"/>
            </w:tcMar>
            <w:vAlign w:val="center"/>
          </w:tcPr>
          <w:p>
            <w:r>
              <w:rPr>
                <w:sz w:val="17"/>
              </w:rPr>
              <w:t>Reproducibility seed.</w:t>
            </w:r>
          </w:p>
        </w:tc>
        <w:tc>
          <w:tcPr>
            <w:tcW w:type="dxa" w:w="3293"/>
            <w:tcMar>
              <w:top w:w="55" w:type="dxa"/>
              <w:start w:w="70" w:type="dxa"/>
              <w:bottom w:w="55" w:type="dxa"/>
              <w:end w:w="70" w:type="dxa"/>
            </w:tcMar>
            <w:vAlign w:val="center"/>
          </w:tcPr>
          <w:p>
            <w:r>
              <w:rPr>
                <w:sz w:val="17"/>
              </w:rPr>
              <w:t>Fix and preserve in the model manifest.</w:t>
            </w:r>
          </w:p>
        </w:tc>
      </w:tr>
      <w:tr>
        <w:tc>
          <w:tcPr>
            <w:tcW w:type="dxa" w:w="3293"/>
            <w:shd w:fill="F3F6F9"/>
            <w:tcMar>
              <w:top w:w="55" w:type="dxa"/>
              <w:start w:w="70" w:type="dxa"/>
              <w:bottom w:w="55" w:type="dxa"/>
              <w:end w:w="70" w:type="dxa"/>
            </w:tcMar>
            <w:vAlign w:val="center"/>
          </w:tcPr>
          <w:p>
            <w:r>
              <w:rPr>
                <w:sz w:val="17"/>
              </w:rPr>
              <w:t>n_jobs</w:t>
            </w:r>
          </w:p>
        </w:tc>
        <w:tc>
          <w:tcPr>
            <w:tcW w:type="dxa" w:w="3293"/>
            <w:shd w:fill="F3F6F9"/>
            <w:tcMar>
              <w:top w:w="55" w:type="dxa"/>
              <w:start w:w="70" w:type="dxa"/>
              <w:bottom w:w="55" w:type="dxa"/>
              <w:end w:w="70" w:type="dxa"/>
            </w:tcMar>
            <w:vAlign w:val="center"/>
          </w:tcPr>
          <w:p>
            <w:r>
              <w:rPr>
                <w:sz w:val="17"/>
              </w:rPr>
              <w:t>Parallel execution.</w:t>
            </w:r>
          </w:p>
        </w:tc>
        <w:tc>
          <w:tcPr>
            <w:tcW w:type="dxa" w:w="3293"/>
            <w:shd w:fill="F3F6F9"/>
            <w:tcMar>
              <w:top w:w="55" w:type="dxa"/>
              <w:start w:w="70" w:type="dxa"/>
              <w:bottom w:w="55" w:type="dxa"/>
              <w:end w:w="70" w:type="dxa"/>
            </w:tcMar>
            <w:vAlign w:val="center"/>
          </w:tcPr>
          <w:p>
            <w:r>
              <w:rPr>
                <w:sz w:val="17"/>
              </w:rPr>
              <w:t>Operational setting; should not change predictions.</w:t>
            </w:r>
          </w:p>
        </w:tc>
      </w:tr>
    </w:tbl>
    <w:p/>
    <w:p>
      <w:pPr>
        <w:pStyle w:val="Heading1"/>
      </w:pPr>
      <w:r>
        <w:t>10. Development Data Separation and Leakage Controls</w:t>
      </w:r>
    </w:p>
    <w:p>
      <w:r>
        <w:t>Model development must use patient-level separation. Records from one pregnancy or patient must not be divided across training and test sets when that would allow highly similar observations to appear in both. Preprocessing, imputation, feature selection, and hyperparameter tuning must be fitted using training data only.</w:t>
      </w:r>
    </w:p>
    <w:p>
      <w:pPr>
        <w:pStyle w:val="ListBullet"/>
      </w:pPr>
      <w:r>
        <w:t>Split by patient or pregnancy identifier before model fitting.</w:t>
      </w:r>
    </w:p>
    <w:p>
      <w:pPr>
        <w:pStyle w:val="ListBullet"/>
      </w:pPr>
      <w:r>
        <w:t>Fit encoders, imputers, and selectors inside a pipeline on training folds.</w:t>
      </w:r>
    </w:p>
    <w:p>
      <w:pPr>
        <w:pStyle w:val="ListBullet"/>
      </w:pPr>
      <w:r>
        <w:t>Keep the final test set untouched until the model specification is frozen.</w:t>
      </w:r>
    </w:p>
    <w:p>
      <w:pPr>
        <w:pStyle w:val="ListBullet"/>
      </w:pPr>
      <w:r>
        <w:t>Exclude post-outcome or referral-result information that would not exist at prediction time.</w:t>
      </w:r>
    </w:p>
    <w:p>
      <w:pPr>
        <w:pStyle w:val="ListBullet"/>
      </w:pPr>
      <w:r>
        <w:t>Document all removed leakage variables and the reason for removal.</w:t>
      </w:r>
    </w:p>
    <w:p>
      <w:pPr>
        <w:pStyle w:val="Heading1"/>
      </w:pPr>
      <w:r>
        <w:t>11. Model Construction Workflow</w:t>
      </w:r>
    </w:p>
    <w:p>
      <w:pPr>
        <w:pStyle w:val="ListNumber"/>
      </w:pPr>
      <w:r>
        <w:t>Freeze the dataset release and data dictionary.</w:t>
      </w:r>
    </w:p>
    <w:p>
      <w:pPr>
        <w:pStyle w:val="ListNumber"/>
      </w:pPr>
      <w:r>
        <w:t>Create patient-level development, validation, and independent test partitions.</w:t>
      </w:r>
    </w:p>
    <w:p>
      <w:pPr>
        <w:pStyle w:val="ListNumber"/>
      </w:pPr>
      <w:r>
        <w:t>Fit the approved preprocessing pipeline on development data only.</w:t>
      </w:r>
    </w:p>
    <w:p>
      <w:pPr>
        <w:pStyle w:val="ListNumber"/>
      </w:pPr>
      <w:r>
        <w:t>Train baseline models using documented configurations.</w:t>
      </w:r>
    </w:p>
    <w:p>
      <w:pPr>
        <w:pStyle w:val="ListNumber"/>
      </w:pPr>
      <w:r>
        <w:t>Train candidate Random Forest configurations within the tuning boundary.</w:t>
      </w:r>
    </w:p>
    <w:p>
      <w:pPr>
        <w:pStyle w:val="ListNumber"/>
      </w:pPr>
      <w:r>
        <w:t>Compare candidates using clinically relevant metrics and error review.</w:t>
      </w:r>
    </w:p>
    <w:p>
      <w:pPr>
        <w:pStyle w:val="ListNumber"/>
      </w:pPr>
      <w:r>
        <w:t>Freeze the selected pipeline and decision threshold.</w:t>
      </w:r>
    </w:p>
    <w:p>
      <w:pPr>
        <w:pStyle w:val="ListNumber"/>
      </w:pPr>
      <w:r>
        <w:t>Evaluate once on the independent test set.</w:t>
      </w:r>
    </w:p>
    <w:p>
      <w:pPr>
        <w:pStyle w:val="ListNumber"/>
      </w:pPr>
      <w:r>
        <w:t>Create the model card, manifest, integrity hash, and release notes.</w:t>
      </w:r>
    </w:p>
    <w:p>
      <w:pPr>
        <w:pStyle w:val="ListNumber"/>
      </w:pPr>
      <w:r>
        <w:t>Run integration and safety tests before enabling the artifact.</w:t>
      </w:r>
    </w:p>
    <w:p>
      <w:pPr>
        <w:pStyle w:val="Heading1"/>
      </w:pPr>
      <w:r>
        <w:t>12. Performance Objectives During Development</w:t>
      </w:r>
    </w:p>
    <w:p>
      <w:r>
        <w:t>The model should be evaluated using multiple metrics. In a safety-oriented risk screen, false LOW predictions deserve special attention because they may create false reassurance. Nevertheless, the correct operating point depends on the model's advisory role, class distribution, referral workflow, and consequences of unnecessary referral.</w:t>
      </w:r>
    </w:p>
    <w:tbl>
      <w:tblPr>
        <w:tblStyle w:val="TableGrid"/>
        <w:tblW w:type="auto" w:w="0"/>
        <w:jc w:val="center"/>
        <w:tblLook w:firstColumn="1" w:firstRow="1" w:lastColumn="0" w:lastRow="0" w:noHBand="0" w:noVBand="1" w:val="04A0"/>
      </w:tblPr>
      <w:tblGrid>
        <w:gridCol w:w="3293"/>
        <w:gridCol w:w="3293"/>
        <w:gridCol w:w="3293"/>
      </w:tblGrid>
      <w:tr>
        <w:trPr>
          <w:tblHeader w:val="true"/>
        </w:trPr>
        <w:tc>
          <w:tcPr>
            <w:tcW w:type="dxa" w:w="3293"/>
            <w:shd w:fill="1F4E78"/>
          </w:tcPr>
          <w:p>
            <w:r>
              <w:rPr>
                <w:b/>
                <w:color w:val="FFFFFF"/>
                <w:sz w:val="18"/>
              </w:rPr>
              <w:t>Measure</w:t>
            </w:r>
          </w:p>
        </w:tc>
        <w:tc>
          <w:tcPr>
            <w:tcW w:type="dxa" w:w="3293"/>
            <w:shd w:fill="1F4E78"/>
          </w:tcPr>
          <w:p>
            <w:r>
              <w:rPr>
                <w:b/>
                <w:color w:val="FFFFFF"/>
                <w:sz w:val="18"/>
              </w:rPr>
              <w:t>Why it matters</w:t>
            </w:r>
          </w:p>
        </w:tc>
        <w:tc>
          <w:tcPr>
            <w:tcW w:type="dxa" w:w="3293"/>
            <w:shd w:fill="1F4E78"/>
          </w:tcPr>
          <w:p>
            <w:r>
              <w:rPr>
                <w:b/>
                <w:color w:val="FFFFFF"/>
                <w:sz w:val="18"/>
              </w:rPr>
              <w:t>Interpretation caution</w:t>
            </w:r>
          </w:p>
        </w:tc>
      </w:tr>
      <w:tr>
        <w:tc>
          <w:tcPr>
            <w:tcW w:type="dxa" w:w="3293"/>
            <w:tcMar>
              <w:top w:w="55" w:type="dxa"/>
              <w:start w:w="70" w:type="dxa"/>
              <w:bottom w:w="55" w:type="dxa"/>
              <w:end w:w="70" w:type="dxa"/>
            </w:tcMar>
            <w:vAlign w:val="center"/>
          </w:tcPr>
          <w:p>
            <w:r>
              <w:rPr>
                <w:sz w:val="17"/>
              </w:rPr>
              <w:t>Sensitivity / recall for HIGH</w:t>
            </w:r>
          </w:p>
        </w:tc>
        <w:tc>
          <w:tcPr>
            <w:tcW w:type="dxa" w:w="3293"/>
            <w:tcMar>
              <w:top w:w="55" w:type="dxa"/>
              <w:start w:w="70" w:type="dxa"/>
              <w:bottom w:w="55" w:type="dxa"/>
              <w:end w:w="70" w:type="dxa"/>
            </w:tcMar>
            <w:vAlign w:val="center"/>
          </w:tcPr>
          <w:p>
            <w:r>
              <w:rPr>
                <w:sz w:val="17"/>
              </w:rPr>
              <w:t>Ability to identify labeled HIGH records.</w:t>
            </w:r>
          </w:p>
        </w:tc>
        <w:tc>
          <w:tcPr>
            <w:tcW w:type="dxa" w:w="3293"/>
            <w:tcMar>
              <w:top w:w="55" w:type="dxa"/>
              <w:start w:w="70" w:type="dxa"/>
              <w:bottom w:w="55" w:type="dxa"/>
              <w:end w:w="70" w:type="dxa"/>
            </w:tcMar>
            <w:vAlign w:val="center"/>
          </w:tcPr>
          <w:p>
            <w:r>
              <w:rPr>
                <w:sz w:val="17"/>
              </w:rPr>
              <w:t>Must be reported with confidence intervals where feasible.</w:t>
            </w:r>
          </w:p>
        </w:tc>
      </w:tr>
      <w:tr>
        <w:tc>
          <w:tcPr>
            <w:tcW w:type="dxa" w:w="3293"/>
            <w:shd w:fill="F3F6F9"/>
            <w:tcMar>
              <w:top w:w="55" w:type="dxa"/>
              <w:start w:w="70" w:type="dxa"/>
              <w:bottom w:w="55" w:type="dxa"/>
              <w:end w:w="70" w:type="dxa"/>
            </w:tcMar>
            <w:vAlign w:val="center"/>
          </w:tcPr>
          <w:p>
            <w:r>
              <w:rPr>
                <w:sz w:val="17"/>
              </w:rPr>
              <w:t>Specificity</w:t>
            </w:r>
          </w:p>
        </w:tc>
        <w:tc>
          <w:tcPr>
            <w:tcW w:type="dxa" w:w="3293"/>
            <w:shd w:fill="F3F6F9"/>
            <w:tcMar>
              <w:top w:w="55" w:type="dxa"/>
              <w:start w:w="70" w:type="dxa"/>
              <w:bottom w:w="55" w:type="dxa"/>
              <w:end w:w="70" w:type="dxa"/>
            </w:tcMar>
            <w:vAlign w:val="center"/>
          </w:tcPr>
          <w:p>
            <w:r>
              <w:rPr>
                <w:sz w:val="17"/>
              </w:rPr>
              <w:t>Ability to avoid unnecessary HIGH signals.</w:t>
            </w:r>
          </w:p>
        </w:tc>
        <w:tc>
          <w:tcPr>
            <w:tcW w:type="dxa" w:w="3293"/>
            <w:shd w:fill="F3F6F9"/>
            <w:tcMar>
              <w:top w:w="55" w:type="dxa"/>
              <w:start w:w="70" w:type="dxa"/>
              <w:bottom w:w="55" w:type="dxa"/>
              <w:end w:w="70" w:type="dxa"/>
            </w:tcMar>
            <w:vAlign w:val="center"/>
          </w:tcPr>
          <w:p>
            <w:r>
              <w:rPr>
                <w:sz w:val="17"/>
              </w:rPr>
              <w:t>Not a reason to sacrifice safety without clinical review.</w:t>
            </w:r>
          </w:p>
        </w:tc>
      </w:tr>
      <w:tr>
        <w:tc>
          <w:tcPr>
            <w:tcW w:type="dxa" w:w="3293"/>
            <w:tcMar>
              <w:top w:w="55" w:type="dxa"/>
              <w:start w:w="70" w:type="dxa"/>
              <w:bottom w:w="55" w:type="dxa"/>
              <w:end w:w="70" w:type="dxa"/>
            </w:tcMar>
            <w:vAlign w:val="center"/>
          </w:tcPr>
          <w:p>
            <w:r>
              <w:rPr>
                <w:sz w:val="17"/>
              </w:rPr>
              <w:t>Precision / PPV</w:t>
            </w:r>
          </w:p>
        </w:tc>
        <w:tc>
          <w:tcPr>
            <w:tcW w:type="dxa" w:w="3293"/>
            <w:tcMar>
              <w:top w:w="55" w:type="dxa"/>
              <w:start w:w="70" w:type="dxa"/>
              <w:bottom w:w="55" w:type="dxa"/>
              <w:end w:w="70" w:type="dxa"/>
            </w:tcMar>
            <w:vAlign w:val="center"/>
          </w:tcPr>
          <w:p>
            <w:r>
              <w:rPr>
                <w:sz w:val="17"/>
              </w:rPr>
              <w:t>Proportion of predicted HIGH records labeled HIGH.</w:t>
            </w:r>
          </w:p>
        </w:tc>
        <w:tc>
          <w:tcPr>
            <w:tcW w:type="dxa" w:w="3293"/>
            <w:tcMar>
              <w:top w:w="55" w:type="dxa"/>
              <w:start w:w="70" w:type="dxa"/>
              <w:bottom w:w="55" w:type="dxa"/>
              <w:end w:w="70" w:type="dxa"/>
            </w:tcMar>
            <w:vAlign w:val="center"/>
          </w:tcPr>
          <w:p>
            <w:r>
              <w:rPr>
                <w:sz w:val="17"/>
              </w:rPr>
              <w:t>Strongly affected by prevalence.</w:t>
            </w:r>
          </w:p>
        </w:tc>
      </w:tr>
      <w:tr>
        <w:tc>
          <w:tcPr>
            <w:tcW w:type="dxa" w:w="3293"/>
            <w:shd w:fill="F3F6F9"/>
            <w:tcMar>
              <w:top w:w="55" w:type="dxa"/>
              <w:start w:w="70" w:type="dxa"/>
              <w:bottom w:w="55" w:type="dxa"/>
              <w:end w:w="70" w:type="dxa"/>
            </w:tcMar>
            <w:vAlign w:val="center"/>
          </w:tcPr>
          <w:p>
            <w:r>
              <w:rPr>
                <w:sz w:val="17"/>
              </w:rPr>
              <w:t>NPV</w:t>
            </w:r>
          </w:p>
        </w:tc>
        <w:tc>
          <w:tcPr>
            <w:tcW w:type="dxa" w:w="3293"/>
            <w:shd w:fill="F3F6F9"/>
            <w:tcMar>
              <w:top w:w="55" w:type="dxa"/>
              <w:start w:w="70" w:type="dxa"/>
              <w:bottom w:w="55" w:type="dxa"/>
              <w:end w:w="70" w:type="dxa"/>
            </w:tcMar>
            <w:vAlign w:val="center"/>
          </w:tcPr>
          <w:p>
            <w:r>
              <w:rPr>
                <w:sz w:val="17"/>
              </w:rPr>
              <w:t>Proportion of predicted LOW records labeled LOW.</w:t>
            </w:r>
          </w:p>
        </w:tc>
        <w:tc>
          <w:tcPr>
            <w:tcW w:type="dxa" w:w="3293"/>
            <w:shd w:fill="F3F6F9"/>
            <w:tcMar>
              <w:top w:w="55" w:type="dxa"/>
              <w:start w:w="70" w:type="dxa"/>
              <w:bottom w:w="55" w:type="dxa"/>
              <w:end w:w="70" w:type="dxa"/>
            </w:tcMar>
            <w:vAlign w:val="center"/>
          </w:tcPr>
          <w:p>
            <w:r>
              <w:rPr>
                <w:sz w:val="17"/>
              </w:rPr>
              <w:t>Strongly affected by prevalence.</w:t>
            </w:r>
          </w:p>
        </w:tc>
      </w:tr>
      <w:tr>
        <w:tc>
          <w:tcPr>
            <w:tcW w:type="dxa" w:w="3293"/>
            <w:tcMar>
              <w:top w:w="55" w:type="dxa"/>
              <w:start w:w="70" w:type="dxa"/>
              <w:bottom w:w="55" w:type="dxa"/>
              <w:end w:w="70" w:type="dxa"/>
            </w:tcMar>
            <w:vAlign w:val="center"/>
          </w:tcPr>
          <w:p>
            <w:r>
              <w:rPr>
                <w:sz w:val="17"/>
              </w:rPr>
              <w:t>F1 score</w:t>
            </w:r>
          </w:p>
        </w:tc>
        <w:tc>
          <w:tcPr>
            <w:tcW w:type="dxa" w:w="3293"/>
            <w:tcMar>
              <w:top w:w="55" w:type="dxa"/>
              <w:start w:w="70" w:type="dxa"/>
              <w:bottom w:w="55" w:type="dxa"/>
              <w:end w:w="70" w:type="dxa"/>
            </w:tcMar>
            <w:vAlign w:val="center"/>
          </w:tcPr>
          <w:p>
            <w:r>
              <w:rPr>
                <w:sz w:val="17"/>
              </w:rPr>
              <w:t>Balances precision and recall.</w:t>
            </w:r>
          </w:p>
        </w:tc>
        <w:tc>
          <w:tcPr>
            <w:tcW w:type="dxa" w:w="3293"/>
            <w:tcMar>
              <w:top w:w="55" w:type="dxa"/>
              <w:start w:w="70" w:type="dxa"/>
              <w:bottom w:w="55" w:type="dxa"/>
              <w:end w:w="70" w:type="dxa"/>
            </w:tcMar>
            <w:vAlign w:val="center"/>
          </w:tcPr>
          <w:p>
            <w:r>
              <w:rPr>
                <w:sz w:val="17"/>
              </w:rPr>
              <w:t>Can hide different clinical costs.</w:t>
            </w:r>
          </w:p>
        </w:tc>
      </w:tr>
      <w:tr>
        <w:tc>
          <w:tcPr>
            <w:tcW w:type="dxa" w:w="3293"/>
            <w:shd w:fill="F3F6F9"/>
            <w:tcMar>
              <w:top w:w="55" w:type="dxa"/>
              <w:start w:w="70" w:type="dxa"/>
              <w:bottom w:w="55" w:type="dxa"/>
              <w:end w:w="70" w:type="dxa"/>
            </w:tcMar>
            <w:vAlign w:val="center"/>
          </w:tcPr>
          <w:p>
            <w:r>
              <w:rPr>
                <w:sz w:val="17"/>
              </w:rPr>
              <w:t>ROC-AUC</w:t>
            </w:r>
          </w:p>
        </w:tc>
        <w:tc>
          <w:tcPr>
            <w:tcW w:type="dxa" w:w="3293"/>
            <w:shd w:fill="F3F6F9"/>
            <w:tcMar>
              <w:top w:w="55" w:type="dxa"/>
              <w:start w:w="70" w:type="dxa"/>
              <w:bottom w:w="55" w:type="dxa"/>
              <w:end w:w="70" w:type="dxa"/>
            </w:tcMar>
            <w:vAlign w:val="center"/>
          </w:tcPr>
          <w:p>
            <w:r>
              <w:rPr>
                <w:sz w:val="17"/>
              </w:rPr>
              <w:t>Ranking discrimination across thresholds.</w:t>
            </w:r>
          </w:p>
        </w:tc>
        <w:tc>
          <w:tcPr>
            <w:tcW w:type="dxa" w:w="3293"/>
            <w:shd w:fill="F3F6F9"/>
            <w:tcMar>
              <w:top w:w="55" w:type="dxa"/>
              <w:start w:w="70" w:type="dxa"/>
              <w:bottom w:w="55" w:type="dxa"/>
              <w:end w:w="70" w:type="dxa"/>
            </w:tcMar>
            <w:vAlign w:val="center"/>
          </w:tcPr>
          <w:p>
            <w:r>
              <w:rPr>
                <w:sz w:val="17"/>
              </w:rPr>
              <w:t>May look optimistic under imbalance.</w:t>
            </w:r>
          </w:p>
        </w:tc>
      </w:tr>
      <w:tr>
        <w:tc>
          <w:tcPr>
            <w:tcW w:type="dxa" w:w="3293"/>
            <w:tcMar>
              <w:top w:w="55" w:type="dxa"/>
              <w:start w:w="70" w:type="dxa"/>
              <w:bottom w:w="55" w:type="dxa"/>
              <w:end w:w="70" w:type="dxa"/>
            </w:tcMar>
            <w:vAlign w:val="center"/>
          </w:tcPr>
          <w:p>
            <w:r>
              <w:rPr>
                <w:sz w:val="17"/>
              </w:rPr>
              <w:t>PR-AUC</w:t>
            </w:r>
          </w:p>
        </w:tc>
        <w:tc>
          <w:tcPr>
            <w:tcW w:type="dxa" w:w="3293"/>
            <w:tcMar>
              <w:top w:w="55" w:type="dxa"/>
              <w:start w:w="70" w:type="dxa"/>
              <w:bottom w:w="55" w:type="dxa"/>
              <w:end w:w="70" w:type="dxa"/>
            </w:tcMar>
            <w:vAlign w:val="center"/>
          </w:tcPr>
          <w:p>
            <w:r>
              <w:rPr>
                <w:sz w:val="17"/>
              </w:rPr>
              <w:t>Focuses on positive-class retrieval.</w:t>
            </w:r>
          </w:p>
        </w:tc>
        <w:tc>
          <w:tcPr>
            <w:tcW w:type="dxa" w:w="3293"/>
            <w:tcMar>
              <w:top w:w="55" w:type="dxa"/>
              <w:start w:w="70" w:type="dxa"/>
              <w:bottom w:w="55" w:type="dxa"/>
              <w:end w:w="70" w:type="dxa"/>
            </w:tcMar>
            <w:vAlign w:val="center"/>
          </w:tcPr>
          <w:p>
            <w:r>
              <w:rPr>
                <w:sz w:val="17"/>
              </w:rPr>
              <w:t>Depends on class prevalence.</w:t>
            </w:r>
          </w:p>
        </w:tc>
      </w:tr>
      <w:tr>
        <w:tc>
          <w:tcPr>
            <w:tcW w:type="dxa" w:w="3293"/>
            <w:shd w:fill="F3F6F9"/>
            <w:tcMar>
              <w:top w:w="55" w:type="dxa"/>
              <w:start w:w="70" w:type="dxa"/>
              <w:bottom w:w="55" w:type="dxa"/>
              <w:end w:w="70" w:type="dxa"/>
            </w:tcMar>
            <w:vAlign w:val="center"/>
          </w:tcPr>
          <w:p>
            <w:r>
              <w:rPr>
                <w:sz w:val="17"/>
              </w:rPr>
              <w:t>Calibration</w:t>
            </w:r>
          </w:p>
        </w:tc>
        <w:tc>
          <w:tcPr>
            <w:tcW w:type="dxa" w:w="3293"/>
            <w:shd w:fill="F3F6F9"/>
            <w:tcMar>
              <w:top w:w="55" w:type="dxa"/>
              <w:start w:w="70" w:type="dxa"/>
              <w:bottom w:w="55" w:type="dxa"/>
              <w:end w:w="70" w:type="dxa"/>
            </w:tcMar>
            <w:vAlign w:val="center"/>
          </w:tcPr>
          <w:p>
            <w:r>
              <w:rPr>
                <w:sz w:val="17"/>
              </w:rPr>
              <w:t>Agreement between scores and observed frequency.</w:t>
            </w:r>
          </w:p>
        </w:tc>
        <w:tc>
          <w:tcPr>
            <w:tcW w:type="dxa" w:w="3293"/>
            <w:shd w:fill="F3F6F9"/>
            <w:tcMar>
              <w:top w:w="55" w:type="dxa"/>
              <w:start w:w="70" w:type="dxa"/>
              <w:bottom w:w="55" w:type="dxa"/>
              <w:end w:w="70" w:type="dxa"/>
            </w:tcMar>
            <w:vAlign w:val="center"/>
          </w:tcPr>
          <w:p>
            <w:r>
              <w:rPr>
                <w:sz w:val="17"/>
              </w:rPr>
              <w:t>Required before treating probability as meaningful.</w:t>
            </w:r>
          </w:p>
        </w:tc>
      </w:tr>
    </w:tbl>
    <w:p/>
    <w:p>
      <w:pPr>
        <w:pStyle w:val="Heading1"/>
      </w:pPr>
      <w:r>
        <w:t>13. Threshold and Probability Policy</w:t>
      </w:r>
    </w:p>
    <w:p>
      <w:r>
        <w:t>The current implementation contract uses class labels rather than a clinician-facing probability. If a probability or confidence score is produced internally, it must not be presented as a percentage chance of harm unless the score has been calibrated and validated for that interpretation. Any non-default threshold must be selected using validation data and documented with its trade-offs.</w:t>
      </w:r>
    </w:p>
    <w:p>
      <w:r>
        <w:t>The deterministic decision engine remains able to force HIGH regardless of the learned label. Conversely, the model cannot force LOW when emergency or explicit rule-based evidence is present.</w:t>
      </w:r>
    </w:p>
    <w:p>
      <w:pPr>
        <w:pStyle w:val="Heading1"/>
      </w:pPr>
      <w:r>
        <w:t>14. Interpretability and Explanation Requirements</w:t>
      </w:r>
    </w:p>
    <w:p>
      <w:r>
        <w:t>Random Forest explanations must be designed to help users understand the system's evidence, not to imply causality. Global importance may support developer review; local explanation may support case review only if it is stable, understandable, and aligned with the exact deployed pipeline.</w:t>
      </w:r>
    </w:p>
    <w:p>
      <w:pPr>
        <w:pStyle w:val="ListBullet"/>
      </w:pPr>
      <w:r>
        <w:t>Display the deterministic clinical factors that determined the final result before any ML explanation.</w:t>
      </w:r>
    </w:p>
    <w:p>
      <w:pPr>
        <w:pStyle w:val="ListBullet"/>
      </w:pPr>
      <w:r>
        <w:t>Describe the ML result as supportive evidence, not a diagnosis.</w:t>
      </w:r>
    </w:p>
    <w:p>
      <w:pPr>
        <w:pStyle w:val="ListBullet"/>
      </w:pPr>
      <w:r>
        <w:t>Do not use raw impurity-based importance as the sole explanation.</w:t>
      </w:r>
    </w:p>
    <w:p>
      <w:pPr>
        <w:pStyle w:val="ListBullet"/>
      </w:pPr>
      <w:r>
        <w:t>Test explanation stability across repeated fits and nearby records.</w:t>
      </w:r>
    </w:p>
    <w:p>
      <w:pPr>
        <w:pStyle w:val="ListBullet"/>
      </w:pPr>
      <w:r>
        <w:t>Store the model version and explanation method with the assessment audit record.</w:t>
      </w:r>
    </w:p>
    <w:p>
      <w:pPr>
        <w:pStyle w:val="Heading1"/>
      </w:pPr>
      <w:r>
        <w:t>15. Robustness, Bias, and Subgroup Review</w:t>
      </w:r>
    </w:p>
    <w:p>
      <w:r>
        <w:t>Development review must examine whether performance is materially different across clinically and operationally relevant groups that are adequately represented, such as age bands, first pregnancy status, and records with or without particular conditions. Small subgroup counts must be disclosed rather than converted into confident claims.</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Risk</w:t>
            </w:r>
          </w:p>
        </w:tc>
        <w:tc>
          <w:tcPr>
            <w:tcW w:type="dxa" w:w="4939"/>
            <w:shd w:fill="1F4E78"/>
          </w:tcPr>
          <w:p>
            <w:r>
              <w:rPr>
                <w:b/>
                <w:color w:val="FFFFFF"/>
                <w:sz w:val="18"/>
              </w:rPr>
              <w:t>Required review</w:t>
            </w:r>
          </w:p>
        </w:tc>
      </w:tr>
      <w:tr>
        <w:tc>
          <w:tcPr>
            <w:tcW w:type="dxa" w:w="4939"/>
            <w:tcMar>
              <w:top w:w="55" w:type="dxa"/>
              <w:start w:w="70" w:type="dxa"/>
              <w:bottom w:w="55" w:type="dxa"/>
              <w:end w:w="70" w:type="dxa"/>
            </w:tcMar>
            <w:vAlign w:val="center"/>
          </w:tcPr>
          <w:p>
            <w:r>
              <w:rPr>
                <w:sz w:val="17"/>
              </w:rPr>
              <w:t>Class imbalance</w:t>
            </w:r>
          </w:p>
        </w:tc>
        <w:tc>
          <w:tcPr>
            <w:tcW w:type="dxa" w:w="4939"/>
            <w:tcMar>
              <w:top w:w="55" w:type="dxa"/>
              <w:start w:w="70" w:type="dxa"/>
              <w:bottom w:w="55" w:type="dxa"/>
              <w:end w:w="70" w:type="dxa"/>
            </w:tcMar>
            <w:vAlign w:val="center"/>
          </w:tcPr>
          <w:p>
            <w:r>
              <w:rPr>
                <w:sz w:val="17"/>
              </w:rPr>
              <w:t>Report prevalence, confusion matrix, and class-specific metrics.</w:t>
            </w:r>
          </w:p>
        </w:tc>
      </w:tr>
      <w:tr>
        <w:tc>
          <w:tcPr>
            <w:tcW w:type="dxa" w:w="4939"/>
            <w:shd w:fill="F3F6F9"/>
            <w:tcMar>
              <w:top w:w="55" w:type="dxa"/>
              <w:start w:w="70" w:type="dxa"/>
              <w:bottom w:w="55" w:type="dxa"/>
              <w:end w:w="70" w:type="dxa"/>
            </w:tcMar>
            <w:vAlign w:val="center"/>
          </w:tcPr>
          <w:p>
            <w:r>
              <w:rPr>
                <w:sz w:val="17"/>
              </w:rPr>
              <w:t>Underrepresented subgroup</w:t>
            </w:r>
          </w:p>
        </w:tc>
        <w:tc>
          <w:tcPr>
            <w:tcW w:type="dxa" w:w="4939"/>
            <w:shd w:fill="F3F6F9"/>
            <w:tcMar>
              <w:top w:w="55" w:type="dxa"/>
              <w:start w:w="70" w:type="dxa"/>
              <w:bottom w:w="55" w:type="dxa"/>
              <w:end w:w="70" w:type="dxa"/>
            </w:tcMar>
            <w:vAlign w:val="center"/>
          </w:tcPr>
          <w:p>
            <w:r>
              <w:rPr>
                <w:sz w:val="17"/>
              </w:rPr>
              <w:t>Report counts and uncertainty; avoid unsupported generalization.</w:t>
            </w:r>
          </w:p>
        </w:tc>
      </w:tr>
      <w:tr>
        <w:tc>
          <w:tcPr>
            <w:tcW w:type="dxa" w:w="4939"/>
            <w:tcMar>
              <w:top w:w="55" w:type="dxa"/>
              <w:start w:w="70" w:type="dxa"/>
              <w:bottom w:w="55" w:type="dxa"/>
              <w:end w:w="70" w:type="dxa"/>
            </w:tcMar>
            <w:vAlign w:val="center"/>
          </w:tcPr>
          <w:p>
            <w:r>
              <w:rPr>
                <w:sz w:val="17"/>
              </w:rPr>
              <w:t>Site-specific workflow</w:t>
            </w:r>
          </w:p>
        </w:tc>
        <w:tc>
          <w:tcPr>
            <w:tcW w:type="dxa" w:w="4939"/>
            <w:tcMar>
              <w:top w:w="55" w:type="dxa"/>
              <w:start w:w="70" w:type="dxa"/>
              <w:bottom w:w="55" w:type="dxa"/>
              <w:end w:w="70" w:type="dxa"/>
            </w:tcMar>
            <w:vAlign w:val="center"/>
          </w:tcPr>
          <w:p>
            <w:r>
              <w:rPr>
                <w:sz w:val="17"/>
              </w:rPr>
              <w:t>Document that the model reflects the development clinic and data-entry process.</w:t>
            </w:r>
          </w:p>
        </w:tc>
      </w:tr>
      <w:tr>
        <w:tc>
          <w:tcPr>
            <w:tcW w:type="dxa" w:w="4939"/>
            <w:shd w:fill="F3F6F9"/>
            <w:tcMar>
              <w:top w:w="55" w:type="dxa"/>
              <w:start w:w="70" w:type="dxa"/>
              <w:bottom w:w="55" w:type="dxa"/>
              <w:end w:w="70" w:type="dxa"/>
            </w:tcMar>
            <w:vAlign w:val="center"/>
          </w:tcPr>
          <w:p>
            <w:r>
              <w:rPr>
                <w:sz w:val="17"/>
              </w:rPr>
              <w:t>Measurement variation</w:t>
            </w:r>
          </w:p>
        </w:tc>
        <w:tc>
          <w:tcPr>
            <w:tcW w:type="dxa" w:w="4939"/>
            <w:shd w:fill="F3F6F9"/>
            <w:tcMar>
              <w:top w:w="55" w:type="dxa"/>
              <w:start w:w="70" w:type="dxa"/>
              <w:bottom w:w="55" w:type="dxa"/>
              <w:end w:w="70" w:type="dxa"/>
            </w:tcMar>
            <w:vAlign w:val="center"/>
          </w:tcPr>
          <w:p>
            <w:r>
              <w:rPr>
                <w:sz w:val="17"/>
              </w:rPr>
              <w:t>Review blood-pressure units, categorical spelling, and data-entry conventions.</w:t>
            </w:r>
          </w:p>
        </w:tc>
      </w:tr>
      <w:tr>
        <w:tc>
          <w:tcPr>
            <w:tcW w:type="dxa" w:w="4939"/>
            <w:tcMar>
              <w:top w:w="55" w:type="dxa"/>
              <w:start w:w="70" w:type="dxa"/>
              <w:bottom w:w="55" w:type="dxa"/>
              <w:end w:w="70" w:type="dxa"/>
            </w:tcMar>
            <w:vAlign w:val="center"/>
          </w:tcPr>
          <w:p>
            <w:r>
              <w:rPr>
                <w:sz w:val="17"/>
              </w:rPr>
              <w:t>Historical bias</w:t>
            </w:r>
          </w:p>
        </w:tc>
        <w:tc>
          <w:tcPr>
            <w:tcW w:type="dxa" w:w="4939"/>
            <w:tcMar>
              <w:top w:w="55" w:type="dxa"/>
              <w:start w:w="70" w:type="dxa"/>
              <w:bottom w:w="55" w:type="dxa"/>
              <w:end w:w="70" w:type="dxa"/>
            </w:tcMar>
            <w:vAlign w:val="center"/>
          </w:tcPr>
          <w:p>
            <w:r>
              <w:rPr>
                <w:sz w:val="17"/>
              </w:rPr>
              <w:t>Assess whether labels encode inconsistent documentation or referral access.</w:t>
            </w:r>
          </w:p>
        </w:tc>
      </w:tr>
      <w:tr>
        <w:tc>
          <w:tcPr>
            <w:tcW w:type="dxa" w:w="4939"/>
            <w:shd w:fill="F3F6F9"/>
            <w:tcMar>
              <w:top w:w="55" w:type="dxa"/>
              <w:start w:w="70" w:type="dxa"/>
              <w:bottom w:w="55" w:type="dxa"/>
              <w:end w:w="70" w:type="dxa"/>
            </w:tcMar>
            <w:vAlign w:val="center"/>
          </w:tcPr>
          <w:p>
            <w:r>
              <w:rPr>
                <w:sz w:val="17"/>
              </w:rPr>
              <w:t>Temporal drift</w:t>
            </w:r>
          </w:p>
        </w:tc>
        <w:tc>
          <w:tcPr>
            <w:tcW w:type="dxa" w:w="4939"/>
            <w:shd w:fill="F3F6F9"/>
            <w:tcMar>
              <w:top w:w="55" w:type="dxa"/>
              <w:start w:w="70" w:type="dxa"/>
              <w:bottom w:w="55" w:type="dxa"/>
              <w:end w:w="70" w:type="dxa"/>
            </w:tcMar>
            <w:vAlign w:val="center"/>
          </w:tcPr>
          <w:p>
            <w:r>
              <w:rPr>
                <w:sz w:val="17"/>
              </w:rPr>
              <w:t>Version the dataset and plan periodic post-deployment review.</w:t>
            </w:r>
          </w:p>
        </w:tc>
      </w:tr>
    </w:tbl>
    <w:p/>
    <w:p>
      <w:pPr>
        <w:pStyle w:val="Heading1"/>
      </w:pPr>
      <w:r>
        <w:t>16. Model Artifact and Release Package</w:t>
      </w:r>
    </w:p>
    <w:p>
      <w:r>
        <w:t>The deployable unit is not only model.pkl. It is a controlled model package containing everything required to reproduce and interpret the prediction.</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Artifact</w:t>
            </w:r>
          </w:p>
        </w:tc>
        <w:tc>
          <w:tcPr>
            <w:tcW w:type="dxa" w:w="4939"/>
            <w:shd w:fill="1F4E78"/>
          </w:tcPr>
          <w:p>
            <w:r>
              <w:rPr>
                <w:b/>
                <w:color w:val="FFFFFF"/>
                <w:sz w:val="18"/>
              </w:rPr>
              <w:t>Required content</w:t>
            </w:r>
          </w:p>
        </w:tc>
      </w:tr>
      <w:tr>
        <w:tc>
          <w:tcPr>
            <w:tcW w:type="dxa" w:w="4939"/>
            <w:tcMar>
              <w:top w:w="55" w:type="dxa"/>
              <w:start w:w="70" w:type="dxa"/>
              <w:bottom w:w="55" w:type="dxa"/>
              <w:end w:w="70" w:type="dxa"/>
            </w:tcMar>
            <w:vAlign w:val="center"/>
          </w:tcPr>
          <w:p>
            <w:r>
              <w:rPr>
                <w:sz w:val="17"/>
              </w:rPr>
              <w:t>Serialized pipeline</w:t>
            </w:r>
          </w:p>
        </w:tc>
        <w:tc>
          <w:tcPr>
            <w:tcW w:type="dxa" w:w="4939"/>
            <w:tcMar>
              <w:top w:w="55" w:type="dxa"/>
              <w:start w:w="70" w:type="dxa"/>
              <w:bottom w:w="55" w:type="dxa"/>
              <w:end w:w="70" w:type="dxa"/>
            </w:tcMar>
            <w:vAlign w:val="center"/>
          </w:tcPr>
          <w:p>
            <w:r>
              <w:rPr>
                <w:sz w:val="17"/>
              </w:rPr>
              <w:t>Preprocessing plus classifier, or a verified paired pipeline.</w:t>
            </w:r>
          </w:p>
        </w:tc>
      </w:tr>
      <w:tr>
        <w:tc>
          <w:tcPr>
            <w:tcW w:type="dxa" w:w="4939"/>
            <w:shd w:fill="F3F6F9"/>
            <w:tcMar>
              <w:top w:w="55" w:type="dxa"/>
              <w:start w:w="70" w:type="dxa"/>
              <w:bottom w:w="55" w:type="dxa"/>
              <w:end w:w="70" w:type="dxa"/>
            </w:tcMar>
            <w:vAlign w:val="center"/>
          </w:tcPr>
          <w:p>
            <w:r>
              <w:rPr>
                <w:sz w:val="17"/>
              </w:rPr>
              <w:t>Model manifest</w:t>
            </w:r>
          </w:p>
        </w:tc>
        <w:tc>
          <w:tcPr>
            <w:tcW w:type="dxa" w:w="4939"/>
            <w:shd w:fill="F3F6F9"/>
            <w:tcMar>
              <w:top w:w="55" w:type="dxa"/>
              <w:start w:w="70" w:type="dxa"/>
              <w:bottom w:w="55" w:type="dxa"/>
              <w:end w:w="70" w:type="dxa"/>
            </w:tcMar>
            <w:vAlign w:val="center"/>
          </w:tcPr>
          <w:p>
            <w:r>
              <w:rPr>
                <w:sz w:val="17"/>
              </w:rPr>
              <w:t>Model ID, version, creation date, algorithm, library versions, schema version, seed.</w:t>
            </w:r>
          </w:p>
        </w:tc>
      </w:tr>
      <w:tr>
        <w:tc>
          <w:tcPr>
            <w:tcW w:type="dxa" w:w="4939"/>
            <w:tcMar>
              <w:top w:w="55" w:type="dxa"/>
              <w:start w:w="70" w:type="dxa"/>
              <w:bottom w:w="55" w:type="dxa"/>
              <w:end w:w="70" w:type="dxa"/>
            </w:tcMar>
            <w:vAlign w:val="center"/>
          </w:tcPr>
          <w:p>
            <w:r>
              <w:rPr>
                <w:sz w:val="17"/>
              </w:rPr>
              <w:t>Feature schema</w:t>
            </w:r>
          </w:p>
        </w:tc>
        <w:tc>
          <w:tcPr>
            <w:tcW w:type="dxa" w:w="4939"/>
            <w:tcMar>
              <w:top w:w="55" w:type="dxa"/>
              <w:start w:w="70" w:type="dxa"/>
              <w:bottom w:w="55" w:type="dxa"/>
              <w:end w:w="70" w:type="dxa"/>
            </w:tcMar>
            <w:vAlign w:val="center"/>
          </w:tcPr>
          <w:p>
            <w:r>
              <w:rPr>
                <w:sz w:val="17"/>
              </w:rPr>
              <w:t>Names, order, types, valid domains, missingness policy.</w:t>
            </w:r>
          </w:p>
        </w:tc>
      </w:tr>
      <w:tr>
        <w:tc>
          <w:tcPr>
            <w:tcW w:type="dxa" w:w="4939"/>
            <w:shd w:fill="F3F6F9"/>
            <w:tcMar>
              <w:top w:w="55" w:type="dxa"/>
              <w:start w:w="70" w:type="dxa"/>
              <w:bottom w:w="55" w:type="dxa"/>
              <w:end w:w="70" w:type="dxa"/>
            </w:tcMar>
            <w:vAlign w:val="center"/>
          </w:tcPr>
          <w:p>
            <w:r>
              <w:rPr>
                <w:sz w:val="17"/>
              </w:rPr>
              <w:t>Metrics report</w:t>
            </w:r>
          </w:p>
        </w:tc>
        <w:tc>
          <w:tcPr>
            <w:tcW w:type="dxa" w:w="4939"/>
            <w:shd w:fill="F3F6F9"/>
            <w:tcMar>
              <w:top w:w="55" w:type="dxa"/>
              <w:start w:w="70" w:type="dxa"/>
              <w:bottom w:w="55" w:type="dxa"/>
              <w:end w:w="70" w:type="dxa"/>
            </w:tcMar>
            <w:vAlign w:val="center"/>
          </w:tcPr>
          <w:p>
            <w:r>
              <w:rPr>
                <w:sz w:val="17"/>
              </w:rPr>
              <w:t>Dataset release, splits, confusion matrices, subgroup review, limitations.</w:t>
            </w:r>
          </w:p>
        </w:tc>
      </w:tr>
      <w:tr>
        <w:tc>
          <w:tcPr>
            <w:tcW w:type="dxa" w:w="4939"/>
            <w:tcMar>
              <w:top w:w="55" w:type="dxa"/>
              <w:start w:w="70" w:type="dxa"/>
              <w:bottom w:w="55" w:type="dxa"/>
              <w:end w:w="70" w:type="dxa"/>
            </w:tcMar>
            <w:vAlign w:val="center"/>
          </w:tcPr>
          <w:p>
            <w:r>
              <w:rPr>
                <w:sz w:val="17"/>
              </w:rPr>
              <w:t>Model card</w:t>
            </w:r>
          </w:p>
        </w:tc>
        <w:tc>
          <w:tcPr>
            <w:tcW w:type="dxa" w:w="4939"/>
            <w:tcMar>
              <w:top w:w="55" w:type="dxa"/>
              <w:start w:w="70" w:type="dxa"/>
              <w:bottom w:w="55" w:type="dxa"/>
              <w:end w:w="70" w:type="dxa"/>
            </w:tcMar>
            <w:vAlign w:val="center"/>
          </w:tcPr>
          <w:p>
            <w:r>
              <w:rPr>
                <w:sz w:val="17"/>
              </w:rPr>
              <w:t>Intended use, prohibited use, users, population, performance, ethical and safety limits.</w:t>
            </w:r>
          </w:p>
        </w:tc>
      </w:tr>
      <w:tr>
        <w:tc>
          <w:tcPr>
            <w:tcW w:type="dxa" w:w="4939"/>
            <w:shd w:fill="F3F6F9"/>
            <w:tcMar>
              <w:top w:w="55" w:type="dxa"/>
              <w:start w:w="70" w:type="dxa"/>
              <w:bottom w:w="55" w:type="dxa"/>
              <w:end w:w="70" w:type="dxa"/>
            </w:tcMar>
            <w:vAlign w:val="center"/>
          </w:tcPr>
          <w:p>
            <w:r>
              <w:rPr>
                <w:sz w:val="17"/>
              </w:rPr>
              <w:t>Integrity record</w:t>
            </w:r>
          </w:p>
        </w:tc>
        <w:tc>
          <w:tcPr>
            <w:tcW w:type="dxa" w:w="4939"/>
            <w:shd w:fill="F3F6F9"/>
            <w:tcMar>
              <w:top w:w="55" w:type="dxa"/>
              <w:start w:w="70" w:type="dxa"/>
              <w:bottom w:w="55" w:type="dxa"/>
              <w:end w:w="70" w:type="dxa"/>
            </w:tcMar>
            <w:vAlign w:val="center"/>
          </w:tcPr>
          <w:p>
            <w:r>
              <w:rPr>
                <w:sz w:val="17"/>
              </w:rPr>
              <w:t>Cryptographic hash of deployed files.</w:t>
            </w:r>
          </w:p>
        </w:tc>
      </w:tr>
      <w:tr>
        <w:tc>
          <w:tcPr>
            <w:tcW w:type="dxa" w:w="4939"/>
            <w:tcMar>
              <w:top w:w="55" w:type="dxa"/>
              <w:start w:w="70" w:type="dxa"/>
              <w:bottom w:w="55" w:type="dxa"/>
              <w:end w:w="70" w:type="dxa"/>
            </w:tcMar>
            <w:vAlign w:val="center"/>
          </w:tcPr>
          <w:p>
            <w:r>
              <w:rPr>
                <w:sz w:val="17"/>
              </w:rPr>
              <w:t>Release notes</w:t>
            </w:r>
          </w:p>
        </w:tc>
        <w:tc>
          <w:tcPr>
            <w:tcW w:type="dxa" w:w="4939"/>
            <w:tcMar>
              <w:top w:w="55" w:type="dxa"/>
              <w:start w:w="70" w:type="dxa"/>
              <w:bottom w:w="55" w:type="dxa"/>
              <w:end w:w="70" w:type="dxa"/>
            </w:tcMar>
            <w:vAlign w:val="center"/>
          </w:tcPr>
          <w:p>
            <w:r>
              <w:rPr>
                <w:sz w:val="17"/>
              </w:rPr>
              <w:t>Changes from previous version and rollback instructions.</w:t>
            </w:r>
          </w:p>
        </w:tc>
      </w:tr>
    </w:tbl>
    <w:p/>
    <w:p>
      <w:pPr>
        <w:pStyle w:val="Heading1"/>
      </w:pPr>
      <w:r>
        <w:t>17. Laravel and Python Integration Mapping</w:t>
      </w:r>
    </w:p>
    <w:tbl>
      <w:tblPr>
        <w:tblStyle w:val="TableGrid"/>
        <w:tblW w:type="auto" w:w="0"/>
        <w:jc w:val="center"/>
        <w:tblLook w:firstColumn="1" w:firstRow="1" w:lastColumn="0" w:lastRow="0" w:noHBand="0" w:noVBand="1" w:val="04A0"/>
      </w:tblPr>
      <w:tblGrid>
        <w:gridCol w:w="9878"/>
      </w:tblGrid>
      <w:tr>
        <w:tc>
          <w:tcPr>
            <w:tcW w:type="dxa" w:w="9878"/>
            <w:shd w:fill="17365D"/>
          </w:tcPr>
          <w:p>
            <w:r>
              <w:rPr>
                <w:b/>
                <w:color w:val="FFFFFF"/>
              </w:rPr>
              <w:t>Runtime Architecture</w:t>
            </w:r>
          </w:p>
        </w:tc>
      </w:tr>
      <w:tr>
        <w:tc>
          <w:tcPr>
            <w:tcW w:type="dxa" w:w="9878"/>
            <w:shd w:fill="EAF2F8"/>
          </w:tcPr>
          <w:p>
            <w:pPr>
              <w:jc w:val="center"/>
            </w:pPr>
            <w:r>
              <w:rPr>
                <w:rFonts w:ascii="Consolas" w:hAnsi="Consolas"/>
                <w:sz w:val="18"/>
              </w:rPr>
              <w:t>Laravel validates patient and prenatal records</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Feature assembler creates versioned named payload</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Python entry point validates schema and loads frozen model package</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Pipeline produces HIGH or LOW</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Python emits structured response with status, label, model_version</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Laravel rejects malformed/error output</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Decision Engine applies INCOMPLETE, emergency, and rule-based precedence</w:t>
            </w:r>
          </w:p>
        </w:tc>
      </w:tr>
      <w:tr>
        <w:tc>
          <w:tcPr>
            <w:tcW w:type="dxa" w:w="9878"/>
            <w:shd w:fill="F7F9FB"/>
          </w:tcPr>
          <w:p>
            <w:pPr>
              <w:jc w:val="center"/>
            </w:pPr>
            <w:r>
              <w:rPr>
                <w:rFonts w:ascii="Consolas" w:hAnsi="Consolas"/>
                <w:sz w:val="18"/>
              </w:rPr>
              <w:t>↓</w:t>
            </w:r>
          </w:p>
        </w:tc>
      </w:tr>
      <w:tr>
        <w:tc>
          <w:tcPr>
            <w:tcW w:type="dxa" w:w="9878"/>
            <w:shd w:fill="EAF2F8"/>
          </w:tcPr>
          <w:p>
            <w:pPr>
              <w:jc w:val="center"/>
            </w:pPr>
            <w:r>
              <w:rPr>
                <w:rFonts w:ascii="Consolas" w:hAnsi="Consolas"/>
                <w:sz w:val="18"/>
              </w:rPr>
              <w:t>Final assessment and provenance are stored</w:t>
            </w:r>
          </w:p>
        </w:tc>
      </w:tr>
    </w:tbl>
    <w:p/>
    <w:p>
      <w:r>
        <w:t>A plain-text output may be retained temporarily for compatibility, but a structured JSON response is preferred because it can distinguish success, validation failure, model-loading failure, and unexpected exceptions without parsing free-form messages.</w:t>
      </w:r>
    </w:p>
    <w:p>
      <w:pPr>
        <w:pStyle w:val="Heading1"/>
      </w:pPr>
      <w:r>
        <w:t>18. Verification and Acceptance Criteria</w:t>
      </w:r>
    </w:p>
    <w:tbl>
      <w:tblPr>
        <w:tblStyle w:val="TableGrid"/>
        <w:tblW w:type="auto" w:w="0"/>
        <w:jc w:val="center"/>
        <w:tblLook w:firstColumn="1" w:firstRow="1" w:lastColumn="0" w:lastRow="0" w:noHBand="0" w:noVBand="1" w:val="04A0"/>
      </w:tblPr>
      <w:tblGrid>
        <w:gridCol w:w="4939"/>
        <w:gridCol w:w="4939"/>
      </w:tblGrid>
      <w:tr>
        <w:trPr>
          <w:tblHeader w:val="true"/>
        </w:trPr>
        <w:tc>
          <w:tcPr>
            <w:tcW w:type="dxa" w:w="4939"/>
            <w:shd w:fill="1F4E78"/>
          </w:tcPr>
          <w:p>
            <w:r>
              <w:rPr>
                <w:b/>
                <w:color w:val="FFFFFF"/>
                <w:sz w:val="18"/>
              </w:rPr>
              <w:t>ID</w:t>
            </w:r>
          </w:p>
        </w:tc>
        <w:tc>
          <w:tcPr>
            <w:tcW w:type="dxa" w:w="4939"/>
            <w:shd w:fill="1F4E78"/>
          </w:tcPr>
          <w:p>
            <w:r>
              <w:rPr>
                <w:b/>
                <w:color w:val="FFFFFF"/>
                <w:sz w:val="18"/>
              </w:rPr>
              <w:t>Acceptance requirement</w:t>
            </w:r>
          </w:p>
        </w:tc>
      </w:tr>
      <w:tr>
        <w:tc>
          <w:tcPr>
            <w:tcW w:type="dxa" w:w="4939"/>
            <w:tcMar>
              <w:top w:w="55" w:type="dxa"/>
              <w:start w:w="70" w:type="dxa"/>
              <w:bottom w:w="55" w:type="dxa"/>
              <w:end w:w="70" w:type="dxa"/>
            </w:tcMar>
            <w:vAlign w:val="center"/>
          </w:tcPr>
          <w:p>
            <w:r>
              <w:rPr>
                <w:sz w:val="17"/>
              </w:rPr>
              <w:t>MD-01</w:t>
            </w:r>
          </w:p>
        </w:tc>
        <w:tc>
          <w:tcPr>
            <w:tcW w:type="dxa" w:w="4939"/>
            <w:tcMar>
              <w:top w:w="55" w:type="dxa"/>
              <w:start w:w="70" w:type="dxa"/>
              <w:bottom w:w="55" w:type="dxa"/>
              <w:end w:w="70" w:type="dxa"/>
            </w:tcMar>
            <w:vAlign w:val="center"/>
          </w:tcPr>
          <w:p>
            <w:r>
              <w:rPr>
                <w:sz w:val="17"/>
              </w:rPr>
              <w:t>The intended use, prohibited uses, population, users, and clinical setting are documented.</w:t>
            </w:r>
          </w:p>
        </w:tc>
      </w:tr>
      <w:tr>
        <w:tc>
          <w:tcPr>
            <w:tcW w:type="dxa" w:w="4939"/>
            <w:shd w:fill="F3F6F9"/>
            <w:tcMar>
              <w:top w:w="55" w:type="dxa"/>
              <w:start w:w="70" w:type="dxa"/>
              <w:bottom w:w="55" w:type="dxa"/>
              <w:end w:w="70" w:type="dxa"/>
            </w:tcMar>
            <w:vAlign w:val="center"/>
          </w:tcPr>
          <w:p>
            <w:r>
              <w:rPr>
                <w:sz w:val="17"/>
              </w:rPr>
              <w:t>MD-02</w:t>
            </w:r>
          </w:p>
        </w:tc>
        <w:tc>
          <w:tcPr>
            <w:tcW w:type="dxa" w:w="4939"/>
            <w:shd w:fill="F3F6F9"/>
            <w:tcMar>
              <w:top w:w="55" w:type="dxa"/>
              <w:start w:w="70" w:type="dxa"/>
              <w:bottom w:w="55" w:type="dxa"/>
              <w:end w:w="70" w:type="dxa"/>
            </w:tcMar>
            <w:vAlign w:val="center"/>
          </w:tcPr>
          <w:p>
            <w:r>
              <w:rPr>
                <w:sz w:val="17"/>
              </w:rPr>
              <w:t>Random Forest is compared with at least a trivial and a simple baseline on identical splits.</w:t>
            </w:r>
          </w:p>
        </w:tc>
      </w:tr>
      <w:tr>
        <w:tc>
          <w:tcPr>
            <w:tcW w:type="dxa" w:w="4939"/>
            <w:tcMar>
              <w:top w:w="55" w:type="dxa"/>
              <w:start w:w="70" w:type="dxa"/>
              <w:bottom w:w="55" w:type="dxa"/>
              <w:end w:w="70" w:type="dxa"/>
            </w:tcMar>
            <w:vAlign w:val="center"/>
          </w:tcPr>
          <w:p>
            <w:r>
              <w:rPr>
                <w:sz w:val="17"/>
              </w:rPr>
              <w:t>MD-03</w:t>
            </w:r>
          </w:p>
        </w:tc>
        <w:tc>
          <w:tcPr>
            <w:tcW w:type="dxa" w:w="4939"/>
            <w:tcMar>
              <w:top w:w="55" w:type="dxa"/>
              <w:start w:w="70" w:type="dxa"/>
              <w:bottom w:w="55" w:type="dxa"/>
              <w:end w:w="70" w:type="dxa"/>
            </w:tcMar>
            <w:vAlign w:val="center"/>
          </w:tcPr>
          <w:p>
            <w:r>
              <w:rPr>
                <w:sz w:val="17"/>
              </w:rPr>
              <w:t>Patient-level separation and leakage controls are demonstrated in code or test evidence.</w:t>
            </w:r>
          </w:p>
        </w:tc>
      </w:tr>
      <w:tr>
        <w:tc>
          <w:tcPr>
            <w:tcW w:type="dxa" w:w="4939"/>
            <w:shd w:fill="F3F6F9"/>
            <w:tcMar>
              <w:top w:w="55" w:type="dxa"/>
              <w:start w:w="70" w:type="dxa"/>
              <w:bottom w:w="55" w:type="dxa"/>
              <w:end w:w="70" w:type="dxa"/>
            </w:tcMar>
            <w:vAlign w:val="center"/>
          </w:tcPr>
          <w:p>
            <w:r>
              <w:rPr>
                <w:sz w:val="17"/>
              </w:rPr>
              <w:t>MD-04</w:t>
            </w:r>
          </w:p>
        </w:tc>
        <w:tc>
          <w:tcPr>
            <w:tcW w:type="dxa" w:w="4939"/>
            <w:shd w:fill="F3F6F9"/>
            <w:tcMar>
              <w:top w:w="55" w:type="dxa"/>
              <w:start w:w="70" w:type="dxa"/>
              <w:bottom w:w="55" w:type="dxa"/>
              <w:end w:w="70" w:type="dxa"/>
            </w:tcMar>
            <w:vAlign w:val="center"/>
          </w:tcPr>
          <w:p>
            <w:r>
              <w:rPr>
                <w:sz w:val="17"/>
              </w:rPr>
              <w:t>All preprocessing used at prediction is fitted only on development data and packaged with the model.</w:t>
            </w:r>
          </w:p>
        </w:tc>
      </w:tr>
      <w:tr>
        <w:tc>
          <w:tcPr>
            <w:tcW w:type="dxa" w:w="4939"/>
            <w:tcMar>
              <w:top w:w="55" w:type="dxa"/>
              <w:start w:w="70" w:type="dxa"/>
              <w:bottom w:w="55" w:type="dxa"/>
              <w:end w:w="70" w:type="dxa"/>
            </w:tcMar>
            <w:vAlign w:val="center"/>
          </w:tcPr>
          <w:p>
            <w:r>
              <w:rPr>
                <w:sz w:val="17"/>
              </w:rPr>
              <w:t>MD-05</w:t>
            </w:r>
          </w:p>
        </w:tc>
        <w:tc>
          <w:tcPr>
            <w:tcW w:type="dxa" w:w="4939"/>
            <w:tcMar>
              <w:top w:w="55" w:type="dxa"/>
              <w:start w:w="70" w:type="dxa"/>
              <w:bottom w:w="55" w:type="dxa"/>
              <w:end w:w="70" w:type="dxa"/>
            </w:tcMar>
            <w:vAlign w:val="center"/>
          </w:tcPr>
          <w:p>
            <w:r>
              <w:rPr>
                <w:sz w:val="17"/>
              </w:rPr>
              <w:t>Hyperparameters, random seed, software versions, and schema version are recorded.</w:t>
            </w:r>
          </w:p>
        </w:tc>
      </w:tr>
      <w:tr>
        <w:tc>
          <w:tcPr>
            <w:tcW w:type="dxa" w:w="4939"/>
            <w:shd w:fill="F3F6F9"/>
            <w:tcMar>
              <w:top w:w="55" w:type="dxa"/>
              <w:start w:w="70" w:type="dxa"/>
              <w:bottom w:w="55" w:type="dxa"/>
              <w:end w:w="70" w:type="dxa"/>
            </w:tcMar>
            <w:vAlign w:val="center"/>
          </w:tcPr>
          <w:p>
            <w:r>
              <w:rPr>
                <w:sz w:val="17"/>
              </w:rPr>
              <w:t>MD-06</w:t>
            </w:r>
          </w:p>
        </w:tc>
        <w:tc>
          <w:tcPr>
            <w:tcW w:type="dxa" w:w="4939"/>
            <w:shd w:fill="F3F6F9"/>
            <w:tcMar>
              <w:top w:w="55" w:type="dxa"/>
              <w:start w:w="70" w:type="dxa"/>
              <w:bottom w:w="55" w:type="dxa"/>
              <w:end w:w="70" w:type="dxa"/>
            </w:tcMar>
            <w:vAlign w:val="center"/>
          </w:tcPr>
          <w:p>
            <w:r>
              <w:rPr>
                <w:sz w:val="17"/>
              </w:rPr>
              <w:t>Independent test results include class-specific errors and not accuracy alone.</w:t>
            </w:r>
          </w:p>
        </w:tc>
      </w:tr>
      <w:tr>
        <w:tc>
          <w:tcPr>
            <w:tcW w:type="dxa" w:w="4939"/>
            <w:tcMar>
              <w:top w:w="55" w:type="dxa"/>
              <w:start w:w="70" w:type="dxa"/>
              <w:bottom w:w="55" w:type="dxa"/>
              <w:end w:w="70" w:type="dxa"/>
            </w:tcMar>
            <w:vAlign w:val="center"/>
          </w:tcPr>
          <w:p>
            <w:r>
              <w:rPr>
                <w:sz w:val="17"/>
              </w:rPr>
              <w:t>MD-07</w:t>
            </w:r>
          </w:p>
        </w:tc>
        <w:tc>
          <w:tcPr>
            <w:tcW w:type="dxa" w:w="4939"/>
            <w:tcMar>
              <w:top w:w="55" w:type="dxa"/>
              <w:start w:w="70" w:type="dxa"/>
              <w:bottom w:w="55" w:type="dxa"/>
              <w:end w:w="70" w:type="dxa"/>
            </w:tcMar>
            <w:vAlign w:val="center"/>
          </w:tcPr>
          <w:p>
            <w:r>
              <w:rPr>
                <w:sz w:val="17"/>
              </w:rPr>
              <w:t>Invalid model output cannot produce LOW or bypass the incomplete state.</w:t>
            </w:r>
          </w:p>
        </w:tc>
      </w:tr>
      <w:tr>
        <w:tc>
          <w:tcPr>
            <w:tcW w:type="dxa" w:w="4939"/>
            <w:shd w:fill="F3F6F9"/>
            <w:tcMar>
              <w:top w:w="55" w:type="dxa"/>
              <w:start w:w="70" w:type="dxa"/>
              <w:bottom w:w="55" w:type="dxa"/>
              <w:end w:w="70" w:type="dxa"/>
            </w:tcMar>
            <w:vAlign w:val="center"/>
          </w:tcPr>
          <w:p>
            <w:r>
              <w:rPr>
                <w:sz w:val="17"/>
              </w:rPr>
              <w:t>MD-08</w:t>
            </w:r>
          </w:p>
        </w:tc>
        <w:tc>
          <w:tcPr>
            <w:tcW w:type="dxa" w:w="4939"/>
            <w:shd w:fill="F3F6F9"/>
            <w:tcMar>
              <w:top w:w="55" w:type="dxa"/>
              <w:start w:w="70" w:type="dxa"/>
              <w:bottom w:w="55" w:type="dxa"/>
              <w:end w:w="70" w:type="dxa"/>
            </w:tcMar>
            <w:vAlign w:val="center"/>
          </w:tcPr>
          <w:p>
            <w:r>
              <w:rPr>
                <w:sz w:val="17"/>
              </w:rPr>
              <w:t>Emergency and deterministic HIGH rules override the model in automated tests.</w:t>
            </w:r>
          </w:p>
        </w:tc>
      </w:tr>
      <w:tr>
        <w:tc>
          <w:tcPr>
            <w:tcW w:type="dxa" w:w="4939"/>
            <w:tcMar>
              <w:top w:w="55" w:type="dxa"/>
              <w:start w:w="70" w:type="dxa"/>
              <w:bottom w:w="55" w:type="dxa"/>
              <w:end w:w="70" w:type="dxa"/>
            </w:tcMar>
            <w:vAlign w:val="center"/>
          </w:tcPr>
          <w:p>
            <w:r>
              <w:rPr>
                <w:sz w:val="17"/>
              </w:rPr>
              <w:t>MD-09</w:t>
            </w:r>
          </w:p>
        </w:tc>
        <w:tc>
          <w:tcPr>
            <w:tcW w:type="dxa" w:w="4939"/>
            <w:tcMar>
              <w:top w:w="55" w:type="dxa"/>
              <w:start w:w="70" w:type="dxa"/>
              <w:bottom w:w="55" w:type="dxa"/>
              <w:end w:w="70" w:type="dxa"/>
            </w:tcMar>
            <w:vAlign w:val="center"/>
          </w:tcPr>
          <w:p>
            <w:r>
              <w:rPr>
                <w:sz w:val="17"/>
              </w:rPr>
              <w:t>The deployed artifact hash matches the approved release manifest.</w:t>
            </w:r>
          </w:p>
        </w:tc>
      </w:tr>
      <w:tr>
        <w:tc>
          <w:tcPr>
            <w:tcW w:type="dxa" w:w="4939"/>
            <w:shd w:fill="F3F6F9"/>
            <w:tcMar>
              <w:top w:w="55" w:type="dxa"/>
              <w:start w:w="70" w:type="dxa"/>
              <w:bottom w:w="55" w:type="dxa"/>
              <w:end w:w="70" w:type="dxa"/>
            </w:tcMar>
            <w:vAlign w:val="center"/>
          </w:tcPr>
          <w:p>
            <w:r>
              <w:rPr>
                <w:sz w:val="17"/>
              </w:rPr>
              <w:t>MD-10</w:t>
            </w:r>
          </w:p>
        </w:tc>
        <w:tc>
          <w:tcPr>
            <w:tcW w:type="dxa" w:w="4939"/>
            <w:shd w:fill="F3F6F9"/>
            <w:tcMar>
              <w:top w:w="55" w:type="dxa"/>
              <w:start w:w="70" w:type="dxa"/>
              <w:bottom w:w="55" w:type="dxa"/>
              <w:end w:w="70" w:type="dxa"/>
            </w:tcMar>
            <w:vAlign w:val="center"/>
          </w:tcPr>
          <w:p>
            <w:r>
              <w:rPr>
                <w:sz w:val="17"/>
              </w:rPr>
              <w:t>Claims in the manuscript match reproducible project evidence.</w:t>
            </w:r>
          </w:p>
        </w:tc>
      </w:tr>
    </w:tbl>
    <w:p/>
    <w:p>
      <w:pPr>
        <w:pStyle w:val="Heading1"/>
      </w:pPr>
      <w:r>
        <w:t>19. Prohibited Shortcuts</w:t>
      </w:r>
    </w:p>
    <w:p>
      <w:pPr>
        <w:pStyle w:val="ListBullet"/>
      </w:pPr>
      <w:r>
        <w:t>Do not tune on the final test set.</w:t>
      </w:r>
    </w:p>
    <w:p>
      <w:pPr>
        <w:pStyle w:val="ListBullet"/>
      </w:pPr>
      <w:r>
        <w:t>Do not split repeated patient records randomly across train and test.</w:t>
      </w:r>
    </w:p>
    <w:p>
      <w:pPr>
        <w:pStyle w:val="ListBullet"/>
      </w:pPr>
      <w:r>
        <w:t>Do not report training accuracy as model performance.</w:t>
      </w:r>
    </w:p>
    <w:p>
      <w:pPr>
        <w:pStyle w:val="ListBullet"/>
      </w:pPr>
      <w:r>
        <w:t>Do not describe feature importance as clinical causation.</w:t>
      </w:r>
    </w:p>
    <w:p>
      <w:pPr>
        <w:pStyle w:val="ListBullet"/>
      </w:pPr>
      <w:r>
        <w:t>Do not silently replace missing values with zero.</w:t>
      </w:r>
    </w:p>
    <w:p>
      <w:pPr>
        <w:pStyle w:val="ListBullet"/>
      </w:pPr>
      <w:r>
        <w:t>Do not manually edit model predictions to improve reported results.</w:t>
      </w:r>
    </w:p>
    <w:p>
      <w:pPr>
        <w:pStyle w:val="ListBullet"/>
      </w:pPr>
      <w:r>
        <w:t>Do not deploy a newly trained artifact without versioning and integration tests.</w:t>
      </w:r>
    </w:p>
    <w:p>
      <w:pPr>
        <w:pStyle w:val="ListBullet"/>
      </w:pPr>
      <w:r>
        <w:t>Do not claim clinical validation, regulatory approval, or generalizability without evidence.</w:t>
      </w:r>
    </w:p>
    <w:p>
      <w:pPr>
        <w:pStyle w:val="Heading1"/>
      </w:pPr>
      <w:r>
        <w:t>20. Evidence Required From the Actual Project</w:t>
      </w:r>
    </w:p>
    <w:p>
      <w:r>
        <w:t>Before final manuscript submission, the following evidence should be collected from the current repository and training environment:</w:t>
      </w:r>
    </w:p>
    <w:p>
      <w:pPr>
        <w:pStyle w:val="ListBullet"/>
      </w:pPr>
      <w:r>
        <w:t>Exact training script and preprocessing code.</w:t>
      </w:r>
    </w:p>
    <w:p>
      <w:pPr>
        <w:pStyle w:val="ListBullet"/>
      </w:pPr>
      <w:r>
        <w:t>Dataset name, release date, row count, patient count, class counts, and provenance.</w:t>
      </w:r>
    </w:p>
    <w:p>
      <w:pPr>
        <w:pStyle w:val="ListBullet"/>
      </w:pPr>
      <w:r>
        <w:t>Exact feature list and label-construction procedure.</w:t>
      </w:r>
    </w:p>
    <w:p>
      <w:pPr>
        <w:pStyle w:val="ListBullet"/>
      </w:pPr>
      <w:r>
        <w:t>Actual RandomForestClassifier parameters and random seed.</w:t>
      </w:r>
    </w:p>
    <w:p>
      <w:pPr>
        <w:pStyle w:val="ListBullet"/>
      </w:pPr>
      <w:r>
        <w:t>Train/validation/test split method and identifiers.</w:t>
      </w:r>
    </w:p>
    <w:p>
      <w:pPr>
        <w:pStyle w:val="ListBullet"/>
      </w:pPr>
      <w:r>
        <w:t>Confusion matrix and class-specific metrics from the untouched test set.</w:t>
      </w:r>
    </w:p>
    <w:p>
      <w:pPr>
        <w:pStyle w:val="ListBullet"/>
      </w:pPr>
      <w:r>
        <w:t>Python and scikit-learn versions used to serialize the artifact.</w:t>
      </w:r>
    </w:p>
    <w:p>
      <w:pPr>
        <w:pStyle w:val="ListBullet"/>
      </w:pPr>
      <w:r>
        <w:t>Model file hash and runtime response examples.</w:t>
      </w:r>
    </w:p>
    <w:p>
      <w:pPr>
        <w:pStyle w:val="ListBullet"/>
      </w:pPr>
      <w:r>
        <w:t>Automated tests proving failure-safe and rule-precedence behavior.</w:t>
      </w:r>
    </w:p>
    <w:p>
      <w:pPr>
        <w:pStyle w:val="Heading1"/>
      </w:pPr>
      <w:r>
        <w:t>21. Transition to Part 5</w:t>
      </w:r>
    </w:p>
    <w:p>
      <w:r>
        <w:t>Part 5 translates these design decisions into a reproducible training pipeline. It specifies the sequence from dataset release through preprocessing, fitting, evaluation, serialization, deployment approval, rollback, and retraining governance.</w:t>
      </w:r>
    </w:p>
    <w:p>
      <w:pPr>
        <w:pStyle w:val="Heading1"/>
      </w:pPr>
      <w:r>
        <w:t>References</w:t>
      </w:r>
    </w:p>
    <w:p>
      <w:pPr>
        <w:pStyle w:val="ListNumber"/>
      </w:pPr>
      <w:r>
        <w:t>World Health Organization. Ethics and governance of artificial intelligence for health. WHO; 2021.</w:t>
      </w:r>
    </w:p>
    <w:p>
      <w:pPr>
        <w:pStyle w:val="ListNumber"/>
      </w:pPr>
      <w:r>
        <w:t>International Medical Device Regulators Forum. Good Machine Learning Practice for Medical Device Development: Guiding Principles. Final document; 2025. Referenced through the U.S. FDA GMLP resource.</w:t>
      </w:r>
    </w:p>
    <w:p>
      <w:pPr>
        <w:pStyle w:val="ListNumber"/>
      </w:pPr>
      <w:r>
        <w:t>U.S. Food and Drug Administration, Health Canada, and MHRA. Transparency for Machine Learning-Enabled Medical Devices: Guiding Principles.</w:t>
      </w:r>
    </w:p>
    <w:p>
      <w:pPr>
        <w:pStyle w:val="ListNumber"/>
      </w:pPr>
      <w:r>
        <w:t>National Institute of Standards and Technology. Artificial Intelligence Risk Management Framework (AI RMF 1.0). NIST AI 100-1; 2023.</w:t>
      </w:r>
    </w:p>
    <w:p>
      <w:pPr>
        <w:pStyle w:val="ListNumber"/>
      </w:pPr>
      <w:r>
        <w:t>scikit-learn developers. RandomForestClassifier documentation, stable release.</w:t>
      </w:r>
    </w:p>
    <w:p>
      <w:pPr>
        <w:pStyle w:val="ListNumber"/>
      </w:pPr>
      <w:r>
        <w:t>Breiman L. Random Forests. Machine Learning. 2001;45:5-32.</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color w:val="666666"/>
        <w:sz w:val="16"/>
      </w:rPr>
      <w:t>DOCUMENT 3 • PART 4 • MACHINE LEARNING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Note">
    <w:name w:val="Safety Note"/>
    <w:pPr>
      <w:spacing w:before="80" w:after="80"/>
    </w:pPr>
    <w:rPr>
      <w:rFonts w:ascii="Aptos" w:hAnsi="Aptos"/>
      <w:b/>
      <w:color w:val="9C000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