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40"/>
        <w:jc w:val="center"/>
      </w:pPr>
      <w:r>
        <w:rPr>
          <w:b/>
          <w:color w:val="2F75B5"/>
          <w:sz w:val="26"/>
        </w:rPr>
        <w:t>DOCUMENT 4</w:t>
      </w:r>
    </w:p>
    <w:p>
      <w:pPr>
        <w:pStyle w:val="Title"/>
        <w:jc w:val="center"/>
      </w:pPr>
      <w:r>
        <w:t>Clinical Evidence Specification</w:t>
      </w:r>
    </w:p>
    <w:p>
      <w:pPr>
        <w:jc w:val="center"/>
      </w:pPr>
      <w:r>
        <w:rPr>
          <w:b/>
          <w:color w:val="17365D"/>
          <w:sz w:val="36"/>
        </w:rPr>
        <w:t>PART 5</w:t>
      </w:r>
    </w:p>
    <w:p>
      <w:pPr>
        <w:pStyle w:val="Title"/>
        <w:jc w:val="center"/>
      </w:pPr>
      <w:r>
        <w:t>Previous Cesarean Delivery</w:t>
      </w:r>
    </w:p>
    <w:p>
      <w:pPr>
        <w:pStyle w:val="Subtitle"/>
        <w:jc w:val="center"/>
      </w:pPr>
      <w:r>
        <w:t>Birth After Cesarean, Facility Capability, Deterministic Risk Logic,</w:t>
        <w:br/>
        <w:t>Explainability, Safety Boundaries, and Validation</w:t>
      </w:r>
    </w:p>
    <w:p/>
    <w:tbl>
      <w:tblPr>
        <w:tblW w:type="auto" w:w="0"/>
        <w:tblLook w:firstColumn="1" w:firstRow="1" w:lastColumn="0" w:lastRow="0" w:noHBand="0" w:noVBand="1" w:val="04A0"/>
      </w:tblPr>
      <w:tblGrid>
        <w:gridCol w:w="10080"/>
      </w:tblGrid>
      <w:tr>
        <w:tc>
          <w:tcPr>
            <w:tcW w:type="dxa" w:w="10080"/>
            <w:shd w:fill="FCE4D6"/>
            <w:tcBorders>
              <w:top w:val="single" w:sz="8" w:color="C00000"/>
              <w:left w:val="single" w:sz="8" w:color="C00000"/>
              <w:bottom w:val="single" w:sz="8" w:color="C00000"/>
              <w:right w:val="single" w:sz="8" w:color="C00000"/>
            </w:tcBorders>
            <w:tcMar>
              <w:top w:w="110" w:type="dxa"/>
              <w:bottom w:w="110" w:type="dxa"/>
              <w:start w:w="120" w:type="dxa"/>
              <w:end w:w="120" w:type="dxa"/>
            </w:tcMar>
          </w:tcPr>
          <w:p>
            <w:pPr>
              <w:pStyle w:val="Callout"/>
            </w:pPr>
            <w:r/>
            <w:r>
              <w:rPr>
                <w:b/>
                <w:color w:val="C00000"/>
              </w:rPr>
              <w:t>Clinical rule documented in this chapter</w:t>
              <w:br/>
            </w:r>
            <w:r>
              <w:t>A recorded history of previous cesarean delivery is treated by the project CDSS as a deterministic HIGH-risk factor. The rule supports early obstetric review, birth-planning, and referral to a hospital capable of emergency cesarean delivery and blood transfusion. It does not determine whether vaginal birth after cesarean (VBAC) or planned repeat cesarean birth is best for an individual patient.</w:t>
            </w:r>
          </w:p>
        </w:tc>
      </w:tr>
    </w:tbl>
    <w:p>
      <w:pPr>
        <w:spacing w:after="20"/>
      </w:pPr>
    </w:p>
    <w:p>
      <w:pPr>
        <w:spacing w:before="520"/>
        <w:jc w:val="center"/>
      </w:pPr>
      <w:r>
        <w:rPr>
          <w:b/>
        </w:rPr>
        <w:t>Capstone Project</w:t>
      </w:r>
    </w:p>
    <w:p>
      <w:pPr>
        <w:jc w:val="center"/>
      </w:pPr>
      <w:r>
        <w:t>Development of an Explainable Clinical Decision Support System (CDSS)</w:t>
        <w:br/>
        <w:t>for a Web-Based Maternity Management System in a Philippine Lying-in Clinic</w:t>
      </w:r>
    </w:p>
    <w:p>
      <w:pPr>
        <w:jc w:val="center"/>
      </w:pPr>
      <w:r>
        <w:rPr>
          <w:i/>
        </w:rPr>
        <w:t>Rewritten evidence specification | July 2026</w:t>
      </w:r>
    </w:p>
    <w:p>
      <w:r>
        <w:br w:type="page"/>
      </w:r>
    </w:p>
    <w:p>
      <w:pPr>
        <w:pStyle w:val="Heading1"/>
      </w:pPr>
      <w:r>
        <w:t>Executive Summary</w:t>
      </w:r>
    </w:p>
    <w:p>
      <w:r>
        <w:t>A previous cesarean delivery changes the assessment and planning of a later pregnancy because the uterus contains a surgical scar and because the risks and benefits of vaginal birth after cesarean (VBAC) and elective repeat cesarean birth vary among patients. The reason for the earlier operation, uterine incision type, number of prior cesareans, previous vaginal birth, current pregnancy findings, interpregnancy interval, induction needs, maternal preferences, hospital resources, and emergency readiness all influence safe management.</w:t>
      </w:r>
    </w:p>
    <w:p>
      <w:r>
        <w:t>NICE recommends that a patient planning vaginal birth after a previous cesarean receive continuous fetal monitoring and labour care in a unit with immediate access to cesarean birth and on-site blood transfusion services. RCOG similarly advises hospital birth where an emergency cesarean can be carried out if necessary. These requirements exceed the normal capability of a non-hospital lying-in clinic, which primarily provides normal spontaneous delivery and newborn care.</w:t>
      </w:r>
    </w:p>
    <w:tbl>
      <w:tblPr>
        <w:tblW w:type="auto" w:w="0"/>
        <w:tblLook w:firstColumn="1" w:firstRow="1" w:lastColumn="0" w:lastRow="0" w:noHBand="0" w:noVBand="1" w:val="04A0"/>
      </w:tblPr>
      <w:tblGrid>
        <w:gridCol w:w="10080"/>
      </w:tblGrid>
      <w:tr>
        <w:tc>
          <w:tcPr>
            <w:tcW w:type="dxa" w:w="10080"/>
            <w:shd w:fill="FFF2CC"/>
            <w:tcBorders>
              <w:top w:val="single" w:sz="8" w:color="BF9000"/>
              <w:left w:val="single" w:sz="8" w:color="BF9000"/>
              <w:bottom w:val="single" w:sz="8" w:color="BF9000"/>
              <w:right w:val="single" w:sz="8" w:color="BF9000"/>
            </w:tcBorders>
            <w:tcMar>
              <w:top w:w="110" w:type="dxa"/>
              <w:bottom w:w="110" w:type="dxa"/>
              <w:start w:w="120" w:type="dxa"/>
              <w:end w:w="120" w:type="dxa"/>
            </w:tcMar>
          </w:tcPr>
          <w:p>
            <w:pPr>
              <w:pStyle w:val="Callout"/>
            </w:pPr>
            <w:r/>
            <w:r>
              <w:rPr>
                <w:b/>
                <w:color w:val="BF9000"/>
              </w:rPr>
              <w:t>Core academic distinction</w:t>
              <w:br/>
            </w:r>
            <w:r>
              <w:t>Major guidelines do not state that every previous cesarean pregnancy must be labelled HIGH or must undergo repeat cesarean birth. The project's HIGH category is a conservative facility-scope and referral decision. It means that specialist birth planning and hospital capability are required; it does not determine the final mode of birth.</w:t>
            </w:r>
          </w:p>
        </w:tc>
      </w:tr>
    </w:tbl>
    <w:p>
      <w:pPr>
        <w:spacing w:after="20"/>
      </w:pPr>
    </w:p>
    <w:p>
      <w:pPr>
        <w:pStyle w:val="Heading1"/>
      </w:pPr>
      <w:r>
        <w:t>1. Purpose and Scope</w:t>
      </w:r>
    </w:p>
    <w:p>
      <w:r>
        <w:t>This chapter documents the evidence, implementation rationale, safety boundaries, explainability requirements, and validation criteria for the previous-cesarean deterministic rule.</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4968"/>
            <w:vAlign w:val="center"/>
            <w:tcMar>
              <w:top w:w="70" w:type="dxa"/>
              <w:bottom w:w="70" w:type="dxa"/>
              <w:start w:w="80" w:type="dxa"/>
              <w:end w:w="80" w:type="dxa"/>
            </w:tcMar>
            <w:shd w:fill="17365D"/>
          </w:tcPr>
          <w:p>
            <w:pPr>
              <w:pStyle w:val="TableHeader"/>
            </w:pPr>
            <w:r/>
            <w:r>
              <w:rPr>
                <w:b/>
                <w:color w:val="FFFFFF"/>
              </w:rPr>
              <w:t>In scope</w:t>
            </w:r>
          </w:p>
        </w:tc>
        <w:tc>
          <w:tcPr>
            <w:tcW w:type="dxa" w:w="4968"/>
            <w:vAlign w:val="center"/>
            <w:tcMar>
              <w:top w:w="70" w:type="dxa"/>
              <w:bottom w:w="70" w:type="dxa"/>
              <w:start w:w="80" w:type="dxa"/>
              <w:end w:w="80" w:type="dxa"/>
            </w:tcMar>
            <w:shd w:fill="17365D"/>
          </w:tcPr>
          <w:p>
            <w:pPr>
              <w:pStyle w:val="TableHeader"/>
            </w:pPr>
            <w:r/>
            <w:r>
              <w:rPr>
                <w:b/>
                <w:color w:val="FFFFFF"/>
              </w:rPr>
              <w:t>Outside scope</w:t>
            </w:r>
          </w:p>
        </w:tc>
      </w:tr>
      <w:tr>
        <w:trPr>
          <w:cantSplit/>
        </w:trPr>
        <w:tc>
          <w:tcPr>
            <w:tcW w:type="dxa" w:w="4968"/>
            <w:vAlign w:val="center"/>
            <w:tcMar>
              <w:top w:w="70" w:type="dxa"/>
              <w:bottom w:w="70" w:type="dxa"/>
              <w:start w:w="80" w:type="dxa"/>
              <w:end w:w="80" w:type="dxa"/>
            </w:tcMar>
          </w:tcPr>
          <w:p>
            <w:pPr>
              <w:pStyle w:val="TableText"/>
            </w:pPr>
            <w:r/>
            <w:r>
              <w:rPr>
                <w:b w:val="0"/>
              </w:rPr>
              <w:t>Recognizing any recorded previous cesarean as requiring higher-level review and birth planning.</w:t>
            </w:r>
          </w:p>
        </w:tc>
        <w:tc>
          <w:tcPr>
            <w:tcW w:type="dxa" w:w="4968"/>
            <w:vAlign w:val="center"/>
            <w:tcMar>
              <w:top w:w="70" w:type="dxa"/>
              <w:bottom w:w="70" w:type="dxa"/>
              <w:start w:w="80" w:type="dxa"/>
              <w:end w:w="80" w:type="dxa"/>
            </w:tcMar>
          </w:tcPr>
          <w:p>
            <w:pPr>
              <w:pStyle w:val="TableText"/>
            </w:pPr>
            <w:r/>
            <w:r>
              <w:rPr>
                <w:b w:val="0"/>
              </w:rPr>
              <w:t>Determining VBAC eligibility or recommending repeat cesarean from a single checkbox.</w:t>
            </w:r>
          </w:p>
        </w:tc>
      </w:tr>
      <w:tr>
        <w:trPr>
          <w:cantSplit/>
        </w:trPr>
        <w:tc>
          <w:tcPr>
            <w:tcW w:type="dxa" w:w="4968"/>
            <w:vAlign w:val="center"/>
            <w:tcMar>
              <w:top w:w="70" w:type="dxa"/>
              <w:bottom w:w="70" w:type="dxa"/>
              <w:start w:w="80" w:type="dxa"/>
              <w:end w:w="80" w:type="dxa"/>
            </w:tcMar>
            <w:shd w:fill="EDF4FA"/>
          </w:tcPr>
          <w:p>
            <w:pPr>
              <w:pStyle w:val="TableText"/>
            </w:pPr>
            <w:r/>
            <w:r>
              <w:rPr>
                <w:b w:val="0"/>
              </w:rPr>
              <w:t>Explaining why labour should occur where emergency cesarean and transfusion are immediately available.</w:t>
            </w:r>
          </w:p>
        </w:tc>
        <w:tc>
          <w:tcPr>
            <w:tcW w:type="dxa" w:w="4968"/>
            <w:vAlign w:val="center"/>
            <w:tcMar>
              <w:top w:w="70" w:type="dxa"/>
              <w:bottom w:w="70" w:type="dxa"/>
              <w:start w:w="80" w:type="dxa"/>
              <w:end w:w="80" w:type="dxa"/>
            </w:tcMar>
            <w:shd w:fill="EDF4FA"/>
          </w:tcPr>
          <w:p>
            <w:pPr>
              <w:pStyle w:val="TableText"/>
            </w:pPr>
            <w:r/>
            <w:r>
              <w:rPr>
                <w:b w:val="0"/>
              </w:rPr>
              <w:t>Interpreting an operative report, uterine scar type, pelvic adequacy, placenta location, or fetal status.</w:t>
            </w:r>
          </w:p>
        </w:tc>
      </w:tr>
      <w:tr>
        <w:trPr>
          <w:cantSplit/>
        </w:trPr>
        <w:tc>
          <w:tcPr>
            <w:tcW w:type="dxa" w:w="4968"/>
            <w:vAlign w:val="center"/>
            <w:tcMar>
              <w:top w:w="70" w:type="dxa"/>
              <w:bottom w:w="70" w:type="dxa"/>
              <w:start w:w="80" w:type="dxa"/>
              <w:end w:w="80" w:type="dxa"/>
            </w:tcMar>
          </w:tcPr>
          <w:p>
            <w:pPr>
              <w:pStyle w:val="TableText"/>
            </w:pPr>
            <w:r/>
            <w:r>
              <w:rPr>
                <w:b w:val="0"/>
              </w:rPr>
              <w:t>Supporting referral, documentation, and follow-up in a lying-in clinic.</w:t>
            </w:r>
          </w:p>
        </w:tc>
        <w:tc>
          <w:tcPr>
            <w:tcW w:type="dxa" w:w="4968"/>
            <w:vAlign w:val="center"/>
            <w:tcMar>
              <w:top w:w="70" w:type="dxa"/>
              <w:bottom w:w="70" w:type="dxa"/>
              <w:start w:w="80" w:type="dxa"/>
              <w:end w:w="80" w:type="dxa"/>
            </w:tcMar>
          </w:tcPr>
          <w:p>
            <w:pPr>
              <w:pStyle w:val="TableText"/>
            </w:pPr>
            <w:r/>
            <w:r>
              <w:rPr>
                <w:b w:val="0"/>
              </w:rPr>
              <w:t>Inducing or augmenting labour, prescribing prostaglandins or oxytocin, or managing trial of labour after cesarean.</w:t>
            </w:r>
          </w:p>
        </w:tc>
      </w:tr>
      <w:tr>
        <w:trPr>
          <w:cantSplit/>
        </w:trPr>
        <w:tc>
          <w:tcPr>
            <w:tcW w:type="dxa" w:w="4968"/>
            <w:vAlign w:val="center"/>
            <w:tcMar>
              <w:top w:w="70" w:type="dxa"/>
              <w:bottom w:w="70" w:type="dxa"/>
              <w:start w:w="80" w:type="dxa"/>
              <w:end w:w="80" w:type="dxa"/>
            </w:tcMar>
            <w:shd w:fill="EDF4FA"/>
          </w:tcPr>
          <w:p>
            <w:pPr>
              <w:pStyle w:val="TableText"/>
            </w:pPr>
            <w:r/>
            <w:r>
              <w:rPr>
                <w:b w:val="0"/>
              </w:rPr>
              <w:t>Preventing a LOW ML result from cancelling a known uterine-scar history.</w:t>
            </w:r>
          </w:p>
        </w:tc>
        <w:tc>
          <w:tcPr>
            <w:tcW w:type="dxa" w:w="4968"/>
            <w:vAlign w:val="center"/>
            <w:tcMar>
              <w:top w:w="70" w:type="dxa"/>
              <w:bottom w:w="70" w:type="dxa"/>
              <w:start w:w="80" w:type="dxa"/>
              <w:end w:w="80" w:type="dxa"/>
            </w:tcMar>
            <w:shd w:fill="EDF4FA"/>
          </w:tcPr>
          <w:p>
            <w:pPr>
              <w:pStyle w:val="TableText"/>
            </w:pPr>
            <w:r/>
            <w:r>
              <w:rPr>
                <w:b w:val="0"/>
              </w:rPr>
              <w:t>Guaranteeing VBAC success, predicting uterine rupture, or deciding timing of birth.</w:t>
            </w:r>
          </w:p>
        </w:tc>
      </w:tr>
    </w:tbl>
    <w:p>
      <w:pPr>
        <w:spacing w:after="20"/>
      </w:pPr>
    </w:p>
    <w:p>
      <w:pPr>
        <w:pStyle w:val="Heading1"/>
      </w:pPr>
      <w:r>
        <w:t>2. Implemented Project Rule</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cantSplit/>
        </w:trPr>
        <w:tc>
          <w:tcPr>
            <w:tcW w:type="dxa" w:w="1152"/>
            <w:vAlign w:val="center"/>
            <w:tcMar>
              <w:top w:w="70" w:type="dxa"/>
              <w:bottom w:w="70" w:type="dxa"/>
              <w:start w:w="80" w:type="dxa"/>
              <w:end w:w="80" w:type="dxa"/>
            </w:tcMar>
            <w:shd w:fill="17365D"/>
          </w:tcPr>
          <w:p>
            <w:pPr>
              <w:pStyle w:val="TableHeader"/>
            </w:pPr>
            <w:r/>
            <w:r>
              <w:rPr>
                <w:b/>
                <w:color w:val="FFFFFF"/>
              </w:rPr>
              <w:t>Rule ID</w:t>
            </w:r>
          </w:p>
        </w:tc>
        <w:tc>
          <w:tcPr>
            <w:tcW w:type="dxa" w:w="3528"/>
            <w:vAlign w:val="center"/>
            <w:tcMar>
              <w:top w:w="70" w:type="dxa"/>
              <w:bottom w:w="70" w:type="dxa"/>
              <w:start w:w="80" w:type="dxa"/>
              <w:end w:w="80" w:type="dxa"/>
            </w:tcMar>
            <w:shd w:fill="17365D"/>
          </w:tcPr>
          <w:p>
            <w:pPr>
              <w:pStyle w:val="TableHeader"/>
            </w:pPr>
            <w:r/>
            <w:r>
              <w:rPr>
                <w:b/>
                <w:color w:val="FFFFFF"/>
              </w:rPr>
              <w:t>Input condition</w:t>
            </w:r>
          </w:p>
        </w:tc>
        <w:tc>
          <w:tcPr>
            <w:tcW w:type="dxa" w:w="2016"/>
            <w:vAlign w:val="center"/>
            <w:tcMar>
              <w:top w:w="70" w:type="dxa"/>
              <w:bottom w:w="70" w:type="dxa"/>
              <w:start w:w="80" w:type="dxa"/>
              <w:end w:w="80" w:type="dxa"/>
            </w:tcMar>
            <w:shd w:fill="17365D"/>
          </w:tcPr>
          <w:p>
            <w:pPr>
              <w:pStyle w:val="TableHeader"/>
            </w:pPr>
            <w:r/>
            <w:r>
              <w:rPr>
                <w:b/>
                <w:color w:val="FFFFFF"/>
              </w:rPr>
              <w:t>CDSS output</w:t>
            </w:r>
          </w:p>
        </w:tc>
        <w:tc>
          <w:tcPr>
            <w:tcW w:type="dxa" w:w="3960"/>
            <w:vAlign w:val="center"/>
            <w:tcMar>
              <w:top w:w="70" w:type="dxa"/>
              <w:bottom w:w="70" w:type="dxa"/>
              <w:start w:w="80" w:type="dxa"/>
              <w:end w:w="80" w:type="dxa"/>
            </w:tcMar>
            <w:shd w:fill="17365D"/>
          </w:tcPr>
          <w:p>
            <w:pPr>
              <w:pStyle w:val="TableHeader"/>
            </w:pPr>
            <w:r/>
            <w:r>
              <w:rPr>
                <w:b/>
                <w:color w:val="FFFFFF"/>
              </w:rPr>
              <w:t>System meaning</w:t>
            </w:r>
          </w:p>
        </w:tc>
      </w:tr>
      <w:tr>
        <w:trPr>
          <w:cantSplit/>
        </w:trPr>
        <w:tc>
          <w:tcPr>
            <w:tcW w:type="dxa" w:w="1152"/>
            <w:vAlign w:val="center"/>
            <w:tcMar>
              <w:top w:w="70" w:type="dxa"/>
              <w:bottom w:w="70" w:type="dxa"/>
              <w:start w:w="80" w:type="dxa"/>
              <w:end w:w="80" w:type="dxa"/>
            </w:tcMar>
          </w:tcPr>
          <w:p>
            <w:pPr>
              <w:pStyle w:val="TableText"/>
            </w:pPr>
            <w:r/>
            <w:r>
              <w:rPr>
                <w:b w:val="0"/>
              </w:rPr>
              <w:t>CS-01</w:t>
            </w:r>
          </w:p>
        </w:tc>
        <w:tc>
          <w:tcPr>
            <w:tcW w:type="dxa" w:w="3528"/>
            <w:vAlign w:val="center"/>
            <w:tcMar>
              <w:top w:w="70" w:type="dxa"/>
              <w:bottom w:w="70" w:type="dxa"/>
              <w:start w:w="80" w:type="dxa"/>
              <w:end w:w="80" w:type="dxa"/>
            </w:tcMar>
          </w:tcPr>
          <w:p>
            <w:pPr>
              <w:pStyle w:val="TableText"/>
            </w:pPr>
            <w:r/>
            <w:r>
              <w:rPr>
                <w:b w:val="0"/>
              </w:rPr>
              <w:t>Medical history indicates one or more previous cesarean deliveries.</w:t>
            </w:r>
          </w:p>
        </w:tc>
        <w:tc>
          <w:tcPr>
            <w:tcW w:type="dxa" w:w="2016"/>
            <w:vAlign w:val="center"/>
            <w:tcMar>
              <w:top w:w="70" w:type="dxa"/>
              <w:bottom w:w="70" w:type="dxa"/>
              <w:start w:w="80" w:type="dxa"/>
              <w:end w:w="80" w:type="dxa"/>
            </w:tcMar>
          </w:tcPr>
          <w:p>
            <w:pPr>
              <w:pStyle w:val="TableText"/>
            </w:pPr>
            <w:r/>
            <w:r>
              <w:rPr>
                <w:b w:val="0"/>
              </w:rPr>
              <w:t>HIGH</w:t>
            </w:r>
          </w:p>
        </w:tc>
        <w:tc>
          <w:tcPr>
            <w:tcW w:type="dxa" w:w="3960"/>
            <w:vAlign w:val="center"/>
            <w:tcMar>
              <w:top w:w="70" w:type="dxa"/>
              <w:bottom w:w="70" w:type="dxa"/>
              <w:start w:w="80" w:type="dxa"/>
              <w:end w:w="80" w:type="dxa"/>
            </w:tcMar>
          </w:tcPr>
          <w:p>
            <w:pPr>
              <w:pStyle w:val="TableText"/>
            </w:pPr>
            <w:r/>
            <w:r>
              <w:rPr>
                <w:b w:val="0"/>
              </w:rPr>
              <w:t>Obstetric review, documented birth plan, and hospital-based delivery capability are required.</w:t>
            </w:r>
          </w:p>
        </w:tc>
      </w:tr>
      <w:tr>
        <w:trPr>
          <w:cantSplit/>
        </w:trPr>
        <w:tc>
          <w:tcPr>
            <w:tcW w:type="dxa" w:w="1152"/>
            <w:vAlign w:val="center"/>
            <w:tcMar>
              <w:top w:w="70" w:type="dxa"/>
              <w:bottom w:w="70" w:type="dxa"/>
              <w:start w:w="80" w:type="dxa"/>
              <w:end w:w="80" w:type="dxa"/>
            </w:tcMar>
            <w:shd w:fill="EDF4FA"/>
          </w:tcPr>
          <w:p>
            <w:pPr>
              <w:pStyle w:val="TableText"/>
            </w:pPr>
            <w:r/>
            <w:r>
              <w:rPr>
                <w:b w:val="0"/>
              </w:rPr>
              <w:t>CS-00</w:t>
            </w:r>
          </w:p>
        </w:tc>
        <w:tc>
          <w:tcPr>
            <w:tcW w:type="dxa" w:w="3528"/>
            <w:vAlign w:val="center"/>
            <w:tcMar>
              <w:top w:w="70" w:type="dxa"/>
              <w:bottom w:w="70" w:type="dxa"/>
              <w:start w:w="80" w:type="dxa"/>
              <w:end w:w="80" w:type="dxa"/>
            </w:tcMar>
            <w:shd w:fill="EDF4FA"/>
          </w:tcPr>
          <w:p>
            <w:pPr>
              <w:pStyle w:val="TableText"/>
            </w:pPr>
            <w:r/>
            <w:r>
              <w:rPr>
                <w:b w:val="0"/>
              </w:rPr>
              <w:t>Previous cesarean recorded absent and no other HIGH factor exists.</w:t>
            </w:r>
          </w:p>
        </w:tc>
        <w:tc>
          <w:tcPr>
            <w:tcW w:type="dxa" w:w="2016"/>
            <w:vAlign w:val="center"/>
            <w:tcMar>
              <w:top w:w="70" w:type="dxa"/>
              <w:bottom w:w="70" w:type="dxa"/>
              <w:start w:w="80" w:type="dxa"/>
              <w:end w:w="80" w:type="dxa"/>
            </w:tcMar>
            <w:shd w:fill="EDF4FA"/>
          </w:tcPr>
          <w:p>
            <w:pPr>
              <w:pStyle w:val="TableText"/>
            </w:pPr>
            <w:r/>
            <w:r>
              <w:rPr>
                <w:b w:val="0"/>
              </w:rPr>
              <w:t>No cesarean-based override</w:t>
            </w:r>
          </w:p>
        </w:tc>
        <w:tc>
          <w:tcPr>
            <w:tcW w:type="dxa" w:w="3960"/>
            <w:vAlign w:val="center"/>
            <w:tcMar>
              <w:top w:w="70" w:type="dxa"/>
              <w:bottom w:w="70" w:type="dxa"/>
              <w:start w:w="80" w:type="dxa"/>
              <w:end w:w="80" w:type="dxa"/>
            </w:tcMar>
            <w:shd w:fill="EDF4FA"/>
          </w:tcPr>
          <w:p>
            <w:pPr>
              <w:pStyle w:val="TableText"/>
            </w:pPr>
            <w:r/>
            <w:r>
              <w:rPr>
                <w:b w:val="0"/>
              </w:rPr>
              <w:t>Final result remains dependent on other rules, complete records, and valid ML output.</w:t>
            </w:r>
          </w:p>
        </w:tc>
      </w:tr>
      <w:tr>
        <w:trPr>
          <w:cantSplit/>
        </w:trPr>
        <w:tc>
          <w:tcPr>
            <w:tcW w:type="dxa" w:w="1152"/>
            <w:vAlign w:val="center"/>
            <w:tcMar>
              <w:top w:w="70" w:type="dxa"/>
              <w:bottom w:w="70" w:type="dxa"/>
              <w:start w:w="80" w:type="dxa"/>
              <w:end w:w="80" w:type="dxa"/>
            </w:tcMar>
          </w:tcPr>
          <w:p>
            <w:pPr>
              <w:pStyle w:val="TableText"/>
            </w:pPr>
            <w:r/>
            <w:r>
              <w:rPr>
                <w:b w:val="0"/>
              </w:rPr>
              <w:t>CS-INC</w:t>
            </w:r>
          </w:p>
        </w:tc>
        <w:tc>
          <w:tcPr>
            <w:tcW w:type="dxa" w:w="3528"/>
            <w:vAlign w:val="center"/>
            <w:tcMar>
              <w:top w:w="70" w:type="dxa"/>
              <w:bottom w:w="70" w:type="dxa"/>
              <w:start w:w="80" w:type="dxa"/>
              <w:end w:w="80" w:type="dxa"/>
            </w:tcMar>
          </w:tcPr>
          <w:p>
            <w:pPr>
              <w:pStyle w:val="TableText"/>
            </w:pPr>
            <w:r/>
            <w:r>
              <w:rPr>
                <w:b w:val="0"/>
              </w:rPr>
              <w:t>Previous cesarean field is missing, unknown, contradictory, or medical history is unavailable.</w:t>
            </w:r>
          </w:p>
        </w:tc>
        <w:tc>
          <w:tcPr>
            <w:tcW w:type="dxa" w:w="2016"/>
            <w:vAlign w:val="center"/>
            <w:tcMar>
              <w:top w:w="70" w:type="dxa"/>
              <w:bottom w:w="70" w:type="dxa"/>
              <w:start w:w="80" w:type="dxa"/>
              <w:end w:w="80" w:type="dxa"/>
            </w:tcMar>
          </w:tcPr>
          <w:p>
            <w:pPr>
              <w:pStyle w:val="TableText"/>
            </w:pPr>
            <w:r/>
            <w:r>
              <w:rPr>
                <w:b w:val="0"/>
              </w:rPr>
              <w:t>ASSESSMENT INCOMPLETE</w:t>
            </w:r>
          </w:p>
        </w:tc>
        <w:tc>
          <w:tcPr>
            <w:tcW w:type="dxa" w:w="3960"/>
            <w:vAlign w:val="center"/>
            <w:tcMar>
              <w:top w:w="70" w:type="dxa"/>
              <w:bottom w:w="70" w:type="dxa"/>
              <w:start w:w="80" w:type="dxa"/>
              <w:end w:w="80" w:type="dxa"/>
            </w:tcMar>
          </w:tcPr>
          <w:p>
            <w:pPr>
              <w:pStyle w:val="TableText"/>
            </w:pPr>
            <w:r/>
            <w:r>
              <w:rPr>
                <w:b w:val="0"/>
              </w:rPr>
              <w:t>Do not infer absence; verify obstetric history.</w:t>
            </w:r>
          </w:p>
        </w:tc>
      </w:tr>
    </w:tbl>
    <w:p>
      <w:pPr>
        <w:spacing w:after="20"/>
      </w:pPr>
    </w:p>
    <w:tbl>
      <w:tblPr>
        <w:tblW w:type="auto" w:w="0"/>
        <w:tblLook w:firstColumn="1" w:firstRow="1" w:lastColumn="0" w:lastRow="0" w:noHBand="0" w:noVBand="1" w:val="04A0"/>
      </w:tblPr>
      <w:tblGrid>
        <w:gridCol w:w="10080"/>
      </w:tblGrid>
      <w:tr>
        <w:tc>
          <w:tcPr>
            <w:tcW w:type="dxa" w:w="10080"/>
            <w:shd w:fill="F2F2F2"/>
            <w:tcBorders>
              <w:top w:val="single" w:sz="8" w:color="666666"/>
              <w:left w:val="single" w:sz="8" w:color="666666"/>
              <w:bottom w:val="single" w:sz="8" w:color="666666"/>
              <w:right w:val="single" w:sz="8" w:color="666666"/>
            </w:tcBorders>
            <w:tcMar>
              <w:top w:w="110" w:type="dxa"/>
              <w:bottom w:w="110" w:type="dxa"/>
              <w:start w:w="120" w:type="dxa"/>
              <w:end w:w="120" w:type="dxa"/>
            </w:tcMar>
          </w:tcPr>
          <w:p>
            <w:pPr>
              <w:pStyle w:val="Callout"/>
            </w:pPr>
            <w:r/>
            <w:r>
              <w:rPr>
                <w:b/>
                <w:color w:val="666666"/>
              </w:rPr>
              <w:t>Current data limitation</w:t>
              <w:br/>
            </w:r>
            <w:r>
              <w:t>The implemented field is boolean. It does not identify the number of prior cesareans, uterine incision type, indication, complications, prior vaginal birth, prior VBAC, interval since surgery, or current placenta location. The CDSS therefore cannot perform individualized VBAC eligibility assessment.</w:t>
            </w:r>
          </w:p>
        </w:tc>
      </w:tr>
    </w:tbl>
    <w:p>
      <w:pPr>
        <w:spacing w:after="20"/>
      </w:pPr>
    </w:p>
    <w:p>
      <w:pPr>
        <w:pStyle w:val="Heading1"/>
      </w:pPr>
      <w:r>
        <w:t>3. Clinical Background</w:t>
      </w:r>
    </w:p>
    <w:p>
      <w:pPr>
        <w:pStyle w:val="Heading2"/>
      </w:pPr>
      <w:r>
        <w:t>3.1 Birth options after a previous cesarean</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2232"/>
            <w:vAlign w:val="center"/>
            <w:tcMar>
              <w:top w:w="70" w:type="dxa"/>
              <w:bottom w:w="70" w:type="dxa"/>
              <w:start w:w="80" w:type="dxa"/>
              <w:end w:w="80" w:type="dxa"/>
            </w:tcMar>
            <w:shd w:fill="17365D"/>
          </w:tcPr>
          <w:p>
            <w:pPr>
              <w:pStyle w:val="TableHeader"/>
            </w:pPr>
            <w:r/>
            <w:r>
              <w:rPr>
                <w:b/>
                <w:color w:val="FFFFFF"/>
              </w:rPr>
              <w:t>Option</w:t>
            </w:r>
          </w:p>
        </w:tc>
        <w:tc>
          <w:tcPr>
            <w:tcW w:type="dxa" w:w="3816"/>
            <w:vAlign w:val="center"/>
            <w:tcMar>
              <w:top w:w="70" w:type="dxa"/>
              <w:bottom w:w="70" w:type="dxa"/>
              <w:start w:w="80" w:type="dxa"/>
              <w:end w:w="80" w:type="dxa"/>
            </w:tcMar>
            <w:shd w:fill="17365D"/>
          </w:tcPr>
          <w:p>
            <w:pPr>
              <w:pStyle w:val="TableHeader"/>
            </w:pPr>
            <w:r/>
            <w:r>
              <w:rPr>
                <w:b/>
                <w:color w:val="FFFFFF"/>
              </w:rPr>
              <w:t>Description</w:t>
            </w:r>
          </w:p>
        </w:tc>
        <w:tc>
          <w:tcPr>
            <w:tcW w:type="dxa" w:w="5112"/>
            <w:vAlign w:val="center"/>
            <w:tcMar>
              <w:top w:w="70" w:type="dxa"/>
              <w:bottom w:w="70" w:type="dxa"/>
              <w:start w:w="80" w:type="dxa"/>
              <w:end w:w="80" w:type="dxa"/>
            </w:tcMar>
            <w:shd w:fill="17365D"/>
          </w:tcPr>
          <w:p>
            <w:pPr>
              <w:pStyle w:val="TableHeader"/>
            </w:pPr>
            <w:r/>
            <w:r>
              <w:rPr>
                <w:b/>
                <w:color w:val="FFFFFF"/>
              </w:rPr>
              <w:t>Important considerations</w:t>
            </w:r>
          </w:p>
        </w:tc>
      </w:tr>
      <w:tr>
        <w:trPr>
          <w:cantSplit/>
        </w:trPr>
        <w:tc>
          <w:tcPr>
            <w:tcW w:type="dxa" w:w="2232"/>
            <w:vAlign w:val="center"/>
            <w:tcMar>
              <w:top w:w="70" w:type="dxa"/>
              <w:bottom w:w="70" w:type="dxa"/>
              <w:start w:w="80" w:type="dxa"/>
              <w:end w:w="80" w:type="dxa"/>
            </w:tcMar>
          </w:tcPr>
          <w:p>
            <w:pPr>
              <w:pStyle w:val="TableText"/>
            </w:pPr>
            <w:r/>
            <w:r>
              <w:rPr>
                <w:b w:val="0"/>
              </w:rPr>
              <w:t>Planned VBAC</w:t>
            </w:r>
          </w:p>
        </w:tc>
        <w:tc>
          <w:tcPr>
            <w:tcW w:type="dxa" w:w="3816"/>
            <w:vAlign w:val="center"/>
            <w:tcMar>
              <w:top w:w="70" w:type="dxa"/>
              <w:bottom w:w="70" w:type="dxa"/>
              <w:start w:w="80" w:type="dxa"/>
              <w:end w:w="80" w:type="dxa"/>
            </w:tcMar>
          </w:tcPr>
          <w:p>
            <w:pPr>
              <w:pStyle w:val="TableText"/>
            </w:pPr>
            <w:r/>
            <w:r>
              <w:rPr>
                <w:b w:val="0"/>
              </w:rPr>
              <w:t>A planned vaginal birth in a patient with a uterine scar, often described clinically as a trial of labour after cesarean before the outcome is known.</w:t>
            </w:r>
          </w:p>
        </w:tc>
        <w:tc>
          <w:tcPr>
            <w:tcW w:type="dxa" w:w="5112"/>
            <w:vAlign w:val="center"/>
            <w:tcMar>
              <w:top w:w="70" w:type="dxa"/>
              <w:bottom w:w="70" w:type="dxa"/>
              <w:start w:w="80" w:type="dxa"/>
              <w:end w:w="80" w:type="dxa"/>
            </w:tcMar>
          </w:tcPr>
          <w:p>
            <w:pPr>
              <w:pStyle w:val="TableText"/>
            </w:pPr>
            <w:r/>
            <w:r>
              <w:rPr>
                <w:b w:val="0"/>
              </w:rPr>
              <w:t>May avoid major abdominal surgery when successful, but requires individualized eligibility review, continuous monitoring, and immediate emergency surgical capability.</w:t>
            </w:r>
          </w:p>
        </w:tc>
      </w:tr>
      <w:tr>
        <w:trPr>
          <w:cantSplit/>
        </w:trPr>
        <w:tc>
          <w:tcPr>
            <w:tcW w:type="dxa" w:w="2232"/>
            <w:vAlign w:val="center"/>
            <w:tcMar>
              <w:top w:w="70" w:type="dxa"/>
              <w:bottom w:w="70" w:type="dxa"/>
              <w:start w:w="80" w:type="dxa"/>
              <w:end w:w="80" w:type="dxa"/>
            </w:tcMar>
            <w:shd w:fill="EDF4FA"/>
          </w:tcPr>
          <w:p>
            <w:pPr>
              <w:pStyle w:val="TableText"/>
            </w:pPr>
            <w:r/>
            <w:r>
              <w:rPr>
                <w:b w:val="0"/>
              </w:rPr>
              <w:t>Elective repeat cesarean birth</w:t>
            </w:r>
          </w:p>
        </w:tc>
        <w:tc>
          <w:tcPr>
            <w:tcW w:type="dxa" w:w="3816"/>
            <w:vAlign w:val="center"/>
            <w:tcMar>
              <w:top w:w="70" w:type="dxa"/>
              <w:bottom w:w="70" w:type="dxa"/>
              <w:start w:w="80" w:type="dxa"/>
              <w:end w:w="80" w:type="dxa"/>
            </w:tcMar>
            <w:shd w:fill="EDF4FA"/>
          </w:tcPr>
          <w:p>
            <w:pPr>
              <w:pStyle w:val="TableText"/>
            </w:pPr>
            <w:r/>
            <w:r>
              <w:rPr>
                <w:b w:val="0"/>
              </w:rPr>
              <w:t>A planned cesarean before labour, based on informed decision and clinical assessment.</w:t>
            </w:r>
          </w:p>
        </w:tc>
        <w:tc>
          <w:tcPr>
            <w:tcW w:type="dxa" w:w="5112"/>
            <w:vAlign w:val="center"/>
            <w:tcMar>
              <w:top w:w="70" w:type="dxa"/>
              <w:bottom w:w="70" w:type="dxa"/>
              <w:start w:w="80" w:type="dxa"/>
              <w:end w:w="80" w:type="dxa"/>
            </w:tcMar>
            <w:shd w:fill="EDF4FA"/>
          </w:tcPr>
          <w:p>
            <w:pPr>
              <w:pStyle w:val="TableText"/>
            </w:pPr>
            <w:r/>
            <w:r>
              <w:rPr>
                <w:b w:val="0"/>
              </w:rPr>
              <w:t>Avoids labour-related uterine rupture risk but involves surgical recovery and cumulative risks in future pregnancies.</w:t>
            </w:r>
          </w:p>
        </w:tc>
      </w:tr>
      <w:tr>
        <w:trPr>
          <w:cantSplit/>
        </w:trPr>
        <w:tc>
          <w:tcPr>
            <w:tcW w:type="dxa" w:w="2232"/>
            <w:vAlign w:val="center"/>
            <w:tcMar>
              <w:top w:w="70" w:type="dxa"/>
              <w:bottom w:w="70" w:type="dxa"/>
              <w:start w:w="80" w:type="dxa"/>
              <w:end w:w="80" w:type="dxa"/>
            </w:tcMar>
          </w:tcPr>
          <w:p>
            <w:pPr>
              <w:pStyle w:val="TableText"/>
            </w:pPr>
            <w:r/>
            <w:r>
              <w:rPr>
                <w:b w:val="0"/>
              </w:rPr>
              <w:t>Unplanned emergency cesarean</w:t>
            </w:r>
          </w:p>
        </w:tc>
        <w:tc>
          <w:tcPr>
            <w:tcW w:type="dxa" w:w="3816"/>
            <w:vAlign w:val="center"/>
            <w:tcMar>
              <w:top w:w="70" w:type="dxa"/>
              <w:bottom w:w="70" w:type="dxa"/>
              <w:start w:w="80" w:type="dxa"/>
              <w:end w:w="80" w:type="dxa"/>
            </w:tcMar>
          </w:tcPr>
          <w:p>
            <w:pPr>
              <w:pStyle w:val="TableText"/>
            </w:pPr>
            <w:r/>
            <w:r>
              <w:rPr>
                <w:b w:val="0"/>
              </w:rPr>
              <w:t>Cesarean performed after labour begins because of maternal or fetal concern or unsuccessful labour.</w:t>
            </w:r>
          </w:p>
        </w:tc>
        <w:tc>
          <w:tcPr>
            <w:tcW w:type="dxa" w:w="5112"/>
            <w:vAlign w:val="center"/>
            <w:tcMar>
              <w:top w:w="70" w:type="dxa"/>
              <w:bottom w:w="70" w:type="dxa"/>
              <w:start w:w="80" w:type="dxa"/>
              <w:end w:w="80" w:type="dxa"/>
            </w:tcMar>
          </w:tcPr>
          <w:p>
            <w:pPr>
              <w:pStyle w:val="TableText"/>
            </w:pPr>
            <w:r/>
            <w:r>
              <w:rPr>
                <w:b w:val="0"/>
              </w:rPr>
              <w:t>May carry greater morbidity than a successful VBAC or an uncomplicated planned repeat cesarean.</w:t>
            </w:r>
          </w:p>
        </w:tc>
      </w:tr>
    </w:tbl>
    <w:p>
      <w:pPr>
        <w:spacing w:after="20"/>
      </w:pPr>
    </w:p>
    <w:p>
      <w:r>
        <w:t>RCOG reports that approximately three out of four women with one previous cesarean, an otherwise straightforward pregnancy, and spontaneous labour achieve vaginal birth. A previous vaginal birth increases the likelihood of successful VBAC. These population estimates support informed counseling but must not be used by the CDSS as an individual guarantee.</w:t>
      </w:r>
    </w:p>
    <w:p>
      <w:pPr>
        <w:pStyle w:val="Heading2"/>
      </w:pPr>
      <w:r>
        <w:t>3.2 Main clinical risks requiring higher-level capability</w:t>
      </w:r>
    </w:p>
    <w:p>
      <w:pPr>
        <w:pStyle w:val="ListBullet"/>
        <w:spacing w:after="40"/>
      </w:pPr>
      <w:r>
        <w:t>Uterine rupture is uncommon but potentially life-threatening and requires immediate obstetric and surgical response.</w:t>
      </w:r>
    </w:p>
    <w:p>
      <w:pPr>
        <w:pStyle w:val="ListBullet"/>
        <w:spacing w:after="40"/>
      </w:pPr>
      <w:r>
        <w:t>Continuous fetal monitoring may be needed because fetal heart-rate abnormality can be an early sign of scar complications.</w:t>
      </w:r>
    </w:p>
    <w:p>
      <w:pPr>
        <w:pStyle w:val="ListBullet"/>
        <w:spacing w:after="40"/>
      </w:pPr>
      <w:r>
        <w:t>Emergency cesarean birth may be required during a trial of labour.</w:t>
      </w:r>
    </w:p>
    <w:p>
      <w:pPr>
        <w:pStyle w:val="ListBullet"/>
        <w:spacing w:after="40"/>
      </w:pPr>
      <w:r>
        <w:t>Heavy bleeding may require transfusion, surgical control, or other hospital resources.</w:t>
      </w:r>
    </w:p>
    <w:p>
      <w:pPr>
        <w:pStyle w:val="ListBullet"/>
        <w:spacing w:after="40"/>
      </w:pPr>
      <w:r>
        <w:t>Repeat cesareans add scar tissue and can increase the complexity of later surgery.</w:t>
      </w:r>
    </w:p>
    <w:p>
      <w:pPr>
        <w:pStyle w:val="ListBullet"/>
        <w:spacing w:after="40"/>
      </w:pPr>
      <w:r>
        <w:t>Placenta previa and placenta accreta spectrum become important concerns in later pregnancies, particularly as the number of cesareans increases.</w:t>
      </w:r>
    </w:p>
    <w:p>
      <w:pPr>
        <w:pStyle w:val="ListBullet"/>
        <w:spacing w:after="40"/>
      </w:pPr>
      <w:r>
        <w:t>Induction and augmentation decisions are specialized because some methods increase uterine rupture risk in a scarred uterus.</w:t>
      </w:r>
    </w:p>
    <w:p>
      <w:pPr>
        <w:pStyle w:val="Heading1"/>
      </w:pPr>
      <w:r>
        <w:t>4. Evidence Review</w:t>
      </w:r>
    </w:p>
    <w:p>
      <w:pPr>
        <w:pStyle w:val="Heading2"/>
      </w:pPr>
      <w:r>
        <w:t>4.1 NICE NG192: pregnancy and childbirth after cesarean</w:t>
      </w:r>
    </w:p>
    <w:p>
      <w:r>
        <w:t>NICE NG192, last updated in June 2025, directs clinicians to consider the patient's preferences, the risks and benefits of planned repeat cesarean birth, and the risks and benefits of planned VBAC, including the possibility of unplanned cesarean birth. For patients planning vaginal birth after a previous cesarean, NICE recommends electronic fetal monitoring during labour and care in a unit with immediate access to cesarean birth and on-site blood transfusion services.</w:t>
      </w:r>
    </w:p>
    <w:p>
      <w:r>
        <w:t>This recommendation directly supports the project's facility-scope logic: a non-hospital lying-in clinic without immediate operative and transfusion capability should not treat a planned labour after cesarean as routine low-risk delivery.</w:t>
      </w:r>
    </w:p>
    <w:p>
      <w:pPr>
        <w:pStyle w:val="Heading2"/>
      </w:pPr>
      <w:r>
        <w:t>4.2 NICE NG121 and NG207: labour and induction</w:t>
      </w:r>
    </w:p>
    <w:p>
      <w:r>
        <w:t>NICE NG121 explains that vaginal birth after cesarean carries a small chance of uterine rupture and that emergency cesarean may increase the chance of heavy bleeding requiring transfusion, infection, longer hospital stay, and complications in future pregnancy. NICE NG207 states that induction after previous cesarean can increase the risk of emergency cesarean and uterine rupture, and that dinoprostone and misoprostol marketing authorisations contraindicate their use for induction in women with a uterine scar because of increased rupture risk.</w:t>
      </w:r>
    </w:p>
    <w:tbl>
      <w:tblPr>
        <w:tblW w:type="auto" w:w="0"/>
        <w:tblLook w:firstColumn="1" w:firstRow="1" w:lastColumn="0" w:lastRow="0" w:noHBand="0" w:noVBand="1" w:val="04A0"/>
      </w:tblPr>
      <w:tblGrid>
        <w:gridCol w:w="10080"/>
      </w:tblGrid>
      <w:tr>
        <w:tc>
          <w:tcPr>
            <w:tcW w:type="dxa" w:w="10080"/>
            <w:shd w:fill="FCE4D6"/>
            <w:tcBorders>
              <w:top w:val="single" w:sz="8" w:color="C00000"/>
              <w:left w:val="single" w:sz="8" w:color="C00000"/>
              <w:bottom w:val="single" w:sz="8" w:color="C00000"/>
              <w:right w:val="single" w:sz="8" w:color="C00000"/>
            </w:tcBorders>
            <w:tcMar>
              <w:top w:w="110" w:type="dxa"/>
              <w:bottom w:w="110" w:type="dxa"/>
              <w:start w:w="120" w:type="dxa"/>
              <w:end w:w="120" w:type="dxa"/>
            </w:tcMar>
          </w:tcPr>
          <w:p>
            <w:pPr>
              <w:pStyle w:val="Callout"/>
            </w:pPr>
            <w:r/>
            <w:r>
              <w:rPr>
                <w:b/>
                <w:color w:val="C00000"/>
              </w:rPr>
              <w:t>Medication and induction boundary</w:t>
              <w:br/>
            </w:r>
            <w:r>
              <w:t>The project CDSS must not advise induction method, cervical ripening agent, oxytocin use, or augmentation. These decisions require obstetric supervision, informed consent, monitoring, and immediate surgical readiness.</w:t>
            </w:r>
          </w:p>
        </w:tc>
      </w:tr>
    </w:tbl>
    <w:p>
      <w:pPr>
        <w:spacing w:after="20"/>
      </w:pPr>
    </w:p>
    <w:p>
      <w:pPr>
        <w:pStyle w:val="Heading2"/>
      </w:pPr>
      <w:r>
        <w:t>4.3 RCOG guidance</w:t>
      </w:r>
    </w:p>
    <w:p>
      <w:r>
        <w:t>RCOG states that both VBAC and elective repeat cesarean can be safe choices for appropriately selected patients. It emphasizes individualized discussion of the reason for the previous cesarean, prior vaginal birth, complications, uterine incision, current pregnancy, and patient preferences. RCOG advises patients planning VBAC to give birth in hospital so an emergency cesarean can be carried out if needed.</w:t>
      </w:r>
    </w:p>
    <w:p>
      <w:pPr>
        <w:pStyle w:val="Heading2"/>
      </w:pPr>
      <w:r>
        <w:t>4.4 ACOG guidance</w:t>
      </w:r>
    </w:p>
    <w:p>
      <w:r>
        <w:t>ACOG's guidance on vaginal birth after cesarean describes VBAC as a possible option for many patients and stresses counseling about benefits and risks. Factors such as the uterine incision, number of prior cesareans, previous vaginal birth, reason for prior cesarean, and facility readiness affect the decision. The project uses these principles to justify referral for individualized obstetric assessment rather than making an autonomous delivery recommendation.</w:t>
      </w:r>
    </w:p>
    <w:p>
      <w:pPr>
        <w:pStyle w:val="Heading2"/>
      </w:pPr>
      <w:r>
        <w:t>4.5 WHO perspective</w:t>
      </w:r>
    </w:p>
    <w:p>
      <w:r>
        <w:t>WHO emphasizes that cesarean birth should be performed when medically necessary and promotes the Robson classification for monitoring cesarean use. Previous cesarean is one of the core obstetric characteristics used in that classification. WHO's population-level work does not supply a patient-level VBAC decision rule for this software; it supports careful documentation and evaluation of cesarean history.</w:t>
      </w:r>
    </w:p>
    <w:p>
      <w:pPr>
        <w:pStyle w:val="Heading1"/>
      </w:pPr>
      <w:r>
        <w:t>5. Guideline-to-System Comparison</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cantSplit/>
        </w:trPr>
        <w:tc>
          <w:tcPr>
            <w:tcW w:type="dxa" w:w="1440"/>
            <w:vAlign w:val="center"/>
            <w:tcMar>
              <w:top w:w="70" w:type="dxa"/>
              <w:bottom w:w="70" w:type="dxa"/>
              <w:start w:w="80" w:type="dxa"/>
              <w:end w:w="80" w:type="dxa"/>
            </w:tcMar>
            <w:shd w:fill="17365D"/>
          </w:tcPr>
          <w:p>
            <w:pPr>
              <w:pStyle w:val="TableHeader"/>
            </w:pPr>
            <w:r/>
            <w:r>
              <w:rPr>
                <w:b/>
                <w:color w:val="FFFFFF"/>
              </w:rPr>
              <w:t>Source</w:t>
            </w:r>
          </w:p>
        </w:tc>
        <w:tc>
          <w:tcPr>
            <w:tcW w:type="dxa" w:w="3384"/>
            <w:vAlign w:val="center"/>
            <w:tcMar>
              <w:top w:w="70" w:type="dxa"/>
              <w:bottom w:w="70" w:type="dxa"/>
              <w:start w:w="80" w:type="dxa"/>
              <w:end w:w="80" w:type="dxa"/>
            </w:tcMar>
            <w:shd w:fill="17365D"/>
          </w:tcPr>
          <w:p>
            <w:pPr>
              <w:pStyle w:val="TableHeader"/>
            </w:pPr>
            <w:r/>
            <w:r>
              <w:rPr>
                <w:b/>
                <w:color w:val="FFFFFF"/>
              </w:rPr>
              <w:t>Supported principle</w:t>
            </w:r>
          </w:p>
        </w:tc>
        <w:tc>
          <w:tcPr>
            <w:tcW w:type="dxa" w:w="3456"/>
            <w:vAlign w:val="center"/>
            <w:tcMar>
              <w:top w:w="70" w:type="dxa"/>
              <w:bottom w:w="70" w:type="dxa"/>
              <w:start w:w="80" w:type="dxa"/>
              <w:end w:w="80" w:type="dxa"/>
            </w:tcMar>
            <w:shd w:fill="17365D"/>
          </w:tcPr>
          <w:p>
            <w:pPr>
              <w:pStyle w:val="TableHeader"/>
            </w:pPr>
            <w:r/>
            <w:r>
              <w:rPr>
                <w:b/>
                <w:color w:val="FFFFFF"/>
              </w:rPr>
              <w:t>Project implementation</w:t>
            </w:r>
          </w:p>
        </w:tc>
        <w:tc>
          <w:tcPr>
            <w:tcW w:type="dxa" w:w="3600"/>
            <w:vAlign w:val="center"/>
            <w:tcMar>
              <w:top w:w="70" w:type="dxa"/>
              <w:bottom w:w="70" w:type="dxa"/>
              <w:start w:w="80" w:type="dxa"/>
              <w:end w:w="80" w:type="dxa"/>
            </w:tcMar>
            <w:shd w:fill="17365D"/>
          </w:tcPr>
          <w:p>
            <w:pPr>
              <w:pStyle w:val="TableHeader"/>
            </w:pPr>
            <w:r/>
            <w:r>
              <w:rPr>
                <w:b/>
                <w:color w:val="FFFFFF"/>
              </w:rPr>
              <w:t>Claim prohibited</w:t>
            </w:r>
          </w:p>
        </w:tc>
      </w:tr>
      <w:tr>
        <w:trPr>
          <w:cantSplit/>
        </w:trPr>
        <w:tc>
          <w:tcPr>
            <w:tcW w:type="dxa" w:w="1440"/>
            <w:vAlign w:val="center"/>
            <w:tcMar>
              <w:top w:w="70" w:type="dxa"/>
              <w:bottom w:w="70" w:type="dxa"/>
              <w:start w:w="80" w:type="dxa"/>
              <w:end w:w="80" w:type="dxa"/>
            </w:tcMar>
          </w:tcPr>
          <w:p>
            <w:pPr>
              <w:pStyle w:val="TableText"/>
            </w:pPr>
            <w:r/>
            <w:r>
              <w:rPr>
                <w:b w:val="0"/>
              </w:rPr>
              <w:t>NICE NG192</w:t>
            </w:r>
          </w:p>
        </w:tc>
        <w:tc>
          <w:tcPr>
            <w:tcW w:type="dxa" w:w="3384"/>
            <w:vAlign w:val="center"/>
            <w:tcMar>
              <w:top w:w="70" w:type="dxa"/>
              <w:bottom w:w="70" w:type="dxa"/>
              <w:start w:w="80" w:type="dxa"/>
              <w:end w:w="80" w:type="dxa"/>
            </w:tcMar>
          </w:tcPr>
          <w:p>
            <w:pPr>
              <w:pStyle w:val="TableText"/>
            </w:pPr>
            <w:r/>
            <w:r>
              <w:rPr>
                <w:b w:val="0"/>
              </w:rPr>
              <w:t>VBAC labour requires electronic fetal monitoring, immediate cesarean access, and on-site transfusion.</w:t>
            </w:r>
          </w:p>
        </w:tc>
        <w:tc>
          <w:tcPr>
            <w:tcW w:type="dxa" w:w="3456"/>
            <w:vAlign w:val="center"/>
            <w:tcMar>
              <w:top w:w="70" w:type="dxa"/>
              <w:bottom w:w="70" w:type="dxa"/>
              <w:start w:w="80" w:type="dxa"/>
              <w:end w:w="80" w:type="dxa"/>
            </w:tcMar>
          </w:tcPr>
          <w:p>
            <w:pPr>
              <w:pStyle w:val="TableText"/>
            </w:pPr>
            <w:r/>
            <w:r>
              <w:rPr>
                <w:b w:val="0"/>
              </w:rPr>
              <w:t>Previous cesarean triggers HIGH and hospital referral/birth planning.</w:t>
            </w:r>
          </w:p>
        </w:tc>
        <w:tc>
          <w:tcPr>
            <w:tcW w:type="dxa" w:w="3600"/>
            <w:vAlign w:val="center"/>
            <w:tcMar>
              <w:top w:w="70" w:type="dxa"/>
              <w:bottom w:w="70" w:type="dxa"/>
              <w:start w:w="80" w:type="dxa"/>
              <w:end w:w="80" w:type="dxa"/>
            </w:tcMar>
          </w:tcPr>
          <w:p>
            <w:pPr>
              <w:pStyle w:val="TableText"/>
            </w:pPr>
            <w:r/>
            <w:r>
              <w:rPr>
                <w:b w:val="0"/>
              </w:rPr>
              <w:t>That NICE mandates repeat cesarean for every patient.</w:t>
            </w:r>
          </w:p>
        </w:tc>
      </w:tr>
      <w:tr>
        <w:trPr>
          <w:cantSplit/>
        </w:trPr>
        <w:tc>
          <w:tcPr>
            <w:tcW w:type="dxa" w:w="1440"/>
            <w:vAlign w:val="center"/>
            <w:tcMar>
              <w:top w:w="70" w:type="dxa"/>
              <w:bottom w:w="70" w:type="dxa"/>
              <w:start w:w="80" w:type="dxa"/>
              <w:end w:w="80" w:type="dxa"/>
            </w:tcMar>
            <w:shd w:fill="EDF4FA"/>
          </w:tcPr>
          <w:p>
            <w:pPr>
              <w:pStyle w:val="TableText"/>
            </w:pPr>
            <w:r/>
            <w:r>
              <w:rPr>
                <w:b w:val="0"/>
              </w:rPr>
              <w:t>NICE NG121/NG207</w:t>
            </w:r>
          </w:p>
        </w:tc>
        <w:tc>
          <w:tcPr>
            <w:tcW w:type="dxa" w:w="3384"/>
            <w:vAlign w:val="center"/>
            <w:tcMar>
              <w:top w:w="70" w:type="dxa"/>
              <w:bottom w:w="70" w:type="dxa"/>
              <w:start w:w="80" w:type="dxa"/>
              <w:end w:w="80" w:type="dxa"/>
            </w:tcMar>
            <w:shd w:fill="EDF4FA"/>
          </w:tcPr>
          <w:p>
            <w:pPr>
              <w:pStyle w:val="TableText"/>
            </w:pPr>
            <w:r/>
            <w:r>
              <w:rPr>
                <w:b w:val="0"/>
              </w:rPr>
              <w:t>Uterine rupture is a recognized risk; induction needs specialized counseling and monitoring.</w:t>
            </w:r>
          </w:p>
        </w:tc>
        <w:tc>
          <w:tcPr>
            <w:tcW w:type="dxa" w:w="3456"/>
            <w:vAlign w:val="center"/>
            <w:tcMar>
              <w:top w:w="70" w:type="dxa"/>
              <w:bottom w:w="70" w:type="dxa"/>
              <w:start w:w="80" w:type="dxa"/>
              <w:end w:w="80" w:type="dxa"/>
            </w:tcMar>
            <w:shd w:fill="EDF4FA"/>
          </w:tcPr>
          <w:p>
            <w:pPr>
              <w:pStyle w:val="TableText"/>
            </w:pPr>
            <w:r/>
            <w:r>
              <w:rPr>
                <w:b w:val="0"/>
              </w:rPr>
              <w:t>The CDSS avoids induction advice and flags facility limitations.</w:t>
            </w:r>
          </w:p>
        </w:tc>
        <w:tc>
          <w:tcPr>
            <w:tcW w:type="dxa" w:w="3600"/>
            <w:vAlign w:val="center"/>
            <w:tcMar>
              <w:top w:w="70" w:type="dxa"/>
              <w:bottom w:w="70" w:type="dxa"/>
              <w:start w:w="80" w:type="dxa"/>
              <w:end w:w="80" w:type="dxa"/>
            </w:tcMar>
            <w:shd w:fill="EDF4FA"/>
          </w:tcPr>
          <w:p>
            <w:pPr>
              <w:pStyle w:val="TableText"/>
            </w:pPr>
            <w:r/>
            <w:r>
              <w:rPr>
                <w:b w:val="0"/>
              </w:rPr>
              <w:t>That the software can select an induction method.</w:t>
            </w:r>
          </w:p>
        </w:tc>
      </w:tr>
      <w:tr>
        <w:trPr>
          <w:cantSplit/>
        </w:trPr>
        <w:tc>
          <w:tcPr>
            <w:tcW w:type="dxa" w:w="1440"/>
            <w:vAlign w:val="center"/>
            <w:tcMar>
              <w:top w:w="70" w:type="dxa"/>
              <w:bottom w:w="70" w:type="dxa"/>
              <w:start w:w="80" w:type="dxa"/>
              <w:end w:w="80" w:type="dxa"/>
            </w:tcMar>
          </w:tcPr>
          <w:p>
            <w:pPr>
              <w:pStyle w:val="TableText"/>
            </w:pPr>
            <w:r/>
            <w:r>
              <w:rPr>
                <w:b w:val="0"/>
              </w:rPr>
              <w:t>RCOG</w:t>
            </w:r>
          </w:p>
        </w:tc>
        <w:tc>
          <w:tcPr>
            <w:tcW w:type="dxa" w:w="3384"/>
            <w:vAlign w:val="center"/>
            <w:tcMar>
              <w:top w:w="70" w:type="dxa"/>
              <w:bottom w:w="70" w:type="dxa"/>
              <w:start w:w="80" w:type="dxa"/>
              <w:end w:w="80" w:type="dxa"/>
            </w:tcMar>
          </w:tcPr>
          <w:p>
            <w:pPr>
              <w:pStyle w:val="TableText"/>
            </w:pPr>
            <w:r/>
            <w:r>
              <w:rPr>
                <w:b w:val="0"/>
              </w:rPr>
              <w:t>VBAC and repeat cesarean may both be reasonable after individualized assessment.</w:t>
            </w:r>
          </w:p>
        </w:tc>
        <w:tc>
          <w:tcPr>
            <w:tcW w:type="dxa" w:w="3456"/>
            <w:vAlign w:val="center"/>
            <w:tcMar>
              <w:top w:w="70" w:type="dxa"/>
              <w:bottom w:w="70" w:type="dxa"/>
              <w:start w:w="80" w:type="dxa"/>
              <w:end w:w="80" w:type="dxa"/>
            </w:tcMar>
          </w:tcPr>
          <w:p>
            <w:pPr>
              <w:pStyle w:val="TableText"/>
            </w:pPr>
            <w:r/>
            <w:r>
              <w:rPr>
                <w:b w:val="0"/>
              </w:rPr>
              <w:t>Patient-facing explanation preserves informed choice.</w:t>
            </w:r>
          </w:p>
        </w:tc>
        <w:tc>
          <w:tcPr>
            <w:tcW w:type="dxa" w:w="3600"/>
            <w:vAlign w:val="center"/>
            <w:tcMar>
              <w:top w:w="70" w:type="dxa"/>
              <w:bottom w:w="70" w:type="dxa"/>
              <w:start w:w="80" w:type="dxa"/>
              <w:end w:w="80" w:type="dxa"/>
            </w:tcMar>
          </w:tcPr>
          <w:p>
            <w:pPr>
              <w:pStyle w:val="TableText"/>
            </w:pPr>
            <w:r/>
            <w:r>
              <w:rPr>
                <w:b w:val="0"/>
              </w:rPr>
              <w:t>That HIGH means VBAC is contraindicated.</w:t>
            </w:r>
          </w:p>
        </w:tc>
      </w:tr>
      <w:tr>
        <w:trPr>
          <w:cantSplit/>
        </w:trPr>
        <w:tc>
          <w:tcPr>
            <w:tcW w:type="dxa" w:w="1440"/>
            <w:vAlign w:val="center"/>
            <w:tcMar>
              <w:top w:w="70" w:type="dxa"/>
              <w:bottom w:w="70" w:type="dxa"/>
              <w:start w:w="80" w:type="dxa"/>
              <w:end w:w="80" w:type="dxa"/>
            </w:tcMar>
            <w:shd w:fill="EDF4FA"/>
          </w:tcPr>
          <w:p>
            <w:pPr>
              <w:pStyle w:val="TableText"/>
            </w:pPr>
            <w:r/>
            <w:r>
              <w:rPr>
                <w:b w:val="0"/>
              </w:rPr>
              <w:t>ACOG</w:t>
            </w:r>
          </w:p>
        </w:tc>
        <w:tc>
          <w:tcPr>
            <w:tcW w:type="dxa" w:w="3384"/>
            <w:vAlign w:val="center"/>
            <w:tcMar>
              <w:top w:w="70" w:type="dxa"/>
              <w:bottom w:w="70" w:type="dxa"/>
              <w:start w:w="80" w:type="dxa"/>
              <w:end w:w="80" w:type="dxa"/>
            </w:tcMar>
            <w:shd w:fill="EDF4FA"/>
          </w:tcPr>
          <w:p>
            <w:pPr>
              <w:pStyle w:val="TableText"/>
            </w:pPr>
            <w:r/>
            <w:r>
              <w:rPr>
                <w:b w:val="0"/>
              </w:rPr>
              <w:t>Many patients may be candidates for VBAC depending on history and resources.</w:t>
            </w:r>
          </w:p>
        </w:tc>
        <w:tc>
          <w:tcPr>
            <w:tcW w:type="dxa" w:w="3456"/>
            <w:vAlign w:val="center"/>
            <w:tcMar>
              <w:top w:w="70" w:type="dxa"/>
              <w:bottom w:w="70" w:type="dxa"/>
              <w:start w:w="80" w:type="dxa"/>
              <w:end w:w="80" w:type="dxa"/>
            </w:tcMar>
            <w:shd w:fill="EDF4FA"/>
          </w:tcPr>
          <w:p>
            <w:pPr>
              <w:pStyle w:val="TableText"/>
            </w:pPr>
            <w:r/>
            <w:r>
              <w:rPr>
                <w:b w:val="0"/>
              </w:rPr>
              <w:t>Prompts obstetric review rather than autonomous eligibility scoring.</w:t>
            </w:r>
          </w:p>
        </w:tc>
        <w:tc>
          <w:tcPr>
            <w:tcW w:type="dxa" w:w="3600"/>
            <w:vAlign w:val="center"/>
            <w:tcMar>
              <w:top w:w="70" w:type="dxa"/>
              <w:bottom w:w="70" w:type="dxa"/>
              <w:start w:w="80" w:type="dxa"/>
              <w:end w:w="80" w:type="dxa"/>
            </w:tcMar>
            <w:shd w:fill="EDF4FA"/>
          </w:tcPr>
          <w:p>
            <w:pPr>
              <w:pStyle w:val="TableText"/>
            </w:pPr>
            <w:r/>
            <w:r>
              <w:rPr>
                <w:b w:val="0"/>
              </w:rPr>
              <w:t>That a boolean field establishes candidacy.</w:t>
            </w:r>
          </w:p>
        </w:tc>
      </w:tr>
      <w:tr>
        <w:trPr>
          <w:cantSplit/>
        </w:trPr>
        <w:tc>
          <w:tcPr>
            <w:tcW w:type="dxa" w:w="1440"/>
            <w:vAlign w:val="center"/>
            <w:tcMar>
              <w:top w:w="70" w:type="dxa"/>
              <w:bottom w:w="70" w:type="dxa"/>
              <w:start w:w="80" w:type="dxa"/>
              <w:end w:w="80" w:type="dxa"/>
            </w:tcMar>
          </w:tcPr>
          <w:p>
            <w:pPr>
              <w:pStyle w:val="TableText"/>
            </w:pPr>
            <w:r/>
            <w:r>
              <w:rPr>
                <w:b w:val="0"/>
              </w:rPr>
              <w:t>WHO</w:t>
            </w:r>
          </w:p>
        </w:tc>
        <w:tc>
          <w:tcPr>
            <w:tcW w:type="dxa" w:w="3384"/>
            <w:vAlign w:val="center"/>
            <w:tcMar>
              <w:top w:w="70" w:type="dxa"/>
              <w:bottom w:w="70" w:type="dxa"/>
              <w:start w:w="80" w:type="dxa"/>
              <w:end w:w="80" w:type="dxa"/>
            </w:tcMar>
          </w:tcPr>
          <w:p>
            <w:pPr>
              <w:pStyle w:val="TableText"/>
            </w:pPr>
            <w:r/>
            <w:r>
              <w:rPr>
                <w:b w:val="0"/>
              </w:rPr>
              <w:t>Previous cesarean is an important obstetric characteristic for monitoring cesarean practice.</w:t>
            </w:r>
          </w:p>
        </w:tc>
        <w:tc>
          <w:tcPr>
            <w:tcW w:type="dxa" w:w="3456"/>
            <w:vAlign w:val="center"/>
            <w:tcMar>
              <w:top w:w="70" w:type="dxa"/>
              <w:bottom w:w="70" w:type="dxa"/>
              <w:start w:w="80" w:type="dxa"/>
              <w:end w:w="80" w:type="dxa"/>
            </w:tcMar>
          </w:tcPr>
          <w:p>
            <w:pPr>
              <w:pStyle w:val="TableText"/>
            </w:pPr>
            <w:r/>
            <w:r>
              <w:rPr>
                <w:b w:val="0"/>
              </w:rPr>
              <w:t>Supports accurate history capture and auditability.</w:t>
            </w:r>
          </w:p>
        </w:tc>
        <w:tc>
          <w:tcPr>
            <w:tcW w:type="dxa" w:w="3600"/>
            <w:vAlign w:val="center"/>
            <w:tcMar>
              <w:top w:w="70" w:type="dxa"/>
              <w:bottom w:w="70" w:type="dxa"/>
              <w:start w:w="80" w:type="dxa"/>
              <w:end w:w="80" w:type="dxa"/>
            </w:tcMar>
          </w:tcPr>
          <w:p>
            <w:pPr>
              <w:pStyle w:val="TableText"/>
            </w:pPr>
            <w:r/>
            <w:r>
              <w:rPr>
                <w:b w:val="0"/>
              </w:rPr>
              <w:t>That WHO defines the project's HIGH label.</w:t>
            </w:r>
          </w:p>
        </w:tc>
      </w:tr>
    </w:tbl>
    <w:p>
      <w:pPr>
        <w:spacing w:after="20"/>
      </w:pPr>
    </w:p>
    <w:p>
      <w:pPr>
        <w:pStyle w:val="Heading1"/>
      </w:pPr>
      <w:r>
        <w:t>6. Philippine Lying-in Clinic Context</w:t>
      </w:r>
    </w:p>
    <w:p>
      <w:r>
        <w:t>Philippine regulations describe a birthing home as a health facility providing prenatal and postnatal care, normal spontaneous delivery, and newborn care. PhilHealth likewise distinguishes normal low-risk delivery packages in birthing homes from cesarean delivery, which is covered when performed in accredited hospitals. Department of Health policy also emphasizes referral access because pregnancy complications can arise even when initial care occurs at primary-level facilities.</w:t>
      </w:r>
    </w:p>
    <w:p>
      <w:r>
        <w:t>A previous cesarean patient who labours may require continuous fetal monitoring, immediate operative delivery, anaesthesia, blood products, and neonatal support. These capabilities are generally beyond a stand-alone lying-in clinic. Accordingly, the system's HIGH classification is primarily a place-of-care and readiness safeguard.</w:t>
      </w:r>
    </w:p>
    <w:tbl>
      <w:tblPr>
        <w:tblW w:type="auto" w:w="0"/>
        <w:tblLook w:firstColumn="1" w:firstRow="1" w:lastColumn="0" w:lastRow="0" w:noHBand="0" w:noVBand="1" w:val="04A0"/>
      </w:tblPr>
      <w:tblGrid>
        <w:gridCol w:w="10080"/>
      </w:tblGrid>
      <w:tr>
        <w:tc>
          <w:tcPr>
            <w:tcW w:type="dxa" w:w="10080"/>
            <w:shd w:fill="E2F0D9"/>
            <w:tcBorders>
              <w:top w:val="single" w:sz="8" w:color="548235"/>
              <w:left w:val="single" w:sz="8" w:color="548235"/>
              <w:bottom w:val="single" w:sz="8" w:color="548235"/>
              <w:right w:val="single" w:sz="8" w:color="548235"/>
            </w:tcBorders>
            <w:tcMar>
              <w:top w:w="110" w:type="dxa"/>
              <w:bottom w:w="110" w:type="dxa"/>
              <w:start w:w="120" w:type="dxa"/>
              <w:end w:w="120" w:type="dxa"/>
            </w:tcMar>
          </w:tcPr>
          <w:p>
            <w:pPr>
              <w:pStyle w:val="Callout"/>
            </w:pPr>
            <w:r/>
            <w:r>
              <w:rPr>
                <w:b/>
                <w:color w:val="548235"/>
              </w:rPr>
              <w:t>Philippine facility-scope rationale</w:t>
              <w:br/>
            </w:r>
            <w:r>
              <w:t>The project should not state that Philippine law automatically prohibits every previous-cesarean patient from all antenatal services at a lying-in clinic. The safer and more defensible claim is that labour and birth planning require hospital-level evaluation and emergency capability beyond routine normal spontaneous delivery services.</w:t>
            </w:r>
          </w:p>
        </w:tc>
      </w:tr>
    </w:tbl>
    <w:p>
      <w:pPr>
        <w:spacing w:after="20"/>
      </w:pPr>
    </w:p>
    <w:p>
      <w:pPr>
        <w:pStyle w:val="Heading1"/>
      </w:pPr>
      <w:r>
        <w:t>7. Clinical Justification for the Deterministic HIGH Rule</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2664"/>
            <w:vAlign w:val="center"/>
            <w:tcMar>
              <w:top w:w="70" w:type="dxa"/>
              <w:bottom w:w="70" w:type="dxa"/>
              <w:start w:w="80" w:type="dxa"/>
              <w:end w:w="80" w:type="dxa"/>
            </w:tcMar>
            <w:shd w:fill="17365D"/>
          </w:tcPr>
          <w:p>
            <w:pPr>
              <w:pStyle w:val="TableHeader"/>
            </w:pPr>
            <w:r/>
            <w:r>
              <w:rPr>
                <w:b/>
                <w:color w:val="FFFFFF"/>
              </w:rPr>
              <w:t>Justification</w:t>
            </w:r>
          </w:p>
        </w:tc>
        <w:tc>
          <w:tcPr>
            <w:tcW w:type="dxa" w:w="7416"/>
            <w:vAlign w:val="center"/>
            <w:tcMar>
              <w:top w:w="70" w:type="dxa"/>
              <w:bottom w:w="70" w:type="dxa"/>
              <w:start w:w="80" w:type="dxa"/>
              <w:end w:w="80" w:type="dxa"/>
            </w:tcMar>
            <w:shd w:fill="17365D"/>
          </w:tcPr>
          <w:p>
            <w:pPr>
              <w:pStyle w:val="TableHeader"/>
            </w:pPr>
            <w:r/>
            <w:r>
              <w:rPr>
                <w:b/>
                <w:color w:val="FFFFFF"/>
              </w:rPr>
              <w:t>Reasoning</w:t>
            </w:r>
          </w:p>
        </w:tc>
      </w:tr>
      <w:tr>
        <w:trPr>
          <w:cantSplit/>
        </w:trPr>
        <w:tc>
          <w:tcPr>
            <w:tcW w:type="dxa" w:w="2664"/>
            <w:vAlign w:val="center"/>
            <w:tcMar>
              <w:top w:w="70" w:type="dxa"/>
              <w:bottom w:w="70" w:type="dxa"/>
              <w:start w:w="80" w:type="dxa"/>
              <w:end w:w="80" w:type="dxa"/>
            </w:tcMar>
          </w:tcPr>
          <w:p>
            <w:pPr>
              <w:pStyle w:val="TableText"/>
            </w:pPr>
            <w:r/>
            <w:r>
              <w:rPr>
                <w:b w:val="0"/>
              </w:rPr>
              <w:t>Potential need for immediate surgery</w:t>
            </w:r>
          </w:p>
        </w:tc>
        <w:tc>
          <w:tcPr>
            <w:tcW w:type="dxa" w:w="7416"/>
            <w:vAlign w:val="center"/>
            <w:tcMar>
              <w:top w:w="70" w:type="dxa"/>
              <w:bottom w:w="70" w:type="dxa"/>
              <w:start w:w="80" w:type="dxa"/>
              <w:end w:w="80" w:type="dxa"/>
            </w:tcMar>
          </w:tcPr>
          <w:p>
            <w:pPr>
              <w:pStyle w:val="TableText"/>
            </w:pPr>
            <w:r/>
            <w:r>
              <w:rPr>
                <w:b w:val="0"/>
              </w:rPr>
              <w:t>Uterine rupture or fetal compromise may require rapid emergency cesarean delivery.</w:t>
            </w:r>
          </w:p>
        </w:tc>
      </w:tr>
      <w:tr>
        <w:trPr>
          <w:cantSplit/>
        </w:trPr>
        <w:tc>
          <w:tcPr>
            <w:tcW w:type="dxa" w:w="2664"/>
            <w:vAlign w:val="center"/>
            <w:tcMar>
              <w:top w:w="70" w:type="dxa"/>
              <w:bottom w:w="70" w:type="dxa"/>
              <w:start w:w="80" w:type="dxa"/>
              <w:end w:w="80" w:type="dxa"/>
            </w:tcMar>
            <w:shd w:fill="EDF4FA"/>
          </w:tcPr>
          <w:p>
            <w:pPr>
              <w:pStyle w:val="TableText"/>
            </w:pPr>
            <w:r/>
            <w:r>
              <w:rPr>
                <w:b w:val="0"/>
              </w:rPr>
              <w:t>Need for continuous monitoring</w:t>
            </w:r>
          </w:p>
        </w:tc>
        <w:tc>
          <w:tcPr>
            <w:tcW w:type="dxa" w:w="7416"/>
            <w:vAlign w:val="center"/>
            <w:tcMar>
              <w:top w:w="70" w:type="dxa"/>
              <w:bottom w:w="70" w:type="dxa"/>
              <w:start w:w="80" w:type="dxa"/>
              <w:end w:w="80" w:type="dxa"/>
            </w:tcMar>
            <w:shd w:fill="EDF4FA"/>
          </w:tcPr>
          <w:p>
            <w:pPr>
              <w:pStyle w:val="TableText"/>
            </w:pPr>
            <w:r/>
            <w:r>
              <w:rPr>
                <w:b w:val="0"/>
              </w:rPr>
              <w:t>Guidelines recommend electronic fetal monitoring during planned VBAC labour.</w:t>
            </w:r>
          </w:p>
        </w:tc>
      </w:tr>
      <w:tr>
        <w:trPr>
          <w:cantSplit/>
        </w:trPr>
        <w:tc>
          <w:tcPr>
            <w:tcW w:type="dxa" w:w="2664"/>
            <w:vAlign w:val="center"/>
            <w:tcMar>
              <w:top w:w="70" w:type="dxa"/>
              <w:bottom w:w="70" w:type="dxa"/>
              <w:start w:w="80" w:type="dxa"/>
              <w:end w:w="80" w:type="dxa"/>
            </w:tcMar>
          </w:tcPr>
          <w:p>
            <w:pPr>
              <w:pStyle w:val="TableText"/>
            </w:pPr>
            <w:r/>
            <w:r>
              <w:rPr>
                <w:b w:val="0"/>
              </w:rPr>
              <w:t>Need for transfusion capability</w:t>
            </w:r>
          </w:p>
        </w:tc>
        <w:tc>
          <w:tcPr>
            <w:tcW w:type="dxa" w:w="7416"/>
            <w:vAlign w:val="center"/>
            <w:tcMar>
              <w:top w:w="70" w:type="dxa"/>
              <w:bottom w:w="70" w:type="dxa"/>
              <w:start w:w="80" w:type="dxa"/>
              <w:end w:w="80" w:type="dxa"/>
            </w:tcMar>
          </w:tcPr>
          <w:p>
            <w:pPr>
              <w:pStyle w:val="TableText"/>
            </w:pPr>
            <w:r/>
            <w:r>
              <w:rPr>
                <w:b w:val="0"/>
              </w:rPr>
              <w:t>Severe bleeding may occur and NICE specifies on-site blood transfusion services.</w:t>
            </w:r>
          </w:p>
        </w:tc>
      </w:tr>
      <w:tr>
        <w:trPr>
          <w:cantSplit/>
        </w:trPr>
        <w:tc>
          <w:tcPr>
            <w:tcW w:type="dxa" w:w="2664"/>
            <w:vAlign w:val="center"/>
            <w:tcMar>
              <w:top w:w="70" w:type="dxa"/>
              <w:bottom w:w="70" w:type="dxa"/>
              <w:start w:w="80" w:type="dxa"/>
              <w:end w:w="80" w:type="dxa"/>
            </w:tcMar>
            <w:shd w:fill="EDF4FA"/>
          </w:tcPr>
          <w:p>
            <w:pPr>
              <w:pStyle w:val="TableText"/>
            </w:pPr>
            <w:r/>
            <w:r>
              <w:rPr>
                <w:b w:val="0"/>
              </w:rPr>
              <w:t>Individualized eligibility</w:t>
            </w:r>
          </w:p>
        </w:tc>
        <w:tc>
          <w:tcPr>
            <w:tcW w:type="dxa" w:w="7416"/>
            <w:vAlign w:val="center"/>
            <w:tcMar>
              <w:top w:w="70" w:type="dxa"/>
              <w:bottom w:w="70" w:type="dxa"/>
              <w:start w:w="80" w:type="dxa"/>
              <w:end w:w="80" w:type="dxa"/>
            </w:tcMar>
            <w:shd w:fill="EDF4FA"/>
          </w:tcPr>
          <w:p>
            <w:pPr>
              <w:pStyle w:val="TableText"/>
            </w:pPr>
            <w:r/>
            <w:r>
              <w:rPr>
                <w:b w:val="0"/>
              </w:rPr>
              <w:t>Scar type, prior indication, number of cesareans, prior vaginal birth, placenta location, and current complications matter.</w:t>
            </w:r>
          </w:p>
        </w:tc>
      </w:tr>
      <w:tr>
        <w:trPr>
          <w:cantSplit/>
        </w:trPr>
        <w:tc>
          <w:tcPr>
            <w:tcW w:type="dxa" w:w="2664"/>
            <w:vAlign w:val="center"/>
            <w:tcMar>
              <w:top w:w="70" w:type="dxa"/>
              <w:bottom w:w="70" w:type="dxa"/>
              <w:start w:w="80" w:type="dxa"/>
              <w:end w:w="80" w:type="dxa"/>
            </w:tcMar>
          </w:tcPr>
          <w:p>
            <w:pPr>
              <w:pStyle w:val="TableText"/>
            </w:pPr>
            <w:r/>
            <w:r>
              <w:rPr>
                <w:b w:val="0"/>
              </w:rPr>
              <w:t>Limited project data</w:t>
            </w:r>
          </w:p>
        </w:tc>
        <w:tc>
          <w:tcPr>
            <w:tcW w:type="dxa" w:w="7416"/>
            <w:vAlign w:val="center"/>
            <w:tcMar>
              <w:top w:w="70" w:type="dxa"/>
              <w:bottom w:w="70" w:type="dxa"/>
              <w:start w:w="80" w:type="dxa"/>
              <w:end w:w="80" w:type="dxa"/>
            </w:tcMar>
          </w:tcPr>
          <w:p>
            <w:pPr>
              <w:pStyle w:val="TableText"/>
            </w:pPr>
            <w:r/>
            <w:r>
              <w:rPr>
                <w:b w:val="0"/>
              </w:rPr>
              <w:t>A yes/no history cannot distinguish low-risk VBAC candidates from patients with contraindications or higher risk.</w:t>
            </w:r>
          </w:p>
        </w:tc>
      </w:tr>
      <w:tr>
        <w:trPr>
          <w:cantSplit/>
        </w:trPr>
        <w:tc>
          <w:tcPr>
            <w:tcW w:type="dxa" w:w="2664"/>
            <w:vAlign w:val="center"/>
            <w:tcMar>
              <w:top w:w="70" w:type="dxa"/>
              <w:bottom w:w="70" w:type="dxa"/>
              <w:start w:w="80" w:type="dxa"/>
              <w:end w:w="80" w:type="dxa"/>
            </w:tcMar>
            <w:shd w:fill="EDF4FA"/>
          </w:tcPr>
          <w:p>
            <w:pPr>
              <w:pStyle w:val="TableText"/>
            </w:pPr>
            <w:r/>
            <w:r>
              <w:rPr>
                <w:b w:val="0"/>
              </w:rPr>
              <w:t>Facility limitations</w:t>
            </w:r>
          </w:p>
        </w:tc>
        <w:tc>
          <w:tcPr>
            <w:tcW w:type="dxa" w:w="7416"/>
            <w:vAlign w:val="center"/>
            <w:tcMar>
              <w:top w:w="70" w:type="dxa"/>
              <w:bottom w:w="70" w:type="dxa"/>
              <w:start w:w="80" w:type="dxa"/>
              <w:end w:w="80" w:type="dxa"/>
            </w:tcMar>
            <w:shd w:fill="EDF4FA"/>
          </w:tcPr>
          <w:p>
            <w:pPr>
              <w:pStyle w:val="TableText"/>
            </w:pPr>
            <w:r/>
            <w:r>
              <w:rPr>
                <w:b w:val="0"/>
              </w:rPr>
              <w:t>A lying-in clinic focused on normal delivery may lack operating theatre, anaesthesia, blood bank, and advanced neonatal care.</w:t>
            </w:r>
          </w:p>
        </w:tc>
      </w:tr>
      <w:tr>
        <w:trPr>
          <w:cantSplit/>
        </w:trPr>
        <w:tc>
          <w:tcPr>
            <w:tcW w:type="dxa" w:w="2664"/>
            <w:vAlign w:val="center"/>
            <w:tcMar>
              <w:top w:w="70" w:type="dxa"/>
              <w:bottom w:w="70" w:type="dxa"/>
              <w:start w:w="80" w:type="dxa"/>
              <w:end w:w="80" w:type="dxa"/>
            </w:tcMar>
          </w:tcPr>
          <w:p>
            <w:pPr>
              <w:pStyle w:val="TableText"/>
            </w:pPr>
            <w:r/>
            <w:r>
              <w:rPr>
                <w:b w:val="0"/>
              </w:rPr>
              <w:t>Explainable safety override</w:t>
            </w:r>
          </w:p>
        </w:tc>
        <w:tc>
          <w:tcPr>
            <w:tcW w:type="dxa" w:w="7416"/>
            <w:vAlign w:val="center"/>
            <w:tcMar>
              <w:top w:w="70" w:type="dxa"/>
              <w:bottom w:w="70" w:type="dxa"/>
              <w:start w:w="80" w:type="dxa"/>
              <w:end w:w="80" w:type="dxa"/>
            </w:tcMar>
          </w:tcPr>
          <w:p>
            <w:pPr>
              <w:pStyle w:val="TableText"/>
            </w:pPr>
            <w:r/>
            <w:r>
              <w:rPr>
                <w:b w:val="0"/>
              </w:rPr>
              <w:t>The deterministic rule prevents a probabilistic LOW result from masking a known uterine scar.</w:t>
            </w:r>
          </w:p>
        </w:tc>
      </w:tr>
      <w:tr>
        <w:trPr>
          <w:cantSplit/>
        </w:trPr>
        <w:tc>
          <w:tcPr>
            <w:tcW w:type="dxa" w:w="2664"/>
            <w:vAlign w:val="center"/>
            <w:tcMar>
              <w:top w:w="70" w:type="dxa"/>
              <w:bottom w:w="70" w:type="dxa"/>
              <w:start w:w="80" w:type="dxa"/>
              <w:end w:w="80" w:type="dxa"/>
            </w:tcMar>
            <w:shd w:fill="EDF4FA"/>
          </w:tcPr>
          <w:p>
            <w:pPr>
              <w:pStyle w:val="TableText"/>
            </w:pPr>
            <w:r/>
            <w:r>
              <w:rPr>
                <w:b w:val="0"/>
              </w:rPr>
              <w:t>Preservation of patient choice</w:t>
            </w:r>
          </w:p>
        </w:tc>
        <w:tc>
          <w:tcPr>
            <w:tcW w:type="dxa" w:w="7416"/>
            <w:vAlign w:val="center"/>
            <w:tcMar>
              <w:top w:w="70" w:type="dxa"/>
              <w:bottom w:w="70" w:type="dxa"/>
              <w:start w:w="80" w:type="dxa"/>
              <w:end w:w="80" w:type="dxa"/>
            </w:tcMar>
            <w:shd w:fill="EDF4FA"/>
          </w:tcPr>
          <w:p>
            <w:pPr>
              <w:pStyle w:val="TableText"/>
            </w:pPr>
            <w:r/>
            <w:r>
              <w:rPr>
                <w:b w:val="0"/>
              </w:rPr>
              <w:t>HIGH prompts informed specialist counseling; it does not impose repeat cesarean.</w:t>
            </w:r>
          </w:p>
        </w:tc>
      </w:tr>
    </w:tbl>
    <w:p>
      <w:pPr>
        <w:spacing w:after="20"/>
      </w:pPr>
    </w:p>
    <w:p>
      <w:pPr>
        <w:pStyle w:val="Heading1"/>
      </w:pPr>
      <w:r>
        <w:t>8. Decision Logic and Precedence</w:t>
      </w:r>
    </w:p>
    <w:tbl>
      <w:tblPr>
        <w:tblStyle w:val="TableGrid"/>
        <w:tblW w:type="auto" w:w="0"/>
        <w:jc w:val="center"/>
        <w:tblLook w:firstColumn="1" w:firstRow="1" w:lastColumn="0" w:lastRow="0" w:noHBand="0" w:noVBand="1" w:val="04A0"/>
      </w:tblPr>
      <w:tblGrid>
        <w:gridCol w:w="2016"/>
        <w:gridCol w:w="2016"/>
        <w:gridCol w:w="2016"/>
        <w:gridCol w:w="2016"/>
        <w:gridCol w:w="2016"/>
      </w:tblGrid>
      <w:tr>
        <w:trPr>
          <w:tblHeader w:val="true"/>
          <w:cantSplit/>
        </w:trPr>
        <w:tc>
          <w:tcPr>
            <w:tcW w:type="dxa" w:w="1728"/>
            <w:vAlign w:val="center"/>
            <w:tcMar>
              <w:top w:w="70" w:type="dxa"/>
              <w:bottom w:w="70" w:type="dxa"/>
              <w:start w:w="80" w:type="dxa"/>
              <w:end w:w="80" w:type="dxa"/>
            </w:tcMar>
            <w:shd w:fill="17365D"/>
          </w:tcPr>
          <w:p>
            <w:pPr>
              <w:pStyle w:val="TableHeader"/>
            </w:pPr>
            <w:r/>
            <w:r>
              <w:rPr>
                <w:b/>
                <w:color w:val="FFFFFF"/>
              </w:rPr>
              <w:t>Medical history</w:t>
            </w:r>
          </w:p>
        </w:tc>
        <w:tc>
          <w:tcPr>
            <w:tcW w:type="dxa" w:w="1656"/>
            <w:vAlign w:val="center"/>
            <w:tcMar>
              <w:top w:w="70" w:type="dxa"/>
              <w:bottom w:w="70" w:type="dxa"/>
              <w:start w:w="80" w:type="dxa"/>
              <w:end w:w="80" w:type="dxa"/>
            </w:tcMar>
            <w:shd w:fill="17365D"/>
          </w:tcPr>
          <w:p>
            <w:pPr>
              <w:pStyle w:val="TableHeader"/>
            </w:pPr>
            <w:r/>
            <w:r>
              <w:rPr>
                <w:b/>
                <w:color w:val="FFFFFF"/>
              </w:rPr>
              <w:t>Previous CS</w:t>
            </w:r>
          </w:p>
        </w:tc>
        <w:tc>
          <w:tcPr>
            <w:tcW w:type="dxa" w:w="1440"/>
            <w:vAlign w:val="center"/>
            <w:tcMar>
              <w:top w:w="70" w:type="dxa"/>
              <w:bottom w:w="70" w:type="dxa"/>
              <w:start w:w="80" w:type="dxa"/>
              <w:end w:w="80" w:type="dxa"/>
            </w:tcMar>
            <w:shd w:fill="17365D"/>
          </w:tcPr>
          <w:p>
            <w:pPr>
              <w:pStyle w:val="TableHeader"/>
            </w:pPr>
            <w:r/>
            <w:r>
              <w:rPr>
                <w:b/>
                <w:color w:val="FFFFFF"/>
              </w:rPr>
              <w:t>ML output</w:t>
            </w:r>
          </w:p>
        </w:tc>
        <w:tc>
          <w:tcPr>
            <w:tcW w:type="dxa" w:w="1800"/>
            <w:vAlign w:val="center"/>
            <w:tcMar>
              <w:top w:w="70" w:type="dxa"/>
              <w:bottom w:w="70" w:type="dxa"/>
              <w:start w:w="80" w:type="dxa"/>
              <w:end w:w="80" w:type="dxa"/>
            </w:tcMar>
            <w:shd w:fill="17365D"/>
          </w:tcPr>
          <w:p>
            <w:pPr>
              <w:pStyle w:val="TableHeader"/>
            </w:pPr>
            <w:r/>
            <w:r>
              <w:rPr>
                <w:b/>
                <w:color w:val="FFFFFF"/>
              </w:rPr>
              <w:t>Other HIGH factor</w:t>
            </w:r>
          </w:p>
        </w:tc>
        <w:tc>
          <w:tcPr>
            <w:tcW w:type="dxa" w:w="4320"/>
            <w:vAlign w:val="center"/>
            <w:tcMar>
              <w:top w:w="70" w:type="dxa"/>
              <w:bottom w:w="70" w:type="dxa"/>
              <w:start w:w="80" w:type="dxa"/>
              <w:end w:w="80" w:type="dxa"/>
            </w:tcMar>
            <w:shd w:fill="17365D"/>
          </w:tcPr>
          <w:p>
            <w:pPr>
              <w:pStyle w:val="TableHeader"/>
            </w:pPr>
            <w:r/>
            <w:r>
              <w:rPr>
                <w:b/>
                <w:color w:val="FFFFFF"/>
              </w:rPr>
              <w:t>Expected final result</w:t>
            </w:r>
          </w:p>
        </w:tc>
      </w:tr>
      <w:tr>
        <w:trPr>
          <w:cantSplit/>
        </w:trPr>
        <w:tc>
          <w:tcPr>
            <w:tcW w:type="dxa" w:w="1728"/>
            <w:vAlign w:val="center"/>
            <w:tcMar>
              <w:top w:w="70" w:type="dxa"/>
              <w:bottom w:w="70" w:type="dxa"/>
              <w:start w:w="80" w:type="dxa"/>
              <w:end w:w="80" w:type="dxa"/>
            </w:tcMar>
          </w:tcPr>
          <w:p>
            <w:pPr>
              <w:pStyle w:val="TableText"/>
            </w:pPr>
            <w:r/>
            <w:r>
              <w:rPr>
                <w:b w:val="0"/>
              </w:rPr>
              <w:t>Present</w:t>
            </w:r>
          </w:p>
        </w:tc>
        <w:tc>
          <w:tcPr>
            <w:tcW w:type="dxa" w:w="1656"/>
            <w:vAlign w:val="center"/>
            <w:tcMar>
              <w:top w:w="70" w:type="dxa"/>
              <w:bottom w:w="70" w:type="dxa"/>
              <w:start w:w="80" w:type="dxa"/>
              <w:end w:w="80" w:type="dxa"/>
            </w:tcMar>
          </w:tcPr>
          <w:p>
            <w:pPr>
              <w:pStyle w:val="TableText"/>
            </w:pPr>
            <w:r/>
            <w:r>
              <w:rPr>
                <w:b w:val="0"/>
              </w:rPr>
              <w:t>Yes</w:t>
            </w:r>
          </w:p>
        </w:tc>
        <w:tc>
          <w:tcPr>
            <w:tcW w:type="dxa" w:w="1440"/>
            <w:vAlign w:val="center"/>
            <w:tcMar>
              <w:top w:w="70" w:type="dxa"/>
              <w:bottom w:w="70" w:type="dxa"/>
              <w:start w:w="80" w:type="dxa"/>
              <w:end w:w="80" w:type="dxa"/>
            </w:tcMar>
          </w:tcPr>
          <w:p>
            <w:pPr>
              <w:pStyle w:val="TableText"/>
            </w:pPr>
            <w:r/>
            <w:r>
              <w:rPr>
                <w:b w:val="0"/>
              </w:rPr>
              <w:t>LOW</w:t>
            </w:r>
          </w:p>
        </w:tc>
        <w:tc>
          <w:tcPr>
            <w:tcW w:type="dxa" w:w="1800"/>
            <w:vAlign w:val="center"/>
            <w:tcMar>
              <w:top w:w="70" w:type="dxa"/>
              <w:bottom w:w="70" w:type="dxa"/>
              <w:start w:w="80" w:type="dxa"/>
              <w:end w:w="80" w:type="dxa"/>
            </w:tcMar>
          </w:tcPr>
          <w:p>
            <w:pPr>
              <w:pStyle w:val="TableText"/>
            </w:pPr>
            <w:r/>
            <w:r>
              <w:rPr>
                <w:b w:val="0"/>
              </w:rPr>
              <w:t>No</w:t>
            </w:r>
          </w:p>
        </w:tc>
        <w:tc>
          <w:tcPr>
            <w:tcW w:type="dxa" w:w="4320"/>
            <w:vAlign w:val="center"/>
            <w:tcMar>
              <w:top w:w="70" w:type="dxa"/>
              <w:bottom w:w="70" w:type="dxa"/>
              <w:start w:w="80" w:type="dxa"/>
              <w:end w:w="80" w:type="dxa"/>
            </w:tcMar>
          </w:tcPr>
          <w:p>
            <w:pPr>
              <w:pStyle w:val="TableText"/>
            </w:pPr>
            <w:r/>
            <w:r>
              <w:rPr>
                <w:b w:val="0"/>
              </w:rPr>
              <w:t>HIGH</w:t>
            </w:r>
          </w:p>
        </w:tc>
      </w:tr>
      <w:tr>
        <w:trPr>
          <w:cantSplit/>
        </w:trPr>
        <w:tc>
          <w:tcPr>
            <w:tcW w:type="dxa" w:w="1728"/>
            <w:vAlign w:val="center"/>
            <w:tcMar>
              <w:top w:w="70" w:type="dxa"/>
              <w:bottom w:w="70" w:type="dxa"/>
              <w:start w:w="80" w:type="dxa"/>
              <w:end w:w="80" w:type="dxa"/>
            </w:tcMar>
            <w:shd w:fill="EDF4FA"/>
          </w:tcPr>
          <w:p>
            <w:pPr>
              <w:pStyle w:val="TableText"/>
            </w:pPr>
            <w:r/>
            <w:r>
              <w:rPr>
                <w:b w:val="0"/>
              </w:rPr>
              <w:t>Present</w:t>
            </w:r>
          </w:p>
        </w:tc>
        <w:tc>
          <w:tcPr>
            <w:tcW w:type="dxa" w:w="1656"/>
            <w:vAlign w:val="center"/>
            <w:tcMar>
              <w:top w:w="70" w:type="dxa"/>
              <w:bottom w:w="70" w:type="dxa"/>
              <w:start w:w="80" w:type="dxa"/>
              <w:end w:w="80" w:type="dxa"/>
            </w:tcMar>
            <w:shd w:fill="EDF4FA"/>
          </w:tcPr>
          <w:p>
            <w:pPr>
              <w:pStyle w:val="TableText"/>
            </w:pPr>
            <w:r/>
            <w:r>
              <w:rPr>
                <w:b w:val="0"/>
              </w:rPr>
              <w:t>Yes</w:t>
            </w:r>
          </w:p>
        </w:tc>
        <w:tc>
          <w:tcPr>
            <w:tcW w:type="dxa" w:w="1440"/>
            <w:vAlign w:val="center"/>
            <w:tcMar>
              <w:top w:w="70" w:type="dxa"/>
              <w:bottom w:w="70" w:type="dxa"/>
              <w:start w:w="80" w:type="dxa"/>
              <w:end w:w="80" w:type="dxa"/>
            </w:tcMar>
            <w:shd w:fill="EDF4FA"/>
          </w:tcPr>
          <w:p>
            <w:pPr>
              <w:pStyle w:val="TableText"/>
            </w:pPr>
            <w:r/>
            <w:r>
              <w:rPr>
                <w:b w:val="0"/>
              </w:rPr>
              <w:t>HIGH</w:t>
            </w:r>
          </w:p>
        </w:tc>
        <w:tc>
          <w:tcPr>
            <w:tcW w:type="dxa" w:w="1800"/>
            <w:vAlign w:val="center"/>
            <w:tcMar>
              <w:top w:w="70" w:type="dxa"/>
              <w:bottom w:w="70" w:type="dxa"/>
              <w:start w:w="80" w:type="dxa"/>
              <w:end w:w="80" w:type="dxa"/>
            </w:tcMar>
            <w:shd w:fill="EDF4FA"/>
          </w:tcPr>
          <w:p>
            <w:pPr>
              <w:pStyle w:val="TableText"/>
            </w:pPr>
            <w:r/>
            <w:r>
              <w:rPr>
                <w:b w:val="0"/>
              </w:rPr>
              <w:t>No</w:t>
            </w:r>
          </w:p>
        </w:tc>
        <w:tc>
          <w:tcPr>
            <w:tcW w:type="dxa" w:w="4320"/>
            <w:vAlign w:val="center"/>
            <w:tcMar>
              <w:top w:w="70" w:type="dxa"/>
              <w:bottom w:w="70" w:type="dxa"/>
              <w:start w:w="80" w:type="dxa"/>
              <w:end w:w="80" w:type="dxa"/>
            </w:tcMar>
            <w:shd w:fill="EDF4FA"/>
          </w:tcPr>
          <w:p>
            <w:pPr>
              <w:pStyle w:val="TableText"/>
            </w:pPr>
            <w:r/>
            <w:r>
              <w:rPr>
                <w:b w:val="0"/>
              </w:rPr>
              <w:t>HIGH</w:t>
            </w:r>
          </w:p>
        </w:tc>
      </w:tr>
      <w:tr>
        <w:trPr>
          <w:cantSplit/>
        </w:trPr>
        <w:tc>
          <w:tcPr>
            <w:tcW w:type="dxa" w:w="1728"/>
            <w:vAlign w:val="center"/>
            <w:tcMar>
              <w:top w:w="70" w:type="dxa"/>
              <w:bottom w:w="70" w:type="dxa"/>
              <w:start w:w="80" w:type="dxa"/>
              <w:end w:w="80" w:type="dxa"/>
            </w:tcMar>
          </w:tcPr>
          <w:p>
            <w:pPr>
              <w:pStyle w:val="TableText"/>
            </w:pPr>
            <w:r/>
            <w:r>
              <w:rPr>
                <w:b w:val="0"/>
              </w:rPr>
              <w:t>Present</w:t>
            </w:r>
          </w:p>
        </w:tc>
        <w:tc>
          <w:tcPr>
            <w:tcW w:type="dxa" w:w="1656"/>
            <w:vAlign w:val="center"/>
            <w:tcMar>
              <w:top w:w="70" w:type="dxa"/>
              <w:bottom w:w="70" w:type="dxa"/>
              <w:start w:w="80" w:type="dxa"/>
              <w:end w:w="80" w:type="dxa"/>
            </w:tcMar>
          </w:tcPr>
          <w:p>
            <w:pPr>
              <w:pStyle w:val="TableText"/>
            </w:pPr>
            <w:r/>
            <w:r>
              <w:rPr>
                <w:b w:val="0"/>
              </w:rPr>
              <w:t>Yes</w:t>
            </w:r>
          </w:p>
        </w:tc>
        <w:tc>
          <w:tcPr>
            <w:tcW w:type="dxa" w:w="1440"/>
            <w:vAlign w:val="center"/>
            <w:tcMar>
              <w:top w:w="70" w:type="dxa"/>
              <w:bottom w:w="70" w:type="dxa"/>
              <w:start w:w="80" w:type="dxa"/>
              <w:end w:w="80" w:type="dxa"/>
            </w:tcMar>
          </w:tcPr>
          <w:p>
            <w:pPr>
              <w:pStyle w:val="TableText"/>
            </w:pPr>
            <w:r/>
            <w:r>
              <w:rPr>
                <w:b w:val="0"/>
              </w:rPr>
              <w:t>Invalid</w:t>
            </w:r>
          </w:p>
        </w:tc>
        <w:tc>
          <w:tcPr>
            <w:tcW w:type="dxa" w:w="1800"/>
            <w:vAlign w:val="center"/>
            <w:tcMar>
              <w:top w:w="70" w:type="dxa"/>
              <w:bottom w:w="70" w:type="dxa"/>
              <w:start w:w="80" w:type="dxa"/>
              <w:end w:w="80" w:type="dxa"/>
            </w:tcMar>
          </w:tcPr>
          <w:p>
            <w:pPr>
              <w:pStyle w:val="TableText"/>
            </w:pPr>
            <w:r/>
            <w:r>
              <w:rPr>
                <w:b w:val="0"/>
              </w:rPr>
              <w:t>No</w:t>
            </w:r>
          </w:p>
        </w:tc>
        <w:tc>
          <w:tcPr>
            <w:tcW w:type="dxa" w:w="4320"/>
            <w:vAlign w:val="center"/>
            <w:tcMar>
              <w:top w:w="70" w:type="dxa"/>
              <w:bottom w:w="70" w:type="dxa"/>
              <w:start w:w="80" w:type="dxa"/>
              <w:end w:w="80" w:type="dxa"/>
            </w:tcMar>
          </w:tcPr>
          <w:p>
            <w:pPr>
              <w:pStyle w:val="TableText"/>
            </w:pPr>
            <w:r/>
            <w:r>
              <w:rPr>
                <w:b w:val="0"/>
              </w:rPr>
              <w:t>HIGH, with ML failure recorded</w:t>
            </w:r>
          </w:p>
        </w:tc>
      </w:tr>
      <w:tr>
        <w:trPr>
          <w:cantSplit/>
        </w:trPr>
        <w:tc>
          <w:tcPr>
            <w:tcW w:type="dxa" w:w="1728"/>
            <w:vAlign w:val="center"/>
            <w:tcMar>
              <w:top w:w="70" w:type="dxa"/>
              <w:bottom w:w="70" w:type="dxa"/>
              <w:start w:w="80" w:type="dxa"/>
              <w:end w:w="80" w:type="dxa"/>
            </w:tcMar>
            <w:shd w:fill="EDF4FA"/>
          </w:tcPr>
          <w:p>
            <w:pPr>
              <w:pStyle w:val="TableText"/>
            </w:pPr>
            <w:r/>
            <w:r>
              <w:rPr>
                <w:b w:val="0"/>
              </w:rPr>
              <w:t>Present</w:t>
            </w:r>
          </w:p>
        </w:tc>
        <w:tc>
          <w:tcPr>
            <w:tcW w:type="dxa" w:w="1656"/>
            <w:vAlign w:val="center"/>
            <w:tcMar>
              <w:top w:w="70" w:type="dxa"/>
              <w:bottom w:w="70" w:type="dxa"/>
              <w:start w:w="80" w:type="dxa"/>
              <w:end w:w="80" w:type="dxa"/>
            </w:tcMar>
            <w:shd w:fill="EDF4FA"/>
          </w:tcPr>
          <w:p>
            <w:pPr>
              <w:pStyle w:val="TableText"/>
            </w:pPr>
            <w:r/>
            <w:r>
              <w:rPr>
                <w:b w:val="0"/>
              </w:rPr>
              <w:t>No</w:t>
            </w:r>
          </w:p>
        </w:tc>
        <w:tc>
          <w:tcPr>
            <w:tcW w:type="dxa" w:w="1440"/>
            <w:vAlign w:val="center"/>
            <w:tcMar>
              <w:top w:w="70" w:type="dxa"/>
              <w:bottom w:w="70" w:type="dxa"/>
              <w:start w:w="80" w:type="dxa"/>
              <w:end w:w="80" w:type="dxa"/>
            </w:tcMar>
            <w:shd w:fill="EDF4FA"/>
          </w:tcPr>
          <w:p>
            <w:pPr>
              <w:pStyle w:val="TableText"/>
            </w:pPr>
            <w:r/>
            <w:r>
              <w:rPr>
                <w:b w:val="0"/>
              </w:rPr>
              <w:t>LOW</w:t>
            </w:r>
          </w:p>
        </w:tc>
        <w:tc>
          <w:tcPr>
            <w:tcW w:type="dxa" w:w="1800"/>
            <w:vAlign w:val="center"/>
            <w:tcMar>
              <w:top w:w="70" w:type="dxa"/>
              <w:bottom w:w="70" w:type="dxa"/>
              <w:start w:w="80" w:type="dxa"/>
              <w:end w:w="80" w:type="dxa"/>
            </w:tcMar>
            <w:shd w:fill="EDF4FA"/>
          </w:tcPr>
          <w:p>
            <w:pPr>
              <w:pStyle w:val="TableText"/>
            </w:pPr>
            <w:r/>
            <w:r>
              <w:rPr>
                <w:b w:val="0"/>
              </w:rPr>
              <w:t>No</w:t>
            </w:r>
          </w:p>
        </w:tc>
        <w:tc>
          <w:tcPr>
            <w:tcW w:type="dxa" w:w="4320"/>
            <w:vAlign w:val="center"/>
            <w:tcMar>
              <w:top w:w="70" w:type="dxa"/>
              <w:bottom w:w="70" w:type="dxa"/>
              <w:start w:w="80" w:type="dxa"/>
              <w:end w:w="80" w:type="dxa"/>
            </w:tcMar>
            <w:shd w:fill="EDF4FA"/>
          </w:tcPr>
          <w:p>
            <w:pPr>
              <w:pStyle w:val="TableText"/>
            </w:pPr>
            <w:r/>
            <w:r>
              <w:rPr>
                <w:b w:val="0"/>
              </w:rPr>
              <w:t>LOW only if all required records are complete and all rules are negative</w:t>
            </w:r>
          </w:p>
        </w:tc>
      </w:tr>
      <w:tr>
        <w:trPr>
          <w:cantSplit/>
        </w:trPr>
        <w:tc>
          <w:tcPr>
            <w:tcW w:type="dxa" w:w="1728"/>
            <w:vAlign w:val="center"/>
            <w:tcMar>
              <w:top w:w="70" w:type="dxa"/>
              <w:bottom w:w="70" w:type="dxa"/>
              <w:start w:w="80" w:type="dxa"/>
              <w:end w:w="80" w:type="dxa"/>
            </w:tcMar>
          </w:tcPr>
          <w:p>
            <w:pPr>
              <w:pStyle w:val="TableText"/>
            </w:pPr>
            <w:r/>
            <w:r>
              <w:rPr>
                <w:b w:val="0"/>
              </w:rPr>
              <w:t>Present</w:t>
            </w:r>
          </w:p>
        </w:tc>
        <w:tc>
          <w:tcPr>
            <w:tcW w:type="dxa" w:w="1656"/>
            <w:vAlign w:val="center"/>
            <w:tcMar>
              <w:top w:w="70" w:type="dxa"/>
              <w:bottom w:w="70" w:type="dxa"/>
              <w:start w:w="80" w:type="dxa"/>
              <w:end w:w="80" w:type="dxa"/>
            </w:tcMar>
          </w:tcPr>
          <w:p>
            <w:pPr>
              <w:pStyle w:val="TableText"/>
            </w:pPr>
            <w:r/>
            <w:r>
              <w:rPr>
                <w:b w:val="0"/>
              </w:rPr>
              <w:t>No</w:t>
            </w:r>
          </w:p>
        </w:tc>
        <w:tc>
          <w:tcPr>
            <w:tcW w:type="dxa" w:w="1440"/>
            <w:vAlign w:val="center"/>
            <w:tcMar>
              <w:top w:w="70" w:type="dxa"/>
              <w:bottom w:w="70" w:type="dxa"/>
              <w:start w:w="80" w:type="dxa"/>
              <w:end w:w="80" w:type="dxa"/>
            </w:tcMar>
          </w:tcPr>
          <w:p>
            <w:pPr>
              <w:pStyle w:val="TableText"/>
            </w:pPr>
            <w:r/>
            <w:r>
              <w:rPr>
                <w:b w:val="0"/>
              </w:rPr>
              <w:t>HIGH</w:t>
            </w:r>
          </w:p>
        </w:tc>
        <w:tc>
          <w:tcPr>
            <w:tcW w:type="dxa" w:w="1800"/>
            <w:vAlign w:val="center"/>
            <w:tcMar>
              <w:top w:w="70" w:type="dxa"/>
              <w:bottom w:w="70" w:type="dxa"/>
              <w:start w:w="80" w:type="dxa"/>
              <w:end w:w="80" w:type="dxa"/>
            </w:tcMar>
          </w:tcPr>
          <w:p>
            <w:pPr>
              <w:pStyle w:val="TableText"/>
            </w:pPr>
            <w:r/>
            <w:r>
              <w:rPr>
                <w:b w:val="0"/>
              </w:rPr>
              <w:t>No</w:t>
            </w:r>
          </w:p>
        </w:tc>
        <w:tc>
          <w:tcPr>
            <w:tcW w:type="dxa" w:w="4320"/>
            <w:vAlign w:val="center"/>
            <w:tcMar>
              <w:top w:w="70" w:type="dxa"/>
              <w:bottom w:w="70" w:type="dxa"/>
              <w:start w:w="80" w:type="dxa"/>
              <w:end w:w="80" w:type="dxa"/>
            </w:tcMar>
          </w:tcPr>
          <w:p>
            <w:pPr>
              <w:pStyle w:val="TableText"/>
            </w:pPr>
            <w:r/>
            <w:r>
              <w:rPr>
                <w:b w:val="0"/>
              </w:rPr>
              <w:t>HIGH</w:t>
            </w:r>
          </w:p>
        </w:tc>
      </w:tr>
      <w:tr>
        <w:trPr>
          <w:cantSplit/>
        </w:trPr>
        <w:tc>
          <w:tcPr>
            <w:tcW w:type="dxa" w:w="1728"/>
            <w:vAlign w:val="center"/>
            <w:tcMar>
              <w:top w:w="70" w:type="dxa"/>
              <w:bottom w:w="70" w:type="dxa"/>
              <w:start w:w="80" w:type="dxa"/>
              <w:end w:w="80" w:type="dxa"/>
            </w:tcMar>
            <w:shd w:fill="EDF4FA"/>
          </w:tcPr>
          <w:p>
            <w:pPr>
              <w:pStyle w:val="TableText"/>
            </w:pPr>
            <w:r/>
            <w:r>
              <w:rPr>
                <w:b w:val="0"/>
              </w:rPr>
              <w:t>Missing</w:t>
            </w:r>
          </w:p>
        </w:tc>
        <w:tc>
          <w:tcPr>
            <w:tcW w:type="dxa" w:w="1656"/>
            <w:vAlign w:val="center"/>
            <w:tcMar>
              <w:top w:w="70" w:type="dxa"/>
              <w:bottom w:w="70" w:type="dxa"/>
              <w:start w:w="80" w:type="dxa"/>
              <w:end w:w="80" w:type="dxa"/>
            </w:tcMar>
            <w:shd w:fill="EDF4FA"/>
          </w:tcPr>
          <w:p>
            <w:pPr>
              <w:pStyle w:val="TableText"/>
            </w:pPr>
            <w:r/>
            <w:r>
              <w:rPr>
                <w:b w:val="0"/>
              </w:rPr>
              <w:t>Unknown</w:t>
            </w:r>
          </w:p>
        </w:tc>
        <w:tc>
          <w:tcPr>
            <w:tcW w:type="dxa" w:w="1440"/>
            <w:vAlign w:val="center"/>
            <w:tcMar>
              <w:top w:w="70" w:type="dxa"/>
              <w:bottom w:w="70" w:type="dxa"/>
              <w:start w:w="80" w:type="dxa"/>
              <w:end w:w="80" w:type="dxa"/>
            </w:tcMar>
            <w:shd w:fill="EDF4FA"/>
          </w:tcPr>
          <w:p>
            <w:pPr>
              <w:pStyle w:val="TableText"/>
            </w:pPr>
            <w:r/>
            <w:r>
              <w:rPr>
                <w:b w:val="0"/>
              </w:rPr>
              <w:t>Any</w:t>
            </w:r>
          </w:p>
        </w:tc>
        <w:tc>
          <w:tcPr>
            <w:tcW w:type="dxa" w:w="1800"/>
            <w:vAlign w:val="center"/>
            <w:tcMar>
              <w:top w:w="70" w:type="dxa"/>
              <w:bottom w:w="70" w:type="dxa"/>
              <w:start w:w="80" w:type="dxa"/>
              <w:end w:w="80" w:type="dxa"/>
            </w:tcMar>
            <w:shd w:fill="EDF4FA"/>
          </w:tcPr>
          <w:p>
            <w:pPr>
              <w:pStyle w:val="TableText"/>
            </w:pPr>
            <w:r/>
            <w:r>
              <w:rPr>
                <w:b w:val="0"/>
              </w:rPr>
              <w:t>No</w:t>
            </w:r>
          </w:p>
        </w:tc>
        <w:tc>
          <w:tcPr>
            <w:tcW w:type="dxa" w:w="4320"/>
            <w:vAlign w:val="center"/>
            <w:tcMar>
              <w:top w:w="70" w:type="dxa"/>
              <w:bottom w:w="70" w:type="dxa"/>
              <w:start w:w="80" w:type="dxa"/>
              <w:end w:w="80" w:type="dxa"/>
            </w:tcMar>
            <w:shd w:fill="EDF4FA"/>
          </w:tcPr>
          <w:p>
            <w:pPr>
              <w:pStyle w:val="TableText"/>
            </w:pPr>
            <w:r/>
            <w:r>
              <w:rPr>
                <w:b w:val="0"/>
              </w:rPr>
              <w:t>ASSESSMENT INCOMPLETE</w:t>
            </w:r>
          </w:p>
        </w:tc>
      </w:tr>
      <w:tr>
        <w:trPr>
          <w:cantSplit/>
        </w:trPr>
        <w:tc>
          <w:tcPr>
            <w:tcW w:type="dxa" w:w="1728"/>
            <w:vAlign w:val="center"/>
            <w:tcMar>
              <w:top w:w="70" w:type="dxa"/>
              <w:bottom w:w="70" w:type="dxa"/>
              <w:start w:w="80" w:type="dxa"/>
              <w:end w:w="80" w:type="dxa"/>
            </w:tcMar>
          </w:tcPr>
          <w:p>
            <w:pPr>
              <w:pStyle w:val="TableText"/>
            </w:pPr>
            <w:r/>
            <w:r>
              <w:rPr>
                <w:b w:val="0"/>
              </w:rPr>
              <w:t>Present</w:t>
            </w:r>
          </w:p>
        </w:tc>
        <w:tc>
          <w:tcPr>
            <w:tcW w:type="dxa" w:w="1656"/>
            <w:vAlign w:val="center"/>
            <w:tcMar>
              <w:top w:w="70" w:type="dxa"/>
              <w:bottom w:w="70" w:type="dxa"/>
              <w:start w:w="80" w:type="dxa"/>
              <w:end w:w="80" w:type="dxa"/>
            </w:tcMar>
          </w:tcPr>
          <w:p>
            <w:pPr>
              <w:pStyle w:val="TableText"/>
            </w:pPr>
            <w:r/>
            <w:r>
              <w:rPr>
                <w:b w:val="0"/>
              </w:rPr>
              <w:t>Blank/contradictory</w:t>
            </w:r>
          </w:p>
        </w:tc>
        <w:tc>
          <w:tcPr>
            <w:tcW w:type="dxa" w:w="1440"/>
            <w:vAlign w:val="center"/>
            <w:tcMar>
              <w:top w:w="70" w:type="dxa"/>
              <w:bottom w:w="70" w:type="dxa"/>
              <w:start w:w="80" w:type="dxa"/>
              <w:end w:w="80" w:type="dxa"/>
            </w:tcMar>
          </w:tcPr>
          <w:p>
            <w:pPr>
              <w:pStyle w:val="TableText"/>
            </w:pPr>
            <w:r/>
            <w:r>
              <w:rPr>
                <w:b w:val="0"/>
              </w:rPr>
              <w:t>Any</w:t>
            </w:r>
          </w:p>
        </w:tc>
        <w:tc>
          <w:tcPr>
            <w:tcW w:type="dxa" w:w="1800"/>
            <w:vAlign w:val="center"/>
            <w:tcMar>
              <w:top w:w="70" w:type="dxa"/>
              <w:bottom w:w="70" w:type="dxa"/>
              <w:start w:w="80" w:type="dxa"/>
              <w:end w:w="80" w:type="dxa"/>
            </w:tcMar>
          </w:tcPr>
          <w:p>
            <w:pPr>
              <w:pStyle w:val="TableText"/>
            </w:pPr>
            <w:r/>
            <w:r>
              <w:rPr>
                <w:b w:val="0"/>
              </w:rPr>
              <w:t>No</w:t>
            </w:r>
          </w:p>
        </w:tc>
        <w:tc>
          <w:tcPr>
            <w:tcW w:type="dxa" w:w="4320"/>
            <w:vAlign w:val="center"/>
            <w:tcMar>
              <w:top w:w="70" w:type="dxa"/>
              <w:bottom w:w="70" w:type="dxa"/>
              <w:start w:w="80" w:type="dxa"/>
              <w:end w:w="80" w:type="dxa"/>
            </w:tcMar>
          </w:tcPr>
          <w:p>
            <w:pPr>
              <w:pStyle w:val="TableText"/>
            </w:pPr>
            <w:r/>
            <w:r>
              <w:rPr>
                <w:b w:val="0"/>
              </w:rPr>
              <w:t>ASSESSMENT INCOMPLETE</w:t>
            </w:r>
          </w:p>
        </w:tc>
      </w:tr>
      <w:tr>
        <w:trPr>
          <w:cantSplit/>
        </w:trPr>
        <w:tc>
          <w:tcPr>
            <w:tcW w:type="dxa" w:w="1728"/>
            <w:vAlign w:val="center"/>
            <w:tcMar>
              <w:top w:w="70" w:type="dxa"/>
              <w:bottom w:w="70" w:type="dxa"/>
              <w:start w:w="80" w:type="dxa"/>
              <w:end w:w="80" w:type="dxa"/>
            </w:tcMar>
            <w:shd w:fill="EDF4FA"/>
          </w:tcPr>
          <w:p>
            <w:pPr>
              <w:pStyle w:val="TableText"/>
            </w:pPr>
            <w:r/>
            <w:r>
              <w:rPr>
                <w:b w:val="0"/>
              </w:rPr>
              <w:t>Present</w:t>
            </w:r>
          </w:p>
        </w:tc>
        <w:tc>
          <w:tcPr>
            <w:tcW w:type="dxa" w:w="1656"/>
            <w:vAlign w:val="center"/>
            <w:tcMar>
              <w:top w:w="70" w:type="dxa"/>
              <w:bottom w:w="70" w:type="dxa"/>
              <w:start w:w="80" w:type="dxa"/>
              <w:end w:w="80" w:type="dxa"/>
            </w:tcMar>
            <w:shd w:fill="EDF4FA"/>
          </w:tcPr>
          <w:p>
            <w:pPr>
              <w:pStyle w:val="TableText"/>
            </w:pPr>
            <w:r/>
            <w:r>
              <w:rPr>
                <w:b w:val="0"/>
              </w:rPr>
              <w:t>No</w:t>
            </w:r>
          </w:p>
        </w:tc>
        <w:tc>
          <w:tcPr>
            <w:tcW w:type="dxa" w:w="1440"/>
            <w:vAlign w:val="center"/>
            <w:tcMar>
              <w:top w:w="70" w:type="dxa"/>
              <w:bottom w:w="70" w:type="dxa"/>
              <w:start w:w="80" w:type="dxa"/>
              <w:end w:w="80" w:type="dxa"/>
            </w:tcMar>
            <w:shd w:fill="EDF4FA"/>
          </w:tcPr>
          <w:p>
            <w:pPr>
              <w:pStyle w:val="TableText"/>
            </w:pPr>
            <w:r/>
            <w:r>
              <w:rPr>
                <w:b w:val="0"/>
              </w:rPr>
              <w:t>LOW</w:t>
            </w:r>
          </w:p>
        </w:tc>
        <w:tc>
          <w:tcPr>
            <w:tcW w:type="dxa" w:w="1800"/>
            <w:vAlign w:val="center"/>
            <w:tcMar>
              <w:top w:w="70" w:type="dxa"/>
              <w:bottom w:w="70" w:type="dxa"/>
              <w:start w:w="80" w:type="dxa"/>
              <w:end w:w="80" w:type="dxa"/>
            </w:tcMar>
            <w:shd w:fill="EDF4FA"/>
          </w:tcPr>
          <w:p>
            <w:pPr>
              <w:pStyle w:val="TableText"/>
            </w:pPr>
            <w:r/>
            <w:r>
              <w:rPr>
                <w:b w:val="0"/>
              </w:rPr>
              <w:t>Yes</w:t>
            </w:r>
          </w:p>
        </w:tc>
        <w:tc>
          <w:tcPr>
            <w:tcW w:type="dxa" w:w="4320"/>
            <w:vAlign w:val="center"/>
            <w:tcMar>
              <w:top w:w="70" w:type="dxa"/>
              <w:bottom w:w="70" w:type="dxa"/>
              <w:start w:w="80" w:type="dxa"/>
              <w:end w:w="80" w:type="dxa"/>
            </w:tcMar>
            <w:shd w:fill="EDF4FA"/>
          </w:tcPr>
          <w:p>
            <w:pPr>
              <w:pStyle w:val="TableText"/>
            </w:pPr>
            <w:r/>
            <w:r>
              <w:rPr>
                <w:b w:val="0"/>
              </w:rPr>
              <w:t>HIGH</w:t>
            </w:r>
          </w:p>
        </w:tc>
      </w:tr>
    </w:tbl>
    <w:p>
      <w:pPr>
        <w:spacing w:after="20"/>
      </w:pPr>
    </w:p>
    <w:tbl>
      <w:tblPr>
        <w:tblW w:type="auto" w:w="0"/>
        <w:tblLook w:firstColumn="1" w:firstRow="1" w:lastColumn="0" w:lastRow="0" w:noHBand="0" w:noVBand="1" w:val="04A0"/>
      </w:tblPr>
      <w:tblGrid>
        <w:gridCol w:w="10080"/>
      </w:tblGrid>
      <w:tr>
        <w:tc>
          <w:tcPr>
            <w:tcW w:type="dxa" w:w="10080"/>
            <w:shd w:fill="FCE4D6"/>
            <w:tcBorders>
              <w:top w:val="single" w:sz="8" w:color="C00000"/>
              <w:left w:val="single" w:sz="8" w:color="C00000"/>
              <w:bottom w:val="single" w:sz="8" w:color="C00000"/>
              <w:right w:val="single" w:sz="8" w:color="C00000"/>
            </w:tcBorders>
            <w:tcMar>
              <w:top w:w="110" w:type="dxa"/>
              <w:bottom w:w="110" w:type="dxa"/>
              <w:start w:w="120" w:type="dxa"/>
              <w:end w:w="120" w:type="dxa"/>
            </w:tcMar>
          </w:tcPr>
          <w:p>
            <w:pPr>
              <w:pStyle w:val="Callout"/>
            </w:pPr>
            <w:r/>
            <w:r>
              <w:rPr>
                <w:b/>
                <w:color w:val="C00000"/>
              </w:rPr>
              <w:t>Safety precedence</w:t>
              <w:br/>
            </w:r>
            <w:r>
              <w:t>A recorded previous cesarean is a deterministic HIGH factor and overrides LOW ML output. Missing or uncertain obstetric history prevents LOW. The software must never infer that absence of a visible scar or lack of an operative record means no previous cesarean.</w:t>
            </w:r>
          </w:p>
        </w:tc>
      </w:tr>
    </w:tbl>
    <w:p>
      <w:pPr>
        <w:spacing w:after="20"/>
      </w:pPr>
    </w:p>
    <w:p>
      <w:pPr>
        <w:pStyle w:val="Heading1"/>
      </w:pPr>
      <w:r>
        <w:t>9. Implementation Traceability</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1656"/>
            <w:vAlign w:val="center"/>
            <w:tcMar>
              <w:top w:w="70" w:type="dxa"/>
              <w:bottom w:w="70" w:type="dxa"/>
              <w:start w:w="80" w:type="dxa"/>
              <w:end w:w="80" w:type="dxa"/>
            </w:tcMar>
            <w:shd w:fill="17365D"/>
          </w:tcPr>
          <w:p>
            <w:pPr>
              <w:pStyle w:val="TableHeader"/>
            </w:pPr>
            <w:r/>
            <w:r>
              <w:rPr>
                <w:b/>
                <w:color w:val="FFFFFF"/>
              </w:rPr>
              <w:t>Layer</w:t>
            </w:r>
          </w:p>
        </w:tc>
        <w:tc>
          <w:tcPr>
            <w:tcW w:type="dxa" w:w="4464"/>
            <w:vAlign w:val="center"/>
            <w:tcMar>
              <w:top w:w="70" w:type="dxa"/>
              <w:bottom w:w="70" w:type="dxa"/>
              <w:start w:w="80" w:type="dxa"/>
              <w:end w:w="80" w:type="dxa"/>
            </w:tcMar>
            <w:shd w:fill="17365D"/>
          </w:tcPr>
          <w:p>
            <w:pPr>
              <w:pStyle w:val="TableHeader"/>
            </w:pPr>
            <w:r/>
            <w:r>
              <w:rPr>
                <w:b/>
                <w:color w:val="FFFFFF"/>
              </w:rPr>
              <w:t>Expected implementation</w:t>
            </w:r>
          </w:p>
        </w:tc>
        <w:tc>
          <w:tcPr>
            <w:tcW w:type="dxa" w:w="4464"/>
            <w:vAlign w:val="center"/>
            <w:tcMar>
              <w:top w:w="70" w:type="dxa"/>
              <w:bottom w:w="70" w:type="dxa"/>
              <w:start w:w="80" w:type="dxa"/>
              <w:end w:w="80" w:type="dxa"/>
            </w:tcMar>
            <w:shd w:fill="17365D"/>
          </w:tcPr>
          <w:p>
            <w:pPr>
              <w:pStyle w:val="TableHeader"/>
            </w:pPr>
            <w:r/>
            <w:r>
              <w:rPr>
                <w:b/>
                <w:color w:val="FFFFFF"/>
              </w:rPr>
              <w:t>Safety requirement</w:t>
            </w:r>
          </w:p>
        </w:tc>
      </w:tr>
      <w:tr>
        <w:trPr>
          <w:cantSplit/>
        </w:trPr>
        <w:tc>
          <w:tcPr>
            <w:tcW w:type="dxa" w:w="1656"/>
            <w:vAlign w:val="center"/>
            <w:tcMar>
              <w:top w:w="70" w:type="dxa"/>
              <w:bottom w:w="70" w:type="dxa"/>
              <w:start w:w="80" w:type="dxa"/>
              <w:end w:w="80" w:type="dxa"/>
            </w:tcMar>
          </w:tcPr>
          <w:p>
            <w:pPr>
              <w:pStyle w:val="TableText"/>
            </w:pPr>
            <w:r/>
            <w:r>
              <w:rPr>
                <w:b w:val="0"/>
              </w:rPr>
              <w:t>Data capture</w:t>
            </w:r>
          </w:p>
        </w:tc>
        <w:tc>
          <w:tcPr>
            <w:tcW w:type="dxa" w:w="4464"/>
            <w:vAlign w:val="center"/>
            <w:tcMar>
              <w:top w:w="70" w:type="dxa"/>
              <w:bottom w:w="70" w:type="dxa"/>
              <w:start w:w="80" w:type="dxa"/>
              <w:end w:w="80" w:type="dxa"/>
            </w:tcMar>
          </w:tcPr>
          <w:p>
            <w:pPr>
              <w:pStyle w:val="TableText"/>
            </w:pPr>
            <w:r/>
            <w:r>
              <w:rPr>
                <w:b w:val="0"/>
              </w:rPr>
              <w:t>Store previous cesarean as explicit Yes/No/Unknown or an equivalent validated value.</w:t>
            </w:r>
          </w:p>
        </w:tc>
        <w:tc>
          <w:tcPr>
            <w:tcW w:type="dxa" w:w="4464"/>
            <w:vAlign w:val="center"/>
            <w:tcMar>
              <w:top w:w="70" w:type="dxa"/>
              <w:bottom w:w="70" w:type="dxa"/>
              <w:start w:w="80" w:type="dxa"/>
              <w:end w:w="80" w:type="dxa"/>
            </w:tcMar>
          </w:tcPr>
          <w:p>
            <w:pPr>
              <w:pStyle w:val="TableText"/>
            </w:pPr>
            <w:r/>
            <w:r>
              <w:rPr>
                <w:b w:val="0"/>
              </w:rPr>
              <w:t>Do not silently convert blank to No.</w:t>
            </w:r>
          </w:p>
        </w:tc>
      </w:tr>
      <w:tr>
        <w:trPr>
          <w:cantSplit/>
        </w:trPr>
        <w:tc>
          <w:tcPr>
            <w:tcW w:type="dxa" w:w="1656"/>
            <w:vAlign w:val="center"/>
            <w:tcMar>
              <w:top w:w="70" w:type="dxa"/>
              <w:bottom w:w="70" w:type="dxa"/>
              <w:start w:w="80" w:type="dxa"/>
              <w:end w:w="80" w:type="dxa"/>
            </w:tcMar>
            <w:shd w:fill="EDF4FA"/>
          </w:tcPr>
          <w:p>
            <w:pPr>
              <w:pStyle w:val="TableText"/>
            </w:pPr>
            <w:r/>
            <w:r>
              <w:rPr>
                <w:b w:val="0"/>
              </w:rPr>
              <w:t>Controller/service logic</w:t>
            </w:r>
          </w:p>
        </w:tc>
        <w:tc>
          <w:tcPr>
            <w:tcW w:type="dxa" w:w="4464"/>
            <w:vAlign w:val="center"/>
            <w:tcMar>
              <w:top w:w="70" w:type="dxa"/>
              <w:bottom w:w="70" w:type="dxa"/>
              <w:start w:w="80" w:type="dxa"/>
              <w:end w:w="80" w:type="dxa"/>
            </w:tcMar>
            <w:shd w:fill="EDF4FA"/>
          </w:tcPr>
          <w:p>
            <w:pPr>
              <w:pStyle w:val="TableText"/>
            </w:pPr>
            <w:r/>
            <w:r>
              <w:rPr>
                <w:b w:val="0"/>
              </w:rPr>
              <w:t>When previous_cs is true, activate CS-01, add a plain-language reason, and force HIGH.</w:t>
            </w:r>
          </w:p>
        </w:tc>
        <w:tc>
          <w:tcPr>
            <w:tcW w:type="dxa" w:w="4464"/>
            <w:vAlign w:val="center"/>
            <w:tcMar>
              <w:top w:w="70" w:type="dxa"/>
              <w:bottom w:w="70" w:type="dxa"/>
              <w:start w:w="80" w:type="dxa"/>
              <w:end w:w="80" w:type="dxa"/>
            </w:tcMar>
            <w:shd w:fill="EDF4FA"/>
          </w:tcPr>
          <w:p>
            <w:pPr>
              <w:pStyle w:val="TableText"/>
            </w:pPr>
            <w:r/>
            <w:r>
              <w:rPr>
                <w:b w:val="0"/>
              </w:rPr>
              <w:t>Use strict boolean normalization and recalculate after updates.</w:t>
            </w:r>
          </w:p>
        </w:tc>
      </w:tr>
      <w:tr>
        <w:trPr>
          <w:cantSplit/>
        </w:trPr>
        <w:tc>
          <w:tcPr>
            <w:tcW w:type="dxa" w:w="1656"/>
            <w:vAlign w:val="center"/>
            <w:tcMar>
              <w:top w:w="70" w:type="dxa"/>
              <w:bottom w:w="70" w:type="dxa"/>
              <w:start w:w="80" w:type="dxa"/>
              <w:end w:w="80" w:type="dxa"/>
            </w:tcMar>
          </w:tcPr>
          <w:p>
            <w:pPr>
              <w:pStyle w:val="TableText"/>
            </w:pPr>
            <w:r/>
            <w:r>
              <w:rPr>
                <w:b w:val="0"/>
              </w:rPr>
              <w:t>Patient profile</w:t>
            </w:r>
          </w:p>
        </w:tc>
        <w:tc>
          <w:tcPr>
            <w:tcW w:type="dxa" w:w="4464"/>
            <w:vAlign w:val="center"/>
            <w:tcMar>
              <w:top w:w="70" w:type="dxa"/>
              <w:bottom w:w="70" w:type="dxa"/>
              <w:start w:w="80" w:type="dxa"/>
              <w:end w:w="80" w:type="dxa"/>
            </w:tcMar>
          </w:tcPr>
          <w:p>
            <w:pPr>
              <w:pStyle w:val="TableText"/>
            </w:pPr>
            <w:r/>
            <w:r>
              <w:rPr>
                <w:b w:val="0"/>
              </w:rPr>
              <w:t>Display HIGH and the recorded previous-cesarean reason.</w:t>
            </w:r>
          </w:p>
        </w:tc>
        <w:tc>
          <w:tcPr>
            <w:tcW w:type="dxa" w:w="4464"/>
            <w:vAlign w:val="center"/>
            <w:tcMar>
              <w:top w:w="70" w:type="dxa"/>
              <w:bottom w:w="70" w:type="dxa"/>
              <w:start w:w="80" w:type="dxa"/>
              <w:end w:w="80" w:type="dxa"/>
            </w:tcMar>
          </w:tcPr>
          <w:p>
            <w:pPr>
              <w:pStyle w:val="TableText"/>
            </w:pPr>
            <w:r/>
            <w:r>
              <w:rPr>
                <w:b w:val="0"/>
              </w:rPr>
              <w:t>Do not display VBAC eligibility, scar type, or number of surgeries unless recorded.</w:t>
            </w:r>
          </w:p>
        </w:tc>
      </w:tr>
      <w:tr>
        <w:trPr>
          <w:cantSplit/>
        </w:trPr>
        <w:tc>
          <w:tcPr>
            <w:tcW w:type="dxa" w:w="1656"/>
            <w:vAlign w:val="center"/>
            <w:tcMar>
              <w:top w:w="70" w:type="dxa"/>
              <w:bottom w:w="70" w:type="dxa"/>
              <w:start w:w="80" w:type="dxa"/>
              <w:end w:w="80" w:type="dxa"/>
            </w:tcMar>
            <w:shd w:fill="EDF4FA"/>
          </w:tcPr>
          <w:p>
            <w:pPr>
              <w:pStyle w:val="TableText"/>
            </w:pPr>
            <w:r/>
            <w:r>
              <w:rPr>
                <w:b w:val="0"/>
              </w:rPr>
              <w:t>Birth plan</w:t>
            </w:r>
          </w:p>
        </w:tc>
        <w:tc>
          <w:tcPr>
            <w:tcW w:type="dxa" w:w="4464"/>
            <w:vAlign w:val="center"/>
            <w:tcMar>
              <w:top w:w="70" w:type="dxa"/>
              <w:bottom w:w="70" w:type="dxa"/>
              <w:start w:w="80" w:type="dxa"/>
              <w:end w:w="80" w:type="dxa"/>
            </w:tcMar>
            <w:shd w:fill="EDF4FA"/>
          </w:tcPr>
          <w:p>
            <w:pPr>
              <w:pStyle w:val="TableText"/>
            </w:pPr>
            <w:r/>
            <w:r>
              <w:rPr>
                <w:b w:val="0"/>
              </w:rPr>
              <w:t>Require or prompt documented hospital and clinician plan.</w:t>
            </w:r>
          </w:p>
        </w:tc>
        <w:tc>
          <w:tcPr>
            <w:tcW w:type="dxa" w:w="4464"/>
            <w:vAlign w:val="center"/>
            <w:tcMar>
              <w:top w:w="70" w:type="dxa"/>
              <w:bottom w:w="70" w:type="dxa"/>
              <w:start w:w="80" w:type="dxa"/>
              <w:end w:w="80" w:type="dxa"/>
            </w:tcMar>
            <w:shd w:fill="EDF4FA"/>
          </w:tcPr>
          <w:p>
            <w:pPr>
              <w:pStyle w:val="TableText"/>
            </w:pPr>
            <w:r/>
            <w:r>
              <w:rPr>
                <w:b w:val="0"/>
              </w:rPr>
              <w:t>A birth-plan entry does not itself establish safety or hospital acceptance.</w:t>
            </w:r>
          </w:p>
        </w:tc>
      </w:tr>
      <w:tr>
        <w:trPr>
          <w:cantSplit/>
        </w:trPr>
        <w:tc>
          <w:tcPr>
            <w:tcW w:type="dxa" w:w="1656"/>
            <w:vAlign w:val="center"/>
            <w:tcMar>
              <w:top w:w="70" w:type="dxa"/>
              <w:bottom w:w="70" w:type="dxa"/>
              <w:start w:w="80" w:type="dxa"/>
              <w:end w:w="80" w:type="dxa"/>
            </w:tcMar>
          </w:tcPr>
          <w:p>
            <w:pPr>
              <w:pStyle w:val="TableText"/>
            </w:pPr>
            <w:r/>
            <w:r>
              <w:rPr>
                <w:b w:val="0"/>
              </w:rPr>
              <w:t>Referral workflow</w:t>
            </w:r>
          </w:p>
        </w:tc>
        <w:tc>
          <w:tcPr>
            <w:tcW w:type="dxa" w:w="4464"/>
            <w:vAlign w:val="center"/>
            <w:tcMar>
              <w:top w:w="70" w:type="dxa"/>
              <w:bottom w:w="70" w:type="dxa"/>
              <w:start w:w="80" w:type="dxa"/>
              <w:end w:w="80" w:type="dxa"/>
            </w:tcMar>
          </w:tcPr>
          <w:p>
            <w:pPr>
              <w:pStyle w:val="TableText"/>
            </w:pPr>
            <w:r/>
            <w:r>
              <w:rPr>
                <w:b w:val="0"/>
              </w:rPr>
              <w:t>Support referral to obstetrician or hospital with emergency cesarean capability.</w:t>
            </w:r>
          </w:p>
        </w:tc>
        <w:tc>
          <w:tcPr>
            <w:tcW w:type="dxa" w:w="4464"/>
            <w:vAlign w:val="center"/>
            <w:tcMar>
              <w:top w:w="70" w:type="dxa"/>
              <w:bottom w:w="70" w:type="dxa"/>
              <w:start w:w="80" w:type="dxa"/>
              <w:end w:w="80" w:type="dxa"/>
            </w:tcMar>
          </w:tcPr>
          <w:p>
            <w:pPr>
              <w:pStyle w:val="TableText"/>
            </w:pPr>
            <w:r/>
            <w:r>
              <w:rPr>
                <w:b w:val="0"/>
              </w:rPr>
              <w:t>Track pending, accepted, completed, declined, and unsuccessful referrals.</w:t>
            </w:r>
          </w:p>
        </w:tc>
      </w:tr>
      <w:tr>
        <w:trPr>
          <w:cantSplit/>
        </w:trPr>
        <w:tc>
          <w:tcPr>
            <w:tcW w:type="dxa" w:w="1656"/>
            <w:vAlign w:val="center"/>
            <w:tcMar>
              <w:top w:w="70" w:type="dxa"/>
              <w:bottom w:w="70" w:type="dxa"/>
              <w:start w:w="80" w:type="dxa"/>
              <w:end w:w="80" w:type="dxa"/>
            </w:tcMar>
            <w:shd w:fill="EDF4FA"/>
          </w:tcPr>
          <w:p>
            <w:pPr>
              <w:pStyle w:val="TableText"/>
            </w:pPr>
            <w:r/>
            <w:r>
              <w:rPr>
                <w:b w:val="0"/>
              </w:rPr>
              <w:t>Audit trail</w:t>
            </w:r>
          </w:p>
        </w:tc>
        <w:tc>
          <w:tcPr>
            <w:tcW w:type="dxa" w:w="4464"/>
            <w:vAlign w:val="center"/>
            <w:tcMar>
              <w:top w:w="70" w:type="dxa"/>
              <w:bottom w:w="70" w:type="dxa"/>
              <w:start w:w="80" w:type="dxa"/>
              <w:end w:w="80" w:type="dxa"/>
            </w:tcMar>
            <w:shd w:fill="EDF4FA"/>
          </w:tcPr>
          <w:p>
            <w:pPr>
              <w:pStyle w:val="TableText"/>
            </w:pPr>
            <w:r/>
            <w:r>
              <w:rPr>
                <w:b w:val="0"/>
              </w:rPr>
              <w:t>Record old/new value, rule ID, result, user, timestamp, and version.</w:t>
            </w:r>
          </w:p>
        </w:tc>
        <w:tc>
          <w:tcPr>
            <w:tcW w:type="dxa" w:w="4464"/>
            <w:vAlign w:val="center"/>
            <w:tcMar>
              <w:top w:w="70" w:type="dxa"/>
              <w:bottom w:w="70" w:type="dxa"/>
              <w:start w:w="80" w:type="dxa"/>
              <w:end w:w="80" w:type="dxa"/>
            </w:tcMar>
            <w:shd w:fill="EDF4FA"/>
          </w:tcPr>
          <w:p>
            <w:pPr>
              <w:pStyle w:val="TableText"/>
            </w:pPr>
            <w:r/>
            <w:r>
              <w:rPr>
                <w:b w:val="0"/>
              </w:rPr>
              <w:t>Preserve history after correction.</w:t>
            </w:r>
          </w:p>
        </w:tc>
      </w:tr>
      <w:tr>
        <w:trPr>
          <w:cantSplit/>
        </w:trPr>
        <w:tc>
          <w:tcPr>
            <w:tcW w:type="dxa" w:w="1656"/>
            <w:vAlign w:val="center"/>
            <w:tcMar>
              <w:top w:w="70" w:type="dxa"/>
              <w:bottom w:w="70" w:type="dxa"/>
              <w:start w:w="80" w:type="dxa"/>
              <w:end w:w="80" w:type="dxa"/>
            </w:tcMar>
          </w:tcPr>
          <w:p>
            <w:pPr>
              <w:pStyle w:val="TableText"/>
            </w:pPr>
            <w:r/>
            <w:r>
              <w:rPr>
                <w:b w:val="0"/>
              </w:rPr>
              <w:t>Delivered workflow</w:t>
            </w:r>
          </w:p>
        </w:tc>
        <w:tc>
          <w:tcPr>
            <w:tcW w:type="dxa" w:w="4464"/>
            <w:vAlign w:val="center"/>
            <w:tcMar>
              <w:top w:w="70" w:type="dxa"/>
              <w:bottom w:w="70" w:type="dxa"/>
              <w:start w:w="80" w:type="dxa"/>
              <w:end w:w="80" w:type="dxa"/>
            </w:tcMar>
          </w:tcPr>
          <w:p>
            <w:pPr>
              <w:pStyle w:val="TableText"/>
            </w:pPr>
            <w:r/>
            <w:r>
              <w:rPr>
                <w:b w:val="0"/>
              </w:rPr>
              <w:t>Lock historical pregnancy data after delivery.</w:t>
            </w:r>
          </w:p>
        </w:tc>
        <w:tc>
          <w:tcPr>
            <w:tcW w:type="dxa" w:w="4464"/>
            <w:vAlign w:val="center"/>
            <w:tcMar>
              <w:top w:w="70" w:type="dxa"/>
              <w:bottom w:w="70" w:type="dxa"/>
              <w:start w:w="80" w:type="dxa"/>
              <w:end w:w="80" w:type="dxa"/>
            </w:tcMar>
          </w:tcPr>
          <w:p>
            <w:pPr>
              <w:pStyle w:val="TableText"/>
            </w:pPr>
            <w:r/>
            <w:r>
              <w:rPr>
                <w:b w:val="0"/>
              </w:rPr>
              <w:t>A new pregnancy starts a new assessment and requires reconfirmation.</w:t>
            </w:r>
          </w:p>
        </w:tc>
      </w:tr>
    </w:tbl>
    <w:p>
      <w:pPr>
        <w:spacing w:after="20"/>
      </w:pPr>
    </w:p>
    <w:p>
      <w:pPr>
        <w:pStyle w:val="Heading1"/>
      </w:pPr>
      <w:r>
        <w:t>10. Explainability Requirements</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2448"/>
            <w:vAlign w:val="center"/>
            <w:tcMar>
              <w:top w:w="70" w:type="dxa"/>
              <w:bottom w:w="70" w:type="dxa"/>
              <w:start w:w="80" w:type="dxa"/>
              <w:end w:w="80" w:type="dxa"/>
            </w:tcMar>
            <w:shd w:fill="17365D"/>
          </w:tcPr>
          <w:p>
            <w:pPr>
              <w:pStyle w:val="TableHeader"/>
            </w:pPr>
            <w:r/>
            <w:r>
              <w:rPr>
                <w:b/>
                <w:color w:val="FFFFFF"/>
              </w:rPr>
              <w:t>Context</w:t>
            </w:r>
          </w:p>
        </w:tc>
        <w:tc>
          <w:tcPr>
            <w:tcW w:type="dxa" w:w="7632"/>
            <w:vAlign w:val="center"/>
            <w:tcMar>
              <w:top w:w="70" w:type="dxa"/>
              <w:bottom w:w="70" w:type="dxa"/>
              <w:start w:w="80" w:type="dxa"/>
              <w:end w:w="80" w:type="dxa"/>
            </w:tcMar>
            <w:shd w:fill="17365D"/>
          </w:tcPr>
          <w:p>
            <w:pPr>
              <w:pStyle w:val="TableHeader"/>
            </w:pPr>
            <w:r/>
            <w:r>
              <w:rPr>
                <w:b/>
                <w:color w:val="FFFFFF"/>
              </w:rPr>
              <w:t>Approved wording</w:t>
            </w:r>
          </w:p>
        </w:tc>
      </w:tr>
      <w:tr>
        <w:trPr>
          <w:cantSplit/>
        </w:trPr>
        <w:tc>
          <w:tcPr>
            <w:tcW w:type="dxa" w:w="2448"/>
            <w:vAlign w:val="center"/>
            <w:tcMar>
              <w:top w:w="70" w:type="dxa"/>
              <w:bottom w:w="70" w:type="dxa"/>
              <w:start w:w="80" w:type="dxa"/>
              <w:end w:w="80" w:type="dxa"/>
            </w:tcMar>
          </w:tcPr>
          <w:p>
            <w:pPr>
              <w:pStyle w:val="TableText"/>
            </w:pPr>
            <w:r/>
            <w:r>
              <w:rPr>
                <w:b w:val="0"/>
              </w:rPr>
              <w:t>Risk reason</w:t>
            </w:r>
          </w:p>
        </w:tc>
        <w:tc>
          <w:tcPr>
            <w:tcW w:type="dxa" w:w="7632"/>
            <w:vAlign w:val="center"/>
            <w:tcMar>
              <w:top w:w="70" w:type="dxa"/>
              <w:bottom w:w="70" w:type="dxa"/>
              <w:start w:w="80" w:type="dxa"/>
              <w:end w:w="80" w:type="dxa"/>
            </w:tcMar>
          </w:tcPr>
          <w:p>
            <w:pPr>
              <w:pStyle w:val="TableText"/>
            </w:pPr>
            <w:r/>
            <w:r>
              <w:rPr>
                <w:b w:val="0"/>
              </w:rPr>
              <w:t>A previous cesarean delivery was recorded. Labour after cesarean requires individualized obstetric assessment and access to emergency cesarean delivery.</w:t>
            </w:r>
          </w:p>
        </w:tc>
      </w:tr>
      <w:tr>
        <w:trPr>
          <w:cantSplit/>
        </w:trPr>
        <w:tc>
          <w:tcPr>
            <w:tcW w:type="dxa" w:w="2448"/>
            <w:vAlign w:val="center"/>
            <w:tcMar>
              <w:top w:w="70" w:type="dxa"/>
              <w:bottom w:w="70" w:type="dxa"/>
              <w:start w:w="80" w:type="dxa"/>
              <w:end w:w="80" w:type="dxa"/>
            </w:tcMar>
            <w:shd w:fill="EDF4FA"/>
          </w:tcPr>
          <w:p>
            <w:pPr>
              <w:pStyle w:val="TableText"/>
            </w:pPr>
            <w:r/>
            <w:r>
              <w:rPr>
                <w:b w:val="0"/>
              </w:rPr>
              <w:t>HIGH recommendation</w:t>
            </w:r>
          </w:p>
        </w:tc>
        <w:tc>
          <w:tcPr>
            <w:tcW w:type="dxa" w:w="7632"/>
            <w:vAlign w:val="center"/>
            <w:tcMar>
              <w:top w:w="70" w:type="dxa"/>
              <w:bottom w:w="70" w:type="dxa"/>
              <w:start w:w="80" w:type="dxa"/>
              <w:end w:w="80" w:type="dxa"/>
            </w:tcMar>
            <w:shd w:fill="EDF4FA"/>
          </w:tcPr>
          <w:p>
            <w:pPr>
              <w:pStyle w:val="TableText"/>
            </w:pPr>
            <w:r/>
            <w:r>
              <w:rPr>
                <w:b w:val="0"/>
              </w:rPr>
              <w:t>Arrange early obstetric review and a documented hospital birth plan. The planned birth facility should have immediate emergency cesarean and blood transfusion capability.</w:t>
            </w:r>
          </w:p>
        </w:tc>
      </w:tr>
      <w:tr>
        <w:trPr>
          <w:cantSplit/>
        </w:trPr>
        <w:tc>
          <w:tcPr>
            <w:tcW w:type="dxa" w:w="2448"/>
            <w:vAlign w:val="center"/>
            <w:tcMar>
              <w:top w:w="70" w:type="dxa"/>
              <w:bottom w:w="70" w:type="dxa"/>
              <w:start w:w="80" w:type="dxa"/>
              <w:end w:w="80" w:type="dxa"/>
            </w:tcMar>
          </w:tcPr>
          <w:p>
            <w:pPr>
              <w:pStyle w:val="TableText"/>
            </w:pPr>
            <w:r/>
            <w:r>
              <w:rPr>
                <w:b w:val="0"/>
              </w:rPr>
              <w:t>Patient-facing</w:t>
            </w:r>
          </w:p>
        </w:tc>
        <w:tc>
          <w:tcPr>
            <w:tcW w:type="dxa" w:w="7632"/>
            <w:vAlign w:val="center"/>
            <w:tcMar>
              <w:top w:w="70" w:type="dxa"/>
              <w:bottom w:w="70" w:type="dxa"/>
              <w:start w:w="80" w:type="dxa"/>
              <w:end w:w="80" w:type="dxa"/>
            </w:tcMar>
          </w:tcPr>
          <w:p>
            <w:pPr>
              <w:pStyle w:val="TableText"/>
            </w:pPr>
            <w:r/>
            <w:r>
              <w:rPr>
                <w:b w:val="0"/>
              </w:rPr>
              <w:t>A previous cesarean does not automatically mean you must have another cesarean. A doctor should review your history and discuss the safest birth options with you.</w:t>
            </w:r>
          </w:p>
        </w:tc>
      </w:tr>
      <w:tr>
        <w:trPr>
          <w:cantSplit/>
        </w:trPr>
        <w:tc>
          <w:tcPr>
            <w:tcW w:type="dxa" w:w="2448"/>
            <w:vAlign w:val="center"/>
            <w:tcMar>
              <w:top w:w="70" w:type="dxa"/>
              <w:bottom w:w="70" w:type="dxa"/>
              <w:start w:w="80" w:type="dxa"/>
              <w:end w:w="80" w:type="dxa"/>
            </w:tcMar>
            <w:shd w:fill="EDF4FA"/>
          </w:tcPr>
          <w:p>
            <w:pPr>
              <w:pStyle w:val="TableText"/>
            </w:pPr>
            <w:r/>
            <w:r>
              <w:rPr>
                <w:b w:val="0"/>
              </w:rPr>
              <w:t>Incomplete</w:t>
            </w:r>
          </w:p>
        </w:tc>
        <w:tc>
          <w:tcPr>
            <w:tcW w:type="dxa" w:w="7632"/>
            <w:vAlign w:val="center"/>
            <w:tcMar>
              <w:top w:w="70" w:type="dxa"/>
              <w:bottom w:w="70" w:type="dxa"/>
              <w:start w:w="80" w:type="dxa"/>
              <w:end w:w="80" w:type="dxa"/>
            </w:tcMar>
            <w:shd w:fill="EDF4FA"/>
          </w:tcPr>
          <w:p>
            <w:pPr>
              <w:pStyle w:val="TableText"/>
            </w:pPr>
            <w:r/>
            <w:r>
              <w:rPr>
                <w:b w:val="0"/>
              </w:rPr>
              <w:t>The previous-cesarean history is missing or unclear. Confirm the obstetric history before relying on the assessment.</w:t>
            </w:r>
          </w:p>
        </w:tc>
      </w:tr>
      <w:tr>
        <w:trPr>
          <w:cantSplit/>
        </w:trPr>
        <w:tc>
          <w:tcPr>
            <w:tcW w:type="dxa" w:w="2448"/>
            <w:vAlign w:val="center"/>
            <w:tcMar>
              <w:top w:w="70" w:type="dxa"/>
              <w:bottom w:w="70" w:type="dxa"/>
              <w:start w:w="80" w:type="dxa"/>
              <w:end w:w="80" w:type="dxa"/>
            </w:tcMar>
          </w:tcPr>
          <w:p>
            <w:pPr>
              <w:pStyle w:val="TableText"/>
            </w:pPr>
            <w:r/>
            <w:r>
              <w:rPr>
                <w:b w:val="0"/>
              </w:rPr>
              <w:t>System boundary</w:t>
            </w:r>
          </w:p>
        </w:tc>
        <w:tc>
          <w:tcPr>
            <w:tcW w:type="dxa" w:w="7632"/>
            <w:vAlign w:val="center"/>
            <w:tcMar>
              <w:top w:w="70" w:type="dxa"/>
              <w:bottom w:w="70" w:type="dxa"/>
              <w:start w:w="80" w:type="dxa"/>
              <w:end w:w="80" w:type="dxa"/>
            </w:tcMar>
          </w:tcPr>
          <w:p>
            <w:pPr>
              <w:pStyle w:val="TableText"/>
            </w:pPr>
            <w:r/>
            <w:r>
              <w:rPr>
                <w:b w:val="0"/>
              </w:rPr>
              <w:t>The CDSS does not decide VBAC eligibility, predict uterine rupture, select induction methods, or determine the final mode of birth.</w:t>
            </w:r>
          </w:p>
        </w:tc>
      </w:tr>
    </w:tbl>
    <w:p>
      <w:pPr>
        <w:spacing w:after="20"/>
      </w:pPr>
    </w:p>
    <w:p>
      <w:pPr>
        <w:pStyle w:val="Heading1"/>
      </w:pPr>
      <w:r>
        <w:t>11. Recommendation Mapping</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2088"/>
            <w:vAlign w:val="center"/>
            <w:tcMar>
              <w:top w:w="70" w:type="dxa"/>
              <w:bottom w:w="70" w:type="dxa"/>
              <w:start w:w="80" w:type="dxa"/>
              <w:end w:w="80" w:type="dxa"/>
            </w:tcMar>
            <w:shd w:fill="17365D"/>
          </w:tcPr>
          <w:p>
            <w:pPr>
              <w:pStyle w:val="TableHeader"/>
            </w:pPr>
            <w:r/>
            <w:r>
              <w:rPr>
                <w:b/>
                <w:color w:val="FFFFFF"/>
              </w:rPr>
              <w:t>System state</w:t>
            </w:r>
          </w:p>
        </w:tc>
        <w:tc>
          <w:tcPr>
            <w:tcW w:type="dxa" w:w="4968"/>
            <w:vAlign w:val="center"/>
            <w:tcMar>
              <w:top w:w="70" w:type="dxa"/>
              <w:bottom w:w="70" w:type="dxa"/>
              <w:start w:w="80" w:type="dxa"/>
              <w:end w:w="80" w:type="dxa"/>
            </w:tcMar>
            <w:shd w:fill="17365D"/>
          </w:tcPr>
          <w:p>
            <w:pPr>
              <w:pStyle w:val="TableHeader"/>
            </w:pPr>
            <w:r/>
            <w:r>
              <w:rPr>
                <w:b/>
                <w:color w:val="FFFFFF"/>
              </w:rPr>
              <w:t>Recommended CDSS action</w:t>
            </w:r>
          </w:p>
        </w:tc>
        <w:tc>
          <w:tcPr>
            <w:tcW w:type="dxa" w:w="4248"/>
            <w:vAlign w:val="center"/>
            <w:tcMar>
              <w:top w:w="70" w:type="dxa"/>
              <w:bottom w:w="70" w:type="dxa"/>
              <w:start w:w="80" w:type="dxa"/>
              <w:end w:w="80" w:type="dxa"/>
            </w:tcMar>
            <w:shd w:fill="17365D"/>
          </w:tcPr>
          <w:p>
            <w:pPr>
              <w:pStyle w:val="TableHeader"/>
            </w:pPr>
            <w:r/>
            <w:r>
              <w:rPr>
                <w:b/>
                <w:color w:val="FFFFFF"/>
              </w:rPr>
              <w:t>Excluded action</w:t>
            </w:r>
          </w:p>
        </w:tc>
      </w:tr>
      <w:tr>
        <w:trPr>
          <w:cantSplit/>
        </w:trPr>
        <w:tc>
          <w:tcPr>
            <w:tcW w:type="dxa" w:w="2088"/>
            <w:vAlign w:val="center"/>
            <w:tcMar>
              <w:top w:w="70" w:type="dxa"/>
              <w:bottom w:w="70" w:type="dxa"/>
              <w:start w:w="80" w:type="dxa"/>
              <w:end w:w="80" w:type="dxa"/>
            </w:tcMar>
          </w:tcPr>
          <w:p>
            <w:pPr>
              <w:pStyle w:val="TableText"/>
            </w:pPr>
            <w:r/>
            <w:r>
              <w:rPr>
                <w:b w:val="0"/>
              </w:rPr>
              <w:t>Previous CS / HIGH</w:t>
            </w:r>
          </w:p>
        </w:tc>
        <w:tc>
          <w:tcPr>
            <w:tcW w:type="dxa" w:w="4968"/>
            <w:vAlign w:val="center"/>
            <w:tcMar>
              <w:top w:w="70" w:type="dxa"/>
              <w:bottom w:w="70" w:type="dxa"/>
              <w:start w:w="80" w:type="dxa"/>
              <w:end w:w="80" w:type="dxa"/>
            </w:tcMar>
          </w:tcPr>
          <w:p>
            <w:pPr>
              <w:pStyle w:val="TableText"/>
            </w:pPr>
            <w:r/>
            <w:r>
              <w:rPr>
                <w:b w:val="0"/>
              </w:rPr>
              <w:t>Prompt early obstetric review; obtain available operative records; confirm hospital birth plan; verify referral completion.</w:t>
            </w:r>
          </w:p>
        </w:tc>
        <w:tc>
          <w:tcPr>
            <w:tcW w:type="dxa" w:w="4248"/>
            <w:vAlign w:val="center"/>
            <w:tcMar>
              <w:top w:w="70" w:type="dxa"/>
              <w:bottom w:w="70" w:type="dxa"/>
              <w:start w:w="80" w:type="dxa"/>
              <w:end w:w="80" w:type="dxa"/>
            </w:tcMar>
          </w:tcPr>
          <w:p>
            <w:pPr>
              <w:pStyle w:val="TableText"/>
            </w:pPr>
            <w:r/>
            <w:r>
              <w:rPr>
                <w:b w:val="0"/>
              </w:rPr>
              <w:t>Declaring VBAC safe or unsafe, or scheduling repeat cesarean.</w:t>
            </w:r>
          </w:p>
        </w:tc>
      </w:tr>
      <w:tr>
        <w:trPr>
          <w:cantSplit/>
        </w:trPr>
        <w:tc>
          <w:tcPr>
            <w:tcW w:type="dxa" w:w="2088"/>
            <w:vAlign w:val="center"/>
            <w:tcMar>
              <w:top w:w="70" w:type="dxa"/>
              <w:bottom w:w="70" w:type="dxa"/>
              <w:start w:w="80" w:type="dxa"/>
              <w:end w:w="80" w:type="dxa"/>
            </w:tcMar>
            <w:shd w:fill="EDF4FA"/>
          </w:tcPr>
          <w:p>
            <w:pPr>
              <w:pStyle w:val="TableText"/>
            </w:pPr>
            <w:r/>
            <w:r>
              <w:rPr>
                <w:b w:val="0"/>
              </w:rPr>
              <w:t>No previous CS</w:t>
            </w:r>
          </w:p>
        </w:tc>
        <w:tc>
          <w:tcPr>
            <w:tcW w:type="dxa" w:w="4968"/>
            <w:vAlign w:val="center"/>
            <w:tcMar>
              <w:top w:w="70" w:type="dxa"/>
              <w:bottom w:w="70" w:type="dxa"/>
              <w:start w:w="80" w:type="dxa"/>
              <w:end w:w="80" w:type="dxa"/>
            </w:tcMar>
            <w:shd w:fill="EDF4FA"/>
          </w:tcPr>
          <w:p>
            <w:pPr>
              <w:pStyle w:val="TableText"/>
            </w:pPr>
            <w:r/>
            <w:r>
              <w:rPr>
                <w:b w:val="0"/>
              </w:rPr>
              <w:t>Continue assessment of all other rules and required records.</w:t>
            </w:r>
          </w:p>
        </w:tc>
        <w:tc>
          <w:tcPr>
            <w:tcW w:type="dxa" w:w="4248"/>
            <w:vAlign w:val="center"/>
            <w:tcMar>
              <w:top w:w="70" w:type="dxa"/>
              <w:bottom w:w="70" w:type="dxa"/>
              <w:start w:w="80" w:type="dxa"/>
              <w:end w:w="80" w:type="dxa"/>
            </w:tcMar>
            <w:shd w:fill="EDF4FA"/>
          </w:tcPr>
          <w:p>
            <w:pPr>
              <w:pStyle w:val="TableText"/>
            </w:pPr>
            <w:r/>
            <w:r>
              <w:rPr>
                <w:b w:val="0"/>
              </w:rPr>
              <w:t>Assuming history is reliable when records are incomplete or contradictory.</w:t>
            </w:r>
          </w:p>
        </w:tc>
      </w:tr>
      <w:tr>
        <w:trPr>
          <w:cantSplit/>
        </w:trPr>
        <w:tc>
          <w:tcPr>
            <w:tcW w:type="dxa" w:w="2088"/>
            <w:vAlign w:val="center"/>
            <w:tcMar>
              <w:top w:w="70" w:type="dxa"/>
              <w:bottom w:w="70" w:type="dxa"/>
              <w:start w:w="80" w:type="dxa"/>
              <w:end w:w="80" w:type="dxa"/>
            </w:tcMar>
          </w:tcPr>
          <w:p>
            <w:pPr>
              <w:pStyle w:val="TableText"/>
            </w:pPr>
            <w:r/>
            <w:r>
              <w:rPr>
                <w:b w:val="0"/>
              </w:rPr>
              <w:t>Unknown/missing</w:t>
            </w:r>
          </w:p>
        </w:tc>
        <w:tc>
          <w:tcPr>
            <w:tcW w:type="dxa" w:w="4968"/>
            <w:vAlign w:val="center"/>
            <w:tcMar>
              <w:top w:w="70" w:type="dxa"/>
              <w:bottom w:w="70" w:type="dxa"/>
              <w:start w:w="80" w:type="dxa"/>
              <w:end w:w="80" w:type="dxa"/>
            </w:tcMar>
          </w:tcPr>
          <w:p>
            <w:pPr>
              <w:pStyle w:val="TableText"/>
            </w:pPr>
            <w:r/>
            <w:r>
              <w:rPr>
                <w:b w:val="0"/>
              </w:rPr>
              <w:t>Mark assessment incomplete and request verification.</w:t>
            </w:r>
          </w:p>
        </w:tc>
        <w:tc>
          <w:tcPr>
            <w:tcW w:type="dxa" w:w="4248"/>
            <w:vAlign w:val="center"/>
            <w:tcMar>
              <w:top w:w="70" w:type="dxa"/>
              <w:bottom w:w="70" w:type="dxa"/>
              <w:start w:w="80" w:type="dxa"/>
              <w:end w:w="80" w:type="dxa"/>
            </w:tcMar>
          </w:tcPr>
          <w:p>
            <w:pPr>
              <w:pStyle w:val="TableText"/>
            </w:pPr>
            <w:r/>
            <w:r>
              <w:rPr>
                <w:b w:val="0"/>
              </w:rPr>
              <w:t>Defaulting to No or LOW.</w:t>
            </w:r>
          </w:p>
        </w:tc>
      </w:tr>
      <w:tr>
        <w:trPr>
          <w:cantSplit/>
        </w:trPr>
        <w:tc>
          <w:tcPr>
            <w:tcW w:type="dxa" w:w="2088"/>
            <w:vAlign w:val="center"/>
            <w:tcMar>
              <w:top w:w="70" w:type="dxa"/>
              <w:bottom w:w="70" w:type="dxa"/>
              <w:start w:w="80" w:type="dxa"/>
              <w:end w:w="80" w:type="dxa"/>
            </w:tcMar>
            <w:shd w:fill="EDF4FA"/>
          </w:tcPr>
          <w:p>
            <w:pPr>
              <w:pStyle w:val="TableText"/>
            </w:pPr>
            <w:r/>
            <w:r>
              <w:rPr>
                <w:b w:val="0"/>
              </w:rPr>
              <w:t>Labour begins at lying-in clinic</w:t>
            </w:r>
          </w:p>
        </w:tc>
        <w:tc>
          <w:tcPr>
            <w:tcW w:type="dxa" w:w="4968"/>
            <w:vAlign w:val="center"/>
            <w:tcMar>
              <w:top w:w="70" w:type="dxa"/>
              <w:bottom w:w="70" w:type="dxa"/>
              <w:start w:w="80" w:type="dxa"/>
              <w:end w:w="80" w:type="dxa"/>
            </w:tcMar>
            <w:shd w:fill="EDF4FA"/>
          </w:tcPr>
          <w:p>
            <w:pPr>
              <w:pStyle w:val="TableText"/>
            </w:pPr>
            <w:r/>
            <w:r>
              <w:rPr>
                <w:b w:val="0"/>
              </w:rPr>
              <w:t>Activate emergency transfer protocol according to clinic policy and current clinical condition.</w:t>
            </w:r>
          </w:p>
        </w:tc>
        <w:tc>
          <w:tcPr>
            <w:tcW w:type="dxa" w:w="4248"/>
            <w:vAlign w:val="center"/>
            <w:tcMar>
              <w:top w:w="70" w:type="dxa"/>
              <w:bottom w:w="70" w:type="dxa"/>
              <w:start w:w="80" w:type="dxa"/>
              <w:end w:w="80" w:type="dxa"/>
            </w:tcMar>
            <w:shd w:fill="EDF4FA"/>
          </w:tcPr>
          <w:p>
            <w:pPr>
              <w:pStyle w:val="TableText"/>
            </w:pPr>
            <w:r/>
            <w:r>
              <w:rPr>
                <w:b w:val="0"/>
              </w:rPr>
              <w:t>Conducting an unsupported trial of labour while waiting for routine referral.</w:t>
            </w:r>
          </w:p>
        </w:tc>
      </w:tr>
      <w:tr>
        <w:trPr>
          <w:cantSplit/>
        </w:trPr>
        <w:tc>
          <w:tcPr>
            <w:tcW w:type="dxa" w:w="2088"/>
            <w:vAlign w:val="center"/>
            <w:tcMar>
              <w:top w:w="70" w:type="dxa"/>
              <w:bottom w:w="70" w:type="dxa"/>
              <w:start w:w="80" w:type="dxa"/>
              <w:end w:w="80" w:type="dxa"/>
            </w:tcMar>
          </w:tcPr>
          <w:p>
            <w:pPr>
              <w:pStyle w:val="TableText"/>
            </w:pPr>
            <w:r/>
            <w:r>
              <w:rPr>
                <w:b w:val="0"/>
              </w:rPr>
              <w:t>Referral refused</w:t>
            </w:r>
          </w:p>
        </w:tc>
        <w:tc>
          <w:tcPr>
            <w:tcW w:type="dxa" w:w="4968"/>
            <w:vAlign w:val="center"/>
            <w:tcMar>
              <w:top w:w="70" w:type="dxa"/>
              <w:bottom w:w="70" w:type="dxa"/>
              <w:start w:w="80" w:type="dxa"/>
              <w:end w:w="80" w:type="dxa"/>
            </w:tcMar>
          </w:tcPr>
          <w:p>
            <w:pPr>
              <w:pStyle w:val="TableText"/>
            </w:pPr>
            <w:r/>
            <w:r>
              <w:rPr>
                <w:b w:val="0"/>
              </w:rPr>
              <w:t>Maintain HIGH; document counseling, risks, options, refusal, and safety-net instructions.</w:t>
            </w:r>
          </w:p>
        </w:tc>
        <w:tc>
          <w:tcPr>
            <w:tcW w:type="dxa" w:w="4248"/>
            <w:vAlign w:val="center"/>
            <w:tcMar>
              <w:top w:w="70" w:type="dxa"/>
              <w:bottom w:w="70" w:type="dxa"/>
              <w:start w:w="80" w:type="dxa"/>
              <w:end w:w="80" w:type="dxa"/>
            </w:tcMar>
          </w:tcPr>
          <w:p>
            <w:pPr>
              <w:pStyle w:val="TableText"/>
            </w:pPr>
            <w:r/>
            <w:r>
              <w:rPr>
                <w:b w:val="0"/>
              </w:rPr>
              <w:t>Using a waiver to make the pregnancy low risk or to certify the facility as adequate.</w:t>
            </w:r>
          </w:p>
        </w:tc>
      </w:tr>
    </w:tbl>
    <w:p>
      <w:pPr>
        <w:spacing w:after="20"/>
      </w:pPr>
    </w:p>
    <w:p>
      <w:pPr>
        <w:pStyle w:val="Heading1"/>
      </w:pPr>
      <w:r>
        <w:t>12. Clinical Limitations and Failure Modes</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2880"/>
            <w:vAlign w:val="center"/>
            <w:tcMar>
              <w:top w:w="70" w:type="dxa"/>
              <w:bottom w:w="70" w:type="dxa"/>
              <w:start w:w="80" w:type="dxa"/>
              <w:end w:w="80" w:type="dxa"/>
            </w:tcMar>
            <w:shd w:fill="17365D"/>
          </w:tcPr>
          <w:p>
            <w:pPr>
              <w:pStyle w:val="TableHeader"/>
            </w:pPr>
            <w:r/>
            <w:r>
              <w:rPr>
                <w:b/>
                <w:color w:val="FFFFFF"/>
              </w:rPr>
              <w:t>Failure mode</w:t>
            </w:r>
          </w:p>
        </w:tc>
        <w:tc>
          <w:tcPr>
            <w:tcW w:type="dxa" w:w="3456"/>
            <w:vAlign w:val="center"/>
            <w:tcMar>
              <w:top w:w="70" w:type="dxa"/>
              <w:bottom w:w="70" w:type="dxa"/>
              <w:start w:w="80" w:type="dxa"/>
              <w:end w:w="80" w:type="dxa"/>
            </w:tcMar>
            <w:shd w:fill="17365D"/>
          </w:tcPr>
          <w:p>
            <w:pPr>
              <w:pStyle w:val="TableHeader"/>
            </w:pPr>
            <w:r/>
            <w:r>
              <w:rPr>
                <w:b/>
                <w:color w:val="FFFFFF"/>
              </w:rPr>
              <w:t>Potential harm</w:t>
            </w:r>
          </w:p>
        </w:tc>
        <w:tc>
          <w:tcPr>
            <w:tcW w:type="dxa" w:w="4392"/>
            <w:vAlign w:val="center"/>
            <w:tcMar>
              <w:top w:w="70" w:type="dxa"/>
              <w:bottom w:w="70" w:type="dxa"/>
              <w:start w:w="80" w:type="dxa"/>
              <w:end w:w="80" w:type="dxa"/>
            </w:tcMar>
            <w:shd w:fill="17365D"/>
          </w:tcPr>
          <w:p>
            <w:pPr>
              <w:pStyle w:val="TableHeader"/>
            </w:pPr>
            <w:r/>
            <w:r>
              <w:rPr>
                <w:b/>
                <w:color w:val="FFFFFF"/>
              </w:rPr>
              <w:t>Required control</w:t>
            </w:r>
          </w:p>
        </w:tc>
      </w:tr>
      <w:tr>
        <w:trPr>
          <w:cantSplit/>
        </w:trPr>
        <w:tc>
          <w:tcPr>
            <w:tcW w:type="dxa" w:w="2880"/>
            <w:vAlign w:val="center"/>
            <w:tcMar>
              <w:top w:w="70" w:type="dxa"/>
              <w:bottom w:w="70" w:type="dxa"/>
              <w:start w:w="80" w:type="dxa"/>
              <w:end w:w="80" w:type="dxa"/>
            </w:tcMar>
          </w:tcPr>
          <w:p>
            <w:pPr>
              <w:pStyle w:val="TableText"/>
            </w:pPr>
            <w:r/>
            <w:r>
              <w:rPr>
                <w:b w:val="0"/>
              </w:rPr>
              <w:t>Boolean history only</w:t>
            </w:r>
          </w:p>
        </w:tc>
        <w:tc>
          <w:tcPr>
            <w:tcW w:type="dxa" w:w="3456"/>
            <w:vAlign w:val="center"/>
            <w:tcMar>
              <w:top w:w="70" w:type="dxa"/>
              <w:bottom w:w="70" w:type="dxa"/>
              <w:start w:w="80" w:type="dxa"/>
              <w:end w:w="80" w:type="dxa"/>
            </w:tcMar>
          </w:tcPr>
          <w:p>
            <w:pPr>
              <w:pStyle w:val="TableText"/>
            </w:pPr>
            <w:r/>
            <w:r>
              <w:rPr>
                <w:b w:val="0"/>
              </w:rPr>
              <w:t>Cannot determine VBAC eligibility or severity of risk.</w:t>
            </w:r>
          </w:p>
        </w:tc>
        <w:tc>
          <w:tcPr>
            <w:tcW w:type="dxa" w:w="4392"/>
            <w:vAlign w:val="center"/>
            <w:tcMar>
              <w:top w:w="70" w:type="dxa"/>
              <w:bottom w:w="70" w:type="dxa"/>
              <w:start w:w="80" w:type="dxa"/>
              <w:end w:w="80" w:type="dxa"/>
            </w:tcMar>
          </w:tcPr>
          <w:p>
            <w:pPr>
              <w:pStyle w:val="TableText"/>
            </w:pPr>
            <w:r/>
            <w:r>
              <w:rPr>
                <w:b w:val="0"/>
              </w:rPr>
              <w:t>Use broad HIGH and avoid individualized claims.</w:t>
            </w:r>
          </w:p>
        </w:tc>
      </w:tr>
      <w:tr>
        <w:trPr>
          <w:cantSplit/>
        </w:trPr>
        <w:tc>
          <w:tcPr>
            <w:tcW w:type="dxa" w:w="2880"/>
            <w:vAlign w:val="center"/>
            <w:tcMar>
              <w:top w:w="70" w:type="dxa"/>
              <w:bottom w:w="70" w:type="dxa"/>
              <w:start w:w="80" w:type="dxa"/>
              <w:end w:w="80" w:type="dxa"/>
            </w:tcMar>
            <w:shd w:fill="EDF4FA"/>
          </w:tcPr>
          <w:p>
            <w:pPr>
              <w:pStyle w:val="TableText"/>
            </w:pPr>
            <w:r/>
            <w:r>
              <w:rPr>
                <w:b w:val="0"/>
              </w:rPr>
              <w:t>Unknown uterine incision</w:t>
            </w:r>
          </w:p>
        </w:tc>
        <w:tc>
          <w:tcPr>
            <w:tcW w:type="dxa" w:w="3456"/>
            <w:vAlign w:val="center"/>
            <w:tcMar>
              <w:top w:w="70" w:type="dxa"/>
              <w:bottom w:w="70" w:type="dxa"/>
              <w:start w:w="80" w:type="dxa"/>
              <w:end w:w="80" w:type="dxa"/>
            </w:tcMar>
            <w:shd w:fill="EDF4FA"/>
          </w:tcPr>
          <w:p>
            <w:pPr>
              <w:pStyle w:val="TableText"/>
            </w:pPr>
            <w:r/>
            <w:r>
              <w:rPr>
                <w:b w:val="0"/>
              </w:rPr>
              <w:t>A classical or other high-risk scar may be missed.</w:t>
            </w:r>
          </w:p>
        </w:tc>
        <w:tc>
          <w:tcPr>
            <w:tcW w:type="dxa" w:w="4392"/>
            <w:vAlign w:val="center"/>
            <w:tcMar>
              <w:top w:w="70" w:type="dxa"/>
              <w:bottom w:w="70" w:type="dxa"/>
              <w:start w:w="80" w:type="dxa"/>
              <w:end w:w="80" w:type="dxa"/>
            </w:tcMar>
            <w:shd w:fill="EDF4FA"/>
          </w:tcPr>
          <w:p>
            <w:pPr>
              <w:pStyle w:val="TableText"/>
            </w:pPr>
            <w:r/>
            <w:r>
              <w:rPr>
                <w:b w:val="0"/>
              </w:rPr>
              <w:t>Seek operative records and obstetric review.</w:t>
            </w:r>
          </w:p>
        </w:tc>
      </w:tr>
      <w:tr>
        <w:trPr>
          <w:cantSplit/>
        </w:trPr>
        <w:tc>
          <w:tcPr>
            <w:tcW w:type="dxa" w:w="2880"/>
            <w:vAlign w:val="center"/>
            <w:tcMar>
              <w:top w:w="70" w:type="dxa"/>
              <w:bottom w:w="70" w:type="dxa"/>
              <w:start w:w="80" w:type="dxa"/>
              <w:end w:w="80" w:type="dxa"/>
            </w:tcMar>
          </w:tcPr>
          <w:p>
            <w:pPr>
              <w:pStyle w:val="TableText"/>
            </w:pPr>
            <w:r/>
            <w:r>
              <w:rPr>
                <w:b w:val="0"/>
              </w:rPr>
              <w:t>Number of prior cesareans missing</w:t>
            </w:r>
          </w:p>
        </w:tc>
        <w:tc>
          <w:tcPr>
            <w:tcW w:type="dxa" w:w="3456"/>
            <w:vAlign w:val="center"/>
            <w:tcMar>
              <w:top w:w="70" w:type="dxa"/>
              <w:bottom w:w="70" w:type="dxa"/>
              <w:start w:w="80" w:type="dxa"/>
              <w:end w:w="80" w:type="dxa"/>
            </w:tcMar>
          </w:tcPr>
          <w:p>
            <w:pPr>
              <w:pStyle w:val="TableText"/>
            </w:pPr>
            <w:r/>
            <w:r>
              <w:rPr>
                <w:b w:val="0"/>
              </w:rPr>
              <w:t>Cumulative surgical and placental risks may be underestimated.</w:t>
            </w:r>
          </w:p>
        </w:tc>
        <w:tc>
          <w:tcPr>
            <w:tcW w:type="dxa" w:w="4392"/>
            <w:vAlign w:val="center"/>
            <w:tcMar>
              <w:top w:w="70" w:type="dxa"/>
              <w:bottom w:w="70" w:type="dxa"/>
              <w:start w:w="80" w:type="dxa"/>
              <w:end w:w="80" w:type="dxa"/>
            </w:tcMar>
          </w:tcPr>
          <w:p>
            <w:pPr>
              <w:pStyle w:val="TableText"/>
            </w:pPr>
            <w:r/>
            <w:r>
              <w:rPr>
                <w:b w:val="0"/>
              </w:rPr>
              <w:t>Capture count in future version.</w:t>
            </w:r>
          </w:p>
        </w:tc>
      </w:tr>
      <w:tr>
        <w:trPr>
          <w:cantSplit/>
        </w:trPr>
        <w:tc>
          <w:tcPr>
            <w:tcW w:type="dxa" w:w="2880"/>
            <w:vAlign w:val="center"/>
            <w:tcMar>
              <w:top w:w="70" w:type="dxa"/>
              <w:bottom w:w="70" w:type="dxa"/>
              <w:start w:w="80" w:type="dxa"/>
              <w:end w:w="80" w:type="dxa"/>
            </w:tcMar>
            <w:shd w:fill="EDF4FA"/>
          </w:tcPr>
          <w:p>
            <w:pPr>
              <w:pStyle w:val="TableText"/>
            </w:pPr>
            <w:r/>
            <w:r>
              <w:rPr>
                <w:b w:val="0"/>
              </w:rPr>
              <w:t>Prior vaginal birth not recorded</w:t>
            </w:r>
          </w:p>
        </w:tc>
        <w:tc>
          <w:tcPr>
            <w:tcW w:type="dxa" w:w="3456"/>
            <w:vAlign w:val="center"/>
            <w:tcMar>
              <w:top w:w="70" w:type="dxa"/>
              <w:bottom w:w="70" w:type="dxa"/>
              <w:start w:w="80" w:type="dxa"/>
              <w:end w:w="80" w:type="dxa"/>
            </w:tcMar>
            <w:shd w:fill="EDF4FA"/>
          </w:tcPr>
          <w:p>
            <w:pPr>
              <w:pStyle w:val="TableText"/>
            </w:pPr>
            <w:r/>
            <w:r>
              <w:rPr>
                <w:b w:val="0"/>
              </w:rPr>
              <w:t>Success probability and counseling context are incomplete.</w:t>
            </w:r>
          </w:p>
        </w:tc>
        <w:tc>
          <w:tcPr>
            <w:tcW w:type="dxa" w:w="4392"/>
            <w:vAlign w:val="center"/>
            <w:tcMar>
              <w:top w:w="70" w:type="dxa"/>
              <w:bottom w:w="70" w:type="dxa"/>
              <w:start w:w="80" w:type="dxa"/>
              <w:end w:w="80" w:type="dxa"/>
            </w:tcMar>
            <w:shd w:fill="EDF4FA"/>
          </w:tcPr>
          <w:p>
            <w:pPr>
              <w:pStyle w:val="TableText"/>
            </w:pPr>
            <w:r/>
            <w:r>
              <w:rPr>
                <w:b w:val="0"/>
              </w:rPr>
              <w:t>Do not calculate individual success.</w:t>
            </w:r>
          </w:p>
        </w:tc>
      </w:tr>
      <w:tr>
        <w:trPr>
          <w:cantSplit/>
        </w:trPr>
        <w:tc>
          <w:tcPr>
            <w:tcW w:type="dxa" w:w="2880"/>
            <w:vAlign w:val="center"/>
            <w:tcMar>
              <w:top w:w="70" w:type="dxa"/>
              <w:bottom w:w="70" w:type="dxa"/>
              <w:start w:w="80" w:type="dxa"/>
              <w:end w:w="80" w:type="dxa"/>
            </w:tcMar>
          </w:tcPr>
          <w:p>
            <w:pPr>
              <w:pStyle w:val="TableText"/>
            </w:pPr>
            <w:r/>
            <w:r>
              <w:rPr>
                <w:b w:val="0"/>
              </w:rPr>
              <w:t>Placenta location unavailable</w:t>
            </w:r>
          </w:p>
        </w:tc>
        <w:tc>
          <w:tcPr>
            <w:tcW w:type="dxa" w:w="3456"/>
            <w:vAlign w:val="center"/>
            <w:tcMar>
              <w:top w:w="70" w:type="dxa"/>
              <w:bottom w:w="70" w:type="dxa"/>
              <w:start w:w="80" w:type="dxa"/>
              <w:end w:w="80" w:type="dxa"/>
            </w:tcMar>
          </w:tcPr>
          <w:p>
            <w:pPr>
              <w:pStyle w:val="TableText"/>
            </w:pPr>
            <w:r/>
            <w:r>
              <w:rPr>
                <w:b w:val="0"/>
              </w:rPr>
              <w:t>Placenta previa/accreta risk may be missed.</w:t>
            </w:r>
          </w:p>
        </w:tc>
        <w:tc>
          <w:tcPr>
            <w:tcW w:type="dxa" w:w="4392"/>
            <w:vAlign w:val="center"/>
            <w:tcMar>
              <w:top w:w="70" w:type="dxa"/>
              <w:bottom w:w="70" w:type="dxa"/>
              <w:start w:w="80" w:type="dxa"/>
              <w:end w:w="80" w:type="dxa"/>
            </w:tcMar>
          </w:tcPr>
          <w:p>
            <w:pPr>
              <w:pStyle w:val="TableText"/>
            </w:pPr>
            <w:r/>
            <w:r>
              <w:rPr>
                <w:b w:val="0"/>
              </w:rPr>
              <w:t>Require ultrasound review by qualified clinician.</w:t>
            </w:r>
          </w:p>
        </w:tc>
      </w:tr>
      <w:tr>
        <w:trPr>
          <w:cantSplit/>
        </w:trPr>
        <w:tc>
          <w:tcPr>
            <w:tcW w:type="dxa" w:w="2880"/>
            <w:vAlign w:val="center"/>
            <w:tcMar>
              <w:top w:w="70" w:type="dxa"/>
              <w:bottom w:w="70" w:type="dxa"/>
              <w:start w:w="80" w:type="dxa"/>
              <w:end w:w="80" w:type="dxa"/>
            </w:tcMar>
            <w:shd w:fill="EDF4FA"/>
          </w:tcPr>
          <w:p>
            <w:pPr>
              <w:pStyle w:val="TableText"/>
            </w:pPr>
            <w:r/>
            <w:r>
              <w:rPr>
                <w:b w:val="0"/>
              </w:rPr>
              <w:t>LOW ML output</w:t>
            </w:r>
          </w:p>
        </w:tc>
        <w:tc>
          <w:tcPr>
            <w:tcW w:type="dxa" w:w="3456"/>
            <w:vAlign w:val="center"/>
            <w:tcMar>
              <w:top w:w="70" w:type="dxa"/>
              <w:bottom w:w="70" w:type="dxa"/>
              <w:start w:w="80" w:type="dxa"/>
              <w:end w:w="80" w:type="dxa"/>
            </w:tcMar>
            <w:shd w:fill="EDF4FA"/>
          </w:tcPr>
          <w:p>
            <w:pPr>
              <w:pStyle w:val="TableText"/>
            </w:pPr>
            <w:r/>
            <w:r>
              <w:rPr>
                <w:b w:val="0"/>
              </w:rPr>
              <w:t>Known scar history may be masked.</w:t>
            </w:r>
          </w:p>
        </w:tc>
        <w:tc>
          <w:tcPr>
            <w:tcW w:type="dxa" w:w="4392"/>
            <w:vAlign w:val="center"/>
            <w:tcMar>
              <w:top w:w="70" w:type="dxa"/>
              <w:bottom w:w="70" w:type="dxa"/>
              <w:start w:w="80" w:type="dxa"/>
              <w:end w:w="80" w:type="dxa"/>
            </w:tcMar>
            <w:shd w:fill="EDF4FA"/>
          </w:tcPr>
          <w:p>
            <w:pPr>
              <w:pStyle w:val="TableText"/>
            </w:pPr>
            <w:r/>
            <w:r>
              <w:rPr>
                <w:b w:val="0"/>
              </w:rPr>
              <w:t>Deterministic CS-01 has precedence.</w:t>
            </w:r>
          </w:p>
        </w:tc>
      </w:tr>
      <w:tr>
        <w:trPr>
          <w:cantSplit/>
        </w:trPr>
        <w:tc>
          <w:tcPr>
            <w:tcW w:type="dxa" w:w="2880"/>
            <w:vAlign w:val="center"/>
            <w:tcMar>
              <w:top w:w="70" w:type="dxa"/>
              <w:bottom w:w="70" w:type="dxa"/>
              <w:start w:w="80" w:type="dxa"/>
              <w:end w:w="80" w:type="dxa"/>
            </w:tcMar>
          </w:tcPr>
          <w:p>
            <w:pPr>
              <w:pStyle w:val="TableText"/>
            </w:pPr>
            <w:r/>
            <w:r>
              <w:rPr>
                <w:b w:val="0"/>
              </w:rPr>
              <w:t>Referral created but incomplete</w:t>
            </w:r>
          </w:p>
        </w:tc>
        <w:tc>
          <w:tcPr>
            <w:tcW w:type="dxa" w:w="3456"/>
            <w:vAlign w:val="center"/>
            <w:tcMar>
              <w:top w:w="70" w:type="dxa"/>
              <w:bottom w:w="70" w:type="dxa"/>
              <w:start w:w="80" w:type="dxa"/>
              <w:end w:w="80" w:type="dxa"/>
            </w:tcMar>
          </w:tcPr>
          <w:p>
            <w:pPr>
              <w:pStyle w:val="TableText"/>
            </w:pPr>
            <w:r/>
            <w:r>
              <w:rPr>
                <w:b w:val="0"/>
              </w:rPr>
              <w:t>False reassurance that hospital planning is complete.</w:t>
            </w:r>
          </w:p>
        </w:tc>
        <w:tc>
          <w:tcPr>
            <w:tcW w:type="dxa" w:w="4392"/>
            <w:vAlign w:val="center"/>
            <w:tcMar>
              <w:top w:w="70" w:type="dxa"/>
              <w:bottom w:w="70" w:type="dxa"/>
              <w:start w:w="80" w:type="dxa"/>
              <w:end w:w="80" w:type="dxa"/>
            </w:tcMar>
          </w:tcPr>
          <w:p>
            <w:pPr>
              <w:pStyle w:val="TableText"/>
            </w:pPr>
            <w:r/>
            <w:r>
              <w:rPr>
                <w:b w:val="0"/>
              </w:rPr>
              <w:t>Track status and follow-up.</w:t>
            </w:r>
          </w:p>
        </w:tc>
      </w:tr>
      <w:tr>
        <w:trPr>
          <w:cantSplit/>
        </w:trPr>
        <w:tc>
          <w:tcPr>
            <w:tcW w:type="dxa" w:w="2880"/>
            <w:vAlign w:val="center"/>
            <w:tcMar>
              <w:top w:w="70" w:type="dxa"/>
              <w:bottom w:w="70" w:type="dxa"/>
              <w:start w:w="80" w:type="dxa"/>
              <w:end w:w="80" w:type="dxa"/>
            </w:tcMar>
            <w:shd w:fill="EDF4FA"/>
          </w:tcPr>
          <w:p>
            <w:pPr>
              <w:pStyle w:val="TableText"/>
            </w:pPr>
            <w:r/>
            <w:r>
              <w:rPr>
                <w:b w:val="0"/>
              </w:rPr>
              <w:t>Patient arrives in labour</w:t>
            </w:r>
          </w:p>
        </w:tc>
        <w:tc>
          <w:tcPr>
            <w:tcW w:type="dxa" w:w="3456"/>
            <w:vAlign w:val="center"/>
            <w:tcMar>
              <w:top w:w="70" w:type="dxa"/>
              <w:bottom w:w="70" w:type="dxa"/>
              <w:start w:w="80" w:type="dxa"/>
              <w:end w:w="80" w:type="dxa"/>
            </w:tcMar>
            <w:shd w:fill="EDF4FA"/>
          </w:tcPr>
          <w:p>
            <w:pPr>
              <w:pStyle w:val="TableText"/>
            </w:pPr>
            <w:r/>
            <w:r>
              <w:rPr>
                <w:b w:val="0"/>
              </w:rPr>
              <w:t>Delay in transfer may increase harm.</w:t>
            </w:r>
          </w:p>
        </w:tc>
        <w:tc>
          <w:tcPr>
            <w:tcW w:type="dxa" w:w="4392"/>
            <w:vAlign w:val="center"/>
            <w:tcMar>
              <w:top w:w="70" w:type="dxa"/>
              <w:bottom w:w="70" w:type="dxa"/>
              <w:start w:w="80" w:type="dxa"/>
              <w:end w:w="80" w:type="dxa"/>
            </w:tcMar>
            <w:shd w:fill="EDF4FA"/>
          </w:tcPr>
          <w:p>
            <w:pPr>
              <w:pStyle w:val="TableText"/>
            </w:pPr>
            <w:r/>
            <w:r>
              <w:rPr>
                <w:b w:val="0"/>
              </w:rPr>
              <w:t>Use emergency protocol, not routine referral workflow.</w:t>
            </w:r>
          </w:p>
        </w:tc>
      </w:tr>
      <w:tr>
        <w:trPr>
          <w:cantSplit/>
        </w:trPr>
        <w:tc>
          <w:tcPr>
            <w:tcW w:type="dxa" w:w="2880"/>
            <w:vAlign w:val="center"/>
            <w:tcMar>
              <w:top w:w="70" w:type="dxa"/>
              <w:bottom w:w="70" w:type="dxa"/>
              <w:start w:w="80" w:type="dxa"/>
              <w:end w:w="80" w:type="dxa"/>
            </w:tcMar>
          </w:tcPr>
          <w:p>
            <w:pPr>
              <w:pStyle w:val="TableText"/>
            </w:pPr>
            <w:r/>
            <w:r>
              <w:rPr>
                <w:b w:val="0"/>
              </w:rPr>
              <w:t>Patient refusal</w:t>
            </w:r>
          </w:p>
        </w:tc>
        <w:tc>
          <w:tcPr>
            <w:tcW w:type="dxa" w:w="3456"/>
            <w:vAlign w:val="center"/>
            <w:tcMar>
              <w:top w:w="70" w:type="dxa"/>
              <w:bottom w:w="70" w:type="dxa"/>
              <w:start w:w="80" w:type="dxa"/>
              <w:end w:w="80" w:type="dxa"/>
            </w:tcMar>
          </w:tcPr>
          <w:p>
            <w:pPr>
              <w:pStyle w:val="TableText"/>
            </w:pPr>
            <w:r/>
            <w:r>
              <w:rPr>
                <w:b w:val="0"/>
              </w:rPr>
              <w:t>Birth may occur without recommended capability.</w:t>
            </w:r>
          </w:p>
        </w:tc>
        <w:tc>
          <w:tcPr>
            <w:tcW w:type="dxa" w:w="4392"/>
            <w:vAlign w:val="center"/>
            <w:tcMar>
              <w:top w:w="70" w:type="dxa"/>
              <w:bottom w:w="70" w:type="dxa"/>
              <w:start w:w="80" w:type="dxa"/>
              <w:end w:w="80" w:type="dxa"/>
            </w:tcMar>
          </w:tcPr>
          <w:p>
            <w:pPr>
              <w:pStyle w:val="TableText"/>
            </w:pPr>
            <w:r/>
            <w:r>
              <w:rPr>
                <w:b w:val="0"/>
              </w:rPr>
              <w:t>Maintain HIGH and document counseling.</w:t>
            </w:r>
          </w:p>
        </w:tc>
      </w:tr>
      <w:tr>
        <w:trPr>
          <w:cantSplit/>
        </w:trPr>
        <w:tc>
          <w:tcPr>
            <w:tcW w:type="dxa" w:w="2880"/>
            <w:vAlign w:val="center"/>
            <w:tcMar>
              <w:top w:w="70" w:type="dxa"/>
              <w:bottom w:w="70" w:type="dxa"/>
              <w:start w:w="80" w:type="dxa"/>
              <w:end w:w="80" w:type="dxa"/>
            </w:tcMar>
            <w:shd w:fill="EDF4FA"/>
          </w:tcPr>
          <w:p>
            <w:pPr>
              <w:pStyle w:val="TableText"/>
            </w:pPr>
            <w:r/>
            <w:r>
              <w:rPr>
                <w:b w:val="0"/>
              </w:rPr>
              <w:t>HIGH interpreted as mandatory repeat CS</w:t>
            </w:r>
          </w:p>
        </w:tc>
        <w:tc>
          <w:tcPr>
            <w:tcW w:type="dxa" w:w="3456"/>
            <w:vAlign w:val="center"/>
            <w:tcMar>
              <w:top w:w="70" w:type="dxa"/>
              <w:bottom w:w="70" w:type="dxa"/>
              <w:start w:w="80" w:type="dxa"/>
              <w:end w:w="80" w:type="dxa"/>
            </w:tcMar>
            <w:shd w:fill="EDF4FA"/>
          </w:tcPr>
          <w:p>
            <w:pPr>
              <w:pStyle w:val="TableText"/>
            </w:pPr>
            <w:r/>
            <w:r>
              <w:rPr>
                <w:b w:val="0"/>
              </w:rPr>
              <w:t>Patient autonomy and evidence are misrepresented.</w:t>
            </w:r>
          </w:p>
        </w:tc>
        <w:tc>
          <w:tcPr>
            <w:tcW w:type="dxa" w:w="4392"/>
            <w:vAlign w:val="center"/>
            <w:tcMar>
              <w:top w:w="70" w:type="dxa"/>
              <w:bottom w:w="70" w:type="dxa"/>
              <w:start w:w="80" w:type="dxa"/>
              <w:end w:w="80" w:type="dxa"/>
            </w:tcMar>
            <w:shd w:fill="EDF4FA"/>
          </w:tcPr>
          <w:p>
            <w:pPr>
              <w:pStyle w:val="TableText"/>
            </w:pPr>
            <w:r/>
            <w:r>
              <w:rPr>
                <w:b w:val="0"/>
              </w:rPr>
              <w:t>Use neutral counseling wording and explicit system boundary.</w:t>
            </w:r>
          </w:p>
        </w:tc>
      </w:tr>
    </w:tbl>
    <w:p>
      <w:pPr>
        <w:spacing w:after="20"/>
      </w:pPr>
    </w:p>
    <w:p>
      <w:pPr>
        <w:pStyle w:val="Heading1"/>
      </w:pPr>
      <w:r>
        <w:t>13. Validation Matrix</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cantSplit/>
        </w:trPr>
        <w:tc>
          <w:tcPr>
            <w:tcW w:type="dxa" w:w="1037"/>
            <w:vAlign w:val="center"/>
            <w:tcMar>
              <w:top w:w="70" w:type="dxa"/>
              <w:bottom w:w="70" w:type="dxa"/>
              <w:start w:w="80" w:type="dxa"/>
              <w:end w:w="80" w:type="dxa"/>
            </w:tcMar>
            <w:shd w:fill="17365D"/>
          </w:tcPr>
          <w:p>
            <w:pPr>
              <w:pStyle w:val="TableHeader"/>
            </w:pPr>
            <w:r/>
            <w:r>
              <w:rPr>
                <w:b/>
                <w:color w:val="FFFFFF"/>
              </w:rPr>
              <w:t>Test ID</w:t>
            </w:r>
          </w:p>
        </w:tc>
        <w:tc>
          <w:tcPr>
            <w:tcW w:type="dxa" w:w="3672"/>
            <w:vAlign w:val="center"/>
            <w:tcMar>
              <w:top w:w="70" w:type="dxa"/>
              <w:bottom w:w="70" w:type="dxa"/>
              <w:start w:w="80" w:type="dxa"/>
              <w:end w:w="80" w:type="dxa"/>
            </w:tcMar>
            <w:shd w:fill="17365D"/>
          </w:tcPr>
          <w:p>
            <w:pPr>
              <w:pStyle w:val="TableHeader"/>
            </w:pPr>
            <w:r/>
            <w:r>
              <w:rPr>
                <w:b/>
                <w:color w:val="FFFFFF"/>
              </w:rPr>
              <w:t>Scenario</w:t>
            </w:r>
          </w:p>
        </w:tc>
        <w:tc>
          <w:tcPr>
            <w:tcW w:type="dxa" w:w="2160"/>
            <w:vAlign w:val="center"/>
            <w:tcMar>
              <w:top w:w="70" w:type="dxa"/>
              <w:bottom w:w="70" w:type="dxa"/>
              <w:start w:w="80" w:type="dxa"/>
              <w:end w:w="80" w:type="dxa"/>
            </w:tcMar>
            <w:shd w:fill="17365D"/>
          </w:tcPr>
          <w:p>
            <w:pPr>
              <w:pStyle w:val="TableHeader"/>
            </w:pPr>
            <w:r/>
            <w:r>
              <w:rPr>
                <w:b/>
                <w:color w:val="FFFFFF"/>
              </w:rPr>
              <w:t>Expected output</w:t>
            </w:r>
          </w:p>
        </w:tc>
        <w:tc>
          <w:tcPr>
            <w:tcW w:type="dxa" w:w="3888"/>
            <w:vAlign w:val="center"/>
            <w:tcMar>
              <w:top w:w="70" w:type="dxa"/>
              <w:bottom w:w="70" w:type="dxa"/>
              <w:start w:w="80" w:type="dxa"/>
              <w:end w:w="80" w:type="dxa"/>
            </w:tcMar>
            <w:shd w:fill="17365D"/>
          </w:tcPr>
          <w:p>
            <w:pPr>
              <w:pStyle w:val="TableHeader"/>
            </w:pPr>
            <w:r/>
            <w:r>
              <w:rPr>
                <w:b/>
                <w:color w:val="FFFFFF"/>
              </w:rPr>
              <w:t>Expected control/explanation</w:t>
            </w:r>
          </w:p>
        </w:tc>
      </w:tr>
      <w:tr>
        <w:trPr>
          <w:cantSplit/>
        </w:trPr>
        <w:tc>
          <w:tcPr>
            <w:tcW w:type="dxa" w:w="1037"/>
            <w:vAlign w:val="center"/>
            <w:tcMar>
              <w:top w:w="70" w:type="dxa"/>
              <w:bottom w:w="70" w:type="dxa"/>
              <w:start w:w="80" w:type="dxa"/>
              <w:end w:w="80" w:type="dxa"/>
            </w:tcMar>
          </w:tcPr>
          <w:p>
            <w:pPr>
              <w:pStyle w:val="TableText"/>
            </w:pPr>
            <w:r/>
            <w:r>
              <w:rPr>
                <w:b w:val="0"/>
              </w:rPr>
              <w:t>CS-T01</w:t>
            </w:r>
          </w:p>
        </w:tc>
        <w:tc>
          <w:tcPr>
            <w:tcW w:type="dxa" w:w="3672"/>
            <w:vAlign w:val="center"/>
            <w:tcMar>
              <w:top w:w="70" w:type="dxa"/>
              <w:bottom w:w="70" w:type="dxa"/>
              <w:start w:w="80" w:type="dxa"/>
              <w:end w:w="80" w:type="dxa"/>
            </w:tcMar>
          </w:tcPr>
          <w:p>
            <w:pPr>
              <w:pStyle w:val="TableText"/>
            </w:pPr>
            <w:r/>
            <w:r>
              <w:rPr>
                <w:b w:val="0"/>
              </w:rPr>
              <w:t>Previous CS = Yes; ML = LOW; all records complete.</w:t>
            </w:r>
          </w:p>
        </w:tc>
        <w:tc>
          <w:tcPr>
            <w:tcW w:type="dxa" w:w="2160"/>
            <w:vAlign w:val="center"/>
            <w:tcMar>
              <w:top w:w="70" w:type="dxa"/>
              <w:bottom w:w="70" w:type="dxa"/>
              <w:start w:w="80" w:type="dxa"/>
              <w:end w:w="80" w:type="dxa"/>
            </w:tcMar>
          </w:tcPr>
          <w:p>
            <w:pPr>
              <w:pStyle w:val="TableText"/>
            </w:pPr>
            <w:r/>
            <w:r>
              <w:rPr>
                <w:b w:val="0"/>
              </w:rPr>
              <w:t>HIGH</w:t>
            </w:r>
          </w:p>
        </w:tc>
        <w:tc>
          <w:tcPr>
            <w:tcW w:type="dxa" w:w="3888"/>
            <w:vAlign w:val="center"/>
            <w:tcMar>
              <w:top w:w="70" w:type="dxa"/>
              <w:bottom w:w="70" w:type="dxa"/>
              <w:start w:w="80" w:type="dxa"/>
              <w:end w:w="80" w:type="dxa"/>
            </w:tcMar>
          </w:tcPr>
          <w:p>
            <w:pPr>
              <w:pStyle w:val="TableText"/>
            </w:pPr>
            <w:r/>
            <w:r>
              <w:rPr>
                <w:b w:val="0"/>
              </w:rPr>
              <w:t>CS-01 shown.</w:t>
            </w:r>
          </w:p>
        </w:tc>
      </w:tr>
      <w:tr>
        <w:trPr>
          <w:cantSplit/>
        </w:trPr>
        <w:tc>
          <w:tcPr>
            <w:tcW w:type="dxa" w:w="1037"/>
            <w:vAlign w:val="center"/>
            <w:tcMar>
              <w:top w:w="70" w:type="dxa"/>
              <w:bottom w:w="70" w:type="dxa"/>
              <w:start w:w="80" w:type="dxa"/>
              <w:end w:w="80" w:type="dxa"/>
            </w:tcMar>
            <w:shd w:fill="EDF4FA"/>
          </w:tcPr>
          <w:p>
            <w:pPr>
              <w:pStyle w:val="TableText"/>
            </w:pPr>
            <w:r/>
            <w:r>
              <w:rPr>
                <w:b w:val="0"/>
              </w:rPr>
              <w:t>CS-T02</w:t>
            </w:r>
          </w:p>
        </w:tc>
        <w:tc>
          <w:tcPr>
            <w:tcW w:type="dxa" w:w="3672"/>
            <w:vAlign w:val="center"/>
            <w:tcMar>
              <w:top w:w="70" w:type="dxa"/>
              <w:bottom w:w="70" w:type="dxa"/>
              <w:start w:w="80" w:type="dxa"/>
              <w:end w:w="80" w:type="dxa"/>
            </w:tcMar>
            <w:shd w:fill="EDF4FA"/>
          </w:tcPr>
          <w:p>
            <w:pPr>
              <w:pStyle w:val="TableText"/>
            </w:pPr>
            <w:r/>
            <w:r>
              <w:rPr>
                <w:b w:val="0"/>
              </w:rPr>
              <w:t>Previous CS = Yes; ML = HIGH.</w:t>
            </w:r>
          </w:p>
        </w:tc>
        <w:tc>
          <w:tcPr>
            <w:tcW w:type="dxa" w:w="2160"/>
            <w:vAlign w:val="center"/>
            <w:tcMar>
              <w:top w:w="70" w:type="dxa"/>
              <w:bottom w:w="70" w:type="dxa"/>
              <w:start w:w="80" w:type="dxa"/>
              <w:end w:w="80" w:type="dxa"/>
            </w:tcMar>
            <w:shd w:fill="EDF4FA"/>
          </w:tcPr>
          <w:p>
            <w:pPr>
              <w:pStyle w:val="TableText"/>
            </w:pPr>
            <w:r/>
            <w:r>
              <w:rPr>
                <w:b w:val="0"/>
              </w:rPr>
              <w:t>HIGH</w:t>
            </w:r>
          </w:p>
        </w:tc>
        <w:tc>
          <w:tcPr>
            <w:tcW w:type="dxa" w:w="3888"/>
            <w:vAlign w:val="center"/>
            <w:tcMar>
              <w:top w:w="70" w:type="dxa"/>
              <w:bottom w:w="70" w:type="dxa"/>
              <w:start w:w="80" w:type="dxa"/>
              <w:end w:w="80" w:type="dxa"/>
            </w:tcMar>
            <w:shd w:fill="EDF4FA"/>
          </w:tcPr>
          <w:p>
            <w:pPr>
              <w:pStyle w:val="TableText"/>
            </w:pPr>
            <w:r/>
            <w:r>
              <w:rPr>
                <w:b w:val="0"/>
              </w:rPr>
              <w:t>No duplicate or exaggerated reasons.</w:t>
            </w:r>
          </w:p>
        </w:tc>
      </w:tr>
      <w:tr>
        <w:trPr>
          <w:cantSplit/>
        </w:trPr>
        <w:tc>
          <w:tcPr>
            <w:tcW w:type="dxa" w:w="1037"/>
            <w:vAlign w:val="center"/>
            <w:tcMar>
              <w:top w:w="70" w:type="dxa"/>
              <w:bottom w:w="70" w:type="dxa"/>
              <w:start w:w="80" w:type="dxa"/>
              <w:end w:w="80" w:type="dxa"/>
            </w:tcMar>
          </w:tcPr>
          <w:p>
            <w:pPr>
              <w:pStyle w:val="TableText"/>
            </w:pPr>
            <w:r/>
            <w:r>
              <w:rPr>
                <w:b w:val="0"/>
              </w:rPr>
              <w:t>CS-T03</w:t>
            </w:r>
          </w:p>
        </w:tc>
        <w:tc>
          <w:tcPr>
            <w:tcW w:type="dxa" w:w="3672"/>
            <w:vAlign w:val="center"/>
            <w:tcMar>
              <w:top w:w="70" w:type="dxa"/>
              <w:bottom w:w="70" w:type="dxa"/>
              <w:start w:w="80" w:type="dxa"/>
              <w:end w:w="80" w:type="dxa"/>
            </w:tcMar>
          </w:tcPr>
          <w:p>
            <w:pPr>
              <w:pStyle w:val="TableText"/>
            </w:pPr>
            <w:r/>
            <w:r>
              <w:rPr>
                <w:b w:val="0"/>
              </w:rPr>
              <w:t>Previous CS = Yes; ML unavailable.</w:t>
            </w:r>
          </w:p>
        </w:tc>
        <w:tc>
          <w:tcPr>
            <w:tcW w:type="dxa" w:w="2160"/>
            <w:vAlign w:val="center"/>
            <w:tcMar>
              <w:top w:w="70" w:type="dxa"/>
              <w:bottom w:w="70" w:type="dxa"/>
              <w:start w:w="80" w:type="dxa"/>
              <w:end w:w="80" w:type="dxa"/>
            </w:tcMar>
          </w:tcPr>
          <w:p>
            <w:pPr>
              <w:pStyle w:val="TableText"/>
            </w:pPr>
            <w:r/>
            <w:r>
              <w:rPr>
                <w:b w:val="0"/>
              </w:rPr>
              <w:t>HIGH</w:t>
            </w:r>
          </w:p>
        </w:tc>
        <w:tc>
          <w:tcPr>
            <w:tcW w:type="dxa" w:w="3888"/>
            <w:vAlign w:val="center"/>
            <w:tcMar>
              <w:top w:w="70" w:type="dxa"/>
              <w:bottom w:w="70" w:type="dxa"/>
              <w:start w:w="80" w:type="dxa"/>
              <w:end w:w="80" w:type="dxa"/>
            </w:tcMar>
          </w:tcPr>
          <w:p>
            <w:pPr>
              <w:pStyle w:val="TableText"/>
            </w:pPr>
            <w:r/>
            <w:r>
              <w:rPr>
                <w:b w:val="0"/>
              </w:rPr>
              <w:t>Override retained; ML failure logged.</w:t>
            </w:r>
          </w:p>
        </w:tc>
      </w:tr>
      <w:tr>
        <w:trPr>
          <w:cantSplit/>
        </w:trPr>
        <w:tc>
          <w:tcPr>
            <w:tcW w:type="dxa" w:w="1037"/>
            <w:vAlign w:val="center"/>
            <w:tcMar>
              <w:top w:w="70" w:type="dxa"/>
              <w:bottom w:w="70" w:type="dxa"/>
              <w:start w:w="80" w:type="dxa"/>
              <w:end w:w="80" w:type="dxa"/>
            </w:tcMar>
            <w:shd w:fill="EDF4FA"/>
          </w:tcPr>
          <w:p>
            <w:pPr>
              <w:pStyle w:val="TableText"/>
            </w:pPr>
            <w:r/>
            <w:r>
              <w:rPr>
                <w:b w:val="0"/>
              </w:rPr>
              <w:t>CS-T04</w:t>
            </w:r>
          </w:p>
        </w:tc>
        <w:tc>
          <w:tcPr>
            <w:tcW w:type="dxa" w:w="3672"/>
            <w:vAlign w:val="center"/>
            <w:tcMar>
              <w:top w:w="70" w:type="dxa"/>
              <w:bottom w:w="70" w:type="dxa"/>
              <w:start w:w="80" w:type="dxa"/>
              <w:end w:w="80" w:type="dxa"/>
            </w:tcMar>
            <w:shd w:fill="EDF4FA"/>
          </w:tcPr>
          <w:p>
            <w:pPr>
              <w:pStyle w:val="TableText"/>
            </w:pPr>
            <w:r/>
            <w:r>
              <w:rPr>
                <w:b w:val="0"/>
              </w:rPr>
              <w:t>Previous CS = No; ML = LOW; no other factors.</w:t>
            </w:r>
          </w:p>
        </w:tc>
        <w:tc>
          <w:tcPr>
            <w:tcW w:type="dxa" w:w="2160"/>
            <w:vAlign w:val="center"/>
            <w:tcMar>
              <w:top w:w="70" w:type="dxa"/>
              <w:bottom w:w="70" w:type="dxa"/>
              <w:start w:w="80" w:type="dxa"/>
              <w:end w:w="80" w:type="dxa"/>
            </w:tcMar>
            <w:shd w:fill="EDF4FA"/>
          </w:tcPr>
          <w:p>
            <w:pPr>
              <w:pStyle w:val="TableText"/>
            </w:pPr>
            <w:r/>
            <w:r>
              <w:rPr>
                <w:b w:val="0"/>
              </w:rPr>
              <w:t>LOW</w:t>
            </w:r>
          </w:p>
        </w:tc>
        <w:tc>
          <w:tcPr>
            <w:tcW w:type="dxa" w:w="3888"/>
            <w:vAlign w:val="center"/>
            <w:tcMar>
              <w:top w:w="70" w:type="dxa"/>
              <w:bottom w:w="70" w:type="dxa"/>
              <w:start w:w="80" w:type="dxa"/>
              <w:end w:w="80" w:type="dxa"/>
            </w:tcMar>
            <w:shd w:fill="EDF4FA"/>
          </w:tcPr>
          <w:p>
            <w:pPr>
              <w:pStyle w:val="TableText"/>
            </w:pPr>
            <w:r/>
            <w:r>
              <w:rPr>
                <w:b w:val="0"/>
              </w:rPr>
              <w:t>Only if all required records complete.</w:t>
            </w:r>
          </w:p>
        </w:tc>
      </w:tr>
      <w:tr>
        <w:trPr>
          <w:cantSplit/>
        </w:trPr>
        <w:tc>
          <w:tcPr>
            <w:tcW w:type="dxa" w:w="1037"/>
            <w:vAlign w:val="center"/>
            <w:tcMar>
              <w:top w:w="70" w:type="dxa"/>
              <w:bottom w:w="70" w:type="dxa"/>
              <w:start w:w="80" w:type="dxa"/>
              <w:end w:w="80" w:type="dxa"/>
            </w:tcMar>
          </w:tcPr>
          <w:p>
            <w:pPr>
              <w:pStyle w:val="TableText"/>
            </w:pPr>
            <w:r/>
            <w:r>
              <w:rPr>
                <w:b w:val="0"/>
              </w:rPr>
              <w:t>CS-T05</w:t>
            </w:r>
          </w:p>
        </w:tc>
        <w:tc>
          <w:tcPr>
            <w:tcW w:type="dxa" w:w="3672"/>
            <w:vAlign w:val="center"/>
            <w:tcMar>
              <w:top w:w="70" w:type="dxa"/>
              <w:bottom w:w="70" w:type="dxa"/>
              <w:start w:w="80" w:type="dxa"/>
              <w:end w:w="80" w:type="dxa"/>
            </w:tcMar>
          </w:tcPr>
          <w:p>
            <w:pPr>
              <w:pStyle w:val="TableText"/>
            </w:pPr>
            <w:r/>
            <w:r>
              <w:rPr>
                <w:b w:val="0"/>
              </w:rPr>
              <w:t>Previous CS = No; breech ultrasound.</w:t>
            </w:r>
          </w:p>
        </w:tc>
        <w:tc>
          <w:tcPr>
            <w:tcW w:type="dxa" w:w="2160"/>
            <w:vAlign w:val="center"/>
            <w:tcMar>
              <w:top w:w="70" w:type="dxa"/>
              <w:bottom w:w="70" w:type="dxa"/>
              <w:start w:w="80" w:type="dxa"/>
              <w:end w:w="80" w:type="dxa"/>
            </w:tcMar>
          </w:tcPr>
          <w:p>
            <w:pPr>
              <w:pStyle w:val="TableText"/>
            </w:pPr>
            <w:r/>
            <w:r>
              <w:rPr>
                <w:b w:val="0"/>
              </w:rPr>
              <w:t>HIGH</w:t>
            </w:r>
          </w:p>
        </w:tc>
        <w:tc>
          <w:tcPr>
            <w:tcW w:type="dxa" w:w="3888"/>
            <w:vAlign w:val="center"/>
            <w:tcMar>
              <w:top w:w="70" w:type="dxa"/>
              <w:bottom w:w="70" w:type="dxa"/>
              <w:start w:w="80" w:type="dxa"/>
              <w:end w:w="80" w:type="dxa"/>
            </w:tcMar>
          </w:tcPr>
          <w:p>
            <w:pPr>
              <w:pStyle w:val="TableText"/>
            </w:pPr>
            <w:r/>
            <w:r>
              <w:rPr>
                <w:b w:val="0"/>
              </w:rPr>
              <w:t>Ultrasound reason shown.</w:t>
            </w:r>
          </w:p>
        </w:tc>
      </w:tr>
      <w:tr>
        <w:trPr>
          <w:cantSplit/>
        </w:trPr>
        <w:tc>
          <w:tcPr>
            <w:tcW w:type="dxa" w:w="1037"/>
            <w:vAlign w:val="center"/>
            <w:tcMar>
              <w:top w:w="70" w:type="dxa"/>
              <w:bottom w:w="70" w:type="dxa"/>
              <w:start w:w="80" w:type="dxa"/>
              <w:end w:w="80" w:type="dxa"/>
            </w:tcMar>
            <w:shd w:fill="EDF4FA"/>
          </w:tcPr>
          <w:p>
            <w:pPr>
              <w:pStyle w:val="TableText"/>
            </w:pPr>
            <w:r/>
            <w:r>
              <w:rPr>
                <w:b w:val="0"/>
              </w:rPr>
              <w:t>CS-T06</w:t>
            </w:r>
          </w:p>
        </w:tc>
        <w:tc>
          <w:tcPr>
            <w:tcW w:type="dxa" w:w="3672"/>
            <w:vAlign w:val="center"/>
            <w:tcMar>
              <w:top w:w="70" w:type="dxa"/>
              <w:bottom w:w="70" w:type="dxa"/>
              <w:start w:w="80" w:type="dxa"/>
              <w:end w:w="80" w:type="dxa"/>
            </w:tcMar>
            <w:shd w:fill="EDF4FA"/>
          </w:tcPr>
          <w:p>
            <w:pPr>
              <w:pStyle w:val="TableText"/>
            </w:pPr>
            <w:r/>
            <w:r>
              <w:rPr>
                <w:b w:val="0"/>
              </w:rPr>
              <w:t>Previous CS blank.</w:t>
            </w:r>
          </w:p>
        </w:tc>
        <w:tc>
          <w:tcPr>
            <w:tcW w:type="dxa" w:w="2160"/>
            <w:vAlign w:val="center"/>
            <w:tcMar>
              <w:top w:w="70" w:type="dxa"/>
              <w:bottom w:w="70" w:type="dxa"/>
              <w:start w:w="80" w:type="dxa"/>
              <w:end w:w="80" w:type="dxa"/>
            </w:tcMar>
            <w:shd w:fill="EDF4FA"/>
          </w:tcPr>
          <w:p>
            <w:pPr>
              <w:pStyle w:val="TableText"/>
            </w:pPr>
            <w:r/>
            <w:r>
              <w:rPr>
                <w:b w:val="0"/>
              </w:rPr>
              <w:t>ASSESSMENT INCOMPLETE</w:t>
            </w:r>
          </w:p>
        </w:tc>
        <w:tc>
          <w:tcPr>
            <w:tcW w:type="dxa" w:w="3888"/>
            <w:vAlign w:val="center"/>
            <w:tcMar>
              <w:top w:w="70" w:type="dxa"/>
              <w:bottom w:w="70" w:type="dxa"/>
              <w:start w:w="80" w:type="dxa"/>
              <w:end w:w="80" w:type="dxa"/>
            </w:tcMar>
            <w:shd w:fill="EDF4FA"/>
          </w:tcPr>
          <w:p>
            <w:pPr>
              <w:pStyle w:val="TableText"/>
            </w:pPr>
            <w:r/>
            <w:r>
              <w:rPr>
                <w:b w:val="0"/>
              </w:rPr>
              <w:t>Do not default to No.</w:t>
            </w:r>
          </w:p>
        </w:tc>
      </w:tr>
      <w:tr>
        <w:trPr>
          <w:cantSplit/>
        </w:trPr>
        <w:tc>
          <w:tcPr>
            <w:tcW w:type="dxa" w:w="1037"/>
            <w:vAlign w:val="center"/>
            <w:tcMar>
              <w:top w:w="70" w:type="dxa"/>
              <w:bottom w:w="70" w:type="dxa"/>
              <w:start w:w="80" w:type="dxa"/>
              <w:end w:w="80" w:type="dxa"/>
            </w:tcMar>
          </w:tcPr>
          <w:p>
            <w:pPr>
              <w:pStyle w:val="TableText"/>
            </w:pPr>
            <w:r/>
            <w:r>
              <w:rPr>
                <w:b w:val="0"/>
              </w:rPr>
              <w:t>CS-T07</w:t>
            </w:r>
          </w:p>
        </w:tc>
        <w:tc>
          <w:tcPr>
            <w:tcW w:type="dxa" w:w="3672"/>
            <w:vAlign w:val="center"/>
            <w:tcMar>
              <w:top w:w="70" w:type="dxa"/>
              <w:bottom w:w="70" w:type="dxa"/>
              <w:start w:w="80" w:type="dxa"/>
              <w:end w:w="80" w:type="dxa"/>
            </w:tcMar>
          </w:tcPr>
          <w:p>
            <w:pPr>
              <w:pStyle w:val="TableText"/>
            </w:pPr>
            <w:r/>
            <w:r>
              <w:rPr>
                <w:b w:val="0"/>
              </w:rPr>
              <w:t>Medical history missing.</w:t>
            </w:r>
          </w:p>
        </w:tc>
        <w:tc>
          <w:tcPr>
            <w:tcW w:type="dxa" w:w="2160"/>
            <w:vAlign w:val="center"/>
            <w:tcMar>
              <w:top w:w="70" w:type="dxa"/>
              <w:bottom w:w="70" w:type="dxa"/>
              <w:start w:w="80" w:type="dxa"/>
              <w:end w:w="80" w:type="dxa"/>
            </w:tcMar>
          </w:tcPr>
          <w:p>
            <w:pPr>
              <w:pStyle w:val="TableText"/>
            </w:pPr>
            <w:r/>
            <w:r>
              <w:rPr>
                <w:b w:val="0"/>
              </w:rPr>
              <w:t>ASSESSMENT INCOMPLETE</w:t>
            </w:r>
          </w:p>
        </w:tc>
        <w:tc>
          <w:tcPr>
            <w:tcW w:type="dxa" w:w="3888"/>
            <w:vAlign w:val="center"/>
            <w:tcMar>
              <w:top w:w="70" w:type="dxa"/>
              <w:bottom w:w="70" w:type="dxa"/>
              <w:start w:w="80" w:type="dxa"/>
              <w:end w:w="80" w:type="dxa"/>
            </w:tcMar>
          </w:tcPr>
          <w:p>
            <w:pPr>
              <w:pStyle w:val="TableText"/>
            </w:pPr>
            <w:r/>
            <w:r>
              <w:rPr>
                <w:b w:val="0"/>
              </w:rPr>
              <w:t>Missing record identified.</w:t>
            </w:r>
          </w:p>
        </w:tc>
      </w:tr>
      <w:tr>
        <w:trPr>
          <w:cantSplit/>
        </w:trPr>
        <w:tc>
          <w:tcPr>
            <w:tcW w:type="dxa" w:w="1037"/>
            <w:vAlign w:val="center"/>
            <w:tcMar>
              <w:top w:w="70" w:type="dxa"/>
              <w:bottom w:w="70" w:type="dxa"/>
              <w:start w:w="80" w:type="dxa"/>
              <w:end w:w="80" w:type="dxa"/>
            </w:tcMar>
            <w:shd w:fill="EDF4FA"/>
          </w:tcPr>
          <w:p>
            <w:pPr>
              <w:pStyle w:val="TableText"/>
            </w:pPr>
            <w:r/>
            <w:r>
              <w:rPr>
                <w:b w:val="0"/>
              </w:rPr>
              <w:t>CS-T08</w:t>
            </w:r>
          </w:p>
        </w:tc>
        <w:tc>
          <w:tcPr>
            <w:tcW w:type="dxa" w:w="3672"/>
            <w:vAlign w:val="center"/>
            <w:tcMar>
              <w:top w:w="70" w:type="dxa"/>
              <w:bottom w:w="70" w:type="dxa"/>
              <w:start w:w="80" w:type="dxa"/>
              <w:end w:w="80" w:type="dxa"/>
            </w:tcMar>
            <w:shd w:fill="EDF4FA"/>
          </w:tcPr>
          <w:p>
            <w:pPr>
              <w:pStyle w:val="TableText"/>
            </w:pPr>
            <w:r/>
            <w:r>
              <w:rPr>
                <w:b w:val="0"/>
              </w:rPr>
              <w:t>Stored string '0'.</w:t>
            </w:r>
          </w:p>
        </w:tc>
        <w:tc>
          <w:tcPr>
            <w:tcW w:type="dxa" w:w="2160"/>
            <w:vAlign w:val="center"/>
            <w:tcMar>
              <w:top w:w="70" w:type="dxa"/>
              <w:bottom w:w="70" w:type="dxa"/>
              <w:start w:w="80" w:type="dxa"/>
              <w:end w:w="80" w:type="dxa"/>
            </w:tcMar>
            <w:shd w:fill="EDF4FA"/>
          </w:tcPr>
          <w:p>
            <w:pPr>
              <w:pStyle w:val="TableText"/>
            </w:pPr>
            <w:r/>
            <w:r>
              <w:rPr>
                <w:b w:val="0"/>
              </w:rPr>
              <w:t>No CS override</w:t>
            </w:r>
          </w:p>
        </w:tc>
        <w:tc>
          <w:tcPr>
            <w:tcW w:type="dxa" w:w="3888"/>
            <w:vAlign w:val="center"/>
            <w:tcMar>
              <w:top w:w="70" w:type="dxa"/>
              <w:bottom w:w="70" w:type="dxa"/>
              <w:start w:w="80" w:type="dxa"/>
              <w:end w:w="80" w:type="dxa"/>
            </w:tcMar>
            <w:shd w:fill="EDF4FA"/>
          </w:tcPr>
          <w:p>
            <w:pPr>
              <w:pStyle w:val="TableText"/>
            </w:pPr>
            <w:r/>
            <w:r>
              <w:rPr>
                <w:b w:val="0"/>
              </w:rPr>
              <w:t>Strict false normalization.</w:t>
            </w:r>
          </w:p>
        </w:tc>
      </w:tr>
      <w:tr>
        <w:trPr>
          <w:cantSplit/>
        </w:trPr>
        <w:tc>
          <w:tcPr>
            <w:tcW w:type="dxa" w:w="1037"/>
            <w:vAlign w:val="center"/>
            <w:tcMar>
              <w:top w:w="70" w:type="dxa"/>
              <w:bottom w:w="70" w:type="dxa"/>
              <w:start w:w="80" w:type="dxa"/>
              <w:end w:w="80" w:type="dxa"/>
            </w:tcMar>
          </w:tcPr>
          <w:p>
            <w:pPr>
              <w:pStyle w:val="TableText"/>
            </w:pPr>
            <w:r/>
            <w:r>
              <w:rPr>
                <w:b w:val="0"/>
              </w:rPr>
              <w:t>CS-T09</w:t>
            </w:r>
          </w:p>
        </w:tc>
        <w:tc>
          <w:tcPr>
            <w:tcW w:type="dxa" w:w="3672"/>
            <w:vAlign w:val="center"/>
            <w:tcMar>
              <w:top w:w="70" w:type="dxa"/>
              <w:bottom w:w="70" w:type="dxa"/>
              <w:start w:w="80" w:type="dxa"/>
              <w:end w:w="80" w:type="dxa"/>
            </w:tcMar>
          </w:tcPr>
          <w:p>
            <w:pPr>
              <w:pStyle w:val="TableText"/>
            </w:pPr>
            <w:r/>
            <w:r>
              <w:rPr>
                <w:b w:val="0"/>
              </w:rPr>
              <w:t>Stored string '1'.</w:t>
            </w:r>
          </w:p>
        </w:tc>
        <w:tc>
          <w:tcPr>
            <w:tcW w:type="dxa" w:w="2160"/>
            <w:vAlign w:val="center"/>
            <w:tcMar>
              <w:top w:w="70" w:type="dxa"/>
              <w:bottom w:w="70" w:type="dxa"/>
              <w:start w:w="80" w:type="dxa"/>
              <w:end w:w="80" w:type="dxa"/>
            </w:tcMar>
          </w:tcPr>
          <w:p>
            <w:pPr>
              <w:pStyle w:val="TableText"/>
            </w:pPr>
            <w:r/>
            <w:r>
              <w:rPr>
                <w:b w:val="0"/>
              </w:rPr>
              <w:t>HIGH</w:t>
            </w:r>
          </w:p>
        </w:tc>
        <w:tc>
          <w:tcPr>
            <w:tcW w:type="dxa" w:w="3888"/>
            <w:vAlign w:val="center"/>
            <w:tcMar>
              <w:top w:w="70" w:type="dxa"/>
              <w:bottom w:w="70" w:type="dxa"/>
              <w:start w:w="80" w:type="dxa"/>
              <w:end w:w="80" w:type="dxa"/>
            </w:tcMar>
          </w:tcPr>
          <w:p>
            <w:pPr>
              <w:pStyle w:val="TableText"/>
            </w:pPr>
            <w:r/>
            <w:r>
              <w:rPr>
                <w:b w:val="0"/>
              </w:rPr>
              <w:t>Strict true normalization.</w:t>
            </w:r>
          </w:p>
        </w:tc>
      </w:tr>
      <w:tr>
        <w:trPr>
          <w:cantSplit/>
        </w:trPr>
        <w:tc>
          <w:tcPr>
            <w:tcW w:type="dxa" w:w="1037"/>
            <w:vAlign w:val="center"/>
            <w:tcMar>
              <w:top w:w="70" w:type="dxa"/>
              <w:bottom w:w="70" w:type="dxa"/>
              <w:start w:w="80" w:type="dxa"/>
              <w:end w:w="80" w:type="dxa"/>
            </w:tcMar>
            <w:shd w:fill="EDF4FA"/>
          </w:tcPr>
          <w:p>
            <w:pPr>
              <w:pStyle w:val="TableText"/>
            </w:pPr>
            <w:r/>
            <w:r>
              <w:rPr>
                <w:b w:val="0"/>
              </w:rPr>
              <w:t>CS-T10</w:t>
            </w:r>
          </w:p>
        </w:tc>
        <w:tc>
          <w:tcPr>
            <w:tcW w:type="dxa" w:w="3672"/>
            <w:vAlign w:val="center"/>
            <w:tcMar>
              <w:top w:w="70" w:type="dxa"/>
              <w:bottom w:w="70" w:type="dxa"/>
              <w:start w:w="80" w:type="dxa"/>
              <w:end w:w="80" w:type="dxa"/>
            </w:tcMar>
            <w:shd w:fill="EDF4FA"/>
          </w:tcPr>
          <w:p>
            <w:pPr>
              <w:pStyle w:val="TableText"/>
            </w:pPr>
            <w:r/>
            <w:r>
              <w:rPr>
                <w:b w:val="0"/>
              </w:rPr>
              <w:t>Previous CS changed No to Yes.</w:t>
            </w:r>
          </w:p>
        </w:tc>
        <w:tc>
          <w:tcPr>
            <w:tcW w:type="dxa" w:w="2160"/>
            <w:vAlign w:val="center"/>
            <w:tcMar>
              <w:top w:w="70" w:type="dxa"/>
              <w:bottom w:w="70" w:type="dxa"/>
              <w:start w:w="80" w:type="dxa"/>
              <w:end w:w="80" w:type="dxa"/>
            </w:tcMar>
            <w:shd w:fill="EDF4FA"/>
          </w:tcPr>
          <w:p>
            <w:pPr>
              <w:pStyle w:val="TableText"/>
            </w:pPr>
            <w:r/>
            <w:r>
              <w:rPr>
                <w:b w:val="0"/>
              </w:rPr>
              <w:t>Recalculate HIGH</w:t>
            </w:r>
          </w:p>
        </w:tc>
        <w:tc>
          <w:tcPr>
            <w:tcW w:type="dxa" w:w="3888"/>
            <w:vAlign w:val="center"/>
            <w:tcMar>
              <w:top w:w="70" w:type="dxa"/>
              <w:bottom w:w="70" w:type="dxa"/>
              <w:start w:w="80" w:type="dxa"/>
              <w:end w:w="80" w:type="dxa"/>
            </w:tcMar>
            <w:shd w:fill="EDF4FA"/>
          </w:tcPr>
          <w:p>
            <w:pPr>
              <w:pStyle w:val="TableText"/>
            </w:pPr>
            <w:r/>
            <w:r>
              <w:rPr>
                <w:b w:val="0"/>
              </w:rPr>
              <w:t>Audit old/new value.</w:t>
            </w:r>
          </w:p>
        </w:tc>
      </w:tr>
      <w:tr>
        <w:trPr>
          <w:cantSplit/>
        </w:trPr>
        <w:tc>
          <w:tcPr>
            <w:tcW w:type="dxa" w:w="1037"/>
            <w:vAlign w:val="center"/>
            <w:tcMar>
              <w:top w:w="70" w:type="dxa"/>
              <w:bottom w:w="70" w:type="dxa"/>
              <w:start w:w="80" w:type="dxa"/>
              <w:end w:w="80" w:type="dxa"/>
            </w:tcMar>
          </w:tcPr>
          <w:p>
            <w:pPr>
              <w:pStyle w:val="TableText"/>
            </w:pPr>
            <w:r/>
            <w:r>
              <w:rPr>
                <w:b w:val="0"/>
              </w:rPr>
              <w:t>CS-T11</w:t>
            </w:r>
          </w:p>
        </w:tc>
        <w:tc>
          <w:tcPr>
            <w:tcW w:type="dxa" w:w="3672"/>
            <w:vAlign w:val="center"/>
            <w:tcMar>
              <w:top w:w="70" w:type="dxa"/>
              <w:bottom w:w="70" w:type="dxa"/>
              <w:start w:w="80" w:type="dxa"/>
              <w:end w:w="80" w:type="dxa"/>
            </w:tcMar>
          </w:tcPr>
          <w:p>
            <w:pPr>
              <w:pStyle w:val="TableText"/>
            </w:pPr>
            <w:r/>
            <w:r>
              <w:rPr>
                <w:b w:val="0"/>
              </w:rPr>
              <w:t>Previous CS changed Yes to No.</w:t>
            </w:r>
          </w:p>
        </w:tc>
        <w:tc>
          <w:tcPr>
            <w:tcW w:type="dxa" w:w="2160"/>
            <w:vAlign w:val="center"/>
            <w:tcMar>
              <w:top w:w="70" w:type="dxa"/>
              <w:bottom w:w="70" w:type="dxa"/>
              <w:start w:w="80" w:type="dxa"/>
              <w:end w:w="80" w:type="dxa"/>
            </w:tcMar>
          </w:tcPr>
          <w:p>
            <w:pPr>
              <w:pStyle w:val="TableText"/>
            </w:pPr>
            <w:r/>
            <w:r>
              <w:rPr>
                <w:b w:val="0"/>
              </w:rPr>
              <w:t>Recalculate all logic</w:t>
            </w:r>
          </w:p>
        </w:tc>
        <w:tc>
          <w:tcPr>
            <w:tcW w:type="dxa" w:w="3888"/>
            <w:vAlign w:val="center"/>
            <w:tcMar>
              <w:top w:w="70" w:type="dxa"/>
              <w:bottom w:w="70" w:type="dxa"/>
              <w:start w:w="80" w:type="dxa"/>
              <w:end w:w="80" w:type="dxa"/>
            </w:tcMar>
          </w:tcPr>
          <w:p>
            <w:pPr>
              <w:pStyle w:val="TableText"/>
            </w:pPr>
            <w:r/>
            <w:r>
              <w:rPr>
                <w:b w:val="0"/>
              </w:rPr>
              <w:t>Do not automatically force LOW.</w:t>
            </w:r>
          </w:p>
        </w:tc>
      </w:tr>
      <w:tr>
        <w:trPr>
          <w:cantSplit/>
        </w:trPr>
        <w:tc>
          <w:tcPr>
            <w:tcW w:type="dxa" w:w="1037"/>
            <w:vAlign w:val="center"/>
            <w:tcMar>
              <w:top w:w="70" w:type="dxa"/>
              <w:bottom w:w="70" w:type="dxa"/>
              <w:start w:w="80" w:type="dxa"/>
              <w:end w:w="80" w:type="dxa"/>
            </w:tcMar>
            <w:shd w:fill="EDF4FA"/>
          </w:tcPr>
          <w:p>
            <w:pPr>
              <w:pStyle w:val="TableText"/>
            </w:pPr>
            <w:r/>
            <w:r>
              <w:rPr>
                <w:b w:val="0"/>
              </w:rPr>
              <w:t>CS-T12</w:t>
            </w:r>
          </w:p>
        </w:tc>
        <w:tc>
          <w:tcPr>
            <w:tcW w:type="dxa" w:w="3672"/>
            <w:vAlign w:val="center"/>
            <w:tcMar>
              <w:top w:w="70" w:type="dxa"/>
              <w:bottom w:w="70" w:type="dxa"/>
              <w:start w:w="80" w:type="dxa"/>
              <w:end w:w="80" w:type="dxa"/>
            </w:tcMar>
            <w:shd w:fill="EDF4FA"/>
          </w:tcPr>
          <w:p>
            <w:pPr>
              <w:pStyle w:val="TableText"/>
            </w:pPr>
            <w:r/>
            <w:r>
              <w:rPr>
                <w:b w:val="0"/>
              </w:rPr>
              <w:t>One prior CS plus previous vaginal birth.</w:t>
            </w:r>
          </w:p>
        </w:tc>
        <w:tc>
          <w:tcPr>
            <w:tcW w:type="dxa" w:w="2160"/>
            <w:vAlign w:val="center"/>
            <w:tcMar>
              <w:top w:w="70" w:type="dxa"/>
              <w:bottom w:w="70" w:type="dxa"/>
              <w:start w:w="80" w:type="dxa"/>
              <w:end w:w="80" w:type="dxa"/>
            </w:tcMar>
            <w:shd w:fill="EDF4FA"/>
          </w:tcPr>
          <w:p>
            <w:pPr>
              <w:pStyle w:val="TableText"/>
            </w:pPr>
            <w:r/>
            <w:r>
              <w:rPr>
                <w:b w:val="0"/>
              </w:rPr>
              <w:t>HIGH</w:t>
            </w:r>
          </w:p>
        </w:tc>
        <w:tc>
          <w:tcPr>
            <w:tcW w:type="dxa" w:w="3888"/>
            <w:vAlign w:val="center"/>
            <w:tcMar>
              <w:top w:w="70" w:type="dxa"/>
              <w:bottom w:w="70" w:type="dxa"/>
              <w:start w:w="80" w:type="dxa"/>
              <w:end w:w="80" w:type="dxa"/>
            </w:tcMar>
            <w:shd w:fill="EDF4FA"/>
          </w:tcPr>
          <w:p>
            <w:pPr>
              <w:pStyle w:val="TableText"/>
            </w:pPr>
            <w:r/>
            <w:r>
              <w:rPr>
                <w:b w:val="0"/>
              </w:rPr>
              <w:t>Do not claim contraindication; explain specialist planning.</w:t>
            </w:r>
          </w:p>
        </w:tc>
      </w:tr>
      <w:tr>
        <w:trPr>
          <w:cantSplit/>
        </w:trPr>
        <w:tc>
          <w:tcPr>
            <w:tcW w:type="dxa" w:w="1037"/>
            <w:vAlign w:val="center"/>
            <w:tcMar>
              <w:top w:w="70" w:type="dxa"/>
              <w:bottom w:w="70" w:type="dxa"/>
              <w:start w:w="80" w:type="dxa"/>
              <w:end w:w="80" w:type="dxa"/>
            </w:tcMar>
          </w:tcPr>
          <w:p>
            <w:pPr>
              <w:pStyle w:val="TableText"/>
            </w:pPr>
            <w:r/>
            <w:r>
              <w:rPr>
                <w:b w:val="0"/>
              </w:rPr>
              <w:t>CS-T13</w:t>
            </w:r>
          </w:p>
        </w:tc>
        <w:tc>
          <w:tcPr>
            <w:tcW w:type="dxa" w:w="3672"/>
            <w:vAlign w:val="center"/>
            <w:tcMar>
              <w:top w:w="70" w:type="dxa"/>
              <w:bottom w:w="70" w:type="dxa"/>
              <w:start w:w="80" w:type="dxa"/>
              <w:end w:w="80" w:type="dxa"/>
            </w:tcMar>
          </w:tcPr>
          <w:p>
            <w:pPr>
              <w:pStyle w:val="TableText"/>
            </w:pPr>
            <w:r/>
            <w:r>
              <w:rPr>
                <w:b w:val="0"/>
              </w:rPr>
              <w:t>Multiple prior CS, count not captured.</w:t>
            </w:r>
          </w:p>
        </w:tc>
        <w:tc>
          <w:tcPr>
            <w:tcW w:type="dxa" w:w="2160"/>
            <w:vAlign w:val="center"/>
            <w:tcMar>
              <w:top w:w="70" w:type="dxa"/>
              <w:bottom w:w="70" w:type="dxa"/>
              <w:start w:w="80" w:type="dxa"/>
              <w:end w:w="80" w:type="dxa"/>
            </w:tcMar>
          </w:tcPr>
          <w:p>
            <w:pPr>
              <w:pStyle w:val="TableText"/>
            </w:pPr>
            <w:r/>
            <w:r>
              <w:rPr>
                <w:b w:val="0"/>
              </w:rPr>
              <w:t>HIGH</w:t>
            </w:r>
          </w:p>
        </w:tc>
        <w:tc>
          <w:tcPr>
            <w:tcW w:type="dxa" w:w="3888"/>
            <w:vAlign w:val="center"/>
            <w:tcMar>
              <w:top w:w="70" w:type="dxa"/>
              <w:bottom w:w="70" w:type="dxa"/>
              <w:start w:w="80" w:type="dxa"/>
              <w:end w:w="80" w:type="dxa"/>
            </w:tcMar>
          </w:tcPr>
          <w:p>
            <w:pPr>
              <w:pStyle w:val="TableText"/>
            </w:pPr>
            <w:r/>
            <w:r>
              <w:rPr>
                <w:b w:val="0"/>
              </w:rPr>
              <w:t>State data limitation; prompt record review.</w:t>
            </w:r>
          </w:p>
        </w:tc>
      </w:tr>
      <w:tr>
        <w:trPr>
          <w:cantSplit/>
        </w:trPr>
        <w:tc>
          <w:tcPr>
            <w:tcW w:type="dxa" w:w="1037"/>
            <w:vAlign w:val="center"/>
            <w:tcMar>
              <w:top w:w="70" w:type="dxa"/>
              <w:bottom w:w="70" w:type="dxa"/>
              <w:start w:w="80" w:type="dxa"/>
              <w:end w:w="80" w:type="dxa"/>
            </w:tcMar>
            <w:shd w:fill="EDF4FA"/>
          </w:tcPr>
          <w:p>
            <w:pPr>
              <w:pStyle w:val="TableText"/>
            </w:pPr>
            <w:r/>
            <w:r>
              <w:rPr>
                <w:b w:val="0"/>
              </w:rPr>
              <w:t>CS-T14</w:t>
            </w:r>
          </w:p>
        </w:tc>
        <w:tc>
          <w:tcPr>
            <w:tcW w:type="dxa" w:w="3672"/>
            <w:vAlign w:val="center"/>
            <w:tcMar>
              <w:top w:w="70" w:type="dxa"/>
              <w:bottom w:w="70" w:type="dxa"/>
              <w:start w:w="80" w:type="dxa"/>
              <w:end w:w="80" w:type="dxa"/>
            </w:tcMar>
            <w:shd w:fill="EDF4FA"/>
          </w:tcPr>
          <w:p>
            <w:pPr>
              <w:pStyle w:val="TableText"/>
            </w:pPr>
            <w:r/>
            <w:r>
              <w:rPr>
                <w:b w:val="0"/>
              </w:rPr>
              <w:t>Operative scar type unknown.</w:t>
            </w:r>
          </w:p>
        </w:tc>
        <w:tc>
          <w:tcPr>
            <w:tcW w:type="dxa" w:w="2160"/>
            <w:vAlign w:val="center"/>
            <w:tcMar>
              <w:top w:w="70" w:type="dxa"/>
              <w:bottom w:w="70" w:type="dxa"/>
              <w:start w:w="80" w:type="dxa"/>
              <w:end w:w="80" w:type="dxa"/>
            </w:tcMar>
            <w:shd w:fill="EDF4FA"/>
          </w:tcPr>
          <w:p>
            <w:pPr>
              <w:pStyle w:val="TableText"/>
            </w:pPr>
            <w:r/>
            <w:r>
              <w:rPr>
                <w:b w:val="0"/>
              </w:rPr>
              <w:t>HIGH</w:t>
            </w:r>
          </w:p>
        </w:tc>
        <w:tc>
          <w:tcPr>
            <w:tcW w:type="dxa" w:w="3888"/>
            <w:vAlign w:val="center"/>
            <w:tcMar>
              <w:top w:w="70" w:type="dxa"/>
              <w:bottom w:w="70" w:type="dxa"/>
              <w:start w:w="80" w:type="dxa"/>
              <w:end w:w="80" w:type="dxa"/>
            </w:tcMar>
            <w:shd w:fill="EDF4FA"/>
          </w:tcPr>
          <w:p>
            <w:pPr>
              <w:pStyle w:val="TableText"/>
            </w:pPr>
            <w:r/>
            <w:r>
              <w:rPr>
                <w:b w:val="0"/>
              </w:rPr>
              <w:t>Prompt obstetric review; no VBAC eligibility claim.</w:t>
            </w:r>
          </w:p>
        </w:tc>
      </w:tr>
      <w:tr>
        <w:trPr>
          <w:cantSplit/>
        </w:trPr>
        <w:tc>
          <w:tcPr>
            <w:tcW w:type="dxa" w:w="1037"/>
            <w:vAlign w:val="center"/>
            <w:tcMar>
              <w:top w:w="70" w:type="dxa"/>
              <w:bottom w:w="70" w:type="dxa"/>
              <w:start w:w="80" w:type="dxa"/>
              <w:end w:w="80" w:type="dxa"/>
            </w:tcMar>
          </w:tcPr>
          <w:p>
            <w:pPr>
              <w:pStyle w:val="TableText"/>
            </w:pPr>
            <w:r/>
            <w:r>
              <w:rPr>
                <w:b w:val="0"/>
              </w:rPr>
              <w:t>CS-T15</w:t>
            </w:r>
          </w:p>
        </w:tc>
        <w:tc>
          <w:tcPr>
            <w:tcW w:type="dxa" w:w="3672"/>
            <w:vAlign w:val="center"/>
            <w:tcMar>
              <w:top w:w="70" w:type="dxa"/>
              <w:bottom w:w="70" w:type="dxa"/>
              <w:start w:w="80" w:type="dxa"/>
              <w:end w:w="80" w:type="dxa"/>
            </w:tcMar>
          </w:tcPr>
          <w:p>
            <w:pPr>
              <w:pStyle w:val="TableText"/>
            </w:pPr>
            <w:r/>
            <w:r>
              <w:rPr>
                <w:b w:val="0"/>
              </w:rPr>
              <w:t>Referral marked Pending.</w:t>
            </w:r>
          </w:p>
        </w:tc>
        <w:tc>
          <w:tcPr>
            <w:tcW w:type="dxa" w:w="2160"/>
            <w:vAlign w:val="center"/>
            <w:tcMar>
              <w:top w:w="70" w:type="dxa"/>
              <w:bottom w:w="70" w:type="dxa"/>
              <w:start w:w="80" w:type="dxa"/>
              <w:end w:w="80" w:type="dxa"/>
            </w:tcMar>
          </w:tcPr>
          <w:p>
            <w:pPr>
              <w:pStyle w:val="TableText"/>
            </w:pPr>
            <w:r/>
            <w:r>
              <w:rPr>
                <w:b w:val="0"/>
              </w:rPr>
              <w:t>HIGH remains</w:t>
            </w:r>
          </w:p>
        </w:tc>
        <w:tc>
          <w:tcPr>
            <w:tcW w:type="dxa" w:w="3888"/>
            <w:vAlign w:val="center"/>
            <w:tcMar>
              <w:top w:w="70" w:type="dxa"/>
              <w:bottom w:w="70" w:type="dxa"/>
              <w:start w:w="80" w:type="dxa"/>
              <w:end w:w="80" w:type="dxa"/>
            </w:tcMar>
          </w:tcPr>
          <w:p>
            <w:pPr>
              <w:pStyle w:val="TableText"/>
            </w:pPr>
            <w:r/>
            <w:r>
              <w:rPr>
                <w:b w:val="0"/>
              </w:rPr>
              <w:t>Display unresolved follow-up.</w:t>
            </w:r>
          </w:p>
        </w:tc>
      </w:tr>
      <w:tr>
        <w:trPr>
          <w:cantSplit/>
        </w:trPr>
        <w:tc>
          <w:tcPr>
            <w:tcW w:type="dxa" w:w="1037"/>
            <w:vAlign w:val="center"/>
            <w:tcMar>
              <w:top w:w="70" w:type="dxa"/>
              <w:bottom w:w="70" w:type="dxa"/>
              <w:start w:w="80" w:type="dxa"/>
              <w:end w:w="80" w:type="dxa"/>
            </w:tcMar>
            <w:shd w:fill="EDF4FA"/>
          </w:tcPr>
          <w:p>
            <w:pPr>
              <w:pStyle w:val="TableText"/>
            </w:pPr>
            <w:r/>
            <w:r>
              <w:rPr>
                <w:b w:val="0"/>
              </w:rPr>
              <w:t>CS-T16</w:t>
            </w:r>
          </w:p>
        </w:tc>
        <w:tc>
          <w:tcPr>
            <w:tcW w:type="dxa" w:w="3672"/>
            <w:vAlign w:val="center"/>
            <w:tcMar>
              <w:top w:w="70" w:type="dxa"/>
              <w:bottom w:w="70" w:type="dxa"/>
              <w:start w:w="80" w:type="dxa"/>
              <w:end w:w="80" w:type="dxa"/>
            </w:tcMar>
            <w:shd w:fill="EDF4FA"/>
          </w:tcPr>
          <w:p>
            <w:pPr>
              <w:pStyle w:val="TableText"/>
            </w:pPr>
            <w:r/>
            <w:r>
              <w:rPr>
                <w:b w:val="0"/>
              </w:rPr>
              <w:t>Referral marked Completed.</w:t>
            </w:r>
          </w:p>
        </w:tc>
        <w:tc>
          <w:tcPr>
            <w:tcW w:type="dxa" w:w="2160"/>
            <w:vAlign w:val="center"/>
            <w:tcMar>
              <w:top w:w="70" w:type="dxa"/>
              <w:bottom w:w="70" w:type="dxa"/>
              <w:start w:w="80" w:type="dxa"/>
              <w:end w:w="80" w:type="dxa"/>
            </w:tcMar>
            <w:shd w:fill="EDF4FA"/>
          </w:tcPr>
          <w:p>
            <w:pPr>
              <w:pStyle w:val="TableText"/>
            </w:pPr>
            <w:r/>
            <w:r>
              <w:rPr>
                <w:b w:val="0"/>
              </w:rPr>
              <w:t>HIGH remains</w:t>
            </w:r>
          </w:p>
        </w:tc>
        <w:tc>
          <w:tcPr>
            <w:tcW w:type="dxa" w:w="3888"/>
            <w:vAlign w:val="center"/>
            <w:tcMar>
              <w:top w:w="70" w:type="dxa"/>
              <w:bottom w:w="70" w:type="dxa"/>
              <w:start w:w="80" w:type="dxa"/>
              <w:end w:w="80" w:type="dxa"/>
            </w:tcMar>
            <w:shd w:fill="EDF4FA"/>
          </w:tcPr>
          <w:p>
            <w:pPr>
              <w:pStyle w:val="TableText"/>
            </w:pPr>
            <w:r/>
            <w:r>
              <w:rPr>
                <w:b w:val="0"/>
              </w:rPr>
              <w:t>Completion does not erase history; show plan status.</w:t>
            </w:r>
          </w:p>
        </w:tc>
      </w:tr>
      <w:tr>
        <w:trPr>
          <w:cantSplit/>
        </w:trPr>
        <w:tc>
          <w:tcPr>
            <w:tcW w:type="dxa" w:w="1037"/>
            <w:vAlign w:val="center"/>
            <w:tcMar>
              <w:top w:w="70" w:type="dxa"/>
              <w:bottom w:w="70" w:type="dxa"/>
              <w:start w:w="80" w:type="dxa"/>
              <w:end w:w="80" w:type="dxa"/>
            </w:tcMar>
          </w:tcPr>
          <w:p>
            <w:pPr>
              <w:pStyle w:val="TableText"/>
            </w:pPr>
            <w:r/>
            <w:r>
              <w:rPr>
                <w:b w:val="0"/>
              </w:rPr>
              <w:t>CS-T17</w:t>
            </w:r>
          </w:p>
        </w:tc>
        <w:tc>
          <w:tcPr>
            <w:tcW w:type="dxa" w:w="3672"/>
            <w:vAlign w:val="center"/>
            <w:tcMar>
              <w:top w:w="70" w:type="dxa"/>
              <w:bottom w:w="70" w:type="dxa"/>
              <w:start w:w="80" w:type="dxa"/>
              <w:end w:w="80" w:type="dxa"/>
            </w:tcMar>
          </w:tcPr>
          <w:p>
            <w:pPr>
              <w:pStyle w:val="TableText"/>
            </w:pPr>
            <w:r/>
            <w:r>
              <w:rPr>
                <w:b w:val="0"/>
              </w:rPr>
              <w:t>Patient refuses referral.</w:t>
            </w:r>
          </w:p>
        </w:tc>
        <w:tc>
          <w:tcPr>
            <w:tcW w:type="dxa" w:w="2160"/>
            <w:vAlign w:val="center"/>
            <w:tcMar>
              <w:top w:w="70" w:type="dxa"/>
              <w:bottom w:w="70" w:type="dxa"/>
              <w:start w:w="80" w:type="dxa"/>
              <w:end w:w="80" w:type="dxa"/>
            </w:tcMar>
          </w:tcPr>
          <w:p>
            <w:pPr>
              <w:pStyle w:val="TableText"/>
            </w:pPr>
            <w:r/>
            <w:r>
              <w:rPr>
                <w:b w:val="0"/>
              </w:rPr>
              <w:t>HIGH remains</w:t>
            </w:r>
          </w:p>
        </w:tc>
        <w:tc>
          <w:tcPr>
            <w:tcW w:type="dxa" w:w="3888"/>
            <w:vAlign w:val="center"/>
            <w:tcMar>
              <w:top w:w="70" w:type="dxa"/>
              <w:bottom w:w="70" w:type="dxa"/>
              <w:start w:w="80" w:type="dxa"/>
              <w:end w:w="80" w:type="dxa"/>
            </w:tcMar>
          </w:tcPr>
          <w:p>
            <w:pPr>
              <w:pStyle w:val="TableText"/>
            </w:pPr>
            <w:r/>
            <w:r>
              <w:rPr>
                <w:b w:val="0"/>
              </w:rPr>
              <w:t>Document refusal and safety-net advice.</w:t>
            </w:r>
          </w:p>
        </w:tc>
      </w:tr>
      <w:tr>
        <w:trPr>
          <w:cantSplit/>
        </w:trPr>
        <w:tc>
          <w:tcPr>
            <w:tcW w:type="dxa" w:w="1037"/>
            <w:vAlign w:val="center"/>
            <w:tcMar>
              <w:top w:w="70" w:type="dxa"/>
              <w:bottom w:w="70" w:type="dxa"/>
              <w:start w:w="80" w:type="dxa"/>
              <w:end w:w="80" w:type="dxa"/>
            </w:tcMar>
            <w:shd w:fill="EDF4FA"/>
          </w:tcPr>
          <w:p>
            <w:pPr>
              <w:pStyle w:val="TableText"/>
            </w:pPr>
            <w:r/>
            <w:r>
              <w:rPr>
                <w:b w:val="0"/>
              </w:rPr>
              <w:t>CS-T18</w:t>
            </w:r>
          </w:p>
        </w:tc>
        <w:tc>
          <w:tcPr>
            <w:tcW w:type="dxa" w:w="3672"/>
            <w:vAlign w:val="center"/>
            <w:tcMar>
              <w:top w:w="70" w:type="dxa"/>
              <w:bottom w:w="70" w:type="dxa"/>
              <w:start w:w="80" w:type="dxa"/>
              <w:end w:w="80" w:type="dxa"/>
            </w:tcMar>
            <w:shd w:fill="EDF4FA"/>
          </w:tcPr>
          <w:p>
            <w:pPr>
              <w:pStyle w:val="TableText"/>
            </w:pPr>
            <w:r/>
            <w:r>
              <w:rPr>
                <w:b w:val="0"/>
              </w:rPr>
              <w:t>Delivered record edited.</w:t>
            </w:r>
          </w:p>
        </w:tc>
        <w:tc>
          <w:tcPr>
            <w:tcW w:type="dxa" w:w="2160"/>
            <w:vAlign w:val="center"/>
            <w:tcMar>
              <w:top w:w="70" w:type="dxa"/>
              <w:bottom w:w="70" w:type="dxa"/>
              <w:start w:w="80" w:type="dxa"/>
              <w:end w:w="80" w:type="dxa"/>
            </w:tcMar>
            <w:shd w:fill="EDF4FA"/>
          </w:tcPr>
          <w:p>
            <w:pPr>
              <w:pStyle w:val="TableText"/>
            </w:pPr>
            <w:r/>
            <w:r>
              <w:rPr>
                <w:b w:val="0"/>
              </w:rPr>
              <w:t>Blocked</w:t>
            </w:r>
          </w:p>
        </w:tc>
        <w:tc>
          <w:tcPr>
            <w:tcW w:type="dxa" w:w="3888"/>
            <w:vAlign w:val="center"/>
            <w:tcMar>
              <w:top w:w="70" w:type="dxa"/>
              <w:bottom w:w="70" w:type="dxa"/>
              <w:start w:w="80" w:type="dxa"/>
              <w:end w:w="80" w:type="dxa"/>
            </w:tcMar>
            <w:shd w:fill="EDF4FA"/>
          </w:tcPr>
          <w:p>
            <w:pPr>
              <w:pStyle w:val="TableText"/>
            </w:pPr>
            <w:r/>
            <w:r>
              <w:rPr>
                <w:b w:val="0"/>
              </w:rPr>
              <w:t>Historical pregnancy read-only.</w:t>
            </w:r>
          </w:p>
        </w:tc>
      </w:tr>
      <w:tr>
        <w:trPr>
          <w:cantSplit/>
        </w:trPr>
        <w:tc>
          <w:tcPr>
            <w:tcW w:type="dxa" w:w="1037"/>
            <w:vAlign w:val="center"/>
            <w:tcMar>
              <w:top w:w="70" w:type="dxa"/>
              <w:bottom w:w="70" w:type="dxa"/>
              <w:start w:w="80" w:type="dxa"/>
              <w:end w:w="80" w:type="dxa"/>
            </w:tcMar>
          </w:tcPr>
          <w:p>
            <w:pPr>
              <w:pStyle w:val="TableText"/>
            </w:pPr>
            <w:r/>
            <w:r>
              <w:rPr>
                <w:b w:val="0"/>
              </w:rPr>
              <w:t>CS-T19</w:t>
            </w:r>
          </w:p>
        </w:tc>
        <w:tc>
          <w:tcPr>
            <w:tcW w:type="dxa" w:w="3672"/>
            <w:vAlign w:val="center"/>
            <w:tcMar>
              <w:top w:w="70" w:type="dxa"/>
              <w:bottom w:w="70" w:type="dxa"/>
              <w:start w:w="80" w:type="dxa"/>
              <w:end w:w="80" w:type="dxa"/>
            </w:tcMar>
          </w:tcPr>
          <w:p>
            <w:pPr>
              <w:pStyle w:val="TableText"/>
            </w:pPr>
            <w:r/>
            <w:r>
              <w:rPr>
                <w:b w:val="0"/>
              </w:rPr>
              <w:t>New pregnancy after delivery.</w:t>
            </w:r>
          </w:p>
        </w:tc>
        <w:tc>
          <w:tcPr>
            <w:tcW w:type="dxa" w:w="2160"/>
            <w:vAlign w:val="center"/>
            <w:tcMar>
              <w:top w:w="70" w:type="dxa"/>
              <w:bottom w:w="70" w:type="dxa"/>
              <w:start w:w="80" w:type="dxa"/>
              <w:end w:w="80" w:type="dxa"/>
            </w:tcMar>
          </w:tcPr>
          <w:p>
            <w:pPr>
              <w:pStyle w:val="TableText"/>
            </w:pPr>
            <w:r/>
            <w:r>
              <w:rPr>
                <w:b w:val="0"/>
              </w:rPr>
              <w:t>Fresh assessment</w:t>
            </w:r>
          </w:p>
        </w:tc>
        <w:tc>
          <w:tcPr>
            <w:tcW w:type="dxa" w:w="3888"/>
            <w:vAlign w:val="center"/>
            <w:tcMar>
              <w:top w:w="70" w:type="dxa"/>
              <w:bottom w:w="70" w:type="dxa"/>
              <w:start w:w="80" w:type="dxa"/>
              <w:end w:w="80" w:type="dxa"/>
            </w:tcMar>
          </w:tcPr>
          <w:p>
            <w:pPr>
              <w:pStyle w:val="TableText"/>
            </w:pPr>
            <w:r/>
            <w:r>
              <w:rPr>
                <w:b w:val="0"/>
              </w:rPr>
              <w:t>Reconfirm history; do not copy without verification.</w:t>
            </w:r>
          </w:p>
        </w:tc>
      </w:tr>
      <w:tr>
        <w:trPr>
          <w:cantSplit/>
        </w:trPr>
        <w:tc>
          <w:tcPr>
            <w:tcW w:type="dxa" w:w="1037"/>
            <w:vAlign w:val="center"/>
            <w:tcMar>
              <w:top w:w="70" w:type="dxa"/>
              <w:bottom w:w="70" w:type="dxa"/>
              <w:start w:w="80" w:type="dxa"/>
              <w:end w:w="80" w:type="dxa"/>
            </w:tcMar>
            <w:shd w:fill="EDF4FA"/>
          </w:tcPr>
          <w:p>
            <w:pPr>
              <w:pStyle w:val="TableText"/>
            </w:pPr>
            <w:r/>
            <w:r>
              <w:rPr>
                <w:b w:val="0"/>
              </w:rPr>
              <w:t>CS-T20</w:t>
            </w:r>
          </w:p>
        </w:tc>
        <w:tc>
          <w:tcPr>
            <w:tcW w:type="dxa" w:w="3672"/>
            <w:vAlign w:val="center"/>
            <w:tcMar>
              <w:top w:w="70" w:type="dxa"/>
              <w:bottom w:w="70" w:type="dxa"/>
              <w:start w:w="80" w:type="dxa"/>
              <w:end w:w="80" w:type="dxa"/>
            </w:tcMar>
            <w:shd w:fill="EDF4FA"/>
          </w:tcPr>
          <w:p>
            <w:pPr>
              <w:pStyle w:val="TableText"/>
            </w:pPr>
            <w:r/>
            <w:r>
              <w:rPr>
                <w:b w:val="0"/>
              </w:rPr>
              <w:t>User interface says No but database true.</w:t>
            </w:r>
          </w:p>
        </w:tc>
        <w:tc>
          <w:tcPr>
            <w:tcW w:type="dxa" w:w="2160"/>
            <w:vAlign w:val="center"/>
            <w:tcMar>
              <w:top w:w="70" w:type="dxa"/>
              <w:bottom w:w="70" w:type="dxa"/>
              <w:start w:w="80" w:type="dxa"/>
              <w:end w:w="80" w:type="dxa"/>
            </w:tcMar>
            <w:shd w:fill="EDF4FA"/>
          </w:tcPr>
          <w:p>
            <w:pPr>
              <w:pStyle w:val="TableText"/>
            </w:pPr>
            <w:r/>
            <w:r>
              <w:rPr>
                <w:b w:val="0"/>
              </w:rPr>
              <w:t>Validation failure</w:t>
            </w:r>
          </w:p>
        </w:tc>
        <w:tc>
          <w:tcPr>
            <w:tcW w:type="dxa" w:w="3888"/>
            <w:vAlign w:val="center"/>
            <w:tcMar>
              <w:top w:w="70" w:type="dxa"/>
              <w:bottom w:w="70" w:type="dxa"/>
              <w:start w:w="80" w:type="dxa"/>
              <w:end w:w="80" w:type="dxa"/>
            </w:tcMar>
            <w:shd w:fill="EDF4FA"/>
          </w:tcPr>
          <w:p>
            <w:pPr>
              <w:pStyle w:val="TableText"/>
            </w:pPr>
            <w:r/>
            <w:r>
              <w:rPr>
                <w:b w:val="0"/>
              </w:rPr>
              <w:t>Detect UI-data mismatch before release.</w:t>
            </w:r>
          </w:p>
        </w:tc>
      </w:tr>
    </w:tbl>
    <w:p>
      <w:pPr>
        <w:spacing w:after="20"/>
      </w:pPr>
    </w:p>
    <w:p>
      <w:pPr>
        <w:pStyle w:val="Heading1"/>
      </w:pPr>
      <w:r>
        <w:t>14. Clinical Governance Requirements</w:t>
      </w:r>
    </w:p>
    <w:p>
      <w:pPr>
        <w:pStyle w:val="ListNumber"/>
        <w:spacing w:after="40"/>
      </w:pPr>
      <w:r>
        <w:t>Have the previous-cesarean rule and referral language reviewed by an obstetrician familiar with the clinic's actual capabilities and referral network.</w:t>
      </w:r>
    </w:p>
    <w:p>
      <w:pPr>
        <w:pStyle w:val="ListNumber"/>
        <w:spacing w:after="40"/>
      </w:pPr>
      <w:r>
        <w:t>Define the minimum information needed for birth planning: number of cesareans, reason, operative report where available, prior vaginal birth, current placenta location, and receiving hospital.</w:t>
      </w:r>
    </w:p>
    <w:p>
      <w:pPr>
        <w:pStyle w:val="ListNumber"/>
        <w:spacing w:after="40"/>
      </w:pPr>
      <w:r>
        <w:t>Use an explicit Unknown state instead of treating missing history as No.</w:t>
      </w:r>
    </w:p>
    <w:p>
      <w:pPr>
        <w:pStyle w:val="ListNumber"/>
        <w:spacing w:after="40"/>
      </w:pPr>
      <w:r>
        <w:t>Document rule version, data source, reason, result, user, and timestamp.</w:t>
      </w:r>
    </w:p>
    <w:p>
      <w:pPr>
        <w:pStyle w:val="ListNumber"/>
        <w:spacing w:after="40"/>
      </w:pPr>
      <w:r>
        <w:t>Create a written emergency transfer protocol for a previous-cesarean patient who presents with labour, bleeding, severe pain, rupture of membranes, or fetal concern.</w:t>
      </w:r>
    </w:p>
    <w:p>
      <w:pPr>
        <w:pStyle w:val="ListNumber"/>
        <w:spacing w:after="40"/>
      </w:pPr>
      <w:r>
        <w:t>Track referral completion and hospital acceptance; a printed referral alone is not continuity of care.</w:t>
      </w:r>
    </w:p>
    <w:p>
      <w:pPr>
        <w:pStyle w:val="ListNumber"/>
        <w:spacing w:after="40"/>
      </w:pPr>
      <w:r>
        <w:t>Audit cases in which a patient was classified LOW despite a prior cesarean, referrals were delayed, or birth occurred without planned hospital capability.</w:t>
      </w:r>
    </w:p>
    <w:p>
      <w:pPr>
        <w:pStyle w:val="ListNumber"/>
        <w:spacing w:after="40"/>
      </w:pPr>
      <w:r>
        <w:t>Do not add VBAC success prediction, induction advice, or delivery-mode recommendation without a separate evidence review, richer data, clinician approval, validation, and prospective monitoring.</w:t>
      </w:r>
    </w:p>
    <w:p>
      <w:pPr>
        <w:pStyle w:val="Heading1"/>
      </w:pPr>
      <w:r>
        <w:t>15. Panel Defense Questions and Model Answers</w:t>
      </w:r>
    </w:p>
    <w:p>
      <w:pPr>
        <w:keepNext/>
      </w:pPr>
      <w:r>
        <w:rPr>
          <w:b/>
          <w:color w:val="17365D"/>
        </w:rPr>
        <w:t>Q: Why does every previous cesarean trigger HIGH?</w:t>
      </w:r>
    </w:p>
    <w:p>
      <w:pPr>
        <w:ind w:left="288"/>
      </w:pPr>
      <w:r>
        <w:t>A: Because the current system lacks the information and capability needed to determine individualized VBAC suitability. Labour after cesarean may require continuous monitoring, emergency surgery, and transfusion, which exceed routine lying-in services.</w:t>
      </w:r>
    </w:p>
    <w:p>
      <w:pPr>
        <w:keepNext/>
      </w:pPr>
      <w:r>
        <w:rPr>
          <w:b/>
          <w:color w:val="17365D"/>
        </w:rPr>
        <w:t>Q: Does HIGH mean the patient must have another cesarean?</w:t>
      </w:r>
    </w:p>
    <w:p>
      <w:pPr>
        <w:ind w:left="288"/>
      </w:pPr>
      <w:r>
        <w:t>A: No. Both VBAC and planned repeat cesarean may be reasonable after individualized counseling. HIGH means hospital-level planning and capability are required.</w:t>
      </w:r>
    </w:p>
    <w:p>
      <w:pPr>
        <w:keepNext/>
      </w:pPr>
      <w:r>
        <w:rPr>
          <w:b/>
          <w:color w:val="17365D"/>
        </w:rPr>
        <w:t>Q: What guideline most directly supports referral?</w:t>
      </w:r>
    </w:p>
    <w:p>
      <w:pPr>
        <w:ind w:left="288"/>
      </w:pPr>
      <w:r>
        <w:t>A: NICE NG192 recommends that planned VBAC labour occur with electronic fetal monitoring, immediate access to cesarean birth, and on-site blood transfusion services.</w:t>
      </w:r>
    </w:p>
    <w:p>
      <w:pPr>
        <w:keepNext/>
      </w:pPr>
      <w:r>
        <w:rPr>
          <w:b/>
          <w:color w:val="17365D"/>
        </w:rPr>
        <w:t>Q: Can the CDSS predict uterine rupture?</w:t>
      </w:r>
    </w:p>
    <w:p>
      <w:pPr>
        <w:ind w:left="288"/>
      </w:pPr>
      <w:r>
        <w:t>A: No. The system has a boolean history field and cannot calculate an individual probability or replace real-time clinical monitoring.</w:t>
      </w:r>
    </w:p>
    <w:p>
      <w:pPr>
        <w:keepNext/>
      </w:pPr>
      <w:r>
        <w:rPr>
          <w:b/>
          <w:color w:val="17365D"/>
        </w:rPr>
        <w:t>Q: Why not let the Random Forest decide?</w:t>
      </w:r>
    </w:p>
    <w:p>
      <w:pPr>
        <w:ind w:left="288"/>
      </w:pPr>
      <w:r>
        <w:t>A: A known uterine scar is a safety-critical fact. A probabilistic LOW output must not cancel a deterministic condition requiring higher-level capability.</w:t>
      </w:r>
    </w:p>
    <w:p>
      <w:pPr>
        <w:keepNext/>
      </w:pPr>
      <w:r>
        <w:rPr>
          <w:b/>
          <w:color w:val="17365D"/>
        </w:rPr>
        <w:t>Q: Can a midwife decide VBAC eligibility from this result?</w:t>
      </w:r>
    </w:p>
    <w:p>
      <w:pPr>
        <w:ind w:left="288"/>
      </w:pPr>
      <w:r>
        <w:t>A: No. The result prompts referral and record gathering. Eligibility and mode-of-birth counseling require qualified obstetric assessment and facility review.</w:t>
      </w:r>
    </w:p>
    <w:p>
      <w:pPr>
        <w:keepNext/>
      </w:pPr>
      <w:r>
        <w:rPr>
          <w:b/>
          <w:color w:val="17365D"/>
        </w:rPr>
        <w:t>Q: What if the patient previously delivered vaginally?</w:t>
      </w:r>
    </w:p>
    <w:p>
      <w:pPr>
        <w:ind w:left="288"/>
      </w:pPr>
      <w:r>
        <w:t>A: That may improve the chance of successful VBAC, but the current CDSS still returns HIGH because immediate emergency capability remains necessary.</w:t>
      </w:r>
    </w:p>
    <w:p>
      <w:pPr>
        <w:keepNext/>
      </w:pPr>
      <w:r>
        <w:rPr>
          <w:b/>
          <w:color w:val="17365D"/>
        </w:rPr>
        <w:t>Q: What if the previous cesarean was many years ago?</w:t>
      </w:r>
    </w:p>
    <w:p>
      <w:pPr>
        <w:ind w:left="288"/>
      </w:pPr>
      <w:r>
        <w:t>A: Time alone does not remove the uterine scar. The exact interpregnancy interval may affect counseling, but the current binary rule remains a referral signal.</w:t>
      </w:r>
    </w:p>
    <w:p>
      <w:pPr>
        <w:keepNext/>
      </w:pPr>
      <w:r>
        <w:rPr>
          <w:b/>
          <w:color w:val="17365D"/>
        </w:rPr>
        <w:t>Q: What if the patient refuses hospital referral?</w:t>
      </w:r>
    </w:p>
    <w:p>
      <w:pPr>
        <w:ind w:left="288"/>
      </w:pPr>
      <w:r>
        <w:t>A: The HIGH result remains. Counseling, refusal, emergency advice, and clinic policy are documented. A waiver does not make a lying-in clinic surgically capable.</w:t>
      </w:r>
    </w:p>
    <w:p>
      <w:pPr>
        <w:keepNext/>
      </w:pPr>
      <w:r>
        <w:rPr>
          <w:b/>
          <w:color w:val="17365D"/>
        </w:rPr>
        <w:t>Q: What is the main limitation of the rule?</w:t>
      </w:r>
    </w:p>
    <w:p>
      <w:pPr>
        <w:ind w:left="288"/>
      </w:pPr>
      <w:r>
        <w:t>A: It is intentionally broad. It cannot distinguish an appropriate VBAC candidate from a patient who needs planned repeat cesarean or specialized placenta-accreta care.</w:t>
      </w:r>
    </w:p>
    <w:p>
      <w:pPr>
        <w:pStyle w:val="Heading1"/>
      </w:pPr>
      <w:r>
        <w:t>16. Final Rule Statement</w:t>
      </w:r>
    </w:p>
    <w:tbl>
      <w:tblPr>
        <w:tblW w:type="auto" w:w="0"/>
        <w:tblLook w:firstColumn="1" w:firstRow="1" w:lastColumn="0" w:lastRow="0" w:noHBand="0" w:noVBand="1" w:val="04A0"/>
      </w:tblPr>
      <w:tblGrid>
        <w:gridCol w:w="10080"/>
      </w:tblGrid>
      <w:tr>
        <w:tc>
          <w:tcPr>
            <w:tcW w:type="dxa" w:w="10080"/>
            <w:shd w:fill="E2F0D9"/>
            <w:tcBorders>
              <w:top w:val="single" w:sz="8" w:color="548235"/>
              <w:left w:val="single" w:sz="8" w:color="548235"/>
              <w:bottom w:val="single" w:sz="8" w:color="548235"/>
              <w:right w:val="single" w:sz="8" w:color="548235"/>
            </w:tcBorders>
            <w:tcMar>
              <w:top w:w="110" w:type="dxa"/>
              <w:bottom w:w="110" w:type="dxa"/>
              <w:start w:w="120" w:type="dxa"/>
              <w:end w:w="120" w:type="dxa"/>
            </w:tcMar>
          </w:tcPr>
          <w:p>
            <w:pPr>
              <w:pStyle w:val="Callout"/>
            </w:pPr>
            <w:r/>
            <w:r>
              <w:rPr>
                <w:b/>
                <w:color w:val="548235"/>
              </w:rPr>
              <w:t>Approved specification</w:t>
              <w:br/>
            </w:r>
            <w:r>
              <w:t>When the current pregnancy record confirms one or more previous cesarean deliveries, the CDSS shall activate rule CS-01 and classify the assessment as HIGH regardless of a LOW ML output. The interface shall explain that birth after cesarean requires individualized obstetric assessment and access to emergency cesarean delivery. It shall recommend early referral, review of available operative history, and a documented hospital birth plan with appropriate monitoring and transfusion capability. The system shall clearly state that it does not determine VBAC eligibility, predict uterine rupture, choose an induction method, or decide the final mode or timing of birth. Missing or ambiguous cesarean history shall prevent LOW and produce ASSESSMENT INCOMPLETE.</w:t>
            </w:r>
          </w:p>
        </w:tc>
      </w:tr>
    </w:tbl>
    <w:p>
      <w:pPr>
        <w:spacing w:after="20"/>
      </w:pPr>
    </w:p>
    <w:p>
      <w:pPr>
        <w:pStyle w:val="Heading1"/>
      </w:pPr>
      <w:r>
        <w:t>17. References</w:t>
      </w:r>
    </w:p>
    <w:p>
      <w:r>
        <w:t>Official guideline and institutional sources are used wherever publicly available. Accessed July 2026. URLs are clickable.</w:t>
      </w:r>
    </w:p>
    <w:p>
      <w:pPr>
        <w:pStyle w:val="Reference"/>
        <w:ind w:left="259" w:hanging="259"/>
      </w:pPr>
      <w:r>
        <w:t xml:space="preserve">[1] National Institute for Health and Care Excellence. Caesarean birth (NICE guideline NG192), recommendations on pregnancy and childbirth after caesarean birth. 2021; updated 2025. </w:t>
      </w:r>
      <w:hyperlink r:id="rId11">
        <w:r>
          <w:rPr>
            <w:color w:val="2F75B5"/>
            <w:u w:val="single"/>
          </w:rPr>
          <w:t>https://www.nice.org.uk/guidance/ng192/chapter/recommendations</w:t>
        </w:r>
      </w:hyperlink>
    </w:p>
    <w:p>
      <w:pPr>
        <w:pStyle w:val="Reference"/>
        <w:ind w:left="259" w:hanging="259"/>
      </w:pPr>
      <w:r>
        <w:t xml:space="preserve">[2] National Institute for Health and Care Excellence. Intrapartum care for women with existing medical conditions or obstetric complications and their babies (NG121), previous caesarean section. 2019. </w:t>
      </w:r>
      <w:hyperlink r:id="rId12">
        <w:r>
          <w:rPr>
            <w:color w:val="2F75B5"/>
            <w:u w:val="single"/>
          </w:rPr>
          <w:t>https://www.nice.org.uk/guidance/ng121/chapter/Recommendations</w:t>
        </w:r>
      </w:hyperlink>
    </w:p>
    <w:p>
      <w:pPr>
        <w:pStyle w:val="Reference"/>
        <w:ind w:left="259" w:hanging="259"/>
      </w:pPr>
      <w:r>
        <w:t xml:space="preserve">[3] National Institute for Health and Care Excellence. Inducing labour (NG207), recommendations for previous caesarean birth. 2021. </w:t>
      </w:r>
      <w:hyperlink r:id="rId13">
        <w:r>
          <w:rPr>
            <w:color w:val="2F75B5"/>
            <w:u w:val="single"/>
          </w:rPr>
          <w:t>https://www.nice.org.uk/guidance/ng207/chapter/Recommendations</w:t>
        </w:r>
      </w:hyperlink>
    </w:p>
    <w:p>
      <w:pPr>
        <w:pStyle w:val="Reference"/>
        <w:ind w:left="259" w:hanging="259"/>
      </w:pPr>
      <w:r>
        <w:t xml:space="preserve">[4] Royal College of Obstetricians and Gynaecologists. Birth after previous caesarean: patient information. 2016; current online edition. </w:t>
      </w:r>
      <w:hyperlink r:id="rId14">
        <w:r>
          <w:rPr>
            <w:color w:val="2F75B5"/>
            <w:u w:val="single"/>
          </w:rPr>
          <w:t>https://www.rcog.org.uk/for-the-public/browse-our-patient-information/birth-after-previous-caesarean/</w:t>
        </w:r>
      </w:hyperlink>
    </w:p>
    <w:p>
      <w:pPr>
        <w:pStyle w:val="Reference"/>
        <w:ind w:left="259" w:hanging="259"/>
      </w:pPr>
      <w:r>
        <w:t xml:space="preserve">[5] American College of Obstetricians and Gynecologists. Vaginal Birth After Cesarean Delivery: Frequently Asked Questions. current online edition. </w:t>
      </w:r>
      <w:hyperlink r:id="rId15">
        <w:r>
          <w:rPr>
            <w:color w:val="2F75B5"/>
            <w:u w:val="single"/>
          </w:rPr>
          <w:t>https://www.acog.org/womens-health/faqs/vaginal-birth-after-cesarean-delivery</w:t>
        </w:r>
      </w:hyperlink>
    </w:p>
    <w:p>
      <w:pPr>
        <w:pStyle w:val="Reference"/>
        <w:ind w:left="259" w:hanging="259"/>
      </w:pPr>
      <w:r>
        <w:t xml:space="preserve">[6] World Health Organization. WHO statement on caesarean section rates and Robson classification. current online edition. </w:t>
      </w:r>
      <w:hyperlink r:id="rId16">
        <w:r>
          <w:rPr>
            <w:color w:val="2F75B5"/>
            <w:u w:val="single"/>
          </w:rPr>
          <w:t>https://www.who.int/news-room/questions-and-answers/item/who-statement-on-caesarean-section-rates-frequently-asked-questions</w:t>
        </w:r>
      </w:hyperlink>
    </w:p>
    <w:p>
      <w:pPr>
        <w:pStyle w:val="Reference"/>
        <w:ind w:left="259" w:hanging="259"/>
      </w:pPr>
      <w:r>
        <w:t xml:space="preserve">[7] Department of Health, Philippines. Administrative Order No. 2007-0039: Regulation of Birthing Homes. 2007. </w:t>
      </w:r>
      <w:hyperlink r:id="rId17">
        <w:r>
          <w:rPr>
            <w:color w:val="2F75B5"/>
            <w:u w:val="single"/>
          </w:rPr>
          <w:t>https://elibrary.judiciary.gov.ph/thebookshelf/showdocs/10/52132</w:t>
        </w:r>
      </w:hyperlink>
    </w:p>
    <w:p>
      <w:pPr>
        <w:pStyle w:val="Reference"/>
        <w:ind w:left="259" w:hanging="259"/>
      </w:pPr>
      <w:r>
        <w:t xml:space="preserve">[8] Department of Health, Philippines. Administrative Order No. 150, s. 2004: Classification of health facilities, including birthing homes. 2004. </w:t>
      </w:r>
      <w:hyperlink r:id="rId18">
        <w:r>
          <w:rPr>
            <w:color w:val="2F75B5"/>
            <w:u w:val="single"/>
          </w:rPr>
          <w:t>https://elibrary.judiciary.gov.ph/thebookshelf/showdocs/10/46457</w:t>
        </w:r>
      </w:hyperlink>
    </w:p>
    <w:p>
      <w:pPr>
        <w:pStyle w:val="Reference"/>
        <w:ind w:left="259" w:hanging="259"/>
      </w:pPr>
      <w:r>
        <w:t xml:space="preserve">[9] Philippine Health Insurance Corporation. Women about to give birth may avail themselves of PhilHealth benefits. 2016. </w:t>
      </w:r>
      <w:hyperlink r:id="rId19">
        <w:r>
          <w:rPr>
            <w:color w:val="2F75B5"/>
            <w:u w:val="single"/>
          </w:rPr>
          <w:t>https://www.philhealth.gov.ph/news/2016/pregnancy_benefits.html</w:t>
        </w:r>
      </w:hyperlink>
    </w:p>
    <w:p>
      <w:pPr>
        <w:pStyle w:val="Reference"/>
        <w:ind w:left="259" w:hanging="259"/>
      </w:pPr>
      <w:r>
        <w:t xml:space="preserve">[10] Philippine Health Insurance Corporation. Accreditation status of health care providers. updated May 2026. </w:t>
      </w:r>
      <w:hyperlink r:id="rId20">
        <w:r>
          <w:rPr>
            <w:color w:val="2F75B5"/>
            <w:u w:val="single"/>
          </w:rPr>
          <w:t>https://www.philhealth.gov.ph/partners/providers/facilities/status.php</w:t>
        </w:r>
      </w:hyperlink>
    </w:p>
    <w:p>
      <w:pPr>
        <w:pStyle w:val="Heading1"/>
      </w:pPr>
      <w:r>
        <w:t>Appendix A. Rule-to-Evidence Traceability</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3096"/>
            <w:vAlign w:val="center"/>
            <w:tcMar>
              <w:top w:w="70" w:type="dxa"/>
              <w:bottom w:w="70" w:type="dxa"/>
              <w:start w:w="80" w:type="dxa"/>
              <w:end w:w="80" w:type="dxa"/>
            </w:tcMar>
            <w:shd w:fill="17365D"/>
          </w:tcPr>
          <w:p>
            <w:pPr>
              <w:pStyle w:val="TableHeader"/>
            </w:pPr>
            <w:r/>
            <w:r>
              <w:rPr>
                <w:b/>
                <w:color w:val="FFFFFF"/>
              </w:rPr>
              <w:t>Rule element</w:t>
            </w:r>
          </w:p>
        </w:tc>
        <w:tc>
          <w:tcPr>
            <w:tcW w:type="dxa" w:w="4392"/>
            <w:vAlign w:val="center"/>
            <w:tcMar>
              <w:top w:w="70" w:type="dxa"/>
              <w:bottom w:w="70" w:type="dxa"/>
              <w:start w:w="80" w:type="dxa"/>
              <w:end w:w="80" w:type="dxa"/>
            </w:tcMar>
            <w:shd w:fill="17365D"/>
          </w:tcPr>
          <w:p>
            <w:pPr>
              <w:pStyle w:val="TableHeader"/>
            </w:pPr>
            <w:r/>
            <w:r>
              <w:rPr>
                <w:b/>
                <w:color w:val="FFFFFF"/>
              </w:rPr>
              <w:t>Evidence basis</w:t>
            </w:r>
          </w:p>
        </w:tc>
        <w:tc>
          <w:tcPr>
            <w:tcW w:type="dxa" w:w="3240"/>
            <w:vAlign w:val="center"/>
            <w:tcMar>
              <w:top w:w="70" w:type="dxa"/>
              <w:bottom w:w="70" w:type="dxa"/>
              <w:start w:w="80" w:type="dxa"/>
              <w:end w:w="80" w:type="dxa"/>
            </w:tcMar>
            <w:shd w:fill="17365D"/>
          </w:tcPr>
          <w:p>
            <w:pPr>
              <w:pStyle w:val="TableHeader"/>
            </w:pPr>
            <w:r/>
            <w:r>
              <w:rPr>
                <w:b/>
                <w:color w:val="FFFFFF"/>
              </w:rPr>
              <w:t>Statement type</w:t>
            </w:r>
          </w:p>
        </w:tc>
      </w:tr>
      <w:tr>
        <w:trPr>
          <w:cantSplit/>
        </w:trPr>
        <w:tc>
          <w:tcPr>
            <w:tcW w:type="dxa" w:w="3096"/>
            <w:vAlign w:val="center"/>
            <w:tcMar>
              <w:top w:w="70" w:type="dxa"/>
              <w:bottom w:w="70" w:type="dxa"/>
              <w:start w:w="80" w:type="dxa"/>
              <w:end w:w="80" w:type="dxa"/>
            </w:tcMar>
          </w:tcPr>
          <w:p>
            <w:pPr>
              <w:pStyle w:val="TableText"/>
            </w:pPr>
            <w:r/>
            <w:r>
              <w:rPr>
                <w:b w:val="0"/>
              </w:rPr>
              <w:t>VBAC labour needs immediate cesarean and transfusion access</w:t>
            </w:r>
          </w:p>
        </w:tc>
        <w:tc>
          <w:tcPr>
            <w:tcW w:type="dxa" w:w="4392"/>
            <w:vAlign w:val="center"/>
            <w:tcMar>
              <w:top w:w="70" w:type="dxa"/>
              <w:bottom w:w="70" w:type="dxa"/>
              <w:start w:w="80" w:type="dxa"/>
              <w:end w:w="80" w:type="dxa"/>
            </w:tcMar>
          </w:tcPr>
          <w:p>
            <w:pPr>
              <w:pStyle w:val="TableText"/>
            </w:pPr>
            <w:r/>
            <w:r>
              <w:rPr>
                <w:b w:val="0"/>
              </w:rPr>
              <w:t>NICE NG192.</w:t>
            </w:r>
          </w:p>
        </w:tc>
        <w:tc>
          <w:tcPr>
            <w:tcW w:type="dxa" w:w="3240"/>
            <w:vAlign w:val="center"/>
            <w:tcMar>
              <w:top w:w="70" w:type="dxa"/>
              <w:bottom w:w="70" w:type="dxa"/>
              <w:start w:w="80" w:type="dxa"/>
              <w:end w:w="80" w:type="dxa"/>
            </w:tcMar>
          </w:tcPr>
          <w:p>
            <w:pPr>
              <w:pStyle w:val="TableText"/>
            </w:pPr>
            <w:r/>
            <w:r>
              <w:rPr>
                <w:b w:val="0"/>
              </w:rPr>
              <w:t>Guideline-supported.</w:t>
            </w:r>
          </w:p>
        </w:tc>
      </w:tr>
      <w:tr>
        <w:trPr>
          <w:cantSplit/>
        </w:trPr>
        <w:tc>
          <w:tcPr>
            <w:tcW w:type="dxa" w:w="3096"/>
            <w:vAlign w:val="center"/>
            <w:tcMar>
              <w:top w:w="70" w:type="dxa"/>
              <w:bottom w:w="70" w:type="dxa"/>
              <w:start w:w="80" w:type="dxa"/>
              <w:end w:w="80" w:type="dxa"/>
            </w:tcMar>
            <w:shd w:fill="EDF4FA"/>
          </w:tcPr>
          <w:p>
            <w:pPr>
              <w:pStyle w:val="TableText"/>
            </w:pPr>
            <w:r/>
            <w:r>
              <w:rPr>
                <w:b w:val="0"/>
              </w:rPr>
              <w:t>Previous cesarean requires individualized mode-of-birth counseling</w:t>
            </w:r>
          </w:p>
        </w:tc>
        <w:tc>
          <w:tcPr>
            <w:tcW w:type="dxa" w:w="4392"/>
            <w:vAlign w:val="center"/>
            <w:tcMar>
              <w:top w:w="70" w:type="dxa"/>
              <w:bottom w:w="70" w:type="dxa"/>
              <w:start w:w="80" w:type="dxa"/>
              <w:end w:w="80" w:type="dxa"/>
            </w:tcMar>
            <w:shd w:fill="EDF4FA"/>
          </w:tcPr>
          <w:p>
            <w:pPr>
              <w:pStyle w:val="TableText"/>
            </w:pPr>
            <w:r/>
            <w:r>
              <w:rPr>
                <w:b w:val="0"/>
              </w:rPr>
              <w:t>NICE, RCOG, ACOG.</w:t>
            </w:r>
          </w:p>
        </w:tc>
        <w:tc>
          <w:tcPr>
            <w:tcW w:type="dxa" w:w="3240"/>
            <w:vAlign w:val="center"/>
            <w:tcMar>
              <w:top w:w="70" w:type="dxa"/>
              <w:bottom w:w="70" w:type="dxa"/>
              <w:start w:w="80" w:type="dxa"/>
              <w:end w:w="80" w:type="dxa"/>
            </w:tcMar>
            <w:shd w:fill="EDF4FA"/>
          </w:tcPr>
          <w:p>
            <w:pPr>
              <w:pStyle w:val="TableText"/>
            </w:pPr>
            <w:r/>
            <w:r>
              <w:rPr>
                <w:b w:val="0"/>
              </w:rPr>
              <w:t>Guideline-supported.</w:t>
            </w:r>
          </w:p>
        </w:tc>
      </w:tr>
      <w:tr>
        <w:trPr>
          <w:cantSplit/>
        </w:trPr>
        <w:tc>
          <w:tcPr>
            <w:tcW w:type="dxa" w:w="3096"/>
            <w:vAlign w:val="center"/>
            <w:tcMar>
              <w:top w:w="70" w:type="dxa"/>
              <w:bottom w:w="70" w:type="dxa"/>
              <w:start w:w="80" w:type="dxa"/>
              <w:end w:w="80" w:type="dxa"/>
            </w:tcMar>
          </w:tcPr>
          <w:p>
            <w:pPr>
              <w:pStyle w:val="TableText"/>
            </w:pPr>
            <w:r/>
            <w:r>
              <w:rPr>
                <w:b w:val="0"/>
              </w:rPr>
              <w:t>Induction after cesarean needs specialist management</w:t>
            </w:r>
          </w:p>
        </w:tc>
        <w:tc>
          <w:tcPr>
            <w:tcW w:type="dxa" w:w="4392"/>
            <w:vAlign w:val="center"/>
            <w:tcMar>
              <w:top w:w="70" w:type="dxa"/>
              <w:bottom w:w="70" w:type="dxa"/>
              <w:start w:w="80" w:type="dxa"/>
              <w:end w:w="80" w:type="dxa"/>
            </w:tcMar>
          </w:tcPr>
          <w:p>
            <w:pPr>
              <w:pStyle w:val="TableText"/>
            </w:pPr>
            <w:r/>
            <w:r>
              <w:rPr>
                <w:b w:val="0"/>
              </w:rPr>
              <w:t>NICE NG207.</w:t>
            </w:r>
          </w:p>
        </w:tc>
        <w:tc>
          <w:tcPr>
            <w:tcW w:type="dxa" w:w="3240"/>
            <w:vAlign w:val="center"/>
            <w:tcMar>
              <w:top w:w="70" w:type="dxa"/>
              <w:bottom w:w="70" w:type="dxa"/>
              <w:start w:w="80" w:type="dxa"/>
              <w:end w:w="80" w:type="dxa"/>
            </w:tcMar>
          </w:tcPr>
          <w:p>
            <w:pPr>
              <w:pStyle w:val="TableText"/>
            </w:pPr>
            <w:r/>
            <w:r>
              <w:rPr>
                <w:b w:val="0"/>
              </w:rPr>
              <w:t>Guideline-supported.</w:t>
            </w:r>
          </w:p>
        </w:tc>
      </w:tr>
      <w:tr>
        <w:trPr>
          <w:cantSplit/>
        </w:trPr>
        <w:tc>
          <w:tcPr>
            <w:tcW w:type="dxa" w:w="3096"/>
            <w:vAlign w:val="center"/>
            <w:tcMar>
              <w:top w:w="70" w:type="dxa"/>
              <w:bottom w:w="70" w:type="dxa"/>
              <w:start w:w="80" w:type="dxa"/>
              <w:end w:w="80" w:type="dxa"/>
            </w:tcMar>
            <w:shd w:fill="EDF4FA"/>
          </w:tcPr>
          <w:p>
            <w:pPr>
              <w:pStyle w:val="TableText"/>
            </w:pPr>
            <w:r/>
            <w:r>
              <w:rPr>
                <w:b w:val="0"/>
              </w:rPr>
              <w:t>Previous cesarean = HIGH</w:t>
            </w:r>
          </w:p>
        </w:tc>
        <w:tc>
          <w:tcPr>
            <w:tcW w:type="dxa" w:w="4392"/>
            <w:vAlign w:val="center"/>
            <w:tcMar>
              <w:top w:w="70" w:type="dxa"/>
              <w:bottom w:w="70" w:type="dxa"/>
              <w:start w:w="80" w:type="dxa"/>
              <w:end w:w="80" w:type="dxa"/>
            </w:tcMar>
            <w:shd w:fill="EDF4FA"/>
          </w:tcPr>
          <w:p>
            <w:pPr>
              <w:pStyle w:val="TableText"/>
            </w:pPr>
            <w:r/>
            <w:r>
              <w:rPr>
                <w:b w:val="0"/>
              </w:rPr>
              <w:t>Evidence plus lying-in facility limitations and binary data.</w:t>
            </w:r>
          </w:p>
        </w:tc>
        <w:tc>
          <w:tcPr>
            <w:tcW w:type="dxa" w:w="3240"/>
            <w:vAlign w:val="center"/>
            <w:tcMar>
              <w:top w:w="70" w:type="dxa"/>
              <w:bottom w:w="70" w:type="dxa"/>
              <w:start w:w="80" w:type="dxa"/>
              <w:end w:w="80" w:type="dxa"/>
            </w:tcMar>
            <w:shd w:fill="EDF4FA"/>
          </w:tcPr>
          <w:p>
            <w:pPr>
              <w:pStyle w:val="TableText"/>
            </w:pPr>
            <w:r/>
            <w:r>
              <w:rPr>
                <w:b w:val="0"/>
              </w:rPr>
              <w:t>Project design decision.</w:t>
            </w:r>
          </w:p>
        </w:tc>
      </w:tr>
      <w:tr>
        <w:trPr>
          <w:cantSplit/>
        </w:trPr>
        <w:tc>
          <w:tcPr>
            <w:tcW w:type="dxa" w:w="3096"/>
            <w:vAlign w:val="center"/>
            <w:tcMar>
              <w:top w:w="70" w:type="dxa"/>
              <w:bottom w:w="70" w:type="dxa"/>
              <w:start w:w="80" w:type="dxa"/>
              <w:end w:w="80" w:type="dxa"/>
            </w:tcMar>
          </w:tcPr>
          <w:p>
            <w:pPr>
              <w:pStyle w:val="TableText"/>
            </w:pPr>
            <w:r/>
            <w:r>
              <w:rPr>
                <w:b w:val="0"/>
              </w:rPr>
              <w:t>CS-01 overrides LOW ML</w:t>
            </w:r>
          </w:p>
        </w:tc>
        <w:tc>
          <w:tcPr>
            <w:tcW w:type="dxa" w:w="4392"/>
            <w:vAlign w:val="center"/>
            <w:tcMar>
              <w:top w:w="70" w:type="dxa"/>
              <w:bottom w:w="70" w:type="dxa"/>
              <w:start w:w="80" w:type="dxa"/>
              <w:end w:w="80" w:type="dxa"/>
            </w:tcMar>
          </w:tcPr>
          <w:p>
            <w:pPr>
              <w:pStyle w:val="TableText"/>
            </w:pPr>
            <w:r/>
            <w:r>
              <w:rPr>
                <w:b w:val="0"/>
              </w:rPr>
              <w:t>Safety engineering and explainability.</w:t>
            </w:r>
          </w:p>
        </w:tc>
        <w:tc>
          <w:tcPr>
            <w:tcW w:type="dxa" w:w="3240"/>
            <w:vAlign w:val="center"/>
            <w:tcMar>
              <w:top w:w="70" w:type="dxa"/>
              <w:bottom w:w="70" w:type="dxa"/>
              <w:start w:w="80" w:type="dxa"/>
              <w:end w:w="80" w:type="dxa"/>
            </w:tcMar>
          </w:tcPr>
          <w:p>
            <w:pPr>
              <w:pStyle w:val="TableText"/>
            </w:pPr>
            <w:r/>
            <w:r>
              <w:rPr>
                <w:b w:val="0"/>
              </w:rPr>
              <w:t>Project governance decision.</w:t>
            </w:r>
          </w:p>
        </w:tc>
      </w:tr>
      <w:tr>
        <w:trPr>
          <w:cantSplit/>
        </w:trPr>
        <w:tc>
          <w:tcPr>
            <w:tcW w:type="dxa" w:w="3096"/>
            <w:vAlign w:val="center"/>
            <w:tcMar>
              <w:top w:w="70" w:type="dxa"/>
              <w:bottom w:w="70" w:type="dxa"/>
              <w:start w:w="80" w:type="dxa"/>
              <w:end w:w="80" w:type="dxa"/>
            </w:tcMar>
            <w:shd w:fill="EDF4FA"/>
          </w:tcPr>
          <w:p>
            <w:pPr>
              <w:pStyle w:val="TableText"/>
            </w:pPr>
            <w:r/>
            <w:r>
              <w:rPr>
                <w:b w:val="0"/>
              </w:rPr>
              <w:t>HIGH prompts hospital referral and birth plan</w:t>
            </w:r>
          </w:p>
        </w:tc>
        <w:tc>
          <w:tcPr>
            <w:tcW w:type="dxa" w:w="4392"/>
            <w:vAlign w:val="center"/>
            <w:tcMar>
              <w:top w:w="70" w:type="dxa"/>
              <w:bottom w:w="70" w:type="dxa"/>
              <w:start w:w="80" w:type="dxa"/>
              <w:end w:w="80" w:type="dxa"/>
            </w:tcMar>
            <w:shd w:fill="EDF4FA"/>
          </w:tcPr>
          <w:p>
            <w:pPr>
              <w:pStyle w:val="TableText"/>
            </w:pPr>
            <w:r/>
            <w:r>
              <w:rPr>
                <w:b w:val="0"/>
              </w:rPr>
              <w:t>Guideline capability requirements and Philippine facility scope.</w:t>
            </w:r>
          </w:p>
        </w:tc>
        <w:tc>
          <w:tcPr>
            <w:tcW w:type="dxa" w:w="3240"/>
            <w:vAlign w:val="center"/>
            <w:tcMar>
              <w:top w:w="70" w:type="dxa"/>
              <w:bottom w:w="70" w:type="dxa"/>
              <w:start w:w="80" w:type="dxa"/>
              <w:end w:w="80" w:type="dxa"/>
            </w:tcMar>
            <w:shd w:fill="EDF4FA"/>
          </w:tcPr>
          <w:p>
            <w:pPr>
              <w:pStyle w:val="TableText"/>
            </w:pPr>
            <w:r/>
            <w:r>
              <w:rPr>
                <w:b w:val="0"/>
              </w:rPr>
              <w:t>Evidence-informed implementation.</w:t>
            </w:r>
          </w:p>
        </w:tc>
      </w:tr>
      <w:tr>
        <w:trPr>
          <w:cantSplit/>
        </w:trPr>
        <w:tc>
          <w:tcPr>
            <w:tcW w:type="dxa" w:w="3096"/>
            <w:vAlign w:val="center"/>
            <w:tcMar>
              <w:top w:w="70" w:type="dxa"/>
              <w:bottom w:w="70" w:type="dxa"/>
              <w:start w:w="80" w:type="dxa"/>
              <w:end w:w="80" w:type="dxa"/>
            </w:tcMar>
          </w:tcPr>
          <w:p>
            <w:pPr>
              <w:pStyle w:val="TableText"/>
            </w:pPr>
            <w:r/>
            <w:r>
              <w:rPr>
                <w:b w:val="0"/>
              </w:rPr>
              <w:t>Missing history prevents LOW</w:t>
            </w:r>
          </w:p>
        </w:tc>
        <w:tc>
          <w:tcPr>
            <w:tcW w:type="dxa" w:w="4392"/>
            <w:vAlign w:val="center"/>
            <w:tcMar>
              <w:top w:w="70" w:type="dxa"/>
              <w:bottom w:w="70" w:type="dxa"/>
              <w:start w:w="80" w:type="dxa"/>
              <w:end w:w="80" w:type="dxa"/>
            </w:tcMar>
          </w:tcPr>
          <w:p>
            <w:pPr>
              <w:pStyle w:val="TableText"/>
            </w:pPr>
            <w:r/>
            <w:r>
              <w:rPr>
                <w:b w:val="0"/>
              </w:rPr>
              <w:t>False-negative prevention.</w:t>
            </w:r>
          </w:p>
        </w:tc>
        <w:tc>
          <w:tcPr>
            <w:tcW w:type="dxa" w:w="3240"/>
            <w:vAlign w:val="center"/>
            <w:tcMar>
              <w:top w:w="70" w:type="dxa"/>
              <w:bottom w:w="70" w:type="dxa"/>
              <w:start w:w="80" w:type="dxa"/>
              <w:end w:w="80" w:type="dxa"/>
            </w:tcMar>
          </w:tcPr>
          <w:p>
            <w:pPr>
              <w:pStyle w:val="TableText"/>
            </w:pPr>
            <w:r/>
            <w:r>
              <w:rPr>
                <w:b w:val="0"/>
              </w:rPr>
              <w:t>Project safety control.</w:t>
            </w:r>
          </w:p>
        </w:tc>
      </w:tr>
      <w:tr>
        <w:trPr>
          <w:cantSplit/>
        </w:trPr>
        <w:tc>
          <w:tcPr>
            <w:tcW w:type="dxa" w:w="3096"/>
            <w:vAlign w:val="center"/>
            <w:tcMar>
              <w:top w:w="70" w:type="dxa"/>
              <w:bottom w:w="70" w:type="dxa"/>
              <w:start w:w="80" w:type="dxa"/>
              <w:end w:w="80" w:type="dxa"/>
            </w:tcMar>
            <w:shd w:fill="EDF4FA"/>
          </w:tcPr>
          <w:p>
            <w:pPr>
              <w:pStyle w:val="TableText"/>
            </w:pPr>
            <w:r/>
            <w:r>
              <w:rPr>
                <w:b w:val="0"/>
              </w:rPr>
              <w:t>HIGH does not mandate repeat cesarean</w:t>
            </w:r>
          </w:p>
        </w:tc>
        <w:tc>
          <w:tcPr>
            <w:tcW w:type="dxa" w:w="4392"/>
            <w:vAlign w:val="center"/>
            <w:tcMar>
              <w:top w:w="70" w:type="dxa"/>
              <w:bottom w:w="70" w:type="dxa"/>
              <w:start w:w="80" w:type="dxa"/>
              <w:end w:w="80" w:type="dxa"/>
            </w:tcMar>
            <w:shd w:fill="EDF4FA"/>
          </w:tcPr>
          <w:p>
            <w:pPr>
              <w:pStyle w:val="TableText"/>
            </w:pPr>
            <w:r/>
            <w:r>
              <w:rPr>
                <w:b w:val="0"/>
              </w:rPr>
              <w:t>Shared decision-making and intended-use boundary.</w:t>
            </w:r>
          </w:p>
        </w:tc>
        <w:tc>
          <w:tcPr>
            <w:tcW w:type="dxa" w:w="3240"/>
            <w:vAlign w:val="center"/>
            <w:tcMar>
              <w:top w:w="70" w:type="dxa"/>
              <w:bottom w:w="70" w:type="dxa"/>
              <w:start w:w="80" w:type="dxa"/>
              <w:end w:w="80" w:type="dxa"/>
            </w:tcMar>
            <w:shd w:fill="EDF4FA"/>
          </w:tcPr>
          <w:p>
            <w:pPr>
              <w:pStyle w:val="TableText"/>
            </w:pPr>
            <w:r/>
            <w:r>
              <w:rPr>
                <w:b w:val="0"/>
              </w:rPr>
              <w:t>Clinical and ethical safety boundary.</w:t>
            </w:r>
          </w:p>
        </w:tc>
      </w:tr>
    </w:tbl>
    <w:p>
      <w:pPr>
        <w:spacing w:after="20"/>
      </w:pPr>
    </w:p>
    <w:p>
      <w:pPr>
        <w:pStyle w:val="Heading1"/>
      </w:pPr>
      <w:r>
        <w:t>Appendix B. Recommended Data for a Future Version</w:t>
      </w:r>
    </w:p>
    <w:p>
      <w:pPr>
        <w:pStyle w:val="ListBullet"/>
        <w:spacing w:after="40"/>
      </w:pPr>
      <w:r>
        <w:t>Number and dates of previous cesarean deliveries.</w:t>
      </w:r>
    </w:p>
    <w:p>
      <w:pPr>
        <w:pStyle w:val="ListBullet"/>
        <w:spacing w:after="40"/>
      </w:pPr>
      <w:r>
        <w:t>Reason for each previous cesarean and whether the indication is likely to recur.</w:t>
      </w:r>
    </w:p>
    <w:p>
      <w:pPr>
        <w:pStyle w:val="ListBullet"/>
        <w:spacing w:after="40"/>
      </w:pPr>
      <w:r>
        <w:t>Available operative report and documented uterine incision type.</w:t>
      </w:r>
    </w:p>
    <w:p>
      <w:pPr>
        <w:pStyle w:val="ListBullet"/>
        <w:spacing w:after="40"/>
      </w:pPr>
      <w:r>
        <w:t>History of vaginal birth before or after cesarean.</w:t>
      </w:r>
    </w:p>
    <w:p>
      <w:pPr>
        <w:pStyle w:val="ListBullet"/>
        <w:spacing w:after="40"/>
      </w:pPr>
      <w:r>
        <w:t>Previous VBAC attempt and outcome.</w:t>
      </w:r>
    </w:p>
    <w:p>
      <w:pPr>
        <w:pStyle w:val="ListBullet"/>
        <w:spacing w:after="40"/>
      </w:pPr>
      <w:r>
        <w:t>Interpregnancy or interdelivery interval.</w:t>
      </w:r>
    </w:p>
    <w:p>
      <w:pPr>
        <w:pStyle w:val="ListBullet"/>
        <w:spacing w:after="40"/>
      </w:pPr>
      <w:r>
        <w:t>Current fetal number, presentation, estimated size, and gestational age.</w:t>
      </w:r>
    </w:p>
    <w:p>
      <w:pPr>
        <w:pStyle w:val="ListBullet"/>
        <w:spacing w:after="40"/>
      </w:pPr>
      <w:r>
        <w:t>Placenta location and concern for placenta previa or placenta accreta spectrum.</w:t>
      </w:r>
    </w:p>
    <w:p>
      <w:pPr>
        <w:pStyle w:val="ListBullet"/>
        <w:spacing w:after="40"/>
      </w:pPr>
      <w:r>
        <w:t>Maternal comorbidities and other obstetric contraindications.</w:t>
      </w:r>
    </w:p>
    <w:p>
      <w:pPr>
        <w:pStyle w:val="ListBullet"/>
        <w:spacing w:after="40"/>
      </w:pPr>
      <w:r>
        <w:t>Receiving obstetrician or hospital, planned mode and place of birth, and referral acceptance.</w:t>
      </w:r>
    </w:p>
    <w:p>
      <w:pPr>
        <w:pStyle w:val="ListBullet"/>
        <w:spacing w:after="40"/>
      </w:pPr>
      <w:r>
        <w:t>Emergency transfer plan, transport availability, and contact details.</w:t>
      </w:r>
    </w:p>
    <w:tbl>
      <w:tblPr>
        <w:tblW w:type="auto" w:w="0"/>
        <w:tblLook w:firstColumn="1" w:firstRow="1" w:lastColumn="0" w:lastRow="0" w:noHBand="0" w:noVBand="1" w:val="04A0"/>
      </w:tblPr>
      <w:tblGrid>
        <w:gridCol w:w="10080"/>
      </w:tblGrid>
      <w:tr>
        <w:tc>
          <w:tcPr>
            <w:tcW w:type="dxa" w:w="10080"/>
            <w:shd w:fill="FFF2CC"/>
            <w:tcBorders>
              <w:top w:val="single" w:sz="8" w:color="BF9000"/>
              <w:left w:val="single" w:sz="8" w:color="BF9000"/>
              <w:bottom w:val="single" w:sz="8" w:color="BF9000"/>
              <w:right w:val="single" w:sz="8" w:color="BF9000"/>
            </w:tcBorders>
            <w:tcMar>
              <w:top w:w="110" w:type="dxa"/>
              <w:bottom w:w="110" w:type="dxa"/>
              <w:start w:w="120" w:type="dxa"/>
              <w:end w:w="120" w:type="dxa"/>
            </w:tcMar>
          </w:tcPr>
          <w:p>
            <w:pPr>
              <w:pStyle w:val="Callout"/>
            </w:pPr>
            <w:r/>
            <w:r>
              <w:rPr>
                <w:b/>
                <w:color w:val="BF9000"/>
              </w:rPr>
              <w:t>Future-development warning</w:t>
              <w:br/>
            </w:r>
            <w:r>
              <w:t>Adding these fields would improve documentation but would not automatically justify a VBAC prediction score or autonomous mode-of-birth recommendation. Any such feature would require a separate evidence specification, bias assessment, clinician approval, validation in the intended population, and continuous safety monitoring.</w:t>
            </w:r>
          </w:p>
        </w:tc>
      </w:tr>
    </w:tbl>
    <w:p>
      <w:pPr>
        <w:spacing w:after="20"/>
      </w:pPr>
    </w:p>
    <w:sectPr w:rsidR="00FC693F" w:rsidRPr="0006063C" w:rsidSect="00034616">
      <w:headerReference w:type="default" r:id="rId9"/>
      <w:footerReference w:type="default" r:id="rId10"/>
      <w:pgSz w:w="12240" w:h="15840"/>
      <w:pgMar w:top="936" w:right="1080" w:bottom="936" w:left="108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66666"/>
        <w:sz w:val="15"/>
      </w:rPr>
      <w:t>Part 5 - Previous Cesarean Delivery | Evidence specification for an explainable CDSS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666666"/>
        <w:sz w:val="15"/>
      </w:rPr>
      <w:t>DOCUMENT 4 | CLINICAL EVIDENCE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rial" w:hAnsi="Arial"/>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rial" w:hAnsi="Arial"/>
      <w:b/>
      <w:bCs/>
      <w:color w:val="2F75B5"/>
      <w:sz w:val="24"/>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1F1F1F"/>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160"/>
      <w:contextualSpacing/>
    </w:pPr>
    <w:rPr>
      <w:rFonts w:asciiTheme="majorHAnsi" w:eastAsiaTheme="majorEastAsia" w:hAnsiTheme="majorHAnsi" w:cstheme="majorBidi" w:ascii="Arial" w:hAnsi="Arial"/>
      <w:b/>
      <w:color w:val="17365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160" w:after="80"/>
    </w:pPr>
    <w:rPr>
      <w:rFonts w:asciiTheme="majorHAnsi" w:eastAsiaTheme="majorEastAsia" w:hAnsiTheme="majorHAnsi" w:cstheme="majorBidi" w:ascii="Arial" w:hAnsi="Arial"/>
      <w:b/>
      <w:i/>
      <w:iCs/>
      <w:color w:val="666666"/>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
    <w:name w:val="Small"/>
    <w:pPr>
      <w:spacing w:after="40" w:line="240" w:lineRule="auto"/>
    </w:pPr>
    <w:rPr>
      <w:rFonts w:ascii="Arial" w:hAnsi="Arial"/>
      <w:b w:val="0"/>
      <w:color w:val="666666"/>
      <w:sz w:val="16"/>
    </w:rPr>
  </w:style>
  <w:style w:type="paragraph" w:customStyle="1" w:styleId="Callout">
    <w:name w:val="Callout"/>
    <w:pPr>
      <w:spacing w:after="40" w:line="240" w:lineRule="auto"/>
    </w:pPr>
    <w:rPr>
      <w:rFonts w:ascii="Arial" w:hAnsi="Arial"/>
      <w:b w:val="0"/>
      <w:color w:val="1F1F1F"/>
      <w:sz w:val="19"/>
    </w:rPr>
  </w:style>
  <w:style w:type="paragraph" w:customStyle="1" w:styleId="TableText">
    <w:name w:val="Table Text"/>
    <w:pPr>
      <w:spacing w:after="40" w:line="240" w:lineRule="auto"/>
    </w:pPr>
    <w:rPr>
      <w:rFonts w:ascii="Arial" w:hAnsi="Arial"/>
      <w:b w:val="0"/>
      <w:color w:val="1F1F1F"/>
      <w:sz w:val="16"/>
    </w:rPr>
  </w:style>
  <w:style w:type="paragraph" w:customStyle="1" w:styleId="TableHeader">
    <w:name w:val="Table Header"/>
    <w:pPr>
      <w:spacing w:after="40" w:line="240" w:lineRule="auto"/>
    </w:pPr>
    <w:rPr>
      <w:rFonts w:ascii="Arial" w:hAnsi="Arial"/>
      <w:b/>
      <w:color w:val="FFFFFF"/>
      <w:sz w:val="16"/>
    </w:rPr>
  </w:style>
  <w:style w:type="paragraph" w:customStyle="1" w:styleId="Reference">
    <w:name w:val="Reference"/>
    <w:pPr>
      <w:spacing w:after="40" w:line="240" w:lineRule="auto"/>
    </w:pPr>
    <w:rPr>
      <w:rFonts w:ascii="Arial" w:hAnsi="Arial"/>
      <w:b w:val="0"/>
      <w:color w:val="1F1F1F"/>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nice.org.uk/guidance/ng192/chapter/recommendations" TargetMode="External"/><Relationship Id="rId12" Type="http://schemas.openxmlformats.org/officeDocument/2006/relationships/hyperlink" Target="https://www.nice.org.uk/guidance/ng121/chapter/Recommendations" TargetMode="External"/><Relationship Id="rId13" Type="http://schemas.openxmlformats.org/officeDocument/2006/relationships/hyperlink" Target="https://www.nice.org.uk/guidance/ng207/chapter/Recommendations" TargetMode="External"/><Relationship Id="rId14" Type="http://schemas.openxmlformats.org/officeDocument/2006/relationships/hyperlink" Target="https://www.rcog.org.uk/for-the-public/browse-our-patient-information/birth-after-previous-caesarean/" TargetMode="External"/><Relationship Id="rId15" Type="http://schemas.openxmlformats.org/officeDocument/2006/relationships/hyperlink" Target="https://www.acog.org/womens-health/faqs/vaginal-birth-after-cesarean-delivery" TargetMode="External"/><Relationship Id="rId16" Type="http://schemas.openxmlformats.org/officeDocument/2006/relationships/hyperlink" Target="https://www.who.int/news-room/questions-and-answers/item/who-statement-on-caesarean-section-rates-frequently-asked-questions" TargetMode="External"/><Relationship Id="rId17" Type="http://schemas.openxmlformats.org/officeDocument/2006/relationships/hyperlink" Target="https://elibrary.judiciary.gov.ph/thebookshelf/showdocs/10/52132" TargetMode="External"/><Relationship Id="rId18" Type="http://schemas.openxmlformats.org/officeDocument/2006/relationships/hyperlink" Target="https://elibrary.judiciary.gov.ph/thebookshelf/showdocs/10/46457" TargetMode="External"/><Relationship Id="rId19" Type="http://schemas.openxmlformats.org/officeDocument/2006/relationships/hyperlink" Target="https://www.philhealth.gov.ph/news/2016/pregnancy_benefits.html" TargetMode="External"/><Relationship Id="rId20" Type="http://schemas.openxmlformats.org/officeDocument/2006/relationships/hyperlink" Target="https://www.philhealth.gov.ph/partners/providers/facilities/status.ph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4 Part 5 - Previous Cesarean Delivery</dc:title>
  <dc:subject>Clinical evidence specification for an explainable maternity CDSS</dc:subject>
  <dc:creator>Capstone Research Team</dc:creator>
  <cp:keywords>CDSS, maternity, cesarean, VBAC, lying-in clinic, explainability</cp:keywords>
  <dc:description>generated by python-docx</dc:description>
  <cp:lastModifiedBy/>
  <cp:revision>1</cp:revision>
  <dcterms:created xsi:type="dcterms:W3CDTF">2013-12-23T23:15:00Z</dcterms:created>
  <dcterms:modified xsi:type="dcterms:W3CDTF">2013-12-23T23:15:00Z</dcterms:modified>
  <cp:category/>
</cp:coreProperties>
</file>