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960"/>
        <w:jc w:val="center"/>
      </w:pPr>
      <w:r>
        <w:rPr>
          <w:b/>
          <w:color w:val="2F75B5"/>
          <w:sz w:val="26"/>
        </w:rPr>
        <w:t>DOCUMENT 4</w:t>
      </w:r>
    </w:p>
    <w:p>
      <w:pPr>
        <w:pStyle w:val="Title"/>
        <w:jc w:val="center"/>
      </w:pPr>
      <w:r>
        <w:t>Clinical Evidence Specification</w:t>
      </w:r>
    </w:p>
    <w:p>
      <w:pPr>
        <w:jc w:val="center"/>
      </w:pPr>
      <w:r>
        <w:rPr>
          <w:b/>
          <w:color w:val="17365D"/>
          <w:sz w:val="36"/>
        </w:rPr>
        <w:t>PART 8</w:t>
      </w:r>
    </w:p>
    <w:p>
      <w:pPr>
        <w:pStyle w:val="Title"/>
        <w:jc w:val="center"/>
      </w:pPr>
      <w:r>
        <w:t>Interaction Matrix Between Risk Factors</w:t>
      </w:r>
    </w:p>
    <w:p>
      <w:pPr>
        <w:pStyle w:val="Subtitle"/>
        <w:jc w:val="center"/>
      </w:pPr>
      <w:r>
        <w:t>Combined-Risk Interpretation, Rule Precedence, Recommendation Escalation,</w:t>
        <w:br/>
        <w:t>Explainability, Validation, and Safety Governance</w:t>
      </w:r>
    </w:p>
    <w:p/>
    <w:tbl>
      <w:tblPr>
        <w:tblW w:type="auto" w:w="0"/>
        <w:tblLook w:firstColumn="1" w:firstRow="1" w:lastColumn="0" w:lastRow="0" w:noHBand="0" w:noVBand="1" w:val="04A0"/>
      </w:tblPr>
      <w:tblGrid>
        <w:gridCol w:w="10282"/>
      </w:tblGrid>
      <w:tr>
        <w:tc>
          <w:tcPr>
            <w:tcW w:type="dxa" w:w="10282"/>
            <w:shd w:fill="E4DFEC"/>
            <w:tcBorders>
              <w:top w:val="single" w:sz="8" w:color="7030A0"/>
              <w:left w:val="single" w:sz="8" w:color="7030A0"/>
              <w:bottom w:val="single" w:sz="8" w:color="7030A0"/>
              <w:right w:val="single" w:sz="8" w:color="7030A0"/>
            </w:tcBorders>
            <w:tcMar>
              <w:top w:w="95" w:type="dxa"/>
              <w:bottom w:w="95" w:type="dxa"/>
              <w:start w:w="105" w:type="dxa"/>
              <w:end w:w="105" w:type="dxa"/>
            </w:tcMar>
          </w:tcPr>
          <w:p>
            <w:pPr>
              <w:pStyle w:val="Callout"/>
            </w:pPr>
            <w:r/>
            <w:r>
              <w:rPr>
                <w:b/>
                <w:color w:val="7030A0"/>
              </w:rPr>
              <w:t>Purpose of this chapter</w:t>
              <w:br/>
            </w:r>
            <w:r>
              <w:t>Parts 1-7 justified each deterministic factor independently. Part 8 specifies how the CDSS behaves when two or more factors occur together. The system does not calculate a medical probability or a numerical severity score. It preserves every verified reason, applies the most urgent applicable action, and never allows one reassuring input or a LOW machine-learning output to cancel a safety-critical factor.</w:t>
            </w:r>
          </w:p>
        </w:tc>
      </w:tr>
    </w:tbl>
    <w:p>
      <w:pPr>
        <w:spacing w:after="20"/>
      </w:pPr>
    </w:p>
    <w:p>
      <w:pPr>
        <w:spacing w:before="440"/>
        <w:jc w:val="center"/>
      </w:pPr>
      <w:r>
        <w:rPr>
          <w:b/>
        </w:rPr>
        <w:t>Capstone Project</w:t>
      </w:r>
    </w:p>
    <w:p>
      <w:pPr>
        <w:jc w:val="center"/>
      </w:pPr>
      <w:r>
        <w:t>Development of an Explainable Clinical Decision Support System (CDSS)</w:t>
        <w:br/>
        <w:t>for a Web-Based Maternity Management System in a Philippine Lying-in Clinic</w:t>
      </w:r>
    </w:p>
    <w:p>
      <w:pPr>
        <w:jc w:val="center"/>
      </w:pPr>
      <w:r>
        <w:rPr>
          <w:i/>
        </w:rPr>
        <w:t>Rewritten evidence specification | July 2026</w:t>
      </w:r>
    </w:p>
    <w:p>
      <w:r>
        <w:br w:type="page"/>
      </w:r>
    </w:p>
    <w:p>
      <w:pPr>
        <w:pStyle w:val="Heading1"/>
      </w:pPr>
      <w:r>
        <w:t>Executive Summary</w:t>
      </w:r>
    </w:p>
    <w:p>
      <w:r>
        <w:t>Pregnancy risks frequently coexist. Advanced maternal age may occur with chronic hypertension or diabetes; diabetes may coexist with excessive amniotic fluid or abnormal fetal growth; hypertension may coexist with low amniotic fluid or fetal-growth concerns; anemia may reduce the patient's reserve when another condition increases the likelihood of bleeding or operative birth; and a previous cesarean may combine with malpresentation or placental abnormalities to increase the need for hospital-level planning.</w:t>
      </w:r>
    </w:p>
    <w:p>
      <w:r>
        <w:t>Guidelines usually manage these combinations through individualized assessment rather than a single universal additive score. ACOG explicitly notes that counseling for pregnancy at age 35 years or older depends on age and comorbidities, and preeclampsia-prevention guidance distinguishes single high-risk factors from combinations of moderate-risk factors. NICE diabetes guidance links diabetes care with serial fetal-growth and amniotic-fluid assessment. ACOG identifies previous cesarean plus placenta previa as a particularly important combination for placenta accreta spectrum. These examples show that interactions can change surveillance, urgency, place of care, and counseling even when the final software category remains HIGH [1-6].</w:t>
      </w:r>
    </w:p>
    <w:tbl>
      <w:tblPr>
        <w:tblW w:type="auto" w:w="0"/>
        <w:tblLook w:firstColumn="1" w:firstRow="1" w:lastColumn="0" w:lastRow="0" w:noHBand="0" w:noVBand="1" w:val="04A0"/>
      </w:tblPr>
      <w:tblGrid>
        <w:gridCol w:w="10282"/>
      </w:tblGrid>
      <w:tr>
        <w:tc>
          <w:tcPr>
            <w:tcW w:type="dxa" w:w="10282"/>
            <w:shd w:fill="FFF2CC"/>
            <w:tcBorders>
              <w:top w:val="single" w:sz="8" w:color="BF9000"/>
              <w:left w:val="single" w:sz="8" w:color="BF9000"/>
              <w:bottom w:val="single" w:sz="8" w:color="BF9000"/>
              <w:right w:val="single" w:sz="8" w:color="BF9000"/>
            </w:tcBorders>
            <w:tcMar>
              <w:top w:w="95" w:type="dxa"/>
              <w:bottom w:w="95" w:type="dxa"/>
              <w:start w:w="105" w:type="dxa"/>
              <w:end w:w="105" w:type="dxa"/>
            </w:tcMar>
          </w:tcPr>
          <w:p>
            <w:pPr>
              <w:pStyle w:val="Callout"/>
            </w:pPr>
            <w:r/>
            <w:r>
              <w:rPr>
                <w:b/>
                <w:color w:val="BF9000"/>
              </w:rPr>
              <w:t>Core design rule</w:t>
              <w:br/>
            </w:r>
            <w:r>
              <w:t>Multiple factors do not create HIGHER, VERY HIGH, or a percentage score in the current system. The final category remains HIGH, but the explanation, urgency banner, referral destination, and required clinical plan become more specific. This avoids unsupported arithmetic while preserving clinically meaningful interactions.</w:t>
            </w:r>
          </w:p>
        </w:tc>
      </w:tr>
    </w:tbl>
    <w:p>
      <w:pPr>
        <w:spacing w:after="20"/>
      </w:pPr>
    </w:p>
    <w:p>
      <w:pPr>
        <w:pStyle w:val="Heading1"/>
      </w:pPr>
      <w:r>
        <w:t>1. Scope and Intended Use</w:t>
      </w:r>
    </w:p>
    <w:tbl>
      <w:tblPr>
        <w:tblStyle w:val="TableGrid"/>
        <w:tblW w:type="auto" w:w="0"/>
        <w:jc w:val="center"/>
        <w:tblLook w:firstColumn="1" w:firstRow="1" w:lastColumn="0" w:lastRow="0" w:noHBand="0" w:noVBand="1" w:val="04A0"/>
      </w:tblPr>
      <w:tblGrid>
        <w:gridCol w:w="5141"/>
        <w:gridCol w:w="5141"/>
      </w:tblGrid>
      <w:tr>
        <w:trPr>
          <w:tblHeader w:val="true"/>
          <w:cantSplit/>
        </w:trPr>
        <w:tc>
          <w:tcPr>
            <w:tcW w:type="dxa" w:w="4968"/>
            <w:vAlign w:val="center"/>
            <w:tcMar>
              <w:top w:w="55" w:type="dxa"/>
              <w:bottom w:w="55" w:type="dxa"/>
              <w:start w:w="65" w:type="dxa"/>
              <w:end w:w="65" w:type="dxa"/>
            </w:tcMar>
            <w:shd w:fill="17365D"/>
          </w:tcPr>
          <w:p>
            <w:pPr>
              <w:pStyle w:val="TableHeader"/>
            </w:pPr>
            <w:r/>
            <w:r>
              <w:rPr>
                <w:b/>
                <w:color w:val="FFFFFF"/>
              </w:rPr>
              <w:t>In scope</w:t>
            </w:r>
          </w:p>
        </w:tc>
        <w:tc>
          <w:tcPr>
            <w:tcW w:type="dxa" w:w="4968"/>
            <w:vAlign w:val="center"/>
            <w:tcMar>
              <w:top w:w="55" w:type="dxa"/>
              <w:bottom w:w="55" w:type="dxa"/>
              <w:start w:w="65" w:type="dxa"/>
              <w:end w:w="65" w:type="dxa"/>
            </w:tcMar>
            <w:shd w:fill="17365D"/>
          </w:tcPr>
          <w:p>
            <w:pPr>
              <w:pStyle w:val="TableHeader"/>
            </w:pPr>
            <w:r/>
            <w:r>
              <w:rPr>
                <w:b/>
                <w:color w:val="FFFFFF"/>
              </w:rPr>
              <w:t>Outside scope</w:t>
            </w:r>
          </w:p>
        </w:tc>
      </w:tr>
      <w:tr>
        <w:trPr>
          <w:cantSplit/>
        </w:trPr>
        <w:tc>
          <w:tcPr>
            <w:tcW w:type="dxa" w:w="4968"/>
            <w:vAlign w:val="center"/>
            <w:tcMar>
              <w:top w:w="55" w:type="dxa"/>
              <w:bottom w:w="55" w:type="dxa"/>
              <w:start w:w="65" w:type="dxa"/>
              <w:end w:w="65" w:type="dxa"/>
            </w:tcMar>
          </w:tcPr>
          <w:p>
            <w:pPr>
              <w:pStyle w:val="TableText"/>
            </w:pPr>
            <w:r/>
            <w:r>
              <w:rPr>
                <w:b w:val="0"/>
              </w:rPr>
              <w:t>Detecting co-occurrence among the deterministic factors already justified in Parts 1-7.</w:t>
            </w:r>
          </w:p>
        </w:tc>
        <w:tc>
          <w:tcPr>
            <w:tcW w:type="dxa" w:w="4968"/>
            <w:vAlign w:val="center"/>
            <w:tcMar>
              <w:top w:w="55" w:type="dxa"/>
              <w:bottom w:w="55" w:type="dxa"/>
              <w:start w:w="65" w:type="dxa"/>
              <w:end w:w="65" w:type="dxa"/>
            </w:tcMar>
          </w:tcPr>
          <w:p>
            <w:pPr>
              <w:pStyle w:val="TableText"/>
            </w:pPr>
            <w:r/>
            <w:r>
              <w:rPr>
                <w:b w:val="0"/>
              </w:rPr>
              <w:t>Estimating an individualized probability of maternal death, fetal loss, cesarean birth, or another outcome.</w:t>
            </w:r>
          </w:p>
        </w:tc>
      </w:tr>
      <w:tr>
        <w:trPr>
          <w:cantSplit/>
        </w:trPr>
        <w:tc>
          <w:tcPr>
            <w:tcW w:type="dxa" w:w="4968"/>
            <w:vAlign w:val="center"/>
            <w:tcMar>
              <w:top w:w="55" w:type="dxa"/>
              <w:bottom w:w="55" w:type="dxa"/>
              <w:start w:w="65" w:type="dxa"/>
              <w:end w:w="65" w:type="dxa"/>
            </w:tcMar>
            <w:shd w:fill="EDF4FA"/>
          </w:tcPr>
          <w:p>
            <w:pPr>
              <w:pStyle w:val="TableText"/>
            </w:pPr>
            <w:r/>
            <w:r>
              <w:rPr>
                <w:b w:val="0"/>
              </w:rPr>
              <w:t>Retaining all verified reasons that contributed to HIGH.</w:t>
            </w:r>
          </w:p>
        </w:tc>
        <w:tc>
          <w:tcPr>
            <w:tcW w:type="dxa" w:w="4968"/>
            <w:vAlign w:val="center"/>
            <w:tcMar>
              <w:top w:w="55" w:type="dxa"/>
              <w:bottom w:w="55" w:type="dxa"/>
              <w:start w:w="65" w:type="dxa"/>
              <w:end w:w="65" w:type="dxa"/>
            </w:tcMar>
            <w:shd w:fill="EDF4FA"/>
          </w:tcPr>
          <w:p>
            <w:pPr>
              <w:pStyle w:val="TableText"/>
            </w:pPr>
            <w:r/>
            <w:r>
              <w:rPr>
                <w:b w:val="0"/>
              </w:rPr>
              <w:t>Adding risk points or weights that have not been clinically validated.</w:t>
            </w:r>
          </w:p>
        </w:tc>
      </w:tr>
      <w:tr>
        <w:trPr>
          <w:cantSplit/>
        </w:trPr>
        <w:tc>
          <w:tcPr>
            <w:tcW w:type="dxa" w:w="4968"/>
            <w:vAlign w:val="center"/>
            <w:tcMar>
              <w:top w:w="55" w:type="dxa"/>
              <w:bottom w:w="55" w:type="dxa"/>
              <w:start w:w="65" w:type="dxa"/>
              <w:end w:w="65" w:type="dxa"/>
            </w:tcMar>
          </w:tcPr>
          <w:p>
            <w:pPr>
              <w:pStyle w:val="TableText"/>
            </w:pPr>
            <w:r/>
            <w:r>
              <w:rPr>
                <w:b w:val="0"/>
              </w:rPr>
              <w:t>Selecting the most urgent recommendation template when several rules are active.</w:t>
            </w:r>
          </w:p>
        </w:tc>
        <w:tc>
          <w:tcPr>
            <w:tcW w:type="dxa" w:w="4968"/>
            <w:vAlign w:val="center"/>
            <w:tcMar>
              <w:top w:w="55" w:type="dxa"/>
              <w:bottom w:w="55" w:type="dxa"/>
              <w:start w:w="65" w:type="dxa"/>
              <w:end w:w="65" w:type="dxa"/>
            </w:tcMar>
          </w:tcPr>
          <w:p>
            <w:pPr>
              <w:pStyle w:val="TableText"/>
            </w:pPr>
            <w:r/>
            <w:r>
              <w:rPr>
                <w:b w:val="0"/>
              </w:rPr>
              <w:t>Diagnosing preeclampsia, fetal compromise, placenta accreta spectrum, or another combined condition.</w:t>
            </w:r>
          </w:p>
        </w:tc>
      </w:tr>
      <w:tr>
        <w:trPr>
          <w:cantSplit/>
        </w:trPr>
        <w:tc>
          <w:tcPr>
            <w:tcW w:type="dxa" w:w="4968"/>
            <w:vAlign w:val="center"/>
            <w:tcMar>
              <w:top w:w="55" w:type="dxa"/>
              <w:bottom w:w="55" w:type="dxa"/>
              <w:start w:w="65" w:type="dxa"/>
              <w:end w:w="65" w:type="dxa"/>
            </w:tcMar>
            <w:shd w:fill="EDF4FA"/>
          </w:tcPr>
          <w:p>
            <w:pPr>
              <w:pStyle w:val="TableText"/>
            </w:pPr>
            <w:r/>
            <w:r>
              <w:rPr>
                <w:b w:val="0"/>
              </w:rPr>
              <w:t>Highlighting combinations that require hospital-level review, urgent transfer, or record verification.</w:t>
            </w:r>
          </w:p>
        </w:tc>
        <w:tc>
          <w:tcPr>
            <w:tcW w:type="dxa" w:w="4968"/>
            <w:vAlign w:val="center"/>
            <w:tcMar>
              <w:top w:w="55" w:type="dxa"/>
              <w:bottom w:w="55" w:type="dxa"/>
              <w:start w:w="65" w:type="dxa"/>
              <w:end w:w="65" w:type="dxa"/>
            </w:tcMar>
            <w:shd w:fill="EDF4FA"/>
          </w:tcPr>
          <w:p>
            <w:pPr>
              <w:pStyle w:val="TableText"/>
            </w:pPr>
            <w:r/>
            <w:r>
              <w:rPr>
                <w:b w:val="0"/>
              </w:rPr>
              <w:t>Prescribing aspirin, antihypertensives, insulin, iron, anticoagulants, induction, or delivery timing.</w:t>
            </w:r>
          </w:p>
        </w:tc>
      </w:tr>
      <w:tr>
        <w:trPr>
          <w:cantSplit/>
        </w:trPr>
        <w:tc>
          <w:tcPr>
            <w:tcW w:type="dxa" w:w="4968"/>
            <w:vAlign w:val="center"/>
            <w:tcMar>
              <w:top w:w="55" w:type="dxa"/>
              <w:bottom w:w="55" w:type="dxa"/>
              <w:start w:w="65" w:type="dxa"/>
              <w:end w:w="65" w:type="dxa"/>
            </w:tcMar>
          </w:tcPr>
          <w:p>
            <w:pPr>
              <w:pStyle w:val="TableText"/>
            </w:pPr>
            <w:r/>
            <w:r>
              <w:rPr>
                <w:b w:val="0"/>
              </w:rPr>
              <w:t>Supporting explainability, referral, audit, and panel-defense traceability.</w:t>
            </w:r>
          </w:p>
        </w:tc>
        <w:tc>
          <w:tcPr>
            <w:tcW w:type="dxa" w:w="4968"/>
            <w:vAlign w:val="center"/>
            <w:tcMar>
              <w:top w:w="55" w:type="dxa"/>
              <w:bottom w:w="55" w:type="dxa"/>
              <w:start w:w="65" w:type="dxa"/>
              <w:end w:w="65" w:type="dxa"/>
            </w:tcMar>
          </w:tcPr>
          <w:p>
            <w:pPr>
              <w:pStyle w:val="TableText"/>
            </w:pPr>
            <w:r/>
            <w:r>
              <w:rPr>
                <w:b w:val="0"/>
              </w:rPr>
              <w:t>Replacing clinician synthesis of gestational age, symptoms, laboratory values, ultrasound measurements, and treatment response.</w:t>
            </w:r>
          </w:p>
        </w:tc>
      </w:tr>
    </w:tbl>
    <w:p>
      <w:pPr>
        <w:spacing w:after="20"/>
      </w:pPr>
    </w:p>
    <w:p>
      <w:pPr>
        <w:pStyle w:val="Heading1"/>
      </w:pPr>
      <w:r>
        <w:t>2. Risk-Factor Groups Used in the Matrix</w:t>
      </w:r>
    </w:p>
    <w:tbl>
      <w:tblPr>
        <w:tblStyle w:val="TableGrid"/>
        <w:tblW w:type="auto" w:w="0"/>
        <w:jc w:val="center"/>
        <w:tblLook w:firstColumn="1" w:firstRow="1" w:lastColumn="0" w:lastRow="0" w:noHBand="0" w:noVBand="1" w:val="04A0"/>
      </w:tblPr>
      <w:tblGrid>
        <w:gridCol w:w="3427"/>
        <w:gridCol w:w="3427"/>
        <w:gridCol w:w="3427"/>
      </w:tblGrid>
      <w:tr>
        <w:trPr>
          <w:tblHeader w:val="true"/>
          <w:cantSplit/>
        </w:trPr>
        <w:tc>
          <w:tcPr>
            <w:tcW w:type="dxa" w:w="1037"/>
            <w:vAlign w:val="center"/>
            <w:tcMar>
              <w:top w:w="55" w:type="dxa"/>
              <w:bottom w:w="55" w:type="dxa"/>
              <w:start w:w="65" w:type="dxa"/>
              <w:end w:w="65" w:type="dxa"/>
            </w:tcMar>
            <w:shd w:fill="17365D"/>
          </w:tcPr>
          <w:p>
            <w:pPr>
              <w:pStyle w:val="TableHeader"/>
            </w:pPr>
            <w:r/>
            <w:r>
              <w:rPr>
                <w:b/>
                <w:color w:val="FFFFFF"/>
              </w:rPr>
              <w:t>Code</w:t>
            </w:r>
          </w:p>
        </w:tc>
        <w:tc>
          <w:tcPr>
            <w:tcW w:type="dxa" w:w="2952"/>
            <w:vAlign w:val="center"/>
            <w:tcMar>
              <w:top w:w="55" w:type="dxa"/>
              <w:bottom w:w="55" w:type="dxa"/>
              <w:start w:w="65" w:type="dxa"/>
              <w:end w:w="65" w:type="dxa"/>
            </w:tcMar>
            <w:shd w:fill="17365D"/>
          </w:tcPr>
          <w:p>
            <w:pPr>
              <w:pStyle w:val="TableHeader"/>
            </w:pPr>
            <w:r/>
            <w:r>
              <w:rPr>
                <w:b/>
                <w:color w:val="FFFFFF"/>
              </w:rPr>
              <w:t>Factor group</w:t>
            </w:r>
          </w:p>
        </w:tc>
        <w:tc>
          <w:tcPr>
            <w:tcW w:type="dxa" w:w="6984"/>
            <w:vAlign w:val="center"/>
            <w:tcMar>
              <w:top w:w="55" w:type="dxa"/>
              <w:bottom w:w="55" w:type="dxa"/>
              <w:start w:w="65" w:type="dxa"/>
              <w:end w:w="65" w:type="dxa"/>
            </w:tcMar>
            <w:shd w:fill="17365D"/>
          </w:tcPr>
          <w:p>
            <w:pPr>
              <w:pStyle w:val="TableHeader"/>
            </w:pPr>
            <w:r/>
            <w:r>
              <w:rPr>
                <w:b/>
                <w:color w:val="FFFFFF"/>
              </w:rPr>
              <w:t>Implemented trigger</w:t>
            </w:r>
          </w:p>
        </w:tc>
      </w:tr>
      <w:tr>
        <w:trPr>
          <w:cantSplit/>
        </w:trPr>
        <w:tc>
          <w:tcPr>
            <w:tcW w:type="dxa" w:w="1037"/>
            <w:vAlign w:val="center"/>
            <w:tcMar>
              <w:top w:w="55" w:type="dxa"/>
              <w:bottom w:w="55" w:type="dxa"/>
              <w:start w:w="65" w:type="dxa"/>
              <w:end w:w="65" w:type="dxa"/>
            </w:tcMar>
          </w:tcPr>
          <w:p>
            <w:pPr>
              <w:pStyle w:val="TableText"/>
            </w:pPr>
            <w:r/>
            <w:r>
              <w:rPr>
                <w:b w:val="0"/>
              </w:rPr>
              <w:t>AGE-Y</w:t>
            </w:r>
          </w:p>
        </w:tc>
        <w:tc>
          <w:tcPr>
            <w:tcW w:type="dxa" w:w="2952"/>
            <w:vAlign w:val="center"/>
            <w:tcMar>
              <w:top w:w="55" w:type="dxa"/>
              <w:bottom w:w="55" w:type="dxa"/>
              <w:start w:w="65" w:type="dxa"/>
              <w:end w:w="65" w:type="dxa"/>
            </w:tcMar>
          </w:tcPr>
          <w:p>
            <w:pPr>
              <w:pStyle w:val="TableText"/>
            </w:pPr>
            <w:r/>
            <w:r>
              <w:rPr>
                <w:b w:val="0"/>
              </w:rPr>
              <w:t>Young maternal age</w:t>
            </w:r>
          </w:p>
        </w:tc>
        <w:tc>
          <w:tcPr>
            <w:tcW w:type="dxa" w:w="6984"/>
            <w:vAlign w:val="center"/>
            <w:tcMar>
              <w:top w:w="55" w:type="dxa"/>
              <w:bottom w:w="55" w:type="dxa"/>
              <w:start w:w="65" w:type="dxa"/>
              <w:end w:w="65" w:type="dxa"/>
            </w:tcMar>
          </w:tcPr>
          <w:p>
            <w:pPr>
              <w:pStyle w:val="TableText"/>
            </w:pPr>
            <w:r/>
            <w:r>
              <w:rPr>
                <w:b w:val="0"/>
              </w:rPr>
              <w:t>Age below 19 years.</w:t>
            </w:r>
          </w:p>
        </w:tc>
      </w:tr>
      <w:tr>
        <w:trPr>
          <w:cantSplit/>
        </w:trPr>
        <w:tc>
          <w:tcPr>
            <w:tcW w:type="dxa" w:w="1037"/>
            <w:vAlign w:val="center"/>
            <w:tcMar>
              <w:top w:w="55" w:type="dxa"/>
              <w:bottom w:w="55" w:type="dxa"/>
              <w:start w:w="65" w:type="dxa"/>
              <w:end w:w="65" w:type="dxa"/>
            </w:tcMar>
            <w:shd w:fill="EDF4FA"/>
          </w:tcPr>
          <w:p>
            <w:pPr>
              <w:pStyle w:val="TableText"/>
            </w:pPr>
            <w:r/>
            <w:r>
              <w:rPr>
                <w:b w:val="0"/>
              </w:rPr>
              <w:t>AGE-A</w:t>
            </w:r>
          </w:p>
        </w:tc>
        <w:tc>
          <w:tcPr>
            <w:tcW w:type="dxa" w:w="2952"/>
            <w:vAlign w:val="center"/>
            <w:tcMar>
              <w:top w:w="55" w:type="dxa"/>
              <w:bottom w:w="55" w:type="dxa"/>
              <w:start w:w="65" w:type="dxa"/>
              <w:end w:w="65" w:type="dxa"/>
            </w:tcMar>
            <w:shd w:fill="EDF4FA"/>
          </w:tcPr>
          <w:p>
            <w:pPr>
              <w:pStyle w:val="TableText"/>
            </w:pPr>
            <w:r/>
            <w:r>
              <w:rPr>
                <w:b w:val="0"/>
              </w:rPr>
              <w:t>Advanced-age first pregnancy</w:t>
            </w:r>
          </w:p>
        </w:tc>
        <w:tc>
          <w:tcPr>
            <w:tcW w:type="dxa" w:w="6984"/>
            <w:vAlign w:val="center"/>
            <w:tcMar>
              <w:top w:w="55" w:type="dxa"/>
              <w:bottom w:w="55" w:type="dxa"/>
              <w:start w:w="65" w:type="dxa"/>
              <w:end w:w="65" w:type="dxa"/>
            </w:tcMar>
            <w:shd w:fill="EDF4FA"/>
          </w:tcPr>
          <w:p>
            <w:pPr>
              <w:pStyle w:val="TableText"/>
            </w:pPr>
            <w:r/>
            <w:r>
              <w:rPr>
                <w:b w:val="0"/>
              </w:rPr>
              <w:t>Age 35 years or older with first pregnancy.</w:t>
            </w:r>
          </w:p>
        </w:tc>
      </w:tr>
      <w:tr>
        <w:trPr>
          <w:cantSplit/>
        </w:trPr>
        <w:tc>
          <w:tcPr>
            <w:tcW w:type="dxa" w:w="1037"/>
            <w:vAlign w:val="center"/>
            <w:tcMar>
              <w:top w:w="55" w:type="dxa"/>
              <w:bottom w:w="55" w:type="dxa"/>
              <w:start w:w="65" w:type="dxa"/>
              <w:end w:w="65" w:type="dxa"/>
            </w:tcMar>
          </w:tcPr>
          <w:p>
            <w:pPr>
              <w:pStyle w:val="TableText"/>
            </w:pPr>
            <w:r/>
            <w:r>
              <w:rPr>
                <w:b w:val="0"/>
              </w:rPr>
              <w:t>BP-H</w:t>
            </w:r>
          </w:p>
        </w:tc>
        <w:tc>
          <w:tcPr>
            <w:tcW w:type="dxa" w:w="2952"/>
            <w:vAlign w:val="center"/>
            <w:tcMar>
              <w:top w:w="55" w:type="dxa"/>
              <w:bottom w:w="55" w:type="dxa"/>
              <w:start w:w="65" w:type="dxa"/>
              <w:end w:w="65" w:type="dxa"/>
            </w:tcMar>
          </w:tcPr>
          <w:p>
            <w:pPr>
              <w:pStyle w:val="TableText"/>
            </w:pPr>
            <w:r/>
            <w:r>
              <w:rPr>
                <w:b w:val="0"/>
              </w:rPr>
              <w:t>Hypertension</w:t>
            </w:r>
          </w:p>
        </w:tc>
        <w:tc>
          <w:tcPr>
            <w:tcW w:type="dxa" w:w="6984"/>
            <w:vAlign w:val="center"/>
            <w:tcMar>
              <w:top w:w="55" w:type="dxa"/>
              <w:bottom w:w="55" w:type="dxa"/>
              <w:start w:w="65" w:type="dxa"/>
              <w:end w:w="65" w:type="dxa"/>
            </w:tcMar>
          </w:tcPr>
          <w:p>
            <w:pPr>
              <w:pStyle w:val="TableText"/>
            </w:pPr>
            <w:r/>
            <w:r>
              <w:rPr>
                <w:b w:val="0"/>
              </w:rPr>
              <w:t>Systolic &gt;=140 or diastolic &gt;=90 mmHg.</w:t>
            </w:r>
          </w:p>
        </w:tc>
      </w:tr>
      <w:tr>
        <w:trPr>
          <w:cantSplit/>
        </w:trPr>
        <w:tc>
          <w:tcPr>
            <w:tcW w:type="dxa" w:w="1037"/>
            <w:vAlign w:val="center"/>
            <w:tcMar>
              <w:top w:w="55" w:type="dxa"/>
              <w:bottom w:w="55" w:type="dxa"/>
              <w:start w:w="65" w:type="dxa"/>
              <w:end w:w="65" w:type="dxa"/>
            </w:tcMar>
            <w:shd w:fill="EDF4FA"/>
          </w:tcPr>
          <w:p>
            <w:pPr>
              <w:pStyle w:val="TableText"/>
            </w:pPr>
            <w:r/>
            <w:r>
              <w:rPr>
                <w:b w:val="0"/>
              </w:rPr>
              <w:t>BP-S</w:t>
            </w:r>
          </w:p>
        </w:tc>
        <w:tc>
          <w:tcPr>
            <w:tcW w:type="dxa" w:w="2952"/>
            <w:vAlign w:val="center"/>
            <w:tcMar>
              <w:top w:w="55" w:type="dxa"/>
              <w:bottom w:w="55" w:type="dxa"/>
              <w:start w:w="65" w:type="dxa"/>
              <w:end w:w="65" w:type="dxa"/>
            </w:tcMar>
            <w:shd w:fill="EDF4FA"/>
          </w:tcPr>
          <w:p>
            <w:pPr>
              <w:pStyle w:val="TableText"/>
            </w:pPr>
            <w:r/>
            <w:r>
              <w:rPr>
                <w:b w:val="0"/>
              </w:rPr>
              <w:t>Severe blood-pressure threshold</w:t>
            </w:r>
          </w:p>
        </w:tc>
        <w:tc>
          <w:tcPr>
            <w:tcW w:type="dxa" w:w="6984"/>
            <w:vAlign w:val="center"/>
            <w:tcMar>
              <w:top w:w="55" w:type="dxa"/>
              <w:bottom w:w="55" w:type="dxa"/>
              <w:start w:w="65" w:type="dxa"/>
              <w:end w:w="65" w:type="dxa"/>
            </w:tcMar>
            <w:shd w:fill="EDF4FA"/>
          </w:tcPr>
          <w:p>
            <w:pPr>
              <w:pStyle w:val="TableText"/>
            </w:pPr>
            <w:r/>
            <w:r>
              <w:rPr>
                <w:b w:val="0"/>
              </w:rPr>
              <w:t>Systolic &gt;=160 or diastolic &gt;=110 mmHg.</w:t>
            </w:r>
          </w:p>
        </w:tc>
      </w:tr>
      <w:tr>
        <w:trPr>
          <w:cantSplit/>
        </w:trPr>
        <w:tc>
          <w:tcPr>
            <w:tcW w:type="dxa" w:w="1037"/>
            <w:vAlign w:val="center"/>
            <w:tcMar>
              <w:top w:w="55" w:type="dxa"/>
              <w:bottom w:w="55" w:type="dxa"/>
              <w:start w:w="65" w:type="dxa"/>
              <w:end w:w="65" w:type="dxa"/>
            </w:tcMar>
          </w:tcPr>
          <w:p>
            <w:pPr>
              <w:pStyle w:val="TableText"/>
            </w:pPr>
            <w:r/>
            <w:r>
              <w:rPr>
                <w:b w:val="0"/>
              </w:rPr>
              <w:t>DM</w:t>
            </w:r>
          </w:p>
        </w:tc>
        <w:tc>
          <w:tcPr>
            <w:tcW w:type="dxa" w:w="2952"/>
            <w:vAlign w:val="center"/>
            <w:tcMar>
              <w:top w:w="55" w:type="dxa"/>
              <w:bottom w:w="55" w:type="dxa"/>
              <w:start w:w="65" w:type="dxa"/>
              <w:end w:w="65" w:type="dxa"/>
            </w:tcMar>
          </w:tcPr>
          <w:p>
            <w:pPr>
              <w:pStyle w:val="TableText"/>
            </w:pPr>
            <w:r/>
            <w:r>
              <w:rPr>
                <w:b w:val="0"/>
              </w:rPr>
              <w:t>Diabetes</w:t>
            </w:r>
          </w:p>
        </w:tc>
        <w:tc>
          <w:tcPr>
            <w:tcW w:type="dxa" w:w="6984"/>
            <w:vAlign w:val="center"/>
            <w:tcMar>
              <w:top w:w="55" w:type="dxa"/>
              <w:bottom w:w="55" w:type="dxa"/>
              <w:start w:w="65" w:type="dxa"/>
              <w:end w:w="65" w:type="dxa"/>
            </w:tcMar>
          </w:tcPr>
          <w:p>
            <w:pPr>
              <w:pStyle w:val="TableText"/>
            </w:pPr>
            <w:r/>
            <w:r>
              <w:rPr>
                <w:b w:val="0"/>
              </w:rPr>
              <w:t>Diabetes recorded present.</w:t>
            </w:r>
          </w:p>
        </w:tc>
      </w:tr>
      <w:tr>
        <w:trPr>
          <w:cantSplit/>
        </w:trPr>
        <w:tc>
          <w:tcPr>
            <w:tcW w:type="dxa" w:w="1037"/>
            <w:vAlign w:val="center"/>
            <w:tcMar>
              <w:top w:w="55" w:type="dxa"/>
              <w:bottom w:w="55" w:type="dxa"/>
              <w:start w:w="65" w:type="dxa"/>
              <w:end w:w="65" w:type="dxa"/>
            </w:tcMar>
            <w:shd w:fill="EDF4FA"/>
          </w:tcPr>
          <w:p>
            <w:pPr>
              <w:pStyle w:val="TableText"/>
            </w:pPr>
            <w:r/>
            <w:r>
              <w:rPr>
                <w:b w:val="0"/>
              </w:rPr>
              <w:t>AN</w:t>
            </w:r>
          </w:p>
        </w:tc>
        <w:tc>
          <w:tcPr>
            <w:tcW w:type="dxa" w:w="2952"/>
            <w:vAlign w:val="center"/>
            <w:tcMar>
              <w:top w:w="55" w:type="dxa"/>
              <w:bottom w:w="55" w:type="dxa"/>
              <w:start w:w="65" w:type="dxa"/>
              <w:end w:w="65" w:type="dxa"/>
            </w:tcMar>
            <w:shd w:fill="EDF4FA"/>
          </w:tcPr>
          <w:p>
            <w:pPr>
              <w:pStyle w:val="TableText"/>
            </w:pPr>
            <w:r/>
            <w:r>
              <w:rPr>
                <w:b w:val="0"/>
              </w:rPr>
              <w:t>Anemia</w:t>
            </w:r>
          </w:p>
        </w:tc>
        <w:tc>
          <w:tcPr>
            <w:tcW w:type="dxa" w:w="6984"/>
            <w:vAlign w:val="center"/>
            <w:tcMar>
              <w:top w:w="55" w:type="dxa"/>
              <w:bottom w:w="55" w:type="dxa"/>
              <w:start w:w="65" w:type="dxa"/>
              <w:end w:w="65" w:type="dxa"/>
            </w:tcMar>
            <w:shd w:fill="EDF4FA"/>
          </w:tcPr>
          <w:p>
            <w:pPr>
              <w:pStyle w:val="TableText"/>
            </w:pPr>
            <w:r/>
            <w:r>
              <w:rPr>
                <w:b w:val="0"/>
              </w:rPr>
              <w:t>Anemia recorded present.</w:t>
            </w:r>
          </w:p>
        </w:tc>
      </w:tr>
      <w:tr>
        <w:trPr>
          <w:cantSplit/>
        </w:trPr>
        <w:tc>
          <w:tcPr>
            <w:tcW w:type="dxa" w:w="1037"/>
            <w:vAlign w:val="center"/>
            <w:tcMar>
              <w:top w:w="55" w:type="dxa"/>
              <w:bottom w:w="55" w:type="dxa"/>
              <w:start w:w="65" w:type="dxa"/>
              <w:end w:w="65" w:type="dxa"/>
            </w:tcMar>
          </w:tcPr>
          <w:p>
            <w:pPr>
              <w:pStyle w:val="TableText"/>
            </w:pPr>
            <w:r/>
            <w:r>
              <w:rPr>
                <w:b w:val="0"/>
              </w:rPr>
              <w:t>CS</w:t>
            </w:r>
          </w:p>
        </w:tc>
        <w:tc>
          <w:tcPr>
            <w:tcW w:type="dxa" w:w="2952"/>
            <w:vAlign w:val="center"/>
            <w:tcMar>
              <w:top w:w="55" w:type="dxa"/>
              <w:bottom w:w="55" w:type="dxa"/>
              <w:start w:w="65" w:type="dxa"/>
              <w:end w:w="65" w:type="dxa"/>
            </w:tcMar>
          </w:tcPr>
          <w:p>
            <w:pPr>
              <w:pStyle w:val="TableText"/>
            </w:pPr>
            <w:r/>
            <w:r>
              <w:rPr>
                <w:b w:val="0"/>
              </w:rPr>
              <w:t>Previous cesarean</w:t>
            </w:r>
          </w:p>
        </w:tc>
        <w:tc>
          <w:tcPr>
            <w:tcW w:type="dxa" w:w="6984"/>
            <w:vAlign w:val="center"/>
            <w:tcMar>
              <w:top w:w="55" w:type="dxa"/>
              <w:bottom w:w="55" w:type="dxa"/>
              <w:start w:w="65" w:type="dxa"/>
              <w:end w:w="65" w:type="dxa"/>
            </w:tcMar>
          </w:tcPr>
          <w:p>
            <w:pPr>
              <w:pStyle w:val="TableText"/>
            </w:pPr>
            <w:r/>
            <w:r>
              <w:rPr>
                <w:b w:val="0"/>
              </w:rPr>
              <w:t>One or more previous cesarean deliveries recorded.</w:t>
            </w:r>
          </w:p>
        </w:tc>
      </w:tr>
      <w:tr>
        <w:trPr>
          <w:cantSplit/>
        </w:trPr>
        <w:tc>
          <w:tcPr>
            <w:tcW w:type="dxa" w:w="1037"/>
            <w:vAlign w:val="center"/>
            <w:tcMar>
              <w:top w:w="55" w:type="dxa"/>
              <w:bottom w:w="55" w:type="dxa"/>
              <w:start w:w="65" w:type="dxa"/>
              <w:end w:w="65" w:type="dxa"/>
            </w:tcMar>
            <w:shd w:fill="EDF4FA"/>
          </w:tcPr>
          <w:p>
            <w:pPr>
              <w:pStyle w:val="TableText"/>
            </w:pPr>
            <w:r/>
            <w:r>
              <w:rPr>
                <w:b w:val="0"/>
              </w:rPr>
              <w:t>RM</w:t>
            </w:r>
          </w:p>
        </w:tc>
        <w:tc>
          <w:tcPr>
            <w:tcW w:type="dxa" w:w="2952"/>
            <w:vAlign w:val="center"/>
            <w:tcMar>
              <w:top w:w="55" w:type="dxa"/>
              <w:bottom w:w="55" w:type="dxa"/>
              <w:start w:w="65" w:type="dxa"/>
              <w:end w:w="65" w:type="dxa"/>
            </w:tcMar>
            <w:shd w:fill="EDF4FA"/>
          </w:tcPr>
          <w:p>
            <w:pPr>
              <w:pStyle w:val="TableText"/>
            </w:pPr>
            <w:r/>
            <w:r>
              <w:rPr>
                <w:b w:val="0"/>
              </w:rPr>
              <w:t>Recurrent miscarriage</w:t>
            </w:r>
          </w:p>
        </w:tc>
        <w:tc>
          <w:tcPr>
            <w:tcW w:type="dxa" w:w="6984"/>
            <w:vAlign w:val="center"/>
            <w:tcMar>
              <w:top w:w="55" w:type="dxa"/>
              <w:bottom w:w="55" w:type="dxa"/>
              <w:start w:w="65" w:type="dxa"/>
              <w:end w:w="65" w:type="dxa"/>
            </w:tcMar>
            <w:shd w:fill="EDF4FA"/>
          </w:tcPr>
          <w:p>
            <w:pPr>
              <w:pStyle w:val="TableText"/>
            </w:pPr>
            <w:r/>
            <w:r>
              <w:rPr>
                <w:b w:val="0"/>
              </w:rPr>
              <w:t>Miscarriage count &gt;=3.</w:t>
            </w:r>
          </w:p>
        </w:tc>
      </w:tr>
      <w:tr>
        <w:trPr>
          <w:cantSplit/>
        </w:trPr>
        <w:tc>
          <w:tcPr>
            <w:tcW w:type="dxa" w:w="1037"/>
            <w:vAlign w:val="center"/>
            <w:tcMar>
              <w:top w:w="55" w:type="dxa"/>
              <w:bottom w:w="55" w:type="dxa"/>
              <w:start w:w="65" w:type="dxa"/>
              <w:end w:w="65" w:type="dxa"/>
            </w:tcMar>
          </w:tcPr>
          <w:p>
            <w:pPr>
              <w:pStyle w:val="TableText"/>
            </w:pPr>
            <w:r/>
            <w:r>
              <w:rPr>
                <w:b w:val="0"/>
              </w:rPr>
              <w:t>PRES</w:t>
            </w:r>
          </w:p>
        </w:tc>
        <w:tc>
          <w:tcPr>
            <w:tcW w:type="dxa" w:w="2952"/>
            <w:vAlign w:val="center"/>
            <w:tcMar>
              <w:top w:w="55" w:type="dxa"/>
              <w:bottom w:w="55" w:type="dxa"/>
              <w:start w:w="65" w:type="dxa"/>
              <w:end w:w="65" w:type="dxa"/>
            </w:tcMar>
          </w:tcPr>
          <w:p>
            <w:pPr>
              <w:pStyle w:val="TableText"/>
            </w:pPr>
            <w:r/>
            <w:r>
              <w:rPr>
                <w:b w:val="0"/>
              </w:rPr>
              <w:t>Abnormal presentation</w:t>
            </w:r>
          </w:p>
        </w:tc>
        <w:tc>
          <w:tcPr>
            <w:tcW w:type="dxa" w:w="6984"/>
            <w:vAlign w:val="center"/>
            <w:tcMar>
              <w:top w:w="55" w:type="dxa"/>
              <w:bottom w:w="55" w:type="dxa"/>
              <w:start w:w="65" w:type="dxa"/>
              <w:end w:w="65" w:type="dxa"/>
            </w:tcMar>
          </w:tcPr>
          <w:p>
            <w:pPr>
              <w:pStyle w:val="TableText"/>
            </w:pPr>
            <w:r/>
            <w:r>
              <w:rPr>
                <w:b w:val="0"/>
              </w:rPr>
              <w:t>Breech, transverse, or oblique.</w:t>
            </w:r>
          </w:p>
        </w:tc>
      </w:tr>
      <w:tr>
        <w:trPr>
          <w:cantSplit/>
        </w:trPr>
        <w:tc>
          <w:tcPr>
            <w:tcW w:type="dxa" w:w="1037"/>
            <w:vAlign w:val="center"/>
            <w:tcMar>
              <w:top w:w="55" w:type="dxa"/>
              <w:bottom w:w="55" w:type="dxa"/>
              <w:start w:w="65" w:type="dxa"/>
              <w:end w:w="65" w:type="dxa"/>
            </w:tcMar>
            <w:shd w:fill="EDF4FA"/>
          </w:tcPr>
          <w:p>
            <w:pPr>
              <w:pStyle w:val="TableText"/>
            </w:pPr>
            <w:r/>
            <w:r>
              <w:rPr>
                <w:b w:val="0"/>
              </w:rPr>
              <w:t>AF</w:t>
            </w:r>
          </w:p>
        </w:tc>
        <w:tc>
          <w:tcPr>
            <w:tcW w:type="dxa" w:w="2952"/>
            <w:vAlign w:val="center"/>
            <w:tcMar>
              <w:top w:w="55" w:type="dxa"/>
              <w:bottom w:w="55" w:type="dxa"/>
              <w:start w:w="65" w:type="dxa"/>
              <w:end w:w="65" w:type="dxa"/>
            </w:tcMar>
            <w:shd w:fill="EDF4FA"/>
          </w:tcPr>
          <w:p>
            <w:pPr>
              <w:pStyle w:val="TableText"/>
            </w:pPr>
            <w:r/>
            <w:r>
              <w:rPr>
                <w:b w:val="0"/>
              </w:rPr>
              <w:t>Abnormal amniotic fluid</w:t>
            </w:r>
          </w:p>
        </w:tc>
        <w:tc>
          <w:tcPr>
            <w:tcW w:type="dxa" w:w="6984"/>
            <w:vAlign w:val="center"/>
            <w:tcMar>
              <w:top w:w="55" w:type="dxa"/>
              <w:bottom w:w="55" w:type="dxa"/>
              <w:start w:w="65" w:type="dxa"/>
              <w:end w:w="65" w:type="dxa"/>
            </w:tcMar>
            <w:shd w:fill="EDF4FA"/>
          </w:tcPr>
          <w:p>
            <w:pPr>
              <w:pStyle w:val="TableText"/>
            </w:pPr>
            <w:r/>
            <w:r>
              <w:rPr>
                <w:b w:val="0"/>
              </w:rPr>
              <w:t>Low or high.</w:t>
            </w:r>
          </w:p>
        </w:tc>
      </w:tr>
      <w:tr>
        <w:trPr>
          <w:cantSplit/>
        </w:trPr>
        <w:tc>
          <w:tcPr>
            <w:tcW w:type="dxa" w:w="1037"/>
            <w:vAlign w:val="center"/>
            <w:tcMar>
              <w:top w:w="55" w:type="dxa"/>
              <w:bottom w:w="55" w:type="dxa"/>
              <w:start w:w="65" w:type="dxa"/>
              <w:end w:w="65" w:type="dxa"/>
            </w:tcMar>
          </w:tcPr>
          <w:p>
            <w:pPr>
              <w:pStyle w:val="TableText"/>
            </w:pPr>
            <w:r/>
            <w:r>
              <w:rPr>
                <w:b w:val="0"/>
              </w:rPr>
              <w:t>FH</w:t>
            </w:r>
          </w:p>
        </w:tc>
        <w:tc>
          <w:tcPr>
            <w:tcW w:type="dxa" w:w="2952"/>
            <w:vAlign w:val="center"/>
            <w:tcMar>
              <w:top w:w="55" w:type="dxa"/>
              <w:bottom w:w="55" w:type="dxa"/>
              <w:start w:w="65" w:type="dxa"/>
              <w:end w:w="65" w:type="dxa"/>
            </w:tcMar>
          </w:tcPr>
          <w:p>
            <w:pPr>
              <w:pStyle w:val="TableText"/>
            </w:pPr>
            <w:r/>
            <w:r>
              <w:rPr>
                <w:b w:val="0"/>
              </w:rPr>
              <w:t>Fetal cardiac warning</w:t>
            </w:r>
          </w:p>
        </w:tc>
        <w:tc>
          <w:tcPr>
            <w:tcW w:type="dxa" w:w="6984"/>
            <w:vAlign w:val="center"/>
            <w:tcMar>
              <w:top w:w="55" w:type="dxa"/>
              <w:bottom w:w="55" w:type="dxa"/>
              <w:start w:w="65" w:type="dxa"/>
              <w:end w:w="65" w:type="dxa"/>
            </w:tcMar>
          </w:tcPr>
          <w:p>
            <w:pPr>
              <w:pStyle w:val="TableText"/>
            </w:pPr>
            <w:r/>
            <w:r>
              <w:rPr>
                <w:b w:val="0"/>
              </w:rPr>
              <w:t>Weak, abnormal, or absent heartbeat entry.</w:t>
            </w:r>
          </w:p>
        </w:tc>
      </w:tr>
    </w:tbl>
    <w:p>
      <w:pPr>
        <w:spacing w:after="20"/>
      </w:pPr>
    </w:p>
    <w:tbl>
      <w:tblPr>
        <w:tblW w:type="auto" w:w="0"/>
        <w:tblLook w:firstColumn="1" w:firstRow="1" w:lastColumn="0" w:lastRow="0" w:noHBand="0" w:noVBand="1" w:val="04A0"/>
      </w:tblPr>
      <w:tblGrid>
        <w:gridCol w:w="10282"/>
      </w:tblGrid>
      <w:tr>
        <w:tc>
          <w:tcPr>
            <w:tcW w:type="dxa" w:w="10282"/>
            <w:shd w:fill="F2F2F2"/>
            <w:tcBorders>
              <w:top w:val="single" w:sz="8" w:color="666666"/>
              <w:left w:val="single" w:sz="8" w:color="666666"/>
              <w:bottom w:val="single" w:sz="8" w:color="666666"/>
              <w:right w:val="single" w:sz="8" w:color="666666"/>
            </w:tcBorders>
            <w:tcMar>
              <w:top w:w="95" w:type="dxa"/>
              <w:bottom w:w="95" w:type="dxa"/>
              <w:start w:w="105" w:type="dxa"/>
              <w:end w:w="105" w:type="dxa"/>
            </w:tcMar>
          </w:tcPr>
          <w:p>
            <w:pPr>
              <w:pStyle w:val="Callout"/>
            </w:pPr>
            <w:r/>
            <w:r>
              <w:rPr>
                <w:b/>
                <w:color w:val="666666"/>
              </w:rPr>
              <w:t>Terminology safeguard</w:t>
              <w:br/>
            </w:r>
            <w:r>
              <w:t>These are software trigger labels, not diagnoses. For example, AF means that Low or High was transcribed from a report; FH means that a warning term was recorded; and BP-H is a screening threshold, not confirmation of a hypertensive disorder.</w:t>
            </w:r>
          </w:p>
        </w:tc>
      </w:tr>
    </w:tbl>
    <w:p>
      <w:pPr>
        <w:spacing w:after="20"/>
      </w:pPr>
    </w:p>
    <w:p>
      <w:pPr>
        <w:pStyle w:val="Heading1"/>
      </w:pPr>
      <w:r>
        <w:t>3. Interaction Principles</w:t>
      </w:r>
    </w:p>
    <w:p>
      <w:pPr>
        <w:pStyle w:val="ListNumber"/>
        <w:spacing w:after="36"/>
      </w:pPr>
      <w:r>
        <w:t>Independent activation: each factor is evaluated independently and may activate HIGH on its own.</w:t>
      </w:r>
    </w:p>
    <w:p>
      <w:pPr>
        <w:pStyle w:val="ListNumber"/>
        <w:spacing w:after="36"/>
      </w:pPr>
      <w:r>
        <w:t>No cancellation: a normal value in one domain cannot cancel an abnormal value in another domain.</w:t>
      </w:r>
    </w:p>
    <w:p>
      <w:pPr>
        <w:pStyle w:val="ListNumber"/>
        <w:spacing w:after="36"/>
      </w:pPr>
      <w:r>
        <w:t>No unsupported addition: the system does not add points, multiply risk, or infer a percentage from the number of factors.</w:t>
      </w:r>
    </w:p>
    <w:p>
      <w:pPr>
        <w:pStyle w:val="ListNumber"/>
        <w:spacing w:after="36"/>
      </w:pPr>
      <w:r>
        <w:t>Reason preservation: every distinct verified factor is displayed once in the explanation and stored in the audit record.</w:t>
      </w:r>
    </w:p>
    <w:p>
      <w:pPr>
        <w:pStyle w:val="ListNumber"/>
        <w:spacing w:after="36"/>
      </w:pPr>
      <w:r>
        <w:t>Urgency precedence: emergency or urgent conditions determine the banner and immediate action even though the final category remains HIGH.</w:t>
      </w:r>
    </w:p>
    <w:p>
      <w:pPr>
        <w:pStyle w:val="ListNumber"/>
        <w:spacing w:after="36"/>
      </w:pPr>
      <w:r>
        <w:t>Specificity over repetition: combined recommendations should merge related actions instead of displaying multiple repetitive paragraphs.</w:t>
      </w:r>
    </w:p>
    <w:p>
      <w:pPr>
        <w:pStyle w:val="ListNumber"/>
        <w:spacing w:after="36"/>
      </w:pPr>
      <w:r>
        <w:t>Missing-data restraint: missing required data prevents LOW, but it must not hide an already verified HIGH or urgent factor.</w:t>
      </w:r>
    </w:p>
    <w:p>
      <w:pPr>
        <w:pStyle w:val="ListNumber"/>
        <w:spacing w:after="36"/>
      </w:pPr>
      <w:r>
        <w:t>Human synthesis: interaction flags prompt qualified review; they do not diagnose the combined complication suggested by the pattern.</w:t>
      </w:r>
    </w:p>
    <w:p>
      <w:pPr>
        <w:pStyle w:val="Heading1"/>
      </w:pPr>
      <w:r>
        <w:t>4. Action-Precedence Model</w:t>
      </w:r>
    </w:p>
    <w:tbl>
      <w:tblPr>
        <w:tblStyle w:val="TableGrid"/>
        <w:tblW w:type="auto" w:w="0"/>
        <w:jc w:val="center"/>
        <w:tblLook w:firstColumn="1" w:firstRow="1" w:lastColumn="0" w:lastRow="0" w:noHBand="0" w:noVBand="1" w:val="04A0"/>
      </w:tblPr>
      <w:tblGrid>
        <w:gridCol w:w="2570"/>
        <w:gridCol w:w="2570"/>
        <w:gridCol w:w="2570"/>
        <w:gridCol w:w="2570"/>
      </w:tblGrid>
      <w:tr>
        <w:trPr>
          <w:tblHeader w:val="true"/>
          <w:cantSplit/>
        </w:trPr>
        <w:tc>
          <w:tcPr>
            <w:tcW w:type="dxa" w:w="1728"/>
            <w:vAlign w:val="center"/>
            <w:tcMar>
              <w:top w:w="55" w:type="dxa"/>
              <w:bottom w:w="55" w:type="dxa"/>
              <w:start w:w="65" w:type="dxa"/>
              <w:end w:w="65" w:type="dxa"/>
            </w:tcMar>
            <w:shd w:fill="17365D"/>
          </w:tcPr>
          <w:p>
            <w:pPr>
              <w:pStyle w:val="TableHeader"/>
            </w:pPr>
            <w:r/>
            <w:r>
              <w:rPr>
                <w:b/>
                <w:color w:val="FFFFFF"/>
              </w:rPr>
              <w:t>Priority</w:t>
            </w:r>
          </w:p>
        </w:tc>
        <w:tc>
          <w:tcPr>
            <w:tcW w:type="dxa" w:w="4104"/>
            <w:vAlign w:val="center"/>
            <w:tcMar>
              <w:top w:w="55" w:type="dxa"/>
              <w:bottom w:w="55" w:type="dxa"/>
              <w:start w:w="65" w:type="dxa"/>
              <w:end w:w="65" w:type="dxa"/>
            </w:tcMar>
            <w:shd w:fill="17365D"/>
          </w:tcPr>
          <w:p>
            <w:pPr>
              <w:pStyle w:val="TableHeader"/>
            </w:pPr>
            <w:r/>
            <w:r>
              <w:rPr>
                <w:b/>
                <w:color w:val="FFFFFF"/>
              </w:rPr>
              <w:t>Trigger examples</w:t>
            </w:r>
          </w:p>
        </w:tc>
        <w:tc>
          <w:tcPr>
            <w:tcW w:type="dxa" w:w="1944"/>
            <w:vAlign w:val="center"/>
            <w:tcMar>
              <w:top w:w="55" w:type="dxa"/>
              <w:bottom w:w="55" w:type="dxa"/>
              <w:start w:w="65" w:type="dxa"/>
              <w:end w:w="65" w:type="dxa"/>
            </w:tcMar>
            <w:shd w:fill="17365D"/>
          </w:tcPr>
          <w:p>
            <w:pPr>
              <w:pStyle w:val="TableHeader"/>
            </w:pPr>
            <w:r/>
            <w:r>
              <w:rPr>
                <w:b/>
                <w:color w:val="FFFFFF"/>
              </w:rPr>
              <w:t>Displayed state</w:t>
            </w:r>
          </w:p>
        </w:tc>
        <w:tc>
          <w:tcPr>
            <w:tcW w:type="dxa" w:w="3528"/>
            <w:vAlign w:val="center"/>
            <w:tcMar>
              <w:top w:w="55" w:type="dxa"/>
              <w:bottom w:w="55" w:type="dxa"/>
              <w:start w:w="65" w:type="dxa"/>
              <w:end w:w="65" w:type="dxa"/>
            </w:tcMar>
            <w:shd w:fill="17365D"/>
          </w:tcPr>
          <w:p>
            <w:pPr>
              <w:pStyle w:val="TableHeader"/>
            </w:pPr>
            <w:r/>
            <w:r>
              <w:rPr>
                <w:b/>
                <w:color w:val="FFFFFF"/>
              </w:rPr>
              <w:t>Required system behavior</w:t>
            </w:r>
          </w:p>
        </w:tc>
      </w:tr>
      <w:tr>
        <w:trPr>
          <w:cantSplit/>
        </w:trPr>
        <w:tc>
          <w:tcPr>
            <w:tcW w:type="dxa" w:w="1728"/>
            <w:vAlign w:val="center"/>
            <w:tcMar>
              <w:top w:w="55" w:type="dxa"/>
              <w:bottom w:w="55" w:type="dxa"/>
              <w:start w:w="65" w:type="dxa"/>
              <w:end w:w="65" w:type="dxa"/>
            </w:tcMar>
          </w:tcPr>
          <w:p>
            <w:pPr>
              <w:pStyle w:val="TableText"/>
            </w:pPr>
            <w:r/>
            <w:r>
              <w:rPr>
                <w:b w:val="0"/>
              </w:rPr>
              <w:t>P1 - Emergency/urgent</w:t>
            </w:r>
          </w:p>
        </w:tc>
        <w:tc>
          <w:tcPr>
            <w:tcW w:type="dxa" w:w="4104"/>
            <w:vAlign w:val="center"/>
            <w:tcMar>
              <w:top w:w="55" w:type="dxa"/>
              <w:bottom w:w="55" w:type="dxa"/>
              <w:start w:w="65" w:type="dxa"/>
              <w:end w:w="65" w:type="dxa"/>
            </w:tcMar>
          </w:tcPr>
          <w:p>
            <w:pPr>
              <w:pStyle w:val="TableText"/>
            </w:pPr>
            <w:r/>
            <w:r>
              <w:rPr>
                <w:b w:val="0"/>
              </w:rPr>
              <w:t>BP-S; absent cardiac activity with concerning symptoms; current heavy bleeding, collapse, seizure, severe pain, or severe respiratory symptoms.</w:t>
            </w:r>
          </w:p>
        </w:tc>
        <w:tc>
          <w:tcPr>
            <w:tcW w:type="dxa" w:w="1944"/>
            <w:vAlign w:val="center"/>
            <w:tcMar>
              <w:top w:w="55" w:type="dxa"/>
              <w:bottom w:w="55" w:type="dxa"/>
              <w:start w:w="65" w:type="dxa"/>
              <w:end w:w="65" w:type="dxa"/>
            </w:tcMar>
          </w:tcPr>
          <w:p>
            <w:pPr>
              <w:pStyle w:val="TableText"/>
            </w:pPr>
            <w:r/>
            <w:r>
              <w:rPr>
                <w:b w:val="0"/>
              </w:rPr>
              <w:t>HIGH + urgent/emergency banner</w:t>
            </w:r>
          </w:p>
        </w:tc>
        <w:tc>
          <w:tcPr>
            <w:tcW w:type="dxa" w:w="3528"/>
            <w:vAlign w:val="center"/>
            <w:tcMar>
              <w:top w:w="55" w:type="dxa"/>
              <w:bottom w:w="55" w:type="dxa"/>
              <w:start w:w="65" w:type="dxa"/>
              <w:end w:w="65" w:type="dxa"/>
            </w:tcMar>
          </w:tcPr>
          <w:p>
            <w:pPr>
              <w:pStyle w:val="TableText"/>
            </w:pPr>
            <w:r/>
            <w:r>
              <w:rPr>
                <w:b w:val="0"/>
              </w:rPr>
              <w:t>Advise immediate clinical escalation or transfer under clinic protocol; do not wait for completion of routine records or ML.</w:t>
            </w:r>
          </w:p>
        </w:tc>
      </w:tr>
      <w:tr>
        <w:trPr>
          <w:cantSplit/>
        </w:trPr>
        <w:tc>
          <w:tcPr>
            <w:tcW w:type="dxa" w:w="1728"/>
            <w:vAlign w:val="center"/>
            <w:tcMar>
              <w:top w:w="55" w:type="dxa"/>
              <w:bottom w:w="55" w:type="dxa"/>
              <w:start w:w="65" w:type="dxa"/>
              <w:end w:w="65" w:type="dxa"/>
            </w:tcMar>
            <w:shd w:fill="EDF4FA"/>
          </w:tcPr>
          <w:p>
            <w:pPr>
              <w:pStyle w:val="TableText"/>
            </w:pPr>
            <w:r/>
            <w:r>
              <w:rPr>
                <w:b w:val="0"/>
              </w:rPr>
              <w:t>P2 - Hospital capability required</w:t>
            </w:r>
          </w:p>
        </w:tc>
        <w:tc>
          <w:tcPr>
            <w:tcW w:type="dxa" w:w="4104"/>
            <w:vAlign w:val="center"/>
            <w:tcMar>
              <w:top w:w="55" w:type="dxa"/>
              <w:bottom w:w="55" w:type="dxa"/>
              <w:start w:w="65" w:type="dxa"/>
              <w:end w:w="65" w:type="dxa"/>
            </w:tcMar>
            <w:shd w:fill="EDF4FA"/>
          </w:tcPr>
          <w:p>
            <w:pPr>
              <w:pStyle w:val="TableText"/>
            </w:pPr>
            <w:r/>
            <w:r>
              <w:rPr>
                <w:b w:val="0"/>
              </w:rPr>
              <w:t>Previous cesarean plus labour concern; transverse lie near birth; multiple HIGH factors affecting delivery planning.</w:t>
            </w:r>
          </w:p>
        </w:tc>
        <w:tc>
          <w:tcPr>
            <w:tcW w:type="dxa" w:w="1944"/>
            <w:vAlign w:val="center"/>
            <w:tcMar>
              <w:top w:w="55" w:type="dxa"/>
              <w:bottom w:w="55" w:type="dxa"/>
              <w:start w:w="65" w:type="dxa"/>
              <w:end w:w="65" w:type="dxa"/>
            </w:tcMar>
            <w:shd w:fill="EDF4FA"/>
          </w:tcPr>
          <w:p>
            <w:pPr>
              <w:pStyle w:val="TableText"/>
            </w:pPr>
            <w:r/>
            <w:r>
              <w:rPr>
                <w:b w:val="0"/>
              </w:rPr>
              <w:t>HIGH</w:t>
            </w:r>
          </w:p>
        </w:tc>
        <w:tc>
          <w:tcPr>
            <w:tcW w:type="dxa" w:w="3528"/>
            <w:vAlign w:val="center"/>
            <w:tcMar>
              <w:top w:w="55" w:type="dxa"/>
              <w:bottom w:w="55" w:type="dxa"/>
              <w:start w:w="65" w:type="dxa"/>
              <w:end w:w="65" w:type="dxa"/>
            </w:tcMar>
            <w:shd w:fill="EDF4FA"/>
          </w:tcPr>
          <w:p>
            <w:pPr>
              <w:pStyle w:val="TableText"/>
            </w:pPr>
            <w:r/>
            <w:r>
              <w:rPr>
                <w:b w:val="0"/>
              </w:rPr>
              <w:t>Prompt hospital/obstetric review, confirm receiving facility, and track referral completion.</w:t>
            </w:r>
          </w:p>
        </w:tc>
      </w:tr>
      <w:tr>
        <w:trPr>
          <w:cantSplit/>
        </w:trPr>
        <w:tc>
          <w:tcPr>
            <w:tcW w:type="dxa" w:w="1728"/>
            <w:vAlign w:val="center"/>
            <w:tcMar>
              <w:top w:w="55" w:type="dxa"/>
              <w:bottom w:w="55" w:type="dxa"/>
              <w:start w:w="65" w:type="dxa"/>
              <w:end w:w="65" w:type="dxa"/>
            </w:tcMar>
          </w:tcPr>
          <w:p>
            <w:pPr>
              <w:pStyle w:val="TableText"/>
            </w:pPr>
            <w:r/>
            <w:r>
              <w:rPr>
                <w:b w:val="0"/>
              </w:rPr>
              <w:t>P3 - Prompt specialist review</w:t>
            </w:r>
          </w:p>
        </w:tc>
        <w:tc>
          <w:tcPr>
            <w:tcW w:type="dxa" w:w="4104"/>
            <w:vAlign w:val="center"/>
            <w:tcMar>
              <w:top w:w="55" w:type="dxa"/>
              <w:bottom w:w="55" w:type="dxa"/>
              <w:start w:w="65" w:type="dxa"/>
              <w:end w:w="65" w:type="dxa"/>
            </w:tcMar>
          </w:tcPr>
          <w:p>
            <w:pPr>
              <w:pStyle w:val="TableText"/>
            </w:pPr>
            <w:r/>
            <w:r>
              <w:rPr>
                <w:b w:val="0"/>
              </w:rPr>
              <w:t>Diabetes, anemia, recurrent miscarriage, BP-H, abnormal fluid, non-cephalic presentation, or cardiac warning without emergency signs.</w:t>
            </w:r>
          </w:p>
        </w:tc>
        <w:tc>
          <w:tcPr>
            <w:tcW w:type="dxa" w:w="1944"/>
            <w:vAlign w:val="center"/>
            <w:tcMar>
              <w:top w:w="55" w:type="dxa"/>
              <w:bottom w:w="55" w:type="dxa"/>
              <w:start w:w="65" w:type="dxa"/>
              <w:end w:w="65" w:type="dxa"/>
            </w:tcMar>
          </w:tcPr>
          <w:p>
            <w:pPr>
              <w:pStyle w:val="TableText"/>
            </w:pPr>
            <w:r/>
            <w:r>
              <w:rPr>
                <w:b w:val="0"/>
              </w:rPr>
              <w:t>HIGH</w:t>
            </w:r>
          </w:p>
        </w:tc>
        <w:tc>
          <w:tcPr>
            <w:tcW w:type="dxa" w:w="3528"/>
            <w:vAlign w:val="center"/>
            <w:tcMar>
              <w:top w:w="55" w:type="dxa"/>
              <w:bottom w:w="55" w:type="dxa"/>
              <w:start w:w="65" w:type="dxa"/>
              <w:end w:w="65" w:type="dxa"/>
            </w:tcMar>
          </w:tcPr>
          <w:p>
            <w:pPr>
              <w:pStyle w:val="TableText"/>
            </w:pPr>
            <w:r/>
            <w:r>
              <w:rPr>
                <w:b w:val="0"/>
              </w:rPr>
              <w:t>Provide factor-specific referral and follow-up recommendations.</w:t>
            </w:r>
          </w:p>
        </w:tc>
      </w:tr>
      <w:tr>
        <w:trPr>
          <w:cantSplit/>
        </w:trPr>
        <w:tc>
          <w:tcPr>
            <w:tcW w:type="dxa" w:w="1728"/>
            <w:vAlign w:val="center"/>
            <w:tcMar>
              <w:top w:w="55" w:type="dxa"/>
              <w:bottom w:w="55" w:type="dxa"/>
              <w:start w:w="65" w:type="dxa"/>
              <w:end w:w="65" w:type="dxa"/>
            </w:tcMar>
            <w:shd w:fill="EDF4FA"/>
          </w:tcPr>
          <w:p>
            <w:pPr>
              <w:pStyle w:val="TableText"/>
            </w:pPr>
            <w:r/>
            <w:r>
              <w:rPr>
                <w:b w:val="0"/>
              </w:rPr>
              <w:t>P4 - Incomplete assessment</w:t>
            </w:r>
          </w:p>
        </w:tc>
        <w:tc>
          <w:tcPr>
            <w:tcW w:type="dxa" w:w="4104"/>
            <w:vAlign w:val="center"/>
            <w:tcMar>
              <w:top w:w="55" w:type="dxa"/>
              <w:bottom w:w="55" w:type="dxa"/>
              <w:start w:w="65" w:type="dxa"/>
              <w:end w:w="65" w:type="dxa"/>
            </w:tcMar>
            <w:shd w:fill="EDF4FA"/>
          </w:tcPr>
          <w:p>
            <w:pPr>
              <w:pStyle w:val="TableText"/>
            </w:pPr>
            <w:r/>
            <w:r>
              <w:rPr>
                <w:b w:val="0"/>
              </w:rPr>
              <w:t>Missing required medical history, ultrasound, birth plan, or invalid ML output when no verified HIGH factor exists.</w:t>
            </w:r>
          </w:p>
        </w:tc>
        <w:tc>
          <w:tcPr>
            <w:tcW w:type="dxa" w:w="1944"/>
            <w:vAlign w:val="center"/>
            <w:tcMar>
              <w:top w:w="55" w:type="dxa"/>
              <w:bottom w:w="55" w:type="dxa"/>
              <w:start w:w="65" w:type="dxa"/>
              <w:end w:w="65" w:type="dxa"/>
            </w:tcMar>
            <w:shd w:fill="EDF4FA"/>
          </w:tcPr>
          <w:p>
            <w:pPr>
              <w:pStyle w:val="TableText"/>
            </w:pPr>
            <w:r/>
            <w:r>
              <w:rPr>
                <w:b w:val="0"/>
              </w:rPr>
              <w:t>ASSESSMENT INCOMPLETE</w:t>
            </w:r>
          </w:p>
        </w:tc>
        <w:tc>
          <w:tcPr>
            <w:tcW w:type="dxa" w:w="3528"/>
            <w:vAlign w:val="center"/>
            <w:tcMar>
              <w:top w:w="55" w:type="dxa"/>
              <w:bottom w:w="55" w:type="dxa"/>
              <w:start w:w="65" w:type="dxa"/>
              <w:end w:w="65" w:type="dxa"/>
            </w:tcMar>
            <w:shd w:fill="EDF4FA"/>
          </w:tcPr>
          <w:p>
            <w:pPr>
              <w:pStyle w:val="TableText"/>
            </w:pPr>
            <w:r/>
            <w:r>
              <w:rPr>
                <w:b w:val="0"/>
              </w:rPr>
              <w:t>Identify missing items and prohibit LOW.</w:t>
            </w:r>
          </w:p>
        </w:tc>
      </w:tr>
      <w:tr>
        <w:trPr>
          <w:cantSplit/>
        </w:trPr>
        <w:tc>
          <w:tcPr>
            <w:tcW w:type="dxa" w:w="1728"/>
            <w:vAlign w:val="center"/>
            <w:tcMar>
              <w:top w:w="55" w:type="dxa"/>
              <w:bottom w:w="55" w:type="dxa"/>
              <w:start w:w="65" w:type="dxa"/>
              <w:end w:w="65" w:type="dxa"/>
            </w:tcMar>
          </w:tcPr>
          <w:p>
            <w:pPr>
              <w:pStyle w:val="TableText"/>
            </w:pPr>
            <w:r/>
            <w:r>
              <w:rPr>
                <w:b w:val="0"/>
              </w:rPr>
              <w:t>P5 - Low-risk pathway</w:t>
            </w:r>
          </w:p>
        </w:tc>
        <w:tc>
          <w:tcPr>
            <w:tcW w:type="dxa" w:w="4104"/>
            <w:vAlign w:val="center"/>
            <w:tcMar>
              <w:top w:w="55" w:type="dxa"/>
              <w:bottom w:w="55" w:type="dxa"/>
              <w:start w:w="65" w:type="dxa"/>
              <w:end w:w="65" w:type="dxa"/>
            </w:tcMar>
          </w:tcPr>
          <w:p>
            <w:pPr>
              <w:pStyle w:val="TableText"/>
            </w:pPr>
            <w:r/>
            <w:r>
              <w:rPr>
                <w:b w:val="0"/>
              </w:rPr>
              <w:t>All required data complete; valid ML = LOW; no deterministic HIGH factor.</w:t>
            </w:r>
          </w:p>
        </w:tc>
        <w:tc>
          <w:tcPr>
            <w:tcW w:type="dxa" w:w="1944"/>
            <w:vAlign w:val="center"/>
            <w:tcMar>
              <w:top w:w="55" w:type="dxa"/>
              <w:bottom w:w="55" w:type="dxa"/>
              <w:start w:w="65" w:type="dxa"/>
              <w:end w:w="65" w:type="dxa"/>
            </w:tcMar>
          </w:tcPr>
          <w:p>
            <w:pPr>
              <w:pStyle w:val="TableText"/>
            </w:pPr>
            <w:r/>
            <w:r>
              <w:rPr>
                <w:b w:val="0"/>
              </w:rPr>
              <w:t>LOW</w:t>
            </w:r>
          </w:p>
        </w:tc>
        <w:tc>
          <w:tcPr>
            <w:tcW w:type="dxa" w:w="3528"/>
            <w:vAlign w:val="center"/>
            <w:tcMar>
              <w:top w:w="55" w:type="dxa"/>
              <w:bottom w:w="55" w:type="dxa"/>
              <w:start w:w="65" w:type="dxa"/>
              <w:end w:w="65" w:type="dxa"/>
            </w:tcMar>
          </w:tcPr>
          <w:p>
            <w:pPr>
              <w:pStyle w:val="TableText"/>
            </w:pPr>
            <w:r/>
            <w:r>
              <w:rPr>
                <w:b w:val="0"/>
              </w:rPr>
              <w:t>Continue routine antenatal care and reassessment; never imply zero risk.</w:t>
            </w:r>
          </w:p>
        </w:tc>
      </w:tr>
    </w:tbl>
    <w:p>
      <w:pPr>
        <w:spacing w:after="20"/>
      </w:pPr>
    </w:p>
    <w:tbl>
      <w:tblPr>
        <w:tblW w:type="auto" w:w="0"/>
        <w:tblLook w:firstColumn="1" w:firstRow="1" w:lastColumn="0" w:lastRow="0" w:noHBand="0" w:noVBand="1" w:val="04A0"/>
      </w:tblPr>
      <w:tblGrid>
        <w:gridCol w:w="10282"/>
      </w:tblGrid>
      <w:tr>
        <w:tc>
          <w:tcPr>
            <w:tcW w:type="dxa" w:w="10282"/>
            <w:shd w:fill="FCE4D6"/>
            <w:tcBorders>
              <w:top w:val="single" w:sz="8" w:color="C00000"/>
              <w:left w:val="single" w:sz="8" w:color="C00000"/>
              <w:bottom w:val="single" w:sz="8" w:color="C00000"/>
              <w:right w:val="single" w:sz="8" w:color="C00000"/>
            </w:tcBorders>
            <w:tcMar>
              <w:top w:w="95" w:type="dxa"/>
              <w:bottom w:w="95" w:type="dxa"/>
              <w:start w:w="105" w:type="dxa"/>
              <w:end w:w="105" w:type="dxa"/>
            </w:tcMar>
          </w:tcPr>
          <w:p>
            <w:pPr>
              <w:pStyle w:val="Callout"/>
            </w:pPr>
            <w:r/>
            <w:r>
              <w:rPr>
                <w:b/>
                <w:color w:val="C00000"/>
              </w:rPr>
              <w:t>Implementation consistency requirement</w:t>
              <w:br/>
            </w:r>
            <w:r>
              <w:t>The Laravel controller, view badges, referral prompts, email wording, and test cases must use the same precedence. If current code handles missing records differently from this specification, the discrepancy must be resolved and documented before deployment.</w:t>
            </w:r>
          </w:p>
        </w:tc>
      </w:tr>
    </w:tbl>
    <w:p>
      <w:pPr>
        <w:spacing w:after="20"/>
      </w:pPr>
    </w:p>
    <w:p>
      <w:pPr>
        <w:pStyle w:val="Heading1"/>
      </w:pPr>
      <w:r>
        <w:t>5. Master Pairwise Interaction Matrix</w:t>
      </w:r>
    </w:p>
    <w:p>
      <w:r>
        <w:t>The matrix below describes the interaction consequence, not a new diagnosis. Diagonal cells show the single-factor behavior. Abbreviations: H = HIGH; U = urgent escalation; S = specialist/hospital planning; X = interaction-specific explanation; V = verify report or current status.</w:t>
      </w:r>
    </w:p>
    <w:tbl>
      <w:tblPr>
        <w:tblStyle w:val="TableGrid"/>
        <w:tblW w:type="auto" w:w="0"/>
        <w:jc w:val="center"/>
        <w:tblLook w:firstColumn="1" w:firstRow="1" w:lastColumn="0" w:lastRow="0" w:noHBand="0" w:noVBand="1" w:val="04A0"/>
      </w:tblPr>
      <w:tblGrid>
        <w:gridCol w:w="1142"/>
        <w:gridCol w:w="1142"/>
        <w:gridCol w:w="1142"/>
        <w:gridCol w:w="1142"/>
        <w:gridCol w:w="1142"/>
        <w:gridCol w:w="1142"/>
        <w:gridCol w:w="1142"/>
        <w:gridCol w:w="1142"/>
        <w:gridCol w:w="1142"/>
      </w:tblGrid>
      <w:tr>
        <w:trPr>
          <w:tblHeader w:val="true"/>
          <w:cantSplit/>
        </w:trPr>
        <w:tc>
          <w:tcPr>
            <w:tcW w:type="dxa" w:w="1440"/>
            <w:vAlign w:val="center"/>
            <w:tcMar>
              <w:top w:w="55" w:type="dxa"/>
              <w:bottom w:w="55" w:type="dxa"/>
              <w:start w:w="65" w:type="dxa"/>
              <w:end w:w="65" w:type="dxa"/>
            </w:tcMar>
            <w:shd w:fill="17365D"/>
          </w:tcPr>
          <w:p>
            <w:pPr>
              <w:pStyle w:val="TableHeader"/>
            </w:pPr>
            <w:r/>
            <w:r>
              <w:rPr>
                <w:b/>
                <w:color w:val="FFFFFF"/>
              </w:rPr>
              <w:t>Factor</w:t>
            </w:r>
          </w:p>
        </w:tc>
        <w:tc>
          <w:tcPr>
            <w:tcW w:type="dxa" w:w="1037"/>
            <w:vAlign w:val="center"/>
            <w:tcMar>
              <w:top w:w="55" w:type="dxa"/>
              <w:bottom w:w="55" w:type="dxa"/>
              <w:start w:w="65" w:type="dxa"/>
              <w:end w:w="65" w:type="dxa"/>
            </w:tcMar>
            <w:shd w:fill="17365D"/>
          </w:tcPr>
          <w:p>
            <w:pPr>
              <w:pStyle w:val="TableHeader"/>
            </w:pPr>
            <w:r/>
            <w:r>
              <w:rPr>
                <w:b/>
                <w:color w:val="FFFFFF"/>
              </w:rPr>
              <w:t>AGE</w:t>
            </w:r>
          </w:p>
        </w:tc>
        <w:tc>
          <w:tcPr>
            <w:tcW w:type="dxa" w:w="1037"/>
            <w:vAlign w:val="center"/>
            <w:tcMar>
              <w:top w:w="55" w:type="dxa"/>
              <w:bottom w:w="55" w:type="dxa"/>
              <w:start w:w="65" w:type="dxa"/>
              <w:end w:w="65" w:type="dxa"/>
            </w:tcMar>
            <w:shd w:fill="17365D"/>
          </w:tcPr>
          <w:p>
            <w:pPr>
              <w:pStyle w:val="TableHeader"/>
            </w:pPr>
            <w:r/>
            <w:r>
              <w:rPr>
                <w:b/>
                <w:color w:val="FFFFFF"/>
              </w:rPr>
              <w:t>BP</w:t>
            </w:r>
          </w:p>
        </w:tc>
        <w:tc>
          <w:tcPr>
            <w:tcW w:type="dxa" w:w="1037"/>
            <w:vAlign w:val="center"/>
            <w:tcMar>
              <w:top w:w="55" w:type="dxa"/>
              <w:bottom w:w="55" w:type="dxa"/>
              <w:start w:w="65" w:type="dxa"/>
              <w:end w:w="65" w:type="dxa"/>
            </w:tcMar>
            <w:shd w:fill="17365D"/>
          </w:tcPr>
          <w:p>
            <w:pPr>
              <w:pStyle w:val="TableHeader"/>
            </w:pPr>
            <w:r/>
            <w:r>
              <w:rPr>
                <w:b/>
                <w:color w:val="FFFFFF"/>
              </w:rPr>
              <w:t>DM</w:t>
            </w:r>
          </w:p>
        </w:tc>
        <w:tc>
          <w:tcPr>
            <w:tcW w:type="dxa" w:w="1037"/>
            <w:vAlign w:val="center"/>
            <w:tcMar>
              <w:top w:w="55" w:type="dxa"/>
              <w:bottom w:w="55" w:type="dxa"/>
              <w:start w:w="65" w:type="dxa"/>
              <w:end w:w="65" w:type="dxa"/>
            </w:tcMar>
            <w:shd w:fill="17365D"/>
          </w:tcPr>
          <w:p>
            <w:pPr>
              <w:pStyle w:val="TableHeader"/>
            </w:pPr>
            <w:r/>
            <w:r>
              <w:rPr>
                <w:b/>
                <w:color w:val="FFFFFF"/>
              </w:rPr>
              <w:t>AN</w:t>
            </w:r>
          </w:p>
        </w:tc>
        <w:tc>
          <w:tcPr>
            <w:tcW w:type="dxa" w:w="1152"/>
            <w:vAlign w:val="center"/>
            <w:tcMar>
              <w:top w:w="55" w:type="dxa"/>
              <w:bottom w:w="55" w:type="dxa"/>
              <w:start w:w="65" w:type="dxa"/>
              <w:end w:w="65" w:type="dxa"/>
            </w:tcMar>
            <w:shd w:fill="17365D"/>
          </w:tcPr>
          <w:p>
            <w:pPr>
              <w:pStyle w:val="TableHeader"/>
            </w:pPr>
            <w:r/>
            <w:r>
              <w:rPr>
                <w:b/>
                <w:color w:val="FFFFFF"/>
              </w:rPr>
              <w:t>CS/RM</w:t>
            </w:r>
          </w:p>
        </w:tc>
        <w:tc>
          <w:tcPr>
            <w:tcW w:type="dxa" w:w="1152"/>
            <w:vAlign w:val="center"/>
            <w:tcMar>
              <w:top w:w="55" w:type="dxa"/>
              <w:bottom w:w="55" w:type="dxa"/>
              <w:start w:w="65" w:type="dxa"/>
              <w:end w:w="65" w:type="dxa"/>
            </w:tcMar>
            <w:shd w:fill="17365D"/>
          </w:tcPr>
          <w:p>
            <w:pPr>
              <w:pStyle w:val="TableHeader"/>
            </w:pPr>
            <w:r/>
            <w:r>
              <w:rPr>
                <w:b/>
                <w:color w:val="FFFFFF"/>
              </w:rPr>
              <w:t>PRES</w:t>
            </w:r>
          </w:p>
        </w:tc>
        <w:tc>
          <w:tcPr>
            <w:tcW w:type="dxa" w:w="1037"/>
            <w:vAlign w:val="center"/>
            <w:tcMar>
              <w:top w:w="55" w:type="dxa"/>
              <w:bottom w:w="55" w:type="dxa"/>
              <w:start w:w="65" w:type="dxa"/>
              <w:end w:w="65" w:type="dxa"/>
            </w:tcMar>
            <w:shd w:fill="17365D"/>
          </w:tcPr>
          <w:p>
            <w:pPr>
              <w:pStyle w:val="TableHeader"/>
            </w:pPr>
            <w:r/>
            <w:r>
              <w:rPr>
                <w:b/>
                <w:color w:val="FFFFFF"/>
              </w:rPr>
              <w:t>AF</w:t>
            </w:r>
          </w:p>
        </w:tc>
        <w:tc>
          <w:tcPr>
            <w:tcW w:type="dxa" w:w="1037"/>
            <w:vAlign w:val="center"/>
            <w:tcMar>
              <w:top w:w="55" w:type="dxa"/>
              <w:bottom w:w="55" w:type="dxa"/>
              <w:start w:w="65" w:type="dxa"/>
              <w:end w:w="65" w:type="dxa"/>
            </w:tcMar>
            <w:shd w:fill="17365D"/>
          </w:tcPr>
          <w:p>
            <w:pPr>
              <w:pStyle w:val="TableHeader"/>
            </w:pPr>
            <w:r/>
            <w:r>
              <w:rPr>
                <w:b/>
                <w:color w:val="FFFFFF"/>
              </w:rPr>
              <w:t>FH</w:t>
            </w:r>
          </w:p>
        </w:tc>
      </w:tr>
      <w:tr>
        <w:trPr>
          <w:cantSplit/>
        </w:trPr>
        <w:tc>
          <w:tcPr>
            <w:tcW w:type="dxa" w:w="1440"/>
            <w:vAlign w:val="center"/>
            <w:tcMar>
              <w:top w:w="55" w:type="dxa"/>
              <w:bottom w:w="55" w:type="dxa"/>
              <w:start w:w="65" w:type="dxa"/>
              <w:end w:w="65" w:type="dxa"/>
            </w:tcMar>
            <w:shd w:fill="F2F2F2"/>
          </w:tcPr>
          <w:p>
            <w:pPr>
              <w:pStyle w:val="TableText"/>
            </w:pPr>
            <w:r/>
            <w:r>
              <w:rPr>
                <w:b/>
              </w:rPr>
              <w:t>AGE</w:t>
            </w:r>
          </w:p>
        </w:tc>
        <w:tc>
          <w:tcPr>
            <w:tcW w:type="dxa" w:w="1037"/>
            <w:vAlign w:val="center"/>
            <w:tcMar>
              <w:top w:w="55" w:type="dxa"/>
              <w:bottom w:w="55" w:type="dxa"/>
              <w:start w:w="65" w:type="dxa"/>
              <w:end w:w="65" w:type="dxa"/>
            </w:tcMar>
          </w:tcPr>
          <w:p>
            <w:pPr>
              <w:pStyle w:val="TableText"/>
            </w:pPr>
            <w:r/>
            <w:r>
              <w:rPr>
                <w:b w:val="0"/>
              </w:rPr>
              <w:t>H</w:t>
            </w:r>
          </w:p>
        </w:tc>
        <w:tc>
          <w:tcPr>
            <w:tcW w:type="dxa" w:w="1037"/>
            <w:vAlign w:val="center"/>
            <w:tcMar>
              <w:top w:w="55" w:type="dxa"/>
              <w:bottom w:w="55" w:type="dxa"/>
              <w:start w:w="65" w:type="dxa"/>
              <w:end w:w="65" w:type="dxa"/>
            </w:tcMar>
          </w:tcPr>
          <w:p>
            <w:pPr>
              <w:pStyle w:val="TableText"/>
            </w:pPr>
            <w:r/>
            <w:r>
              <w:rPr>
                <w:b w:val="0"/>
              </w:rPr>
              <w:t>H+X</w:t>
            </w:r>
          </w:p>
        </w:tc>
        <w:tc>
          <w:tcPr>
            <w:tcW w:type="dxa" w:w="1037"/>
            <w:vAlign w:val="center"/>
            <w:tcMar>
              <w:top w:w="55" w:type="dxa"/>
              <w:bottom w:w="55" w:type="dxa"/>
              <w:start w:w="65" w:type="dxa"/>
              <w:end w:w="65" w:type="dxa"/>
            </w:tcMar>
          </w:tcPr>
          <w:p>
            <w:pPr>
              <w:pStyle w:val="TableText"/>
            </w:pPr>
            <w:r/>
            <w:r>
              <w:rPr>
                <w:b w:val="0"/>
              </w:rPr>
              <w:t>H+X</w:t>
            </w:r>
          </w:p>
        </w:tc>
        <w:tc>
          <w:tcPr>
            <w:tcW w:type="dxa" w:w="1037"/>
            <w:vAlign w:val="center"/>
            <w:tcMar>
              <w:top w:w="55" w:type="dxa"/>
              <w:bottom w:w="55" w:type="dxa"/>
              <w:start w:w="65" w:type="dxa"/>
              <w:end w:w="65" w:type="dxa"/>
            </w:tcMar>
          </w:tcPr>
          <w:p>
            <w:pPr>
              <w:pStyle w:val="TableText"/>
            </w:pPr>
            <w:r/>
            <w:r>
              <w:rPr>
                <w:b w:val="0"/>
              </w:rPr>
              <w:t>H+X</w:t>
            </w:r>
          </w:p>
        </w:tc>
        <w:tc>
          <w:tcPr>
            <w:tcW w:type="dxa" w:w="1152"/>
            <w:vAlign w:val="center"/>
            <w:tcMar>
              <w:top w:w="55" w:type="dxa"/>
              <w:bottom w:w="55" w:type="dxa"/>
              <w:start w:w="65" w:type="dxa"/>
              <w:end w:w="65" w:type="dxa"/>
            </w:tcMar>
          </w:tcPr>
          <w:p>
            <w:pPr>
              <w:pStyle w:val="TableText"/>
            </w:pPr>
            <w:r/>
            <w:r>
              <w:rPr>
                <w:b w:val="0"/>
              </w:rPr>
              <w:t>H+X</w:t>
            </w:r>
          </w:p>
        </w:tc>
        <w:tc>
          <w:tcPr>
            <w:tcW w:type="dxa" w:w="1152"/>
            <w:vAlign w:val="center"/>
            <w:tcMar>
              <w:top w:w="55" w:type="dxa"/>
              <w:bottom w:w="55" w:type="dxa"/>
              <w:start w:w="65" w:type="dxa"/>
              <w:end w:w="65" w:type="dxa"/>
            </w:tcMar>
          </w:tcPr>
          <w:p>
            <w:pPr>
              <w:pStyle w:val="TableText"/>
            </w:pPr>
            <w:r/>
            <w:r>
              <w:rPr>
                <w:b w:val="0"/>
              </w:rPr>
              <w:t>H+S</w:t>
            </w:r>
          </w:p>
        </w:tc>
        <w:tc>
          <w:tcPr>
            <w:tcW w:type="dxa" w:w="1037"/>
            <w:vAlign w:val="center"/>
            <w:tcMar>
              <w:top w:w="55" w:type="dxa"/>
              <w:bottom w:w="55" w:type="dxa"/>
              <w:start w:w="65" w:type="dxa"/>
              <w:end w:w="65" w:type="dxa"/>
            </w:tcMar>
          </w:tcPr>
          <w:p>
            <w:pPr>
              <w:pStyle w:val="TableText"/>
            </w:pPr>
            <w:r/>
            <w:r>
              <w:rPr>
                <w:b w:val="0"/>
              </w:rPr>
              <w:t>H+V</w:t>
            </w:r>
          </w:p>
        </w:tc>
        <w:tc>
          <w:tcPr>
            <w:tcW w:type="dxa" w:w="1037"/>
            <w:vAlign w:val="center"/>
            <w:tcMar>
              <w:top w:w="55" w:type="dxa"/>
              <w:bottom w:w="55" w:type="dxa"/>
              <w:start w:w="65" w:type="dxa"/>
              <w:end w:w="65" w:type="dxa"/>
            </w:tcMar>
          </w:tcPr>
          <w:p>
            <w:pPr>
              <w:pStyle w:val="TableText"/>
            </w:pPr>
            <w:r/>
            <w:r>
              <w:rPr>
                <w:b w:val="0"/>
              </w:rPr>
              <w:t>H+U/V</w:t>
            </w:r>
          </w:p>
        </w:tc>
      </w:tr>
      <w:tr>
        <w:trPr>
          <w:cantSplit/>
        </w:trPr>
        <w:tc>
          <w:tcPr>
            <w:tcW w:type="dxa" w:w="1440"/>
            <w:vAlign w:val="center"/>
            <w:tcMar>
              <w:top w:w="55" w:type="dxa"/>
              <w:bottom w:w="55" w:type="dxa"/>
              <w:start w:w="65" w:type="dxa"/>
              <w:end w:w="65" w:type="dxa"/>
            </w:tcMar>
            <w:shd w:fill="F2F2F2"/>
          </w:tcPr>
          <w:p>
            <w:pPr>
              <w:pStyle w:val="TableText"/>
            </w:pPr>
            <w:r/>
            <w:r>
              <w:rPr>
                <w:b/>
              </w:rPr>
              <w:t>BP</w:t>
            </w:r>
          </w:p>
        </w:tc>
        <w:tc>
          <w:tcPr>
            <w:tcW w:type="dxa" w:w="1037"/>
            <w:vAlign w:val="center"/>
            <w:tcMar>
              <w:top w:w="55" w:type="dxa"/>
              <w:bottom w:w="55" w:type="dxa"/>
              <w:start w:w="65" w:type="dxa"/>
              <w:end w:w="65" w:type="dxa"/>
            </w:tcMar>
            <w:shd w:fill="EDF4FA"/>
          </w:tcPr>
          <w:p>
            <w:pPr>
              <w:pStyle w:val="TableText"/>
            </w:pPr>
            <w:r/>
            <w:r>
              <w:rPr>
                <w:b w:val="0"/>
              </w:rPr>
              <w:t>H+X</w:t>
            </w:r>
          </w:p>
        </w:tc>
        <w:tc>
          <w:tcPr>
            <w:tcW w:type="dxa" w:w="1037"/>
            <w:vAlign w:val="center"/>
            <w:tcMar>
              <w:top w:w="55" w:type="dxa"/>
              <w:bottom w:w="55" w:type="dxa"/>
              <w:start w:w="65" w:type="dxa"/>
              <w:end w:w="65" w:type="dxa"/>
            </w:tcMar>
            <w:shd w:fill="EDF4FA"/>
          </w:tcPr>
          <w:p>
            <w:pPr>
              <w:pStyle w:val="TableText"/>
            </w:pPr>
            <w:r/>
            <w:r>
              <w:rPr>
                <w:b w:val="0"/>
              </w:rPr>
              <w:t>H/U</w:t>
            </w:r>
          </w:p>
        </w:tc>
        <w:tc>
          <w:tcPr>
            <w:tcW w:type="dxa" w:w="1037"/>
            <w:vAlign w:val="center"/>
            <w:tcMar>
              <w:top w:w="55" w:type="dxa"/>
              <w:bottom w:w="55" w:type="dxa"/>
              <w:start w:w="65" w:type="dxa"/>
              <w:end w:w="65" w:type="dxa"/>
            </w:tcMar>
            <w:shd w:fill="EDF4FA"/>
          </w:tcPr>
          <w:p>
            <w:pPr>
              <w:pStyle w:val="TableText"/>
            </w:pPr>
            <w:r/>
            <w:r>
              <w:rPr>
                <w:b w:val="0"/>
              </w:rPr>
              <w:t>H+X</w:t>
            </w:r>
          </w:p>
        </w:tc>
        <w:tc>
          <w:tcPr>
            <w:tcW w:type="dxa" w:w="1037"/>
            <w:vAlign w:val="center"/>
            <w:tcMar>
              <w:top w:w="55" w:type="dxa"/>
              <w:bottom w:w="55" w:type="dxa"/>
              <w:start w:w="65" w:type="dxa"/>
              <w:end w:w="65" w:type="dxa"/>
            </w:tcMar>
            <w:shd w:fill="EDF4FA"/>
          </w:tcPr>
          <w:p>
            <w:pPr>
              <w:pStyle w:val="TableText"/>
            </w:pPr>
            <w:r/>
            <w:r>
              <w:rPr>
                <w:b w:val="0"/>
              </w:rPr>
              <w:t>H+X</w:t>
            </w:r>
          </w:p>
        </w:tc>
        <w:tc>
          <w:tcPr>
            <w:tcW w:type="dxa" w:w="1152"/>
            <w:vAlign w:val="center"/>
            <w:tcMar>
              <w:top w:w="55" w:type="dxa"/>
              <w:bottom w:w="55" w:type="dxa"/>
              <w:start w:w="65" w:type="dxa"/>
              <w:end w:w="65" w:type="dxa"/>
            </w:tcMar>
            <w:shd w:fill="EDF4FA"/>
          </w:tcPr>
          <w:p>
            <w:pPr>
              <w:pStyle w:val="TableText"/>
            </w:pPr>
            <w:r/>
            <w:r>
              <w:rPr>
                <w:b w:val="0"/>
              </w:rPr>
              <w:t>H+S</w:t>
            </w:r>
          </w:p>
        </w:tc>
        <w:tc>
          <w:tcPr>
            <w:tcW w:type="dxa" w:w="1152"/>
            <w:vAlign w:val="center"/>
            <w:tcMar>
              <w:top w:w="55" w:type="dxa"/>
              <w:bottom w:w="55" w:type="dxa"/>
              <w:start w:w="65" w:type="dxa"/>
              <w:end w:w="65" w:type="dxa"/>
            </w:tcMar>
            <w:shd w:fill="EDF4FA"/>
          </w:tcPr>
          <w:p>
            <w:pPr>
              <w:pStyle w:val="TableText"/>
            </w:pPr>
            <w:r/>
            <w:r>
              <w:rPr>
                <w:b w:val="0"/>
              </w:rPr>
              <w:t>H+S</w:t>
            </w:r>
          </w:p>
        </w:tc>
        <w:tc>
          <w:tcPr>
            <w:tcW w:type="dxa" w:w="1037"/>
            <w:vAlign w:val="center"/>
            <w:tcMar>
              <w:top w:w="55" w:type="dxa"/>
              <w:bottom w:w="55" w:type="dxa"/>
              <w:start w:w="65" w:type="dxa"/>
              <w:end w:w="65" w:type="dxa"/>
            </w:tcMar>
            <w:shd w:fill="EDF4FA"/>
          </w:tcPr>
          <w:p>
            <w:pPr>
              <w:pStyle w:val="TableText"/>
            </w:pPr>
            <w:r/>
            <w:r>
              <w:rPr>
                <w:b w:val="0"/>
              </w:rPr>
              <w:t>H+X/V</w:t>
            </w:r>
          </w:p>
        </w:tc>
        <w:tc>
          <w:tcPr>
            <w:tcW w:type="dxa" w:w="1037"/>
            <w:vAlign w:val="center"/>
            <w:tcMar>
              <w:top w:w="55" w:type="dxa"/>
              <w:bottom w:w="55" w:type="dxa"/>
              <w:start w:w="65" w:type="dxa"/>
              <w:end w:w="65" w:type="dxa"/>
            </w:tcMar>
            <w:shd w:fill="EDF4FA"/>
          </w:tcPr>
          <w:p>
            <w:pPr>
              <w:pStyle w:val="TableText"/>
            </w:pPr>
            <w:r/>
            <w:r>
              <w:rPr>
                <w:b w:val="0"/>
              </w:rPr>
              <w:t>H+U</w:t>
            </w:r>
          </w:p>
        </w:tc>
      </w:tr>
      <w:tr>
        <w:trPr>
          <w:cantSplit/>
        </w:trPr>
        <w:tc>
          <w:tcPr>
            <w:tcW w:type="dxa" w:w="1440"/>
            <w:vAlign w:val="center"/>
            <w:tcMar>
              <w:top w:w="55" w:type="dxa"/>
              <w:bottom w:w="55" w:type="dxa"/>
              <w:start w:w="65" w:type="dxa"/>
              <w:end w:w="65" w:type="dxa"/>
            </w:tcMar>
            <w:shd w:fill="F2F2F2"/>
          </w:tcPr>
          <w:p>
            <w:pPr>
              <w:pStyle w:val="TableText"/>
            </w:pPr>
            <w:r/>
            <w:r>
              <w:rPr>
                <w:b/>
              </w:rPr>
              <w:t>DM</w:t>
            </w:r>
          </w:p>
        </w:tc>
        <w:tc>
          <w:tcPr>
            <w:tcW w:type="dxa" w:w="1037"/>
            <w:vAlign w:val="center"/>
            <w:tcMar>
              <w:top w:w="55" w:type="dxa"/>
              <w:bottom w:w="55" w:type="dxa"/>
              <w:start w:w="65" w:type="dxa"/>
              <w:end w:w="65" w:type="dxa"/>
            </w:tcMar>
          </w:tcPr>
          <w:p>
            <w:pPr>
              <w:pStyle w:val="TableText"/>
            </w:pPr>
            <w:r/>
            <w:r>
              <w:rPr>
                <w:b w:val="0"/>
              </w:rPr>
              <w:t>H+X</w:t>
            </w:r>
          </w:p>
        </w:tc>
        <w:tc>
          <w:tcPr>
            <w:tcW w:type="dxa" w:w="1037"/>
            <w:vAlign w:val="center"/>
            <w:tcMar>
              <w:top w:w="55" w:type="dxa"/>
              <w:bottom w:w="55" w:type="dxa"/>
              <w:start w:w="65" w:type="dxa"/>
              <w:end w:w="65" w:type="dxa"/>
            </w:tcMar>
          </w:tcPr>
          <w:p>
            <w:pPr>
              <w:pStyle w:val="TableText"/>
            </w:pPr>
            <w:r/>
            <w:r>
              <w:rPr>
                <w:b w:val="0"/>
              </w:rPr>
              <w:t>H+X</w:t>
            </w:r>
          </w:p>
        </w:tc>
        <w:tc>
          <w:tcPr>
            <w:tcW w:type="dxa" w:w="1037"/>
            <w:vAlign w:val="center"/>
            <w:tcMar>
              <w:top w:w="55" w:type="dxa"/>
              <w:bottom w:w="55" w:type="dxa"/>
              <w:start w:w="65" w:type="dxa"/>
              <w:end w:w="65" w:type="dxa"/>
            </w:tcMar>
          </w:tcPr>
          <w:p>
            <w:pPr>
              <w:pStyle w:val="TableText"/>
            </w:pPr>
            <w:r/>
            <w:r>
              <w:rPr>
                <w:b w:val="0"/>
              </w:rPr>
              <w:t>H</w:t>
            </w:r>
          </w:p>
        </w:tc>
        <w:tc>
          <w:tcPr>
            <w:tcW w:type="dxa" w:w="1037"/>
            <w:vAlign w:val="center"/>
            <w:tcMar>
              <w:top w:w="55" w:type="dxa"/>
              <w:bottom w:w="55" w:type="dxa"/>
              <w:start w:w="65" w:type="dxa"/>
              <w:end w:w="65" w:type="dxa"/>
            </w:tcMar>
          </w:tcPr>
          <w:p>
            <w:pPr>
              <w:pStyle w:val="TableText"/>
            </w:pPr>
            <w:r/>
            <w:r>
              <w:rPr>
                <w:b w:val="0"/>
              </w:rPr>
              <w:t>H+X</w:t>
            </w:r>
          </w:p>
        </w:tc>
        <w:tc>
          <w:tcPr>
            <w:tcW w:type="dxa" w:w="1152"/>
            <w:vAlign w:val="center"/>
            <w:tcMar>
              <w:top w:w="55" w:type="dxa"/>
              <w:bottom w:w="55" w:type="dxa"/>
              <w:start w:w="65" w:type="dxa"/>
              <w:end w:w="65" w:type="dxa"/>
            </w:tcMar>
          </w:tcPr>
          <w:p>
            <w:pPr>
              <w:pStyle w:val="TableText"/>
            </w:pPr>
            <w:r/>
            <w:r>
              <w:rPr>
                <w:b w:val="0"/>
              </w:rPr>
              <w:t>H+S</w:t>
            </w:r>
          </w:p>
        </w:tc>
        <w:tc>
          <w:tcPr>
            <w:tcW w:type="dxa" w:w="1152"/>
            <w:vAlign w:val="center"/>
            <w:tcMar>
              <w:top w:w="55" w:type="dxa"/>
              <w:bottom w:w="55" w:type="dxa"/>
              <w:start w:w="65" w:type="dxa"/>
              <w:end w:w="65" w:type="dxa"/>
            </w:tcMar>
          </w:tcPr>
          <w:p>
            <w:pPr>
              <w:pStyle w:val="TableText"/>
            </w:pPr>
            <w:r/>
            <w:r>
              <w:rPr>
                <w:b w:val="0"/>
              </w:rPr>
              <w:t>H+S</w:t>
            </w:r>
          </w:p>
        </w:tc>
        <w:tc>
          <w:tcPr>
            <w:tcW w:type="dxa" w:w="1037"/>
            <w:vAlign w:val="center"/>
            <w:tcMar>
              <w:top w:w="55" w:type="dxa"/>
              <w:bottom w:w="55" w:type="dxa"/>
              <w:start w:w="65" w:type="dxa"/>
              <w:end w:w="65" w:type="dxa"/>
            </w:tcMar>
          </w:tcPr>
          <w:p>
            <w:pPr>
              <w:pStyle w:val="TableText"/>
            </w:pPr>
            <w:r/>
            <w:r>
              <w:rPr>
                <w:b w:val="0"/>
              </w:rPr>
              <w:t>H+X</w:t>
            </w:r>
          </w:p>
        </w:tc>
        <w:tc>
          <w:tcPr>
            <w:tcW w:type="dxa" w:w="1037"/>
            <w:vAlign w:val="center"/>
            <w:tcMar>
              <w:top w:w="55" w:type="dxa"/>
              <w:bottom w:w="55" w:type="dxa"/>
              <w:start w:w="65" w:type="dxa"/>
              <w:end w:w="65" w:type="dxa"/>
            </w:tcMar>
          </w:tcPr>
          <w:p>
            <w:pPr>
              <w:pStyle w:val="TableText"/>
            </w:pPr>
            <w:r/>
            <w:r>
              <w:rPr>
                <w:b w:val="0"/>
              </w:rPr>
              <w:t>H+U/V</w:t>
            </w:r>
          </w:p>
        </w:tc>
      </w:tr>
      <w:tr>
        <w:trPr>
          <w:cantSplit/>
        </w:trPr>
        <w:tc>
          <w:tcPr>
            <w:tcW w:type="dxa" w:w="1440"/>
            <w:vAlign w:val="center"/>
            <w:tcMar>
              <w:top w:w="55" w:type="dxa"/>
              <w:bottom w:w="55" w:type="dxa"/>
              <w:start w:w="65" w:type="dxa"/>
              <w:end w:w="65" w:type="dxa"/>
            </w:tcMar>
            <w:shd w:fill="F2F2F2"/>
          </w:tcPr>
          <w:p>
            <w:pPr>
              <w:pStyle w:val="TableText"/>
            </w:pPr>
            <w:r/>
            <w:r>
              <w:rPr>
                <w:b/>
              </w:rPr>
              <w:t>AN</w:t>
            </w:r>
          </w:p>
        </w:tc>
        <w:tc>
          <w:tcPr>
            <w:tcW w:type="dxa" w:w="1037"/>
            <w:vAlign w:val="center"/>
            <w:tcMar>
              <w:top w:w="55" w:type="dxa"/>
              <w:bottom w:w="55" w:type="dxa"/>
              <w:start w:w="65" w:type="dxa"/>
              <w:end w:w="65" w:type="dxa"/>
            </w:tcMar>
            <w:shd w:fill="EDF4FA"/>
          </w:tcPr>
          <w:p>
            <w:pPr>
              <w:pStyle w:val="TableText"/>
            </w:pPr>
            <w:r/>
            <w:r>
              <w:rPr>
                <w:b w:val="0"/>
              </w:rPr>
              <w:t>H+X</w:t>
            </w:r>
          </w:p>
        </w:tc>
        <w:tc>
          <w:tcPr>
            <w:tcW w:type="dxa" w:w="1037"/>
            <w:vAlign w:val="center"/>
            <w:tcMar>
              <w:top w:w="55" w:type="dxa"/>
              <w:bottom w:w="55" w:type="dxa"/>
              <w:start w:w="65" w:type="dxa"/>
              <w:end w:w="65" w:type="dxa"/>
            </w:tcMar>
            <w:shd w:fill="EDF4FA"/>
          </w:tcPr>
          <w:p>
            <w:pPr>
              <w:pStyle w:val="TableText"/>
            </w:pPr>
            <w:r/>
            <w:r>
              <w:rPr>
                <w:b w:val="0"/>
              </w:rPr>
              <w:t>H+X</w:t>
            </w:r>
          </w:p>
        </w:tc>
        <w:tc>
          <w:tcPr>
            <w:tcW w:type="dxa" w:w="1037"/>
            <w:vAlign w:val="center"/>
            <w:tcMar>
              <w:top w:w="55" w:type="dxa"/>
              <w:bottom w:w="55" w:type="dxa"/>
              <w:start w:w="65" w:type="dxa"/>
              <w:end w:w="65" w:type="dxa"/>
            </w:tcMar>
            <w:shd w:fill="EDF4FA"/>
          </w:tcPr>
          <w:p>
            <w:pPr>
              <w:pStyle w:val="TableText"/>
            </w:pPr>
            <w:r/>
            <w:r>
              <w:rPr>
                <w:b w:val="0"/>
              </w:rPr>
              <w:t>H+X</w:t>
            </w:r>
          </w:p>
        </w:tc>
        <w:tc>
          <w:tcPr>
            <w:tcW w:type="dxa" w:w="1037"/>
            <w:vAlign w:val="center"/>
            <w:tcMar>
              <w:top w:w="55" w:type="dxa"/>
              <w:bottom w:w="55" w:type="dxa"/>
              <w:start w:w="65" w:type="dxa"/>
              <w:end w:w="65" w:type="dxa"/>
            </w:tcMar>
            <w:shd w:fill="EDF4FA"/>
          </w:tcPr>
          <w:p>
            <w:pPr>
              <w:pStyle w:val="TableText"/>
            </w:pPr>
            <w:r/>
            <w:r>
              <w:rPr>
                <w:b w:val="0"/>
              </w:rPr>
              <w:t>H</w:t>
            </w:r>
          </w:p>
        </w:tc>
        <w:tc>
          <w:tcPr>
            <w:tcW w:type="dxa" w:w="1152"/>
            <w:vAlign w:val="center"/>
            <w:tcMar>
              <w:top w:w="55" w:type="dxa"/>
              <w:bottom w:w="55" w:type="dxa"/>
              <w:start w:w="65" w:type="dxa"/>
              <w:end w:w="65" w:type="dxa"/>
            </w:tcMar>
            <w:shd w:fill="EDF4FA"/>
          </w:tcPr>
          <w:p>
            <w:pPr>
              <w:pStyle w:val="TableText"/>
            </w:pPr>
            <w:r/>
            <w:r>
              <w:rPr>
                <w:b w:val="0"/>
              </w:rPr>
              <w:t>H+S</w:t>
            </w:r>
          </w:p>
        </w:tc>
        <w:tc>
          <w:tcPr>
            <w:tcW w:type="dxa" w:w="1152"/>
            <w:vAlign w:val="center"/>
            <w:tcMar>
              <w:top w:w="55" w:type="dxa"/>
              <w:bottom w:w="55" w:type="dxa"/>
              <w:start w:w="65" w:type="dxa"/>
              <w:end w:w="65" w:type="dxa"/>
            </w:tcMar>
            <w:shd w:fill="EDF4FA"/>
          </w:tcPr>
          <w:p>
            <w:pPr>
              <w:pStyle w:val="TableText"/>
            </w:pPr>
            <w:r/>
            <w:r>
              <w:rPr>
                <w:b w:val="0"/>
              </w:rPr>
              <w:t>H+S</w:t>
            </w:r>
          </w:p>
        </w:tc>
        <w:tc>
          <w:tcPr>
            <w:tcW w:type="dxa" w:w="1037"/>
            <w:vAlign w:val="center"/>
            <w:tcMar>
              <w:top w:w="55" w:type="dxa"/>
              <w:bottom w:w="55" w:type="dxa"/>
              <w:start w:w="65" w:type="dxa"/>
              <w:end w:w="65" w:type="dxa"/>
            </w:tcMar>
            <w:shd w:fill="EDF4FA"/>
          </w:tcPr>
          <w:p>
            <w:pPr>
              <w:pStyle w:val="TableText"/>
            </w:pPr>
            <w:r/>
            <w:r>
              <w:rPr>
                <w:b w:val="0"/>
              </w:rPr>
              <w:t>H+X</w:t>
            </w:r>
          </w:p>
        </w:tc>
        <w:tc>
          <w:tcPr>
            <w:tcW w:type="dxa" w:w="1037"/>
            <w:vAlign w:val="center"/>
            <w:tcMar>
              <w:top w:w="55" w:type="dxa"/>
              <w:bottom w:w="55" w:type="dxa"/>
              <w:start w:w="65" w:type="dxa"/>
              <w:end w:w="65" w:type="dxa"/>
            </w:tcMar>
            <w:shd w:fill="EDF4FA"/>
          </w:tcPr>
          <w:p>
            <w:pPr>
              <w:pStyle w:val="TableText"/>
            </w:pPr>
            <w:r/>
            <w:r>
              <w:rPr>
                <w:b w:val="0"/>
              </w:rPr>
              <w:t>H+U/V</w:t>
            </w:r>
          </w:p>
        </w:tc>
      </w:tr>
      <w:tr>
        <w:trPr>
          <w:cantSplit/>
        </w:trPr>
        <w:tc>
          <w:tcPr>
            <w:tcW w:type="dxa" w:w="1440"/>
            <w:vAlign w:val="center"/>
            <w:tcMar>
              <w:top w:w="55" w:type="dxa"/>
              <w:bottom w:w="55" w:type="dxa"/>
              <w:start w:w="65" w:type="dxa"/>
              <w:end w:w="65" w:type="dxa"/>
            </w:tcMar>
            <w:shd w:fill="F2F2F2"/>
          </w:tcPr>
          <w:p>
            <w:pPr>
              <w:pStyle w:val="TableText"/>
            </w:pPr>
            <w:r/>
            <w:r>
              <w:rPr>
                <w:b/>
              </w:rPr>
              <w:t>CS/RM</w:t>
            </w:r>
          </w:p>
        </w:tc>
        <w:tc>
          <w:tcPr>
            <w:tcW w:type="dxa" w:w="1037"/>
            <w:vAlign w:val="center"/>
            <w:tcMar>
              <w:top w:w="55" w:type="dxa"/>
              <w:bottom w:w="55" w:type="dxa"/>
              <w:start w:w="65" w:type="dxa"/>
              <w:end w:w="65" w:type="dxa"/>
            </w:tcMar>
          </w:tcPr>
          <w:p>
            <w:pPr>
              <w:pStyle w:val="TableText"/>
            </w:pPr>
            <w:r/>
            <w:r>
              <w:rPr>
                <w:b w:val="0"/>
              </w:rPr>
              <w:t>H+X</w:t>
            </w:r>
          </w:p>
        </w:tc>
        <w:tc>
          <w:tcPr>
            <w:tcW w:type="dxa" w:w="1037"/>
            <w:vAlign w:val="center"/>
            <w:tcMar>
              <w:top w:w="55" w:type="dxa"/>
              <w:bottom w:w="55" w:type="dxa"/>
              <w:start w:w="65" w:type="dxa"/>
              <w:end w:w="65" w:type="dxa"/>
            </w:tcMar>
          </w:tcPr>
          <w:p>
            <w:pPr>
              <w:pStyle w:val="TableText"/>
            </w:pPr>
            <w:r/>
            <w:r>
              <w:rPr>
                <w:b w:val="0"/>
              </w:rPr>
              <w:t>H+S</w:t>
            </w:r>
          </w:p>
        </w:tc>
        <w:tc>
          <w:tcPr>
            <w:tcW w:type="dxa" w:w="1037"/>
            <w:vAlign w:val="center"/>
            <w:tcMar>
              <w:top w:w="55" w:type="dxa"/>
              <w:bottom w:w="55" w:type="dxa"/>
              <w:start w:w="65" w:type="dxa"/>
              <w:end w:w="65" w:type="dxa"/>
            </w:tcMar>
          </w:tcPr>
          <w:p>
            <w:pPr>
              <w:pStyle w:val="TableText"/>
            </w:pPr>
            <w:r/>
            <w:r>
              <w:rPr>
                <w:b w:val="0"/>
              </w:rPr>
              <w:t>H+S</w:t>
            </w:r>
          </w:p>
        </w:tc>
        <w:tc>
          <w:tcPr>
            <w:tcW w:type="dxa" w:w="1037"/>
            <w:vAlign w:val="center"/>
            <w:tcMar>
              <w:top w:w="55" w:type="dxa"/>
              <w:bottom w:w="55" w:type="dxa"/>
              <w:start w:w="65" w:type="dxa"/>
              <w:end w:w="65" w:type="dxa"/>
            </w:tcMar>
          </w:tcPr>
          <w:p>
            <w:pPr>
              <w:pStyle w:val="TableText"/>
            </w:pPr>
            <w:r/>
            <w:r>
              <w:rPr>
                <w:b w:val="0"/>
              </w:rPr>
              <w:t>H+S</w:t>
            </w:r>
          </w:p>
        </w:tc>
        <w:tc>
          <w:tcPr>
            <w:tcW w:type="dxa" w:w="1152"/>
            <w:vAlign w:val="center"/>
            <w:tcMar>
              <w:top w:w="55" w:type="dxa"/>
              <w:bottom w:w="55" w:type="dxa"/>
              <w:start w:w="65" w:type="dxa"/>
              <w:end w:w="65" w:type="dxa"/>
            </w:tcMar>
          </w:tcPr>
          <w:p>
            <w:pPr>
              <w:pStyle w:val="TableText"/>
            </w:pPr>
            <w:r/>
            <w:r>
              <w:rPr>
                <w:b w:val="0"/>
              </w:rPr>
              <w:t>H</w:t>
            </w:r>
          </w:p>
        </w:tc>
        <w:tc>
          <w:tcPr>
            <w:tcW w:type="dxa" w:w="1152"/>
            <w:vAlign w:val="center"/>
            <w:tcMar>
              <w:top w:w="55" w:type="dxa"/>
              <w:bottom w:w="55" w:type="dxa"/>
              <w:start w:w="65" w:type="dxa"/>
              <w:end w:w="65" w:type="dxa"/>
            </w:tcMar>
          </w:tcPr>
          <w:p>
            <w:pPr>
              <w:pStyle w:val="TableText"/>
            </w:pPr>
            <w:r/>
            <w:r>
              <w:rPr>
                <w:b w:val="0"/>
              </w:rPr>
              <w:t>H+S</w:t>
            </w:r>
          </w:p>
        </w:tc>
        <w:tc>
          <w:tcPr>
            <w:tcW w:type="dxa" w:w="1037"/>
            <w:vAlign w:val="center"/>
            <w:tcMar>
              <w:top w:w="55" w:type="dxa"/>
              <w:bottom w:w="55" w:type="dxa"/>
              <w:start w:w="65" w:type="dxa"/>
              <w:end w:w="65" w:type="dxa"/>
            </w:tcMar>
          </w:tcPr>
          <w:p>
            <w:pPr>
              <w:pStyle w:val="TableText"/>
            </w:pPr>
            <w:r/>
            <w:r>
              <w:rPr>
                <w:b w:val="0"/>
              </w:rPr>
              <w:t>H+S/V</w:t>
            </w:r>
          </w:p>
        </w:tc>
        <w:tc>
          <w:tcPr>
            <w:tcW w:type="dxa" w:w="1037"/>
            <w:vAlign w:val="center"/>
            <w:tcMar>
              <w:top w:w="55" w:type="dxa"/>
              <w:bottom w:w="55" w:type="dxa"/>
              <w:start w:w="65" w:type="dxa"/>
              <w:end w:w="65" w:type="dxa"/>
            </w:tcMar>
          </w:tcPr>
          <w:p>
            <w:pPr>
              <w:pStyle w:val="TableText"/>
            </w:pPr>
            <w:r/>
            <w:r>
              <w:rPr>
                <w:b w:val="0"/>
              </w:rPr>
              <w:t>H+U/V</w:t>
            </w:r>
          </w:p>
        </w:tc>
      </w:tr>
      <w:tr>
        <w:trPr>
          <w:cantSplit/>
        </w:trPr>
        <w:tc>
          <w:tcPr>
            <w:tcW w:type="dxa" w:w="1440"/>
            <w:vAlign w:val="center"/>
            <w:tcMar>
              <w:top w:w="55" w:type="dxa"/>
              <w:bottom w:w="55" w:type="dxa"/>
              <w:start w:w="65" w:type="dxa"/>
              <w:end w:w="65" w:type="dxa"/>
            </w:tcMar>
            <w:shd w:fill="F2F2F2"/>
          </w:tcPr>
          <w:p>
            <w:pPr>
              <w:pStyle w:val="TableText"/>
            </w:pPr>
            <w:r/>
            <w:r>
              <w:rPr>
                <w:b/>
              </w:rPr>
              <w:t>PRES</w:t>
            </w:r>
          </w:p>
        </w:tc>
        <w:tc>
          <w:tcPr>
            <w:tcW w:type="dxa" w:w="1037"/>
            <w:vAlign w:val="center"/>
            <w:tcMar>
              <w:top w:w="55" w:type="dxa"/>
              <w:bottom w:w="55" w:type="dxa"/>
              <w:start w:w="65" w:type="dxa"/>
              <w:end w:w="65" w:type="dxa"/>
            </w:tcMar>
            <w:shd w:fill="EDF4FA"/>
          </w:tcPr>
          <w:p>
            <w:pPr>
              <w:pStyle w:val="TableText"/>
            </w:pPr>
            <w:r/>
            <w:r>
              <w:rPr>
                <w:b w:val="0"/>
              </w:rPr>
              <w:t>H+S</w:t>
            </w:r>
          </w:p>
        </w:tc>
        <w:tc>
          <w:tcPr>
            <w:tcW w:type="dxa" w:w="1037"/>
            <w:vAlign w:val="center"/>
            <w:tcMar>
              <w:top w:w="55" w:type="dxa"/>
              <w:bottom w:w="55" w:type="dxa"/>
              <w:start w:w="65" w:type="dxa"/>
              <w:end w:w="65" w:type="dxa"/>
            </w:tcMar>
            <w:shd w:fill="EDF4FA"/>
          </w:tcPr>
          <w:p>
            <w:pPr>
              <w:pStyle w:val="TableText"/>
            </w:pPr>
            <w:r/>
            <w:r>
              <w:rPr>
                <w:b w:val="0"/>
              </w:rPr>
              <w:t>H+S</w:t>
            </w:r>
          </w:p>
        </w:tc>
        <w:tc>
          <w:tcPr>
            <w:tcW w:type="dxa" w:w="1037"/>
            <w:vAlign w:val="center"/>
            <w:tcMar>
              <w:top w:w="55" w:type="dxa"/>
              <w:bottom w:w="55" w:type="dxa"/>
              <w:start w:w="65" w:type="dxa"/>
              <w:end w:w="65" w:type="dxa"/>
            </w:tcMar>
            <w:shd w:fill="EDF4FA"/>
          </w:tcPr>
          <w:p>
            <w:pPr>
              <w:pStyle w:val="TableText"/>
            </w:pPr>
            <w:r/>
            <w:r>
              <w:rPr>
                <w:b w:val="0"/>
              </w:rPr>
              <w:t>H+S</w:t>
            </w:r>
          </w:p>
        </w:tc>
        <w:tc>
          <w:tcPr>
            <w:tcW w:type="dxa" w:w="1037"/>
            <w:vAlign w:val="center"/>
            <w:tcMar>
              <w:top w:w="55" w:type="dxa"/>
              <w:bottom w:w="55" w:type="dxa"/>
              <w:start w:w="65" w:type="dxa"/>
              <w:end w:w="65" w:type="dxa"/>
            </w:tcMar>
            <w:shd w:fill="EDF4FA"/>
          </w:tcPr>
          <w:p>
            <w:pPr>
              <w:pStyle w:val="TableText"/>
            </w:pPr>
            <w:r/>
            <w:r>
              <w:rPr>
                <w:b w:val="0"/>
              </w:rPr>
              <w:t>H+S</w:t>
            </w:r>
          </w:p>
        </w:tc>
        <w:tc>
          <w:tcPr>
            <w:tcW w:type="dxa" w:w="1152"/>
            <w:vAlign w:val="center"/>
            <w:tcMar>
              <w:top w:w="55" w:type="dxa"/>
              <w:bottom w:w="55" w:type="dxa"/>
              <w:start w:w="65" w:type="dxa"/>
              <w:end w:w="65" w:type="dxa"/>
            </w:tcMar>
            <w:shd w:fill="EDF4FA"/>
          </w:tcPr>
          <w:p>
            <w:pPr>
              <w:pStyle w:val="TableText"/>
            </w:pPr>
            <w:r/>
            <w:r>
              <w:rPr>
                <w:b w:val="0"/>
              </w:rPr>
              <w:t>H+S</w:t>
            </w:r>
          </w:p>
        </w:tc>
        <w:tc>
          <w:tcPr>
            <w:tcW w:type="dxa" w:w="1152"/>
            <w:vAlign w:val="center"/>
            <w:tcMar>
              <w:top w:w="55" w:type="dxa"/>
              <w:bottom w:w="55" w:type="dxa"/>
              <w:start w:w="65" w:type="dxa"/>
              <w:end w:w="65" w:type="dxa"/>
            </w:tcMar>
            <w:shd w:fill="EDF4FA"/>
          </w:tcPr>
          <w:p>
            <w:pPr>
              <w:pStyle w:val="TableText"/>
            </w:pPr>
            <w:r/>
            <w:r>
              <w:rPr>
                <w:b w:val="0"/>
              </w:rPr>
              <w:t>H</w:t>
            </w:r>
          </w:p>
        </w:tc>
        <w:tc>
          <w:tcPr>
            <w:tcW w:type="dxa" w:w="1037"/>
            <w:vAlign w:val="center"/>
            <w:tcMar>
              <w:top w:w="55" w:type="dxa"/>
              <w:bottom w:w="55" w:type="dxa"/>
              <w:start w:w="65" w:type="dxa"/>
              <w:end w:w="65" w:type="dxa"/>
            </w:tcMar>
            <w:shd w:fill="EDF4FA"/>
          </w:tcPr>
          <w:p>
            <w:pPr>
              <w:pStyle w:val="TableText"/>
            </w:pPr>
            <w:r/>
            <w:r>
              <w:rPr>
                <w:b w:val="0"/>
              </w:rPr>
              <w:t>H+S</w:t>
            </w:r>
          </w:p>
        </w:tc>
        <w:tc>
          <w:tcPr>
            <w:tcW w:type="dxa" w:w="1037"/>
            <w:vAlign w:val="center"/>
            <w:tcMar>
              <w:top w:w="55" w:type="dxa"/>
              <w:bottom w:w="55" w:type="dxa"/>
              <w:start w:w="65" w:type="dxa"/>
              <w:end w:w="65" w:type="dxa"/>
            </w:tcMar>
            <w:shd w:fill="EDF4FA"/>
          </w:tcPr>
          <w:p>
            <w:pPr>
              <w:pStyle w:val="TableText"/>
            </w:pPr>
            <w:r/>
            <w:r>
              <w:rPr>
                <w:b w:val="0"/>
              </w:rPr>
              <w:t>H+U</w:t>
            </w:r>
          </w:p>
        </w:tc>
      </w:tr>
      <w:tr>
        <w:trPr>
          <w:cantSplit/>
        </w:trPr>
        <w:tc>
          <w:tcPr>
            <w:tcW w:type="dxa" w:w="1440"/>
            <w:vAlign w:val="center"/>
            <w:tcMar>
              <w:top w:w="55" w:type="dxa"/>
              <w:bottom w:w="55" w:type="dxa"/>
              <w:start w:w="65" w:type="dxa"/>
              <w:end w:w="65" w:type="dxa"/>
            </w:tcMar>
            <w:shd w:fill="F2F2F2"/>
          </w:tcPr>
          <w:p>
            <w:pPr>
              <w:pStyle w:val="TableText"/>
            </w:pPr>
            <w:r/>
            <w:r>
              <w:rPr>
                <w:b/>
              </w:rPr>
              <w:t>AF</w:t>
            </w:r>
          </w:p>
        </w:tc>
        <w:tc>
          <w:tcPr>
            <w:tcW w:type="dxa" w:w="1037"/>
            <w:vAlign w:val="center"/>
            <w:tcMar>
              <w:top w:w="55" w:type="dxa"/>
              <w:bottom w:w="55" w:type="dxa"/>
              <w:start w:w="65" w:type="dxa"/>
              <w:end w:w="65" w:type="dxa"/>
            </w:tcMar>
          </w:tcPr>
          <w:p>
            <w:pPr>
              <w:pStyle w:val="TableText"/>
            </w:pPr>
            <w:r/>
            <w:r>
              <w:rPr>
                <w:b w:val="0"/>
              </w:rPr>
              <w:t>H+V</w:t>
            </w:r>
          </w:p>
        </w:tc>
        <w:tc>
          <w:tcPr>
            <w:tcW w:type="dxa" w:w="1037"/>
            <w:vAlign w:val="center"/>
            <w:tcMar>
              <w:top w:w="55" w:type="dxa"/>
              <w:bottom w:w="55" w:type="dxa"/>
              <w:start w:w="65" w:type="dxa"/>
              <w:end w:w="65" w:type="dxa"/>
            </w:tcMar>
          </w:tcPr>
          <w:p>
            <w:pPr>
              <w:pStyle w:val="TableText"/>
            </w:pPr>
            <w:r/>
            <w:r>
              <w:rPr>
                <w:b w:val="0"/>
              </w:rPr>
              <w:t>H+X/V</w:t>
            </w:r>
          </w:p>
        </w:tc>
        <w:tc>
          <w:tcPr>
            <w:tcW w:type="dxa" w:w="1037"/>
            <w:vAlign w:val="center"/>
            <w:tcMar>
              <w:top w:w="55" w:type="dxa"/>
              <w:bottom w:w="55" w:type="dxa"/>
              <w:start w:w="65" w:type="dxa"/>
              <w:end w:w="65" w:type="dxa"/>
            </w:tcMar>
          </w:tcPr>
          <w:p>
            <w:pPr>
              <w:pStyle w:val="TableText"/>
            </w:pPr>
            <w:r/>
            <w:r>
              <w:rPr>
                <w:b w:val="0"/>
              </w:rPr>
              <w:t>H+X</w:t>
            </w:r>
          </w:p>
        </w:tc>
        <w:tc>
          <w:tcPr>
            <w:tcW w:type="dxa" w:w="1037"/>
            <w:vAlign w:val="center"/>
            <w:tcMar>
              <w:top w:w="55" w:type="dxa"/>
              <w:bottom w:w="55" w:type="dxa"/>
              <w:start w:w="65" w:type="dxa"/>
              <w:end w:w="65" w:type="dxa"/>
            </w:tcMar>
          </w:tcPr>
          <w:p>
            <w:pPr>
              <w:pStyle w:val="TableText"/>
            </w:pPr>
            <w:r/>
            <w:r>
              <w:rPr>
                <w:b w:val="0"/>
              </w:rPr>
              <w:t>H+X</w:t>
            </w:r>
          </w:p>
        </w:tc>
        <w:tc>
          <w:tcPr>
            <w:tcW w:type="dxa" w:w="1152"/>
            <w:vAlign w:val="center"/>
            <w:tcMar>
              <w:top w:w="55" w:type="dxa"/>
              <w:bottom w:w="55" w:type="dxa"/>
              <w:start w:w="65" w:type="dxa"/>
              <w:end w:w="65" w:type="dxa"/>
            </w:tcMar>
          </w:tcPr>
          <w:p>
            <w:pPr>
              <w:pStyle w:val="TableText"/>
            </w:pPr>
            <w:r/>
            <w:r>
              <w:rPr>
                <w:b w:val="0"/>
              </w:rPr>
              <w:t>H+S/V</w:t>
            </w:r>
          </w:p>
        </w:tc>
        <w:tc>
          <w:tcPr>
            <w:tcW w:type="dxa" w:w="1152"/>
            <w:vAlign w:val="center"/>
            <w:tcMar>
              <w:top w:w="55" w:type="dxa"/>
              <w:bottom w:w="55" w:type="dxa"/>
              <w:start w:w="65" w:type="dxa"/>
              <w:end w:w="65" w:type="dxa"/>
            </w:tcMar>
          </w:tcPr>
          <w:p>
            <w:pPr>
              <w:pStyle w:val="TableText"/>
            </w:pPr>
            <w:r/>
            <w:r>
              <w:rPr>
                <w:b w:val="0"/>
              </w:rPr>
              <w:t>H+S</w:t>
            </w:r>
          </w:p>
        </w:tc>
        <w:tc>
          <w:tcPr>
            <w:tcW w:type="dxa" w:w="1037"/>
            <w:vAlign w:val="center"/>
            <w:tcMar>
              <w:top w:w="55" w:type="dxa"/>
              <w:bottom w:w="55" w:type="dxa"/>
              <w:start w:w="65" w:type="dxa"/>
              <w:end w:w="65" w:type="dxa"/>
            </w:tcMar>
          </w:tcPr>
          <w:p>
            <w:pPr>
              <w:pStyle w:val="TableText"/>
            </w:pPr>
            <w:r/>
            <w:r>
              <w:rPr>
                <w:b w:val="0"/>
              </w:rPr>
              <w:t>H</w:t>
            </w:r>
          </w:p>
        </w:tc>
        <w:tc>
          <w:tcPr>
            <w:tcW w:type="dxa" w:w="1037"/>
            <w:vAlign w:val="center"/>
            <w:tcMar>
              <w:top w:w="55" w:type="dxa"/>
              <w:bottom w:w="55" w:type="dxa"/>
              <w:start w:w="65" w:type="dxa"/>
              <w:end w:w="65" w:type="dxa"/>
            </w:tcMar>
          </w:tcPr>
          <w:p>
            <w:pPr>
              <w:pStyle w:val="TableText"/>
            </w:pPr>
            <w:r/>
            <w:r>
              <w:rPr>
                <w:b w:val="0"/>
              </w:rPr>
              <w:t>H+U/V</w:t>
            </w:r>
          </w:p>
        </w:tc>
      </w:tr>
      <w:tr>
        <w:trPr>
          <w:cantSplit/>
        </w:trPr>
        <w:tc>
          <w:tcPr>
            <w:tcW w:type="dxa" w:w="1440"/>
            <w:vAlign w:val="center"/>
            <w:tcMar>
              <w:top w:w="55" w:type="dxa"/>
              <w:bottom w:w="55" w:type="dxa"/>
              <w:start w:w="65" w:type="dxa"/>
              <w:end w:w="65" w:type="dxa"/>
            </w:tcMar>
            <w:shd w:fill="F2F2F2"/>
          </w:tcPr>
          <w:p>
            <w:pPr>
              <w:pStyle w:val="TableText"/>
            </w:pPr>
            <w:r/>
            <w:r>
              <w:rPr>
                <w:b/>
              </w:rPr>
              <w:t>FH</w:t>
            </w:r>
          </w:p>
        </w:tc>
        <w:tc>
          <w:tcPr>
            <w:tcW w:type="dxa" w:w="1037"/>
            <w:vAlign w:val="center"/>
            <w:tcMar>
              <w:top w:w="55" w:type="dxa"/>
              <w:bottom w:w="55" w:type="dxa"/>
              <w:start w:w="65" w:type="dxa"/>
              <w:end w:w="65" w:type="dxa"/>
            </w:tcMar>
            <w:shd w:fill="EDF4FA"/>
          </w:tcPr>
          <w:p>
            <w:pPr>
              <w:pStyle w:val="TableText"/>
            </w:pPr>
            <w:r/>
            <w:r>
              <w:rPr>
                <w:b w:val="0"/>
              </w:rPr>
              <w:t>H+U/V</w:t>
            </w:r>
          </w:p>
        </w:tc>
        <w:tc>
          <w:tcPr>
            <w:tcW w:type="dxa" w:w="1037"/>
            <w:vAlign w:val="center"/>
            <w:tcMar>
              <w:top w:w="55" w:type="dxa"/>
              <w:bottom w:w="55" w:type="dxa"/>
              <w:start w:w="65" w:type="dxa"/>
              <w:end w:w="65" w:type="dxa"/>
            </w:tcMar>
            <w:shd w:fill="EDF4FA"/>
          </w:tcPr>
          <w:p>
            <w:pPr>
              <w:pStyle w:val="TableText"/>
            </w:pPr>
            <w:r/>
            <w:r>
              <w:rPr>
                <w:b w:val="0"/>
              </w:rPr>
              <w:t>H+U</w:t>
            </w:r>
          </w:p>
        </w:tc>
        <w:tc>
          <w:tcPr>
            <w:tcW w:type="dxa" w:w="1037"/>
            <w:vAlign w:val="center"/>
            <w:tcMar>
              <w:top w:w="55" w:type="dxa"/>
              <w:bottom w:w="55" w:type="dxa"/>
              <w:start w:w="65" w:type="dxa"/>
              <w:end w:w="65" w:type="dxa"/>
            </w:tcMar>
            <w:shd w:fill="EDF4FA"/>
          </w:tcPr>
          <w:p>
            <w:pPr>
              <w:pStyle w:val="TableText"/>
            </w:pPr>
            <w:r/>
            <w:r>
              <w:rPr>
                <w:b w:val="0"/>
              </w:rPr>
              <w:t>H+U/V</w:t>
            </w:r>
          </w:p>
        </w:tc>
        <w:tc>
          <w:tcPr>
            <w:tcW w:type="dxa" w:w="1037"/>
            <w:vAlign w:val="center"/>
            <w:tcMar>
              <w:top w:w="55" w:type="dxa"/>
              <w:bottom w:w="55" w:type="dxa"/>
              <w:start w:w="65" w:type="dxa"/>
              <w:end w:w="65" w:type="dxa"/>
            </w:tcMar>
            <w:shd w:fill="EDF4FA"/>
          </w:tcPr>
          <w:p>
            <w:pPr>
              <w:pStyle w:val="TableText"/>
            </w:pPr>
            <w:r/>
            <w:r>
              <w:rPr>
                <w:b w:val="0"/>
              </w:rPr>
              <w:t>H+U/V</w:t>
            </w:r>
          </w:p>
        </w:tc>
        <w:tc>
          <w:tcPr>
            <w:tcW w:type="dxa" w:w="1152"/>
            <w:vAlign w:val="center"/>
            <w:tcMar>
              <w:top w:w="55" w:type="dxa"/>
              <w:bottom w:w="55" w:type="dxa"/>
              <w:start w:w="65" w:type="dxa"/>
              <w:end w:w="65" w:type="dxa"/>
            </w:tcMar>
            <w:shd w:fill="EDF4FA"/>
          </w:tcPr>
          <w:p>
            <w:pPr>
              <w:pStyle w:val="TableText"/>
            </w:pPr>
            <w:r/>
            <w:r>
              <w:rPr>
                <w:b w:val="0"/>
              </w:rPr>
              <w:t>H+U/V</w:t>
            </w:r>
          </w:p>
        </w:tc>
        <w:tc>
          <w:tcPr>
            <w:tcW w:type="dxa" w:w="1152"/>
            <w:vAlign w:val="center"/>
            <w:tcMar>
              <w:top w:w="55" w:type="dxa"/>
              <w:bottom w:w="55" w:type="dxa"/>
              <w:start w:w="65" w:type="dxa"/>
              <w:end w:w="65" w:type="dxa"/>
            </w:tcMar>
            <w:shd w:fill="EDF4FA"/>
          </w:tcPr>
          <w:p>
            <w:pPr>
              <w:pStyle w:val="TableText"/>
            </w:pPr>
            <w:r/>
            <w:r>
              <w:rPr>
                <w:b w:val="0"/>
              </w:rPr>
              <w:t>H+U</w:t>
            </w:r>
          </w:p>
        </w:tc>
        <w:tc>
          <w:tcPr>
            <w:tcW w:type="dxa" w:w="1037"/>
            <w:vAlign w:val="center"/>
            <w:tcMar>
              <w:top w:w="55" w:type="dxa"/>
              <w:bottom w:w="55" w:type="dxa"/>
              <w:start w:w="65" w:type="dxa"/>
              <w:end w:w="65" w:type="dxa"/>
            </w:tcMar>
            <w:shd w:fill="EDF4FA"/>
          </w:tcPr>
          <w:p>
            <w:pPr>
              <w:pStyle w:val="TableText"/>
            </w:pPr>
            <w:r/>
            <w:r>
              <w:rPr>
                <w:b w:val="0"/>
              </w:rPr>
              <w:t>H+U/V</w:t>
            </w:r>
          </w:p>
        </w:tc>
        <w:tc>
          <w:tcPr>
            <w:tcW w:type="dxa" w:w="1037"/>
            <w:vAlign w:val="center"/>
            <w:tcMar>
              <w:top w:w="55" w:type="dxa"/>
              <w:bottom w:w="55" w:type="dxa"/>
              <w:start w:w="65" w:type="dxa"/>
              <w:end w:w="65" w:type="dxa"/>
            </w:tcMar>
            <w:shd w:fill="EDF4FA"/>
          </w:tcPr>
          <w:p>
            <w:pPr>
              <w:pStyle w:val="TableText"/>
            </w:pPr>
            <w:r/>
            <w:r>
              <w:rPr>
                <w:b w:val="0"/>
              </w:rPr>
              <w:t>H/U</w:t>
            </w:r>
          </w:p>
        </w:tc>
      </w:tr>
    </w:tbl>
    <w:p>
      <w:pPr>
        <w:spacing w:after="20"/>
      </w:pPr>
    </w:p>
    <w:p>
      <w:r>
        <w:t>AGE combines AGE-Y and AGE-A for visual compactness; CS/RM combines obstetric-history factors only in this overview. Detailed rules below separate them. The matrix intentionally does not show numeric risk increments.</w:t>
      </w:r>
    </w:p>
    <w:p>
      <w:pPr>
        <w:pStyle w:val="Heading1"/>
      </w:pPr>
      <w:r>
        <w:t>6. High-Priority Interaction Catalogue</w:t>
      </w:r>
    </w:p>
    <w:p>
      <w:pPr>
        <w:pStyle w:val="Heading2"/>
      </w:pPr>
      <w:r>
        <w:t>6.1 Maternal age with hypertension or diabetes</w:t>
      </w:r>
    </w:p>
    <w:p>
      <w:r>
        <w:t>ACOG states that risk counseling at age 35 years or older depends on comorbidities and that chronic hypertension and diabetes are more common with advancing age. It also recognizes diabetes and chronic hypertension as high-risk factors for preeclampsia, while age 35 years or older and first pregnancy are moderate-risk factors in prevention frameworks [1-3].</w:t>
      </w:r>
    </w:p>
    <w:tbl>
      <w:tblPr>
        <w:tblStyle w:val="TableGrid"/>
        <w:tblW w:type="auto" w:w="0"/>
        <w:jc w:val="center"/>
        <w:tblLook w:firstColumn="1" w:firstRow="1" w:lastColumn="0" w:lastRow="0" w:noHBand="0" w:noVBand="1" w:val="04A0"/>
      </w:tblPr>
      <w:tblGrid>
        <w:gridCol w:w="3427"/>
        <w:gridCol w:w="3427"/>
        <w:gridCol w:w="3427"/>
      </w:tblGrid>
      <w:tr>
        <w:trPr>
          <w:tblHeader w:val="true"/>
          <w:cantSplit/>
        </w:trPr>
        <w:tc>
          <w:tcPr>
            <w:tcW w:type="dxa" w:w="2232"/>
            <w:vAlign w:val="center"/>
            <w:tcMar>
              <w:top w:w="55" w:type="dxa"/>
              <w:bottom w:w="55" w:type="dxa"/>
              <w:start w:w="65" w:type="dxa"/>
              <w:end w:w="65" w:type="dxa"/>
            </w:tcMar>
            <w:shd w:fill="17365D"/>
          </w:tcPr>
          <w:p>
            <w:pPr>
              <w:pStyle w:val="TableHeader"/>
            </w:pPr>
            <w:r/>
            <w:r>
              <w:rPr>
                <w:b/>
                <w:color w:val="FFFFFF"/>
              </w:rPr>
              <w:t>Combination</w:t>
            </w:r>
          </w:p>
        </w:tc>
        <w:tc>
          <w:tcPr>
            <w:tcW w:type="dxa" w:w="4680"/>
            <w:vAlign w:val="center"/>
            <w:tcMar>
              <w:top w:w="55" w:type="dxa"/>
              <w:bottom w:w="55" w:type="dxa"/>
              <w:start w:w="65" w:type="dxa"/>
              <w:end w:w="65" w:type="dxa"/>
            </w:tcMar>
            <w:shd w:fill="17365D"/>
          </w:tcPr>
          <w:p>
            <w:pPr>
              <w:pStyle w:val="TableHeader"/>
            </w:pPr>
            <w:r/>
            <w:r>
              <w:rPr>
                <w:b/>
                <w:color w:val="FFFFFF"/>
              </w:rPr>
              <w:t>Interaction meaning</w:t>
            </w:r>
          </w:p>
        </w:tc>
        <w:tc>
          <w:tcPr>
            <w:tcW w:type="dxa" w:w="4608"/>
            <w:vAlign w:val="center"/>
            <w:tcMar>
              <w:top w:w="55" w:type="dxa"/>
              <w:bottom w:w="55" w:type="dxa"/>
              <w:start w:w="65" w:type="dxa"/>
              <w:end w:w="65" w:type="dxa"/>
            </w:tcMar>
            <w:shd w:fill="17365D"/>
          </w:tcPr>
          <w:p>
            <w:pPr>
              <w:pStyle w:val="TableHeader"/>
            </w:pPr>
            <w:r/>
            <w:r>
              <w:rPr>
                <w:b/>
                <w:color w:val="FFFFFF"/>
              </w:rPr>
              <w:t>CDSS behavior</w:t>
            </w:r>
          </w:p>
        </w:tc>
      </w:tr>
      <w:tr>
        <w:trPr>
          <w:cantSplit/>
        </w:trPr>
        <w:tc>
          <w:tcPr>
            <w:tcW w:type="dxa" w:w="2232"/>
            <w:vAlign w:val="center"/>
            <w:tcMar>
              <w:top w:w="55" w:type="dxa"/>
              <w:bottom w:w="55" w:type="dxa"/>
              <w:start w:w="65" w:type="dxa"/>
              <w:end w:w="65" w:type="dxa"/>
            </w:tcMar>
          </w:tcPr>
          <w:p>
            <w:pPr>
              <w:pStyle w:val="TableText"/>
            </w:pPr>
            <w:r/>
            <w:r>
              <w:rPr>
                <w:b w:val="0"/>
              </w:rPr>
              <w:t>AGE-A + BP-H/BP-S</w:t>
            </w:r>
          </w:p>
        </w:tc>
        <w:tc>
          <w:tcPr>
            <w:tcW w:type="dxa" w:w="4680"/>
            <w:vAlign w:val="center"/>
            <w:tcMar>
              <w:top w:w="55" w:type="dxa"/>
              <w:bottom w:w="55" w:type="dxa"/>
              <w:start w:w="65" w:type="dxa"/>
              <w:end w:w="65" w:type="dxa"/>
            </w:tcMar>
          </w:tcPr>
          <w:p>
            <w:pPr>
              <w:pStyle w:val="TableText"/>
            </w:pPr>
            <w:r/>
            <w:r>
              <w:rPr>
                <w:b w:val="0"/>
              </w:rPr>
              <w:t>Age, nulliparity, and elevated BP strengthen the need for prompt evaluation of hypertensive disease and preeclampsia risk.</w:t>
            </w:r>
          </w:p>
        </w:tc>
        <w:tc>
          <w:tcPr>
            <w:tcW w:type="dxa" w:w="4608"/>
            <w:vAlign w:val="center"/>
            <w:tcMar>
              <w:top w:w="55" w:type="dxa"/>
              <w:bottom w:w="55" w:type="dxa"/>
              <w:start w:w="65" w:type="dxa"/>
              <w:end w:w="65" w:type="dxa"/>
            </w:tcMar>
          </w:tcPr>
          <w:p>
            <w:pPr>
              <w:pStyle w:val="TableText"/>
            </w:pPr>
            <w:r/>
            <w:r>
              <w:rPr>
                <w:b w:val="0"/>
              </w:rPr>
              <w:t>HIGH; BP-S produces urgent banner. Show both age-context and BP reason. Do not diagnose preeclampsia.</w:t>
            </w:r>
          </w:p>
        </w:tc>
      </w:tr>
      <w:tr>
        <w:trPr>
          <w:cantSplit/>
        </w:trPr>
        <w:tc>
          <w:tcPr>
            <w:tcW w:type="dxa" w:w="2232"/>
            <w:vAlign w:val="center"/>
            <w:tcMar>
              <w:top w:w="55" w:type="dxa"/>
              <w:bottom w:w="55" w:type="dxa"/>
              <w:start w:w="65" w:type="dxa"/>
              <w:end w:w="65" w:type="dxa"/>
            </w:tcMar>
            <w:shd w:fill="EDF4FA"/>
          </w:tcPr>
          <w:p>
            <w:pPr>
              <w:pStyle w:val="TableText"/>
            </w:pPr>
            <w:r/>
            <w:r>
              <w:rPr>
                <w:b w:val="0"/>
              </w:rPr>
              <w:t>AGE-A + DM</w:t>
            </w:r>
          </w:p>
        </w:tc>
        <w:tc>
          <w:tcPr>
            <w:tcW w:type="dxa" w:w="4680"/>
            <w:vAlign w:val="center"/>
            <w:tcMar>
              <w:top w:w="55" w:type="dxa"/>
              <w:bottom w:w="55" w:type="dxa"/>
              <w:start w:w="65" w:type="dxa"/>
              <w:end w:w="65" w:type="dxa"/>
            </w:tcMar>
            <w:shd w:fill="EDF4FA"/>
          </w:tcPr>
          <w:p>
            <w:pPr>
              <w:pStyle w:val="TableText"/>
            </w:pPr>
            <w:r/>
            <w:r>
              <w:rPr>
                <w:b w:val="0"/>
              </w:rPr>
              <w:t>Both factors influence maternal medical risk and may affect fetal growth and surveillance.</w:t>
            </w:r>
          </w:p>
        </w:tc>
        <w:tc>
          <w:tcPr>
            <w:tcW w:type="dxa" w:w="4608"/>
            <w:vAlign w:val="center"/>
            <w:tcMar>
              <w:top w:w="55" w:type="dxa"/>
              <w:bottom w:w="55" w:type="dxa"/>
              <w:start w:w="65" w:type="dxa"/>
              <w:end w:w="65" w:type="dxa"/>
            </w:tcMar>
            <w:shd w:fill="EDF4FA"/>
          </w:tcPr>
          <w:p>
            <w:pPr>
              <w:pStyle w:val="TableText"/>
            </w:pPr>
            <w:r/>
            <w:r>
              <w:rPr>
                <w:b w:val="0"/>
              </w:rPr>
              <w:t>HIGH; recommend obstetric/medical co-management. No aspirin or medication prescription.</w:t>
            </w:r>
          </w:p>
        </w:tc>
      </w:tr>
      <w:tr>
        <w:trPr>
          <w:cantSplit/>
        </w:trPr>
        <w:tc>
          <w:tcPr>
            <w:tcW w:type="dxa" w:w="2232"/>
            <w:vAlign w:val="center"/>
            <w:tcMar>
              <w:top w:w="55" w:type="dxa"/>
              <w:bottom w:w="55" w:type="dxa"/>
              <w:start w:w="65" w:type="dxa"/>
              <w:end w:w="65" w:type="dxa"/>
            </w:tcMar>
          </w:tcPr>
          <w:p>
            <w:pPr>
              <w:pStyle w:val="TableText"/>
            </w:pPr>
            <w:r/>
            <w:r>
              <w:rPr>
                <w:b w:val="0"/>
              </w:rPr>
              <w:t>AGE-Y + AN</w:t>
            </w:r>
          </w:p>
        </w:tc>
        <w:tc>
          <w:tcPr>
            <w:tcW w:type="dxa" w:w="4680"/>
            <w:vAlign w:val="center"/>
            <w:tcMar>
              <w:top w:w="55" w:type="dxa"/>
              <w:bottom w:w="55" w:type="dxa"/>
              <w:start w:w="65" w:type="dxa"/>
              <w:end w:w="65" w:type="dxa"/>
            </w:tcMar>
          </w:tcPr>
          <w:p>
            <w:pPr>
              <w:pStyle w:val="TableText"/>
            </w:pPr>
            <w:r/>
            <w:r>
              <w:rPr>
                <w:b w:val="0"/>
              </w:rPr>
              <w:t>Adolescents are a vulnerable group for anemia and adverse pregnancy outcomes, especially where nutrition and access barriers coexist [7-9].</w:t>
            </w:r>
          </w:p>
        </w:tc>
        <w:tc>
          <w:tcPr>
            <w:tcW w:type="dxa" w:w="4608"/>
            <w:vAlign w:val="center"/>
            <w:tcMar>
              <w:top w:w="55" w:type="dxa"/>
              <w:bottom w:w="55" w:type="dxa"/>
              <w:start w:w="65" w:type="dxa"/>
              <w:end w:w="65" w:type="dxa"/>
            </w:tcMar>
          </w:tcPr>
          <w:p>
            <w:pPr>
              <w:pStyle w:val="TableText"/>
            </w:pPr>
            <w:r/>
            <w:r>
              <w:rPr>
                <w:b w:val="0"/>
              </w:rPr>
              <w:t>HIGH; use youth-sensitive, nonjudgmental counseling and verify nutrition, hemoglobin, and support needs.</w:t>
            </w:r>
          </w:p>
        </w:tc>
      </w:tr>
      <w:tr>
        <w:trPr>
          <w:cantSplit/>
        </w:trPr>
        <w:tc>
          <w:tcPr>
            <w:tcW w:type="dxa" w:w="2232"/>
            <w:vAlign w:val="center"/>
            <w:tcMar>
              <w:top w:w="55" w:type="dxa"/>
              <w:bottom w:w="55" w:type="dxa"/>
              <w:start w:w="65" w:type="dxa"/>
              <w:end w:w="65" w:type="dxa"/>
            </w:tcMar>
            <w:shd w:fill="EDF4FA"/>
          </w:tcPr>
          <w:p>
            <w:pPr>
              <w:pStyle w:val="TableText"/>
            </w:pPr>
            <w:r/>
            <w:r>
              <w:rPr>
                <w:b w:val="0"/>
              </w:rPr>
              <w:t>AGE-Y + BP/DM</w:t>
            </w:r>
          </w:p>
        </w:tc>
        <w:tc>
          <w:tcPr>
            <w:tcW w:type="dxa" w:w="4680"/>
            <w:vAlign w:val="center"/>
            <w:tcMar>
              <w:top w:w="55" w:type="dxa"/>
              <w:bottom w:w="55" w:type="dxa"/>
              <w:start w:w="65" w:type="dxa"/>
              <w:end w:w="65" w:type="dxa"/>
            </w:tcMar>
            <w:shd w:fill="EDF4FA"/>
          </w:tcPr>
          <w:p>
            <w:pPr>
              <w:pStyle w:val="TableText"/>
            </w:pPr>
            <w:r/>
            <w:r>
              <w:rPr>
                <w:b w:val="0"/>
              </w:rPr>
              <w:t>Uncommon combinations still require adult-level clinical escalation without dismissing symptoms because of age.</w:t>
            </w:r>
          </w:p>
        </w:tc>
        <w:tc>
          <w:tcPr>
            <w:tcW w:type="dxa" w:w="4608"/>
            <w:vAlign w:val="center"/>
            <w:tcMar>
              <w:top w:w="55" w:type="dxa"/>
              <w:bottom w:w="55" w:type="dxa"/>
              <w:start w:w="65" w:type="dxa"/>
              <w:end w:w="65" w:type="dxa"/>
            </w:tcMar>
            <w:shd w:fill="EDF4FA"/>
          </w:tcPr>
          <w:p>
            <w:pPr>
              <w:pStyle w:val="TableText"/>
            </w:pPr>
            <w:r/>
            <w:r>
              <w:rPr>
                <w:b w:val="0"/>
              </w:rPr>
              <w:t>HIGH; prioritize the medical condition and safeguard consent, privacy, and support.</w:t>
            </w:r>
          </w:p>
        </w:tc>
      </w:tr>
    </w:tbl>
    <w:p>
      <w:pPr>
        <w:spacing w:after="20"/>
      </w:pPr>
    </w:p>
    <w:p>
      <w:pPr>
        <w:pStyle w:val="Heading2"/>
      </w:pPr>
      <w:r>
        <w:t>6.2 Hypertension with diabetes, anemia, or ultrasound findings</w:t>
      </w:r>
    </w:p>
    <w:tbl>
      <w:tblPr>
        <w:tblStyle w:val="TableGrid"/>
        <w:tblW w:type="auto" w:w="0"/>
        <w:jc w:val="center"/>
        <w:tblLook w:firstColumn="1" w:firstRow="1" w:lastColumn="0" w:lastRow="0" w:noHBand="0" w:noVBand="1" w:val="04A0"/>
      </w:tblPr>
      <w:tblGrid>
        <w:gridCol w:w="3427"/>
        <w:gridCol w:w="3427"/>
        <w:gridCol w:w="3427"/>
      </w:tblGrid>
      <w:tr>
        <w:trPr>
          <w:tblHeader w:val="true"/>
          <w:cantSplit/>
        </w:trPr>
        <w:tc>
          <w:tcPr>
            <w:tcW w:type="dxa" w:w="2232"/>
            <w:vAlign w:val="center"/>
            <w:tcMar>
              <w:top w:w="55" w:type="dxa"/>
              <w:bottom w:w="55" w:type="dxa"/>
              <w:start w:w="65" w:type="dxa"/>
              <w:end w:w="65" w:type="dxa"/>
            </w:tcMar>
            <w:shd w:fill="17365D"/>
          </w:tcPr>
          <w:p>
            <w:pPr>
              <w:pStyle w:val="TableHeader"/>
            </w:pPr>
            <w:r/>
            <w:r>
              <w:rPr>
                <w:b/>
                <w:color w:val="FFFFFF"/>
              </w:rPr>
              <w:t>Combination</w:t>
            </w:r>
          </w:p>
        </w:tc>
        <w:tc>
          <w:tcPr>
            <w:tcW w:type="dxa" w:w="4680"/>
            <w:vAlign w:val="center"/>
            <w:tcMar>
              <w:top w:w="55" w:type="dxa"/>
              <w:bottom w:w="55" w:type="dxa"/>
              <w:start w:w="65" w:type="dxa"/>
              <w:end w:w="65" w:type="dxa"/>
            </w:tcMar>
            <w:shd w:fill="17365D"/>
          </w:tcPr>
          <w:p>
            <w:pPr>
              <w:pStyle w:val="TableHeader"/>
            </w:pPr>
            <w:r/>
            <w:r>
              <w:rPr>
                <w:b/>
                <w:color w:val="FFFFFF"/>
              </w:rPr>
              <w:t>Clinical interaction</w:t>
            </w:r>
          </w:p>
        </w:tc>
        <w:tc>
          <w:tcPr>
            <w:tcW w:type="dxa" w:w="4608"/>
            <w:vAlign w:val="center"/>
            <w:tcMar>
              <w:top w:w="55" w:type="dxa"/>
              <w:bottom w:w="55" w:type="dxa"/>
              <w:start w:w="65" w:type="dxa"/>
              <w:end w:w="65" w:type="dxa"/>
            </w:tcMar>
            <w:shd w:fill="17365D"/>
          </w:tcPr>
          <w:p>
            <w:pPr>
              <w:pStyle w:val="TableHeader"/>
            </w:pPr>
            <w:r/>
            <w:r>
              <w:rPr>
                <w:b/>
                <w:color w:val="FFFFFF"/>
              </w:rPr>
              <w:t>CDSS action</w:t>
            </w:r>
          </w:p>
        </w:tc>
      </w:tr>
      <w:tr>
        <w:trPr>
          <w:cantSplit/>
        </w:trPr>
        <w:tc>
          <w:tcPr>
            <w:tcW w:type="dxa" w:w="2232"/>
            <w:vAlign w:val="center"/>
            <w:tcMar>
              <w:top w:w="55" w:type="dxa"/>
              <w:bottom w:w="55" w:type="dxa"/>
              <w:start w:w="65" w:type="dxa"/>
              <w:end w:w="65" w:type="dxa"/>
            </w:tcMar>
          </w:tcPr>
          <w:p>
            <w:pPr>
              <w:pStyle w:val="TableText"/>
            </w:pPr>
            <w:r/>
            <w:r>
              <w:rPr>
                <w:b w:val="0"/>
              </w:rPr>
              <w:t>BP-H + DM</w:t>
            </w:r>
          </w:p>
        </w:tc>
        <w:tc>
          <w:tcPr>
            <w:tcW w:type="dxa" w:w="4680"/>
            <w:vAlign w:val="center"/>
            <w:tcMar>
              <w:top w:w="55" w:type="dxa"/>
              <w:bottom w:w="55" w:type="dxa"/>
              <w:start w:w="65" w:type="dxa"/>
              <w:end w:w="65" w:type="dxa"/>
            </w:tcMar>
          </w:tcPr>
          <w:p>
            <w:pPr>
              <w:pStyle w:val="TableText"/>
            </w:pPr>
            <w:r/>
            <w:r>
              <w:rPr>
                <w:b w:val="0"/>
              </w:rPr>
              <w:t>Both are recognized high-risk factors for preeclampsia and can require enhanced maternal and fetal surveillance [2,3,5].</w:t>
            </w:r>
          </w:p>
        </w:tc>
        <w:tc>
          <w:tcPr>
            <w:tcW w:type="dxa" w:w="4608"/>
            <w:vAlign w:val="center"/>
            <w:tcMar>
              <w:top w:w="55" w:type="dxa"/>
              <w:bottom w:w="55" w:type="dxa"/>
              <w:start w:w="65" w:type="dxa"/>
              <w:end w:w="65" w:type="dxa"/>
            </w:tcMar>
          </w:tcPr>
          <w:p>
            <w:pPr>
              <w:pStyle w:val="TableText"/>
            </w:pPr>
            <w:r/>
            <w:r>
              <w:rPr>
                <w:b w:val="0"/>
              </w:rPr>
              <w:t>HIGH with combined medical referral; verify gestational age, symptoms, BP repeat, glucose-care plan, and receiving clinician.</w:t>
            </w:r>
          </w:p>
        </w:tc>
      </w:tr>
      <w:tr>
        <w:trPr>
          <w:cantSplit/>
        </w:trPr>
        <w:tc>
          <w:tcPr>
            <w:tcW w:type="dxa" w:w="2232"/>
            <w:vAlign w:val="center"/>
            <w:tcMar>
              <w:top w:w="55" w:type="dxa"/>
              <w:bottom w:w="55" w:type="dxa"/>
              <w:start w:w="65" w:type="dxa"/>
              <w:end w:w="65" w:type="dxa"/>
            </w:tcMar>
            <w:shd w:fill="EDF4FA"/>
          </w:tcPr>
          <w:p>
            <w:pPr>
              <w:pStyle w:val="TableText"/>
            </w:pPr>
            <w:r/>
            <w:r>
              <w:rPr>
                <w:b w:val="0"/>
              </w:rPr>
              <w:t>BP-H + AN</w:t>
            </w:r>
          </w:p>
        </w:tc>
        <w:tc>
          <w:tcPr>
            <w:tcW w:type="dxa" w:w="4680"/>
            <w:vAlign w:val="center"/>
            <w:tcMar>
              <w:top w:w="55" w:type="dxa"/>
              <w:bottom w:w="55" w:type="dxa"/>
              <w:start w:w="65" w:type="dxa"/>
              <w:end w:w="65" w:type="dxa"/>
            </w:tcMar>
            <w:shd w:fill="EDF4FA"/>
          </w:tcPr>
          <w:p>
            <w:pPr>
              <w:pStyle w:val="TableText"/>
            </w:pPr>
            <w:r/>
            <w:r>
              <w:rPr>
                <w:b w:val="0"/>
              </w:rPr>
              <w:t>Anemia may reduce physiologic reserve while hypertensive disease can increase maternal and placental complications.</w:t>
            </w:r>
          </w:p>
        </w:tc>
        <w:tc>
          <w:tcPr>
            <w:tcW w:type="dxa" w:w="4608"/>
            <w:vAlign w:val="center"/>
            <w:tcMar>
              <w:top w:w="55" w:type="dxa"/>
              <w:bottom w:w="55" w:type="dxa"/>
              <w:start w:w="65" w:type="dxa"/>
              <w:end w:w="65" w:type="dxa"/>
            </w:tcMar>
            <w:shd w:fill="EDF4FA"/>
          </w:tcPr>
          <w:p>
            <w:pPr>
              <w:pStyle w:val="TableText"/>
            </w:pPr>
            <w:r/>
            <w:r>
              <w:rPr>
                <w:b w:val="0"/>
              </w:rPr>
              <w:t>HIGH; prompt evaluation of both conditions. Do not infer a single shared cause.</w:t>
            </w:r>
          </w:p>
        </w:tc>
      </w:tr>
      <w:tr>
        <w:trPr>
          <w:cantSplit/>
        </w:trPr>
        <w:tc>
          <w:tcPr>
            <w:tcW w:type="dxa" w:w="2232"/>
            <w:vAlign w:val="center"/>
            <w:tcMar>
              <w:top w:w="55" w:type="dxa"/>
              <w:bottom w:w="55" w:type="dxa"/>
              <w:start w:w="65" w:type="dxa"/>
              <w:end w:w="65" w:type="dxa"/>
            </w:tcMar>
          </w:tcPr>
          <w:p>
            <w:pPr>
              <w:pStyle w:val="TableText"/>
            </w:pPr>
            <w:r/>
            <w:r>
              <w:rPr>
                <w:b w:val="0"/>
              </w:rPr>
              <w:t>BP-H + low fluid</w:t>
            </w:r>
          </w:p>
        </w:tc>
        <w:tc>
          <w:tcPr>
            <w:tcW w:type="dxa" w:w="4680"/>
            <w:vAlign w:val="center"/>
            <w:tcMar>
              <w:top w:w="55" w:type="dxa"/>
              <w:bottom w:w="55" w:type="dxa"/>
              <w:start w:w="65" w:type="dxa"/>
              <w:end w:w="65" w:type="dxa"/>
            </w:tcMar>
          </w:tcPr>
          <w:p>
            <w:pPr>
              <w:pStyle w:val="TableText"/>
            </w:pPr>
            <w:r/>
            <w:r>
              <w:rPr>
                <w:b w:val="0"/>
              </w:rPr>
              <w:t>May suggest placental dysfunction or fetal-growth concern, but categorical inputs cannot establish this diagnosis.</w:t>
            </w:r>
          </w:p>
        </w:tc>
        <w:tc>
          <w:tcPr>
            <w:tcW w:type="dxa" w:w="4608"/>
            <w:vAlign w:val="center"/>
            <w:tcMar>
              <w:top w:w="55" w:type="dxa"/>
              <w:bottom w:w="55" w:type="dxa"/>
              <w:start w:w="65" w:type="dxa"/>
              <w:end w:w="65" w:type="dxa"/>
            </w:tcMar>
          </w:tcPr>
          <w:p>
            <w:pPr>
              <w:pStyle w:val="TableText"/>
            </w:pPr>
            <w:r/>
            <w:r>
              <w:rPr>
                <w:b w:val="0"/>
              </w:rPr>
              <w:t>HIGH; prompt obstetric review of BP, growth, fluid measurement, Doppler/report, and symptoms.</w:t>
            </w:r>
          </w:p>
        </w:tc>
      </w:tr>
      <w:tr>
        <w:trPr>
          <w:cantSplit/>
        </w:trPr>
        <w:tc>
          <w:tcPr>
            <w:tcW w:type="dxa" w:w="2232"/>
            <w:vAlign w:val="center"/>
            <w:tcMar>
              <w:top w:w="55" w:type="dxa"/>
              <w:bottom w:w="55" w:type="dxa"/>
              <w:start w:w="65" w:type="dxa"/>
              <w:end w:w="65" w:type="dxa"/>
            </w:tcMar>
            <w:shd w:fill="EDF4FA"/>
          </w:tcPr>
          <w:p>
            <w:pPr>
              <w:pStyle w:val="TableText"/>
            </w:pPr>
            <w:r/>
            <w:r>
              <w:rPr>
                <w:b w:val="0"/>
              </w:rPr>
              <w:t>BP-H/BP-S + FH</w:t>
            </w:r>
          </w:p>
        </w:tc>
        <w:tc>
          <w:tcPr>
            <w:tcW w:type="dxa" w:w="4680"/>
            <w:vAlign w:val="center"/>
            <w:tcMar>
              <w:top w:w="55" w:type="dxa"/>
              <w:bottom w:w="55" w:type="dxa"/>
              <w:start w:w="65" w:type="dxa"/>
              <w:end w:w="65" w:type="dxa"/>
            </w:tcMar>
            <w:shd w:fill="EDF4FA"/>
          </w:tcPr>
          <w:p>
            <w:pPr>
              <w:pStyle w:val="TableText"/>
            </w:pPr>
            <w:r/>
            <w:r>
              <w:rPr>
                <w:b w:val="0"/>
              </w:rPr>
              <w:t>A maternal BP concern plus a fetal cardiac warning raises urgency.</w:t>
            </w:r>
          </w:p>
        </w:tc>
        <w:tc>
          <w:tcPr>
            <w:tcW w:type="dxa" w:w="4608"/>
            <w:vAlign w:val="center"/>
            <w:tcMar>
              <w:top w:w="55" w:type="dxa"/>
              <w:bottom w:w="55" w:type="dxa"/>
              <w:start w:w="65" w:type="dxa"/>
              <w:end w:w="65" w:type="dxa"/>
            </w:tcMar>
            <w:shd w:fill="EDF4FA"/>
          </w:tcPr>
          <w:p>
            <w:pPr>
              <w:pStyle w:val="TableText"/>
            </w:pPr>
            <w:r/>
            <w:r>
              <w:rPr>
                <w:b w:val="0"/>
              </w:rPr>
              <w:t>HIGH; BP-S or current fetal concern activates urgent assessment. Do not interpret fetal-monitoring category.</w:t>
            </w:r>
          </w:p>
        </w:tc>
      </w:tr>
      <w:tr>
        <w:trPr>
          <w:cantSplit/>
        </w:trPr>
        <w:tc>
          <w:tcPr>
            <w:tcW w:type="dxa" w:w="2232"/>
            <w:vAlign w:val="center"/>
            <w:tcMar>
              <w:top w:w="55" w:type="dxa"/>
              <w:bottom w:w="55" w:type="dxa"/>
              <w:start w:w="65" w:type="dxa"/>
              <w:end w:w="65" w:type="dxa"/>
            </w:tcMar>
          </w:tcPr>
          <w:p>
            <w:pPr>
              <w:pStyle w:val="TableText"/>
            </w:pPr>
            <w:r/>
            <w:r>
              <w:rPr>
                <w:b w:val="0"/>
              </w:rPr>
              <w:t>BP-H + high fluid</w:t>
            </w:r>
          </w:p>
        </w:tc>
        <w:tc>
          <w:tcPr>
            <w:tcW w:type="dxa" w:w="4680"/>
            <w:vAlign w:val="center"/>
            <w:tcMar>
              <w:top w:w="55" w:type="dxa"/>
              <w:bottom w:w="55" w:type="dxa"/>
              <w:start w:w="65" w:type="dxa"/>
              <w:end w:w="65" w:type="dxa"/>
            </w:tcMar>
          </w:tcPr>
          <w:p>
            <w:pPr>
              <w:pStyle w:val="TableText"/>
            </w:pPr>
            <w:r/>
            <w:r>
              <w:rPr>
                <w:b w:val="0"/>
              </w:rPr>
              <w:t>Both require review, but high fluid is not a classic consequence of hypertension and may indicate another cause.</w:t>
            </w:r>
          </w:p>
        </w:tc>
        <w:tc>
          <w:tcPr>
            <w:tcW w:type="dxa" w:w="4608"/>
            <w:vAlign w:val="center"/>
            <w:tcMar>
              <w:top w:w="55" w:type="dxa"/>
              <w:bottom w:w="55" w:type="dxa"/>
              <w:start w:w="65" w:type="dxa"/>
              <w:end w:w="65" w:type="dxa"/>
            </w:tcMar>
          </w:tcPr>
          <w:p>
            <w:pPr>
              <w:pStyle w:val="TableText"/>
            </w:pPr>
            <w:r/>
            <w:r>
              <w:rPr>
                <w:b w:val="0"/>
              </w:rPr>
              <w:t>HIGH; preserve separate reasons and avoid causal wording.</w:t>
            </w:r>
          </w:p>
        </w:tc>
      </w:tr>
    </w:tbl>
    <w:p>
      <w:pPr>
        <w:spacing w:after="20"/>
      </w:pPr>
    </w:p>
    <w:p>
      <w:pPr>
        <w:pStyle w:val="Heading2"/>
      </w:pPr>
      <w:r>
        <w:t>6.3 Diabetes with ultrasound findings</w:t>
      </w:r>
    </w:p>
    <w:p>
      <w:r>
        <w:t>NICE recommends serial ultrasound monitoring of fetal growth and amniotic-fluid volume for women with diabetes at 28, 32, and 36 weeks and provides diabetes-specific birth planning [5]. This supports an interaction flag when diabetes coexists with abnormal fluid or presentation, while not allowing the CDSS to infer macrosomia, fetal anomaly, or delivery timing.</w:t>
      </w:r>
    </w:p>
    <w:tbl>
      <w:tblPr>
        <w:tblStyle w:val="TableGrid"/>
        <w:tblW w:type="auto" w:w="0"/>
        <w:jc w:val="center"/>
        <w:tblLook w:firstColumn="1" w:firstRow="1" w:lastColumn="0" w:lastRow="0" w:noHBand="0" w:noVBand="1" w:val="04A0"/>
      </w:tblPr>
      <w:tblGrid>
        <w:gridCol w:w="3427"/>
        <w:gridCol w:w="3427"/>
        <w:gridCol w:w="3427"/>
      </w:tblGrid>
      <w:tr>
        <w:trPr>
          <w:tblHeader w:val="true"/>
          <w:cantSplit/>
        </w:trPr>
        <w:tc>
          <w:tcPr>
            <w:tcW w:type="dxa" w:w="2232"/>
            <w:vAlign w:val="center"/>
            <w:tcMar>
              <w:top w:w="55" w:type="dxa"/>
              <w:bottom w:w="55" w:type="dxa"/>
              <w:start w:w="65" w:type="dxa"/>
              <w:end w:w="65" w:type="dxa"/>
            </w:tcMar>
            <w:shd w:fill="17365D"/>
          </w:tcPr>
          <w:p>
            <w:pPr>
              <w:pStyle w:val="TableHeader"/>
            </w:pPr>
            <w:r/>
            <w:r>
              <w:rPr>
                <w:b/>
                <w:color w:val="FFFFFF"/>
              </w:rPr>
              <w:t>Combination</w:t>
            </w:r>
          </w:p>
        </w:tc>
        <w:tc>
          <w:tcPr>
            <w:tcW w:type="dxa" w:w="4680"/>
            <w:vAlign w:val="center"/>
            <w:tcMar>
              <w:top w:w="55" w:type="dxa"/>
              <w:bottom w:w="55" w:type="dxa"/>
              <w:start w:w="65" w:type="dxa"/>
              <w:end w:w="65" w:type="dxa"/>
            </w:tcMar>
            <w:shd w:fill="17365D"/>
          </w:tcPr>
          <w:p>
            <w:pPr>
              <w:pStyle w:val="TableHeader"/>
            </w:pPr>
            <w:r/>
            <w:r>
              <w:rPr>
                <w:b/>
                <w:color w:val="FFFFFF"/>
              </w:rPr>
              <w:t>Clinical significance</w:t>
            </w:r>
          </w:p>
        </w:tc>
        <w:tc>
          <w:tcPr>
            <w:tcW w:type="dxa" w:w="4608"/>
            <w:vAlign w:val="center"/>
            <w:tcMar>
              <w:top w:w="55" w:type="dxa"/>
              <w:bottom w:w="55" w:type="dxa"/>
              <w:start w:w="65" w:type="dxa"/>
              <w:end w:w="65" w:type="dxa"/>
            </w:tcMar>
            <w:shd w:fill="17365D"/>
          </w:tcPr>
          <w:p>
            <w:pPr>
              <w:pStyle w:val="TableHeader"/>
            </w:pPr>
            <w:r/>
            <w:r>
              <w:rPr>
                <w:b/>
                <w:color w:val="FFFFFF"/>
              </w:rPr>
              <w:t>CDSS behavior</w:t>
            </w:r>
          </w:p>
        </w:tc>
      </w:tr>
      <w:tr>
        <w:trPr>
          <w:cantSplit/>
        </w:trPr>
        <w:tc>
          <w:tcPr>
            <w:tcW w:type="dxa" w:w="2232"/>
            <w:vAlign w:val="center"/>
            <w:tcMar>
              <w:top w:w="55" w:type="dxa"/>
              <w:bottom w:w="55" w:type="dxa"/>
              <w:start w:w="65" w:type="dxa"/>
              <w:end w:w="65" w:type="dxa"/>
            </w:tcMar>
          </w:tcPr>
          <w:p>
            <w:pPr>
              <w:pStyle w:val="TableText"/>
            </w:pPr>
            <w:r/>
            <w:r>
              <w:rPr>
                <w:b w:val="0"/>
              </w:rPr>
              <w:t>DM + high fluid</w:t>
            </w:r>
          </w:p>
        </w:tc>
        <w:tc>
          <w:tcPr>
            <w:tcW w:type="dxa" w:w="4680"/>
            <w:vAlign w:val="center"/>
            <w:tcMar>
              <w:top w:w="55" w:type="dxa"/>
              <w:bottom w:w="55" w:type="dxa"/>
              <w:start w:w="65" w:type="dxa"/>
              <w:end w:w="65" w:type="dxa"/>
            </w:tcMar>
          </w:tcPr>
          <w:p>
            <w:pPr>
              <w:pStyle w:val="TableText"/>
            </w:pPr>
            <w:r/>
            <w:r>
              <w:rPr>
                <w:b w:val="0"/>
              </w:rPr>
              <w:t>Polyhydramnios can be associated with maternal diabetes, but the system cannot establish cause or severity.</w:t>
            </w:r>
          </w:p>
        </w:tc>
        <w:tc>
          <w:tcPr>
            <w:tcW w:type="dxa" w:w="4608"/>
            <w:vAlign w:val="center"/>
            <w:tcMar>
              <w:top w:w="55" w:type="dxa"/>
              <w:bottom w:w="55" w:type="dxa"/>
              <w:start w:w="65" w:type="dxa"/>
              <w:end w:w="65" w:type="dxa"/>
            </w:tcMar>
          </w:tcPr>
          <w:p>
            <w:pPr>
              <w:pStyle w:val="TableText"/>
            </w:pPr>
            <w:r/>
            <w:r>
              <w:rPr>
                <w:b w:val="0"/>
              </w:rPr>
              <w:t>HIGH; request review of glucose management, fluid measurement, fetal growth/anatomy, and specialist plan.</w:t>
            </w:r>
          </w:p>
        </w:tc>
      </w:tr>
      <w:tr>
        <w:trPr>
          <w:cantSplit/>
        </w:trPr>
        <w:tc>
          <w:tcPr>
            <w:tcW w:type="dxa" w:w="2232"/>
            <w:vAlign w:val="center"/>
            <w:tcMar>
              <w:top w:w="55" w:type="dxa"/>
              <w:bottom w:w="55" w:type="dxa"/>
              <w:start w:w="65" w:type="dxa"/>
              <w:end w:w="65" w:type="dxa"/>
            </w:tcMar>
            <w:shd w:fill="EDF4FA"/>
          </w:tcPr>
          <w:p>
            <w:pPr>
              <w:pStyle w:val="TableText"/>
            </w:pPr>
            <w:r/>
            <w:r>
              <w:rPr>
                <w:b w:val="0"/>
              </w:rPr>
              <w:t>DM + low fluid</w:t>
            </w:r>
          </w:p>
        </w:tc>
        <w:tc>
          <w:tcPr>
            <w:tcW w:type="dxa" w:w="4680"/>
            <w:vAlign w:val="center"/>
            <w:tcMar>
              <w:top w:w="55" w:type="dxa"/>
              <w:bottom w:w="55" w:type="dxa"/>
              <w:start w:w="65" w:type="dxa"/>
              <w:end w:w="65" w:type="dxa"/>
            </w:tcMar>
            <w:shd w:fill="EDF4FA"/>
          </w:tcPr>
          <w:p>
            <w:pPr>
              <w:pStyle w:val="TableText"/>
            </w:pPr>
            <w:r/>
            <w:r>
              <w:rPr>
                <w:b w:val="0"/>
              </w:rPr>
              <w:t>Not a typical simple diabetes pattern and may indicate membrane, placental, growth, medication, or other concerns.</w:t>
            </w:r>
          </w:p>
        </w:tc>
        <w:tc>
          <w:tcPr>
            <w:tcW w:type="dxa" w:w="4608"/>
            <w:vAlign w:val="center"/>
            <w:tcMar>
              <w:top w:w="55" w:type="dxa"/>
              <w:bottom w:w="55" w:type="dxa"/>
              <w:start w:w="65" w:type="dxa"/>
              <w:end w:w="65" w:type="dxa"/>
            </w:tcMar>
            <w:shd w:fill="EDF4FA"/>
          </w:tcPr>
          <w:p>
            <w:pPr>
              <w:pStyle w:val="TableText"/>
            </w:pPr>
            <w:r/>
            <w:r>
              <w:rPr>
                <w:b w:val="0"/>
              </w:rPr>
              <w:t>HIGH; urgentness depends on report, gestational age, symptoms, and clinician assessment.</w:t>
            </w:r>
          </w:p>
        </w:tc>
      </w:tr>
      <w:tr>
        <w:trPr>
          <w:cantSplit/>
        </w:trPr>
        <w:tc>
          <w:tcPr>
            <w:tcW w:type="dxa" w:w="2232"/>
            <w:vAlign w:val="center"/>
            <w:tcMar>
              <w:top w:w="55" w:type="dxa"/>
              <w:bottom w:w="55" w:type="dxa"/>
              <w:start w:w="65" w:type="dxa"/>
              <w:end w:w="65" w:type="dxa"/>
            </w:tcMar>
          </w:tcPr>
          <w:p>
            <w:pPr>
              <w:pStyle w:val="TableText"/>
            </w:pPr>
            <w:r/>
            <w:r>
              <w:rPr>
                <w:b w:val="0"/>
              </w:rPr>
              <w:t>DM + PRES</w:t>
            </w:r>
          </w:p>
        </w:tc>
        <w:tc>
          <w:tcPr>
            <w:tcW w:type="dxa" w:w="4680"/>
            <w:vAlign w:val="center"/>
            <w:tcMar>
              <w:top w:w="55" w:type="dxa"/>
              <w:bottom w:w="55" w:type="dxa"/>
              <w:start w:w="65" w:type="dxa"/>
              <w:end w:w="65" w:type="dxa"/>
            </w:tcMar>
          </w:tcPr>
          <w:p>
            <w:pPr>
              <w:pStyle w:val="TableText"/>
            </w:pPr>
            <w:r/>
            <w:r>
              <w:rPr>
                <w:b w:val="0"/>
              </w:rPr>
              <w:t>Diabetes can affect fetal growth and birth planning; malpresentation independently affects delivery route.</w:t>
            </w:r>
          </w:p>
        </w:tc>
        <w:tc>
          <w:tcPr>
            <w:tcW w:type="dxa" w:w="4608"/>
            <w:vAlign w:val="center"/>
            <w:tcMar>
              <w:top w:w="55" w:type="dxa"/>
              <w:bottom w:w="55" w:type="dxa"/>
              <w:start w:w="65" w:type="dxa"/>
              <w:end w:w="65" w:type="dxa"/>
            </w:tcMar>
          </w:tcPr>
          <w:p>
            <w:pPr>
              <w:pStyle w:val="TableText"/>
            </w:pPr>
            <w:r/>
            <w:r>
              <w:rPr>
                <w:b w:val="0"/>
              </w:rPr>
              <w:t>HIGH; recommend hospital obstetric plan. Do not choose cesarean.</w:t>
            </w:r>
          </w:p>
        </w:tc>
      </w:tr>
      <w:tr>
        <w:trPr>
          <w:cantSplit/>
        </w:trPr>
        <w:tc>
          <w:tcPr>
            <w:tcW w:type="dxa" w:w="2232"/>
            <w:vAlign w:val="center"/>
            <w:tcMar>
              <w:top w:w="55" w:type="dxa"/>
              <w:bottom w:w="55" w:type="dxa"/>
              <w:start w:w="65" w:type="dxa"/>
              <w:end w:w="65" w:type="dxa"/>
            </w:tcMar>
            <w:shd w:fill="EDF4FA"/>
          </w:tcPr>
          <w:p>
            <w:pPr>
              <w:pStyle w:val="TableText"/>
            </w:pPr>
            <w:r/>
            <w:r>
              <w:rPr>
                <w:b w:val="0"/>
              </w:rPr>
              <w:t>DM + FH</w:t>
            </w:r>
          </w:p>
        </w:tc>
        <w:tc>
          <w:tcPr>
            <w:tcW w:type="dxa" w:w="4680"/>
            <w:vAlign w:val="center"/>
            <w:tcMar>
              <w:top w:w="55" w:type="dxa"/>
              <w:bottom w:w="55" w:type="dxa"/>
              <w:start w:w="65" w:type="dxa"/>
              <w:end w:w="65" w:type="dxa"/>
            </w:tcMar>
            <w:shd w:fill="EDF4FA"/>
          </w:tcPr>
          <w:p>
            <w:pPr>
              <w:pStyle w:val="TableText"/>
            </w:pPr>
            <w:r/>
            <w:r>
              <w:rPr>
                <w:b w:val="0"/>
              </w:rPr>
              <w:t>A fetal cardiac warning in a diabetic pregnancy needs prompt qualified review.</w:t>
            </w:r>
          </w:p>
        </w:tc>
        <w:tc>
          <w:tcPr>
            <w:tcW w:type="dxa" w:w="4608"/>
            <w:vAlign w:val="center"/>
            <w:tcMar>
              <w:top w:w="55" w:type="dxa"/>
              <w:bottom w:w="55" w:type="dxa"/>
              <w:start w:w="65" w:type="dxa"/>
              <w:end w:w="65" w:type="dxa"/>
            </w:tcMar>
            <w:shd w:fill="EDF4FA"/>
          </w:tcPr>
          <w:p>
            <w:pPr>
              <w:pStyle w:val="TableText"/>
            </w:pPr>
            <w:r/>
            <w:r>
              <w:rPr>
                <w:b w:val="0"/>
              </w:rPr>
              <w:t>HIGH with urgency based on report and current symptoms; never diagnose fetal compromise.</w:t>
            </w:r>
          </w:p>
        </w:tc>
      </w:tr>
      <w:tr>
        <w:trPr>
          <w:cantSplit/>
        </w:trPr>
        <w:tc>
          <w:tcPr>
            <w:tcW w:type="dxa" w:w="2232"/>
            <w:vAlign w:val="center"/>
            <w:tcMar>
              <w:top w:w="55" w:type="dxa"/>
              <w:bottom w:w="55" w:type="dxa"/>
              <w:start w:w="65" w:type="dxa"/>
              <w:end w:w="65" w:type="dxa"/>
            </w:tcMar>
          </w:tcPr>
          <w:p>
            <w:pPr>
              <w:pStyle w:val="TableText"/>
            </w:pPr>
            <w:r/>
            <w:r>
              <w:rPr>
                <w:b w:val="0"/>
              </w:rPr>
              <w:t>DM + AN</w:t>
            </w:r>
          </w:p>
        </w:tc>
        <w:tc>
          <w:tcPr>
            <w:tcW w:type="dxa" w:w="4680"/>
            <w:vAlign w:val="center"/>
            <w:tcMar>
              <w:top w:w="55" w:type="dxa"/>
              <w:bottom w:w="55" w:type="dxa"/>
              <w:start w:w="65" w:type="dxa"/>
              <w:end w:w="65" w:type="dxa"/>
            </w:tcMar>
          </w:tcPr>
          <w:p>
            <w:pPr>
              <w:pStyle w:val="TableText"/>
            </w:pPr>
            <w:r/>
            <w:r>
              <w:rPr>
                <w:b w:val="0"/>
              </w:rPr>
              <w:t>Two medical conditions may require coordinated care and increase treatment complexity.</w:t>
            </w:r>
          </w:p>
        </w:tc>
        <w:tc>
          <w:tcPr>
            <w:tcW w:type="dxa" w:w="4608"/>
            <w:vAlign w:val="center"/>
            <w:tcMar>
              <w:top w:w="55" w:type="dxa"/>
              <w:bottom w:w="55" w:type="dxa"/>
              <w:start w:w="65" w:type="dxa"/>
              <w:end w:w="65" w:type="dxa"/>
            </w:tcMar>
          </w:tcPr>
          <w:p>
            <w:pPr>
              <w:pStyle w:val="TableText"/>
            </w:pPr>
            <w:r/>
            <w:r>
              <w:rPr>
                <w:b w:val="0"/>
              </w:rPr>
              <w:t>HIGH; combine referral recommendation without assuming anemia is caused by diabetes.</w:t>
            </w:r>
          </w:p>
        </w:tc>
      </w:tr>
    </w:tbl>
    <w:p>
      <w:pPr>
        <w:spacing w:after="20"/>
      </w:pPr>
    </w:p>
    <w:p>
      <w:pPr>
        <w:pStyle w:val="Heading2"/>
      </w:pPr>
      <w:r>
        <w:t>6.4 Anemia with previous cesarean or delivery-related factors</w:t>
      </w:r>
    </w:p>
    <w:tbl>
      <w:tblPr>
        <w:tblStyle w:val="TableGrid"/>
        <w:tblW w:type="auto" w:w="0"/>
        <w:jc w:val="center"/>
        <w:tblLook w:firstColumn="1" w:firstRow="1" w:lastColumn="0" w:lastRow="0" w:noHBand="0" w:noVBand="1" w:val="04A0"/>
      </w:tblPr>
      <w:tblGrid>
        <w:gridCol w:w="3427"/>
        <w:gridCol w:w="3427"/>
        <w:gridCol w:w="3427"/>
      </w:tblGrid>
      <w:tr>
        <w:trPr>
          <w:tblHeader w:val="true"/>
          <w:cantSplit/>
        </w:trPr>
        <w:tc>
          <w:tcPr>
            <w:tcW w:type="dxa" w:w="2232"/>
            <w:vAlign w:val="center"/>
            <w:tcMar>
              <w:top w:w="55" w:type="dxa"/>
              <w:bottom w:w="55" w:type="dxa"/>
              <w:start w:w="65" w:type="dxa"/>
              <w:end w:w="65" w:type="dxa"/>
            </w:tcMar>
            <w:shd w:fill="17365D"/>
          </w:tcPr>
          <w:p>
            <w:pPr>
              <w:pStyle w:val="TableHeader"/>
            </w:pPr>
            <w:r/>
            <w:r>
              <w:rPr>
                <w:b/>
                <w:color w:val="FFFFFF"/>
              </w:rPr>
              <w:t>Combination</w:t>
            </w:r>
          </w:p>
        </w:tc>
        <w:tc>
          <w:tcPr>
            <w:tcW w:type="dxa" w:w="4680"/>
            <w:vAlign w:val="center"/>
            <w:tcMar>
              <w:top w:w="55" w:type="dxa"/>
              <w:bottom w:w="55" w:type="dxa"/>
              <w:start w:w="65" w:type="dxa"/>
              <w:end w:w="65" w:type="dxa"/>
            </w:tcMar>
            <w:shd w:fill="17365D"/>
          </w:tcPr>
          <w:p>
            <w:pPr>
              <w:pStyle w:val="TableHeader"/>
            </w:pPr>
            <w:r/>
            <w:r>
              <w:rPr>
                <w:b/>
                <w:color w:val="FFFFFF"/>
              </w:rPr>
              <w:t>Clinical significance</w:t>
            </w:r>
          </w:p>
        </w:tc>
        <w:tc>
          <w:tcPr>
            <w:tcW w:type="dxa" w:w="4608"/>
            <w:vAlign w:val="center"/>
            <w:tcMar>
              <w:top w:w="55" w:type="dxa"/>
              <w:bottom w:w="55" w:type="dxa"/>
              <w:start w:w="65" w:type="dxa"/>
              <w:end w:w="65" w:type="dxa"/>
            </w:tcMar>
            <w:shd w:fill="17365D"/>
          </w:tcPr>
          <w:p>
            <w:pPr>
              <w:pStyle w:val="TableHeader"/>
            </w:pPr>
            <w:r/>
            <w:r>
              <w:rPr>
                <w:b/>
                <w:color w:val="FFFFFF"/>
              </w:rPr>
              <w:t>CDSS behavior</w:t>
            </w:r>
          </w:p>
        </w:tc>
      </w:tr>
      <w:tr>
        <w:trPr>
          <w:cantSplit/>
        </w:trPr>
        <w:tc>
          <w:tcPr>
            <w:tcW w:type="dxa" w:w="2232"/>
            <w:vAlign w:val="center"/>
            <w:tcMar>
              <w:top w:w="55" w:type="dxa"/>
              <w:bottom w:w="55" w:type="dxa"/>
              <w:start w:w="65" w:type="dxa"/>
              <w:end w:w="65" w:type="dxa"/>
            </w:tcMar>
          </w:tcPr>
          <w:p>
            <w:pPr>
              <w:pStyle w:val="TableText"/>
            </w:pPr>
            <w:r/>
            <w:r>
              <w:rPr>
                <w:b w:val="0"/>
              </w:rPr>
              <w:t>AN + CS</w:t>
            </w:r>
          </w:p>
        </w:tc>
        <w:tc>
          <w:tcPr>
            <w:tcW w:type="dxa" w:w="4680"/>
            <w:vAlign w:val="center"/>
            <w:tcMar>
              <w:top w:w="55" w:type="dxa"/>
              <w:bottom w:w="55" w:type="dxa"/>
              <w:start w:w="65" w:type="dxa"/>
              <w:end w:w="65" w:type="dxa"/>
            </w:tcMar>
          </w:tcPr>
          <w:p>
            <w:pPr>
              <w:pStyle w:val="TableText"/>
            </w:pPr>
            <w:r/>
            <w:r>
              <w:rPr>
                <w:b w:val="0"/>
              </w:rPr>
              <w:t>Anemia reduces reserve if surgical birth or hemorrhage occurs; previous cesarean may require emergency operative capability.</w:t>
            </w:r>
          </w:p>
        </w:tc>
        <w:tc>
          <w:tcPr>
            <w:tcW w:type="dxa" w:w="4608"/>
            <w:vAlign w:val="center"/>
            <w:tcMar>
              <w:top w:w="55" w:type="dxa"/>
              <w:bottom w:w="55" w:type="dxa"/>
              <w:start w:w="65" w:type="dxa"/>
              <w:end w:w="65" w:type="dxa"/>
            </w:tcMar>
          </w:tcPr>
          <w:p>
            <w:pPr>
              <w:pStyle w:val="TableText"/>
            </w:pPr>
            <w:r/>
            <w:r>
              <w:rPr>
                <w:b w:val="0"/>
              </w:rPr>
              <w:t>HIGH; recommend correction/follow-up of anemia and hospital birth planning with blood availability as clinically indicated.</w:t>
            </w:r>
          </w:p>
        </w:tc>
      </w:tr>
      <w:tr>
        <w:trPr>
          <w:cantSplit/>
        </w:trPr>
        <w:tc>
          <w:tcPr>
            <w:tcW w:type="dxa" w:w="2232"/>
            <w:vAlign w:val="center"/>
            <w:tcMar>
              <w:top w:w="55" w:type="dxa"/>
              <w:bottom w:w="55" w:type="dxa"/>
              <w:start w:w="65" w:type="dxa"/>
              <w:end w:w="65" w:type="dxa"/>
            </w:tcMar>
            <w:shd w:fill="EDF4FA"/>
          </w:tcPr>
          <w:p>
            <w:pPr>
              <w:pStyle w:val="TableText"/>
            </w:pPr>
            <w:r/>
            <w:r>
              <w:rPr>
                <w:b w:val="0"/>
              </w:rPr>
              <w:t>AN + PRES</w:t>
            </w:r>
          </w:p>
        </w:tc>
        <w:tc>
          <w:tcPr>
            <w:tcW w:type="dxa" w:w="4680"/>
            <w:vAlign w:val="center"/>
            <w:tcMar>
              <w:top w:w="55" w:type="dxa"/>
              <w:bottom w:w="55" w:type="dxa"/>
              <w:start w:w="65" w:type="dxa"/>
              <w:end w:w="65" w:type="dxa"/>
            </w:tcMar>
            <w:shd w:fill="EDF4FA"/>
          </w:tcPr>
          <w:p>
            <w:pPr>
              <w:pStyle w:val="TableText"/>
            </w:pPr>
            <w:r/>
            <w:r>
              <w:rPr>
                <w:b w:val="0"/>
              </w:rPr>
              <w:t>Malpresentation may increase likelihood of operative delivery; anemia requires optimization before birth.</w:t>
            </w:r>
          </w:p>
        </w:tc>
        <w:tc>
          <w:tcPr>
            <w:tcW w:type="dxa" w:w="4608"/>
            <w:vAlign w:val="center"/>
            <w:tcMar>
              <w:top w:w="55" w:type="dxa"/>
              <w:bottom w:w="55" w:type="dxa"/>
              <w:start w:w="65" w:type="dxa"/>
              <w:end w:w="65" w:type="dxa"/>
            </w:tcMar>
            <w:shd w:fill="EDF4FA"/>
          </w:tcPr>
          <w:p>
            <w:pPr>
              <w:pStyle w:val="TableText"/>
            </w:pPr>
            <w:r/>
            <w:r>
              <w:rPr>
                <w:b w:val="0"/>
              </w:rPr>
              <w:t>HIGH; combine hematologic review with hospital delivery planning.</w:t>
            </w:r>
          </w:p>
        </w:tc>
      </w:tr>
      <w:tr>
        <w:trPr>
          <w:cantSplit/>
        </w:trPr>
        <w:tc>
          <w:tcPr>
            <w:tcW w:type="dxa" w:w="2232"/>
            <w:vAlign w:val="center"/>
            <w:tcMar>
              <w:top w:w="55" w:type="dxa"/>
              <w:bottom w:w="55" w:type="dxa"/>
              <w:start w:w="65" w:type="dxa"/>
              <w:end w:w="65" w:type="dxa"/>
            </w:tcMar>
          </w:tcPr>
          <w:p>
            <w:pPr>
              <w:pStyle w:val="TableText"/>
            </w:pPr>
            <w:r/>
            <w:r>
              <w:rPr>
                <w:b w:val="0"/>
              </w:rPr>
              <w:t>AN + AF/FH</w:t>
            </w:r>
          </w:p>
        </w:tc>
        <w:tc>
          <w:tcPr>
            <w:tcW w:type="dxa" w:w="4680"/>
            <w:vAlign w:val="center"/>
            <w:tcMar>
              <w:top w:w="55" w:type="dxa"/>
              <w:bottom w:w="55" w:type="dxa"/>
              <w:start w:w="65" w:type="dxa"/>
              <w:end w:w="65" w:type="dxa"/>
            </w:tcMar>
          </w:tcPr>
          <w:p>
            <w:pPr>
              <w:pStyle w:val="TableText"/>
            </w:pPr>
            <w:r/>
            <w:r>
              <w:rPr>
                <w:b w:val="0"/>
              </w:rPr>
              <w:t>Abnormal fetal findings plus reduced maternal reserve require coordinated assessment.</w:t>
            </w:r>
          </w:p>
        </w:tc>
        <w:tc>
          <w:tcPr>
            <w:tcW w:type="dxa" w:w="4608"/>
            <w:vAlign w:val="center"/>
            <w:tcMar>
              <w:top w:w="55" w:type="dxa"/>
              <w:bottom w:w="55" w:type="dxa"/>
              <w:start w:w="65" w:type="dxa"/>
              <w:end w:w="65" w:type="dxa"/>
            </w:tcMar>
          </w:tcPr>
          <w:p>
            <w:pPr>
              <w:pStyle w:val="TableText"/>
            </w:pPr>
            <w:r/>
            <w:r>
              <w:rPr>
                <w:b w:val="0"/>
              </w:rPr>
              <w:t>HIGH; use the most urgent fetal recommendation and retain anemia as a separate reason.</w:t>
            </w:r>
          </w:p>
        </w:tc>
      </w:tr>
      <w:tr>
        <w:trPr>
          <w:cantSplit/>
        </w:trPr>
        <w:tc>
          <w:tcPr>
            <w:tcW w:type="dxa" w:w="2232"/>
            <w:vAlign w:val="center"/>
            <w:tcMar>
              <w:top w:w="55" w:type="dxa"/>
              <w:bottom w:w="55" w:type="dxa"/>
              <w:start w:w="65" w:type="dxa"/>
              <w:end w:w="65" w:type="dxa"/>
            </w:tcMar>
            <w:shd w:fill="EDF4FA"/>
          </w:tcPr>
          <w:p>
            <w:pPr>
              <w:pStyle w:val="TableText"/>
            </w:pPr>
            <w:r/>
            <w:r>
              <w:rPr>
                <w:b w:val="0"/>
              </w:rPr>
              <w:t>AN + BP-S</w:t>
            </w:r>
          </w:p>
        </w:tc>
        <w:tc>
          <w:tcPr>
            <w:tcW w:type="dxa" w:w="4680"/>
            <w:vAlign w:val="center"/>
            <w:tcMar>
              <w:top w:w="55" w:type="dxa"/>
              <w:bottom w:w="55" w:type="dxa"/>
              <w:start w:w="65" w:type="dxa"/>
              <w:end w:w="65" w:type="dxa"/>
            </w:tcMar>
            <w:shd w:fill="EDF4FA"/>
          </w:tcPr>
          <w:p>
            <w:pPr>
              <w:pStyle w:val="TableText"/>
            </w:pPr>
            <w:r/>
            <w:r>
              <w:rPr>
                <w:b w:val="0"/>
              </w:rPr>
              <w:t>Severe BP takes immediate precedence while anemia remains relevant to stabilization and birth planning.</w:t>
            </w:r>
          </w:p>
        </w:tc>
        <w:tc>
          <w:tcPr>
            <w:tcW w:type="dxa" w:w="4608"/>
            <w:vAlign w:val="center"/>
            <w:tcMar>
              <w:top w:w="55" w:type="dxa"/>
              <w:bottom w:w="55" w:type="dxa"/>
              <w:start w:w="65" w:type="dxa"/>
              <w:end w:w="65" w:type="dxa"/>
            </w:tcMar>
            <w:shd w:fill="EDF4FA"/>
          </w:tcPr>
          <w:p>
            <w:pPr>
              <w:pStyle w:val="TableText"/>
            </w:pPr>
            <w:r/>
            <w:r>
              <w:rPr>
                <w:b w:val="0"/>
              </w:rPr>
              <w:t>HIGH + urgent banner; do not delay transfer for routine anemia workup.</w:t>
            </w:r>
          </w:p>
        </w:tc>
      </w:tr>
    </w:tbl>
    <w:p>
      <w:pPr>
        <w:spacing w:after="20"/>
      </w:pPr>
    </w:p>
    <w:p>
      <w:pPr>
        <w:pStyle w:val="Heading2"/>
      </w:pPr>
      <w:r>
        <w:t>6.5 Previous cesarean with ultrasound and age factors</w:t>
      </w:r>
    </w:p>
    <w:p>
      <w:r>
        <w:t>Previous cesarean is the most common clinical risk factor for placenta accreta spectrum, and risk rises with the number of prior cesareans. ACOG identifies placenta previa plus previous cesarean as a particularly important interaction and notes advanced maternal age as an additional risk factor [6]. The current ultrasound fields do not include placental location, so the system cannot detect this interaction directly.</w:t>
      </w:r>
    </w:p>
    <w:tbl>
      <w:tblPr>
        <w:tblStyle w:val="TableGrid"/>
        <w:tblW w:type="auto" w:w="0"/>
        <w:jc w:val="center"/>
        <w:tblLook w:firstColumn="1" w:firstRow="1" w:lastColumn="0" w:lastRow="0" w:noHBand="0" w:noVBand="1" w:val="04A0"/>
      </w:tblPr>
      <w:tblGrid>
        <w:gridCol w:w="3427"/>
        <w:gridCol w:w="3427"/>
        <w:gridCol w:w="3427"/>
      </w:tblGrid>
      <w:tr>
        <w:trPr>
          <w:tblHeader w:val="true"/>
          <w:cantSplit/>
        </w:trPr>
        <w:tc>
          <w:tcPr>
            <w:tcW w:type="dxa" w:w="2232"/>
            <w:vAlign w:val="center"/>
            <w:tcMar>
              <w:top w:w="55" w:type="dxa"/>
              <w:bottom w:w="55" w:type="dxa"/>
              <w:start w:w="65" w:type="dxa"/>
              <w:end w:w="65" w:type="dxa"/>
            </w:tcMar>
            <w:shd w:fill="17365D"/>
          </w:tcPr>
          <w:p>
            <w:pPr>
              <w:pStyle w:val="TableHeader"/>
            </w:pPr>
            <w:r/>
            <w:r>
              <w:rPr>
                <w:b/>
                <w:color w:val="FFFFFF"/>
              </w:rPr>
              <w:t>Combination</w:t>
            </w:r>
          </w:p>
        </w:tc>
        <w:tc>
          <w:tcPr>
            <w:tcW w:type="dxa" w:w="4680"/>
            <w:vAlign w:val="center"/>
            <w:tcMar>
              <w:top w:w="55" w:type="dxa"/>
              <w:bottom w:w="55" w:type="dxa"/>
              <w:start w:w="65" w:type="dxa"/>
              <w:end w:w="65" w:type="dxa"/>
            </w:tcMar>
            <w:shd w:fill="17365D"/>
          </w:tcPr>
          <w:p>
            <w:pPr>
              <w:pStyle w:val="TableHeader"/>
            </w:pPr>
            <w:r/>
            <w:r>
              <w:rPr>
                <w:b/>
                <w:color w:val="FFFFFF"/>
              </w:rPr>
              <w:t>Clinical significance</w:t>
            </w:r>
          </w:p>
        </w:tc>
        <w:tc>
          <w:tcPr>
            <w:tcW w:type="dxa" w:w="4608"/>
            <w:vAlign w:val="center"/>
            <w:tcMar>
              <w:top w:w="55" w:type="dxa"/>
              <w:bottom w:w="55" w:type="dxa"/>
              <w:start w:w="65" w:type="dxa"/>
              <w:end w:w="65" w:type="dxa"/>
            </w:tcMar>
            <w:shd w:fill="17365D"/>
          </w:tcPr>
          <w:p>
            <w:pPr>
              <w:pStyle w:val="TableHeader"/>
            </w:pPr>
            <w:r/>
            <w:r>
              <w:rPr>
                <w:b/>
                <w:color w:val="FFFFFF"/>
              </w:rPr>
              <w:t>CDSS behavior</w:t>
            </w:r>
          </w:p>
        </w:tc>
      </w:tr>
      <w:tr>
        <w:trPr>
          <w:cantSplit/>
        </w:trPr>
        <w:tc>
          <w:tcPr>
            <w:tcW w:type="dxa" w:w="2232"/>
            <w:vAlign w:val="center"/>
            <w:tcMar>
              <w:top w:w="55" w:type="dxa"/>
              <w:bottom w:w="55" w:type="dxa"/>
              <w:start w:w="65" w:type="dxa"/>
              <w:end w:w="65" w:type="dxa"/>
            </w:tcMar>
          </w:tcPr>
          <w:p>
            <w:pPr>
              <w:pStyle w:val="TableText"/>
            </w:pPr>
            <w:r/>
            <w:r>
              <w:rPr>
                <w:b w:val="0"/>
              </w:rPr>
              <w:t>CS + PRES</w:t>
            </w:r>
          </w:p>
        </w:tc>
        <w:tc>
          <w:tcPr>
            <w:tcW w:type="dxa" w:w="4680"/>
            <w:vAlign w:val="center"/>
            <w:tcMar>
              <w:top w:w="55" w:type="dxa"/>
              <w:bottom w:w="55" w:type="dxa"/>
              <w:start w:w="65" w:type="dxa"/>
              <w:end w:w="65" w:type="dxa"/>
            </w:tcMar>
          </w:tcPr>
          <w:p>
            <w:pPr>
              <w:pStyle w:val="TableText"/>
            </w:pPr>
            <w:r/>
            <w:r>
              <w:rPr>
                <w:b w:val="0"/>
              </w:rPr>
              <w:t>A uterine scar plus non-cephalic presentation requires individualized hospital birth planning.</w:t>
            </w:r>
          </w:p>
        </w:tc>
        <w:tc>
          <w:tcPr>
            <w:tcW w:type="dxa" w:w="4608"/>
            <w:vAlign w:val="center"/>
            <w:tcMar>
              <w:top w:w="55" w:type="dxa"/>
              <w:bottom w:w="55" w:type="dxa"/>
              <w:start w:w="65" w:type="dxa"/>
              <w:end w:w="65" w:type="dxa"/>
            </w:tcMar>
          </w:tcPr>
          <w:p>
            <w:pPr>
              <w:pStyle w:val="TableText"/>
            </w:pPr>
            <w:r/>
            <w:r>
              <w:rPr>
                <w:b w:val="0"/>
              </w:rPr>
              <w:t>HIGH; confirm obstetric referral and delivery facility. Do not determine VBAC or cesarean.</w:t>
            </w:r>
          </w:p>
        </w:tc>
      </w:tr>
      <w:tr>
        <w:trPr>
          <w:cantSplit/>
        </w:trPr>
        <w:tc>
          <w:tcPr>
            <w:tcW w:type="dxa" w:w="2232"/>
            <w:vAlign w:val="center"/>
            <w:tcMar>
              <w:top w:w="55" w:type="dxa"/>
              <w:bottom w:w="55" w:type="dxa"/>
              <w:start w:w="65" w:type="dxa"/>
              <w:end w:w="65" w:type="dxa"/>
            </w:tcMar>
            <w:shd w:fill="EDF4FA"/>
          </w:tcPr>
          <w:p>
            <w:pPr>
              <w:pStyle w:val="TableText"/>
            </w:pPr>
            <w:r/>
            <w:r>
              <w:rPr>
                <w:b w:val="0"/>
              </w:rPr>
              <w:t>CS + AF/FH</w:t>
            </w:r>
          </w:p>
        </w:tc>
        <w:tc>
          <w:tcPr>
            <w:tcW w:type="dxa" w:w="4680"/>
            <w:vAlign w:val="center"/>
            <w:tcMar>
              <w:top w:w="55" w:type="dxa"/>
              <w:bottom w:w="55" w:type="dxa"/>
              <w:start w:w="65" w:type="dxa"/>
              <w:end w:w="65" w:type="dxa"/>
            </w:tcMar>
            <w:shd w:fill="EDF4FA"/>
          </w:tcPr>
          <w:p>
            <w:pPr>
              <w:pStyle w:val="TableText"/>
            </w:pPr>
            <w:r/>
            <w:r>
              <w:rPr>
                <w:b w:val="0"/>
              </w:rPr>
              <w:t>An abnormal fetal finding may alter timing or urgency in a scarred uterus.</w:t>
            </w:r>
          </w:p>
        </w:tc>
        <w:tc>
          <w:tcPr>
            <w:tcW w:type="dxa" w:w="4608"/>
            <w:vAlign w:val="center"/>
            <w:tcMar>
              <w:top w:w="55" w:type="dxa"/>
              <w:bottom w:w="55" w:type="dxa"/>
              <w:start w:w="65" w:type="dxa"/>
              <w:end w:w="65" w:type="dxa"/>
            </w:tcMar>
            <w:shd w:fill="EDF4FA"/>
          </w:tcPr>
          <w:p>
            <w:pPr>
              <w:pStyle w:val="TableText"/>
            </w:pPr>
            <w:r/>
            <w:r>
              <w:rPr>
                <w:b w:val="0"/>
              </w:rPr>
              <w:t>HIGH; prompt hospital review and use urgent banner for significant cardiac concern.</w:t>
            </w:r>
          </w:p>
        </w:tc>
      </w:tr>
      <w:tr>
        <w:trPr>
          <w:cantSplit/>
        </w:trPr>
        <w:tc>
          <w:tcPr>
            <w:tcW w:type="dxa" w:w="2232"/>
            <w:vAlign w:val="center"/>
            <w:tcMar>
              <w:top w:w="55" w:type="dxa"/>
              <w:bottom w:w="55" w:type="dxa"/>
              <w:start w:w="65" w:type="dxa"/>
              <w:end w:w="65" w:type="dxa"/>
            </w:tcMar>
          </w:tcPr>
          <w:p>
            <w:pPr>
              <w:pStyle w:val="TableText"/>
            </w:pPr>
            <w:r/>
            <w:r>
              <w:rPr>
                <w:b w:val="0"/>
              </w:rPr>
              <w:t>CS + AGE-A</w:t>
            </w:r>
          </w:p>
        </w:tc>
        <w:tc>
          <w:tcPr>
            <w:tcW w:type="dxa" w:w="4680"/>
            <w:vAlign w:val="center"/>
            <w:tcMar>
              <w:top w:w="55" w:type="dxa"/>
              <w:bottom w:w="55" w:type="dxa"/>
              <w:start w:w="65" w:type="dxa"/>
              <w:end w:w="65" w:type="dxa"/>
            </w:tcMar>
          </w:tcPr>
          <w:p>
            <w:pPr>
              <w:pStyle w:val="TableText"/>
            </w:pPr>
            <w:r/>
            <w:r>
              <w:rPr>
                <w:b w:val="0"/>
              </w:rPr>
              <w:t>Age and prior surgery may increase complexity, but neither alone proves a specific delivery method.</w:t>
            </w:r>
          </w:p>
        </w:tc>
        <w:tc>
          <w:tcPr>
            <w:tcW w:type="dxa" w:w="4608"/>
            <w:vAlign w:val="center"/>
            <w:tcMar>
              <w:top w:w="55" w:type="dxa"/>
              <w:bottom w:w="55" w:type="dxa"/>
              <w:start w:w="65" w:type="dxa"/>
              <w:end w:w="65" w:type="dxa"/>
            </w:tcMar>
          </w:tcPr>
          <w:p>
            <w:pPr>
              <w:pStyle w:val="TableText"/>
            </w:pPr>
            <w:r/>
            <w:r>
              <w:rPr>
                <w:b w:val="0"/>
              </w:rPr>
              <w:t>HIGH; show both factors without recommending elective cesarean.</w:t>
            </w:r>
          </w:p>
        </w:tc>
      </w:tr>
      <w:tr>
        <w:trPr>
          <w:cantSplit/>
        </w:trPr>
        <w:tc>
          <w:tcPr>
            <w:tcW w:type="dxa" w:w="2232"/>
            <w:vAlign w:val="center"/>
            <w:tcMar>
              <w:top w:w="55" w:type="dxa"/>
              <w:bottom w:w="55" w:type="dxa"/>
              <w:start w:w="65" w:type="dxa"/>
              <w:end w:w="65" w:type="dxa"/>
            </w:tcMar>
            <w:shd w:fill="EDF4FA"/>
          </w:tcPr>
          <w:p>
            <w:pPr>
              <w:pStyle w:val="TableText"/>
            </w:pPr>
            <w:r/>
            <w:r>
              <w:rPr>
                <w:b w:val="0"/>
              </w:rPr>
              <w:t>CS + placenta previa (future field)</w:t>
            </w:r>
          </w:p>
        </w:tc>
        <w:tc>
          <w:tcPr>
            <w:tcW w:type="dxa" w:w="4680"/>
            <w:vAlign w:val="center"/>
            <w:tcMar>
              <w:top w:w="55" w:type="dxa"/>
              <w:bottom w:w="55" w:type="dxa"/>
              <w:start w:w="65" w:type="dxa"/>
              <w:end w:w="65" w:type="dxa"/>
            </w:tcMar>
            <w:shd w:fill="EDF4FA"/>
          </w:tcPr>
          <w:p>
            <w:pPr>
              <w:pStyle w:val="TableText"/>
            </w:pPr>
            <w:r/>
            <w:r>
              <w:rPr>
                <w:b w:val="0"/>
              </w:rPr>
              <w:t>This combination markedly increases placenta accreta spectrum risk and requires expert imaging and high-level facility care [6].</w:t>
            </w:r>
          </w:p>
        </w:tc>
        <w:tc>
          <w:tcPr>
            <w:tcW w:type="dxa" w:w="4608"/>
            <w:vAlign w:val="center"/>
            <w:tcMar>
              <w:top w:w="55" w:type="dxa"/>
              <w:bottom w:w="55" w:type="dxa"/>
              <w:start w:w="65" w:type="dxa"/>
              <w:end w:w="65" w:type="dxa"/>
            </w:tcMar>
            <w:shd w:fill="EDF4FA"/>
          </w:tcPr>
          <w:p>
            <w:pPr>
              <w:pStyle w:val="TableText"/>
            </w:pPr>
            <w:r/>
            <w:r>
              <w:rPr>
                <w:b w:val="0"/>
              </w:rPr>
              <w:t>Future critical interaction alert; not currently computable from existing fields.</w:t>
            </w:r>
          </w:p>
        </w:tc>
      </w:tr>
      <w:tr>
        <w:trPr>
          <w:cantSplit/>
        </w:trPr>
        <w:tc>
          <w:tcPr>
            <w:tcW w:type="dxa" w:w="2232"/>
            <w:vAlign w:val="center"/>
            <w:tcMar>
              <w:top w:w="55" w:type="dxa"/>
              <w:bottom w:w="55" w:type="dxa"/>
              <w:start w:w="65" w:type="dxa"/>
              <w:end w:w="65" w:type="dxa"/>
            </w:tcMar>
          </w:tcPr>
          <w:p>
            <w:pPr>
              <w:pStyle w:val="TableText"/>
            </w:pPr>
            <w:r/>
            <w:r>
              <w:rPr>
                <w:b w:val="0"/>
              </w:rPr>
              <w:t>CS + AN</w:t>
            </w:r>
          </w:p>
        </w:tc>
        <w:tc>
          <w:tcPr>
            <w:tcW w:type="dxa" w:w="4680"/>
            <w:vAlign w:val="center"/>
            <w:tcMar>
              <w:top w:w="55" w:type="dxa"/>
              <w:bottom w:w="55" w:type="dxa"/>
              <w:start w:w="65" w:type="dxa"/>
              <w:end w:w="65" w:type="dxa"/>
            </w:tcMar>
          </w:tcPr>
          <w:p>
            <w:pPr>
              <w:pStyle w:val="TableText"/>
            </w:pPr>
            <w:r/>
            <w:r>
              <w:rPr>
                <w:b w:val="0"/>
              </w:rPr>
              <w:t>Potential surgical/hemorrhage needs make anemia optimization and blood availability important.</w:t>
            </w:r>
          </w:p>
        </w:tc>
        <w:tc>
          <w:tcPr>
            <w:tcW w:type="dxa" w:w="4608"/>
            <w:vAlign w:val="center"/>
            <w:tcMar>
              <w:top w:w="55" w:type="dxa"/>
              <w:bottom w:w="55" w:type="dxa"/>
              <w:start w:w="65" w:type="dxa"/>
              <w:end w:w="65" w:type="dxa"/>
            </w:tcMar>
          </w:tcPr>
          <w:p>
            <w:pPr>
              <w:pStyle w:val="TableText"/>
            </w:pPr>
            <w:r/>
            <w:r>
              <w:rPr>
                <w:b w:val="0"/>
              </w:rPr>
              <w:t>HIGH; combined hospital and anemia-management plan.</w:t>
            </w:r>
          </w:p>
        </w:tc>
      </w:tr>
    </w:tbl>
    <w:p>
      <w:pPr>
        <w:spacing w:after="20"/>
      </w:pPr>
    </w:p>
    <w:p>
      <w:pPr>
        <w:pStyle w:val="Heading2"/>
      </w:pPr>
      <w:r>
        <w:t>6.6 Recurrent miscarriage with current medical or ultrasound factors</w:t>
      </w:r>
    </w:p>
    <w:tbl>
      <w:tblPr>
        <w:tblStyle w:val="TableGrid"/>
        <w:tblW w:type="auto" w:w="0"/>
        <w:jc w:val="center"/>
        <w:tblLook w:firstColumn="1" w:firstRow="1" w:lastColumn="0" w:lastRow="0" w:noHBand="0" w:noVBand="1" w:val="04A0"/>
      </w:tblPr>
      <w:tblGrid>
        <w:gridCol w:w="3427"/>
        <w:gridCol w:w="3427"/>
        <w:gridCol w:w="3427"/>
      </w:tblGrid>
      <w:tr>
        <w:trPr>
          <w:tblHeader w:val="true"/>
          <w:cantSplit/>
        </w:trPr>
        <w:tc>
          <w:tcPr>
            <w:tcW w:type="dxa" w:w="2232"/>
            <w:vAlign w:val="center"/>
            <w:tcMar>
              <w:top w:w="55" w:type="dxa"/>
              <w:bottom w:w="55" w:type="dxa"/>
              <w:start w:w="65" w:type="dxa"/>
              <w:end w:w="65" w:type="dxa"/>
            </w:tcMar>
            <w:shd w:fill="17365D"/>
          </w:tcPr>
          <w:p>
            <w:pPr>
              <w:pStyle w:val="TableHeader"/>
            </w:pPr>
            <w:r/>
            <w:r>
              <w:rPr>
                <w:b/>
                <w:color w:val="FFFFFF"/>
              </w:rPr>
              <w:t>Combination</w:t>
            </w:r>
          </w:p>
        </w:tc>
        <w:tc>
          <w:tcPr>
            <w:tcW w:type="dxa" w:w="4680"/>
            <w:vAlign w:val="center"/>
            <w:tcMar>
              <w:top w:w="55" w:type="dxa"/>
              <w:bottom w:w="55" w:type="dxa"/>
              <w:start w:w="65" w:type="dxa"/>
              <w:end w:w="65" w:type="dxa"/>
            </w:tcMar>
            <w:shd w:fill="17365D"/>
          </w:tcPr>
          <w:p>
            <w:pPr>
              <w:pStyle w:val="TableHeader"/>
            </w:pPr>
            <w:r/>
            <w:r>
              <w:rPr>
                <w:b/>
                <w:color w:val="FFFFFF"/>
              </w:rPr>
              <w:t>Clinical significance</w:t>
            </w:r>
          </w:p>
        </w:tc>
        <w:tc>
          <w:tcPr>
            <w:tcW w:type="dxa" w:w="4608"/>
            <w:vAlign w:val="center"/>
            <w:tcMar>
              <w:top w:w="55" w:type="dxa"/>
              <w:bottom w:w="55" w:type="dxa"/>
              <w:start w:w="65" w:type="dxa"/>
              <w:end w:w="65" w:type="dxa"/>
            </w:tcMar>
            <w:shd w:fill="17365D"/>
          </w:tcPr>
          <w:p>
            <w:pPr>
              <w:pStyle w:val="TableHeader"/>
            </w:pPr>
            <w:r/>
            <w:r>
              <w:rPr>
                <w:b/>
                <w:color w:val="FFFFFF"/>
              </w:rPr>
              <w:t>CDSS behavior</w:t>
            </w:r>
          </w:p>
        </w:tc>
      </w:tr>
      <w:tr>
        <w:trPr>
          <w:cantSplit/>
        </w:trPr>
        <w:tc>
          <w:tcPr>
            <w:tcW w:type="dxa" w:w="2232"/>
            <w:vAlign w:val="center"/>
            <w:tcMar>
              <w:top w:w="55" w:type="dxa"/>
              <w:bottom w:w="55" w:type="dxa"/>
              <w:start w:w="65" w:type="dxa"/>
              <w:end w:w="65" w:type="dxa"/>
            </w:tcMar>
          </w:tcPr>
          <w:p>
            <w:pPr>
              <w:pStyle w:val="TableText"/>
            </w:pPr>
            <w:r/>
            <w:r>
              <w:rPr>
                <w:b w:val="0"/>
              </w:rPr>
              <w:t>RM + AGE-A</w:t>
            </w:r>
          </w:p>
        </w:tc>
        <w:tc>
          <w:tcPr>
            <w:tcW w:type="dxa" w:w="4680"/>
            <w:vAlign w:val="center"/>
            <w:tcMar>
              <w:top w:w="55" w:type="dxa"/>
              <w:bottom w:w="55" w:type="dxa"/>
              <w:start w:w="65" w:type="dxa"/>
              <w:end w:w="65" w:type="dxa"/>
            </w:tcMar>
          </w:tcPr>
          <w:p>
            <w:pPr>
              <w:pStyle w:val="TableText"/>
            </w:pPr>
            <w:r/>
            <w:r>
              <w:rPr>
                <w:b w:val="0"/>
              </w:rPr>
              <w:t>Age influences miscarriage risk and may affect genetic counseling, but the system cannot assign cause.</w:t>
            </w:r>
          </w:p>
        </w:tc>
        <w:tc>
          <w:tcPr>
            <w:tcW w:type="dxa" w:w="4608"/>
            <w:vAlign w:val="center"/>
            <w:tcMar>
              <w:top w:w="55" w:type="dxa"/>
              <w:bottom w:w="55" w:type="dxa"/>
              <w:start w:w="65" w:type="dxa"/>
              <w:end w:w="65" w:type="dxa"/>
            </w:tcMar>
          </w:tcPr>
          <w:p>
            <w:pPr>
              <w:pStyle w:val="TableText"/>
            </w:pPr>
            <w:r/>
            <w:r>
              <w:rPr>
                <w:b w:val="0"/>
              </w:rPr>
              <w:t>HIGH; recommend specialist review and trauma-informed explanation.</w:t>
            </w:r>
          </w:p>
        </w:tc>
      </w:tr>
      <w:tr>
        <w:trPr>
          <w:cantSplit/>
        </w:trPr>
        <w:tc>
          <w:tcPr>
            <w:tcW w:type="dxa" w:w="2232"/>
            <w:vAlign w:val="center"/>
            <w:tcMar>
              <w:top w:w="55" w:type="dxa"/>
              <w:bottom w:w="55" w:type="dxa"/>
              <w:start w:w="65" w:type="dxa"/>
              <w:end w:w="65" w:type="dxa"/>
            </w:tcMar>
            <w:shd w:fill="EDF4FA"/>
          </w:tcPr>
          <w:p>
            <w:pPr>
              <w:pStyle w:val="TableText"/>
            </w:pPr>
            <w:r/>
            <w:r>
              <w:rPr>
                <w:b w:val="0"/>
              </w:rPr>
              <w:t>RM + DM/BP</w:t>
            </w:r>
          </w:p>
        </w:tc>
        <w:tc>
          <w:tcPr>
            <w:tcW w:type="dxa" w:w="4680"/>
            <w:vAlign w:val="center"/>
            <w:tcMar>
              <w:top w:w="55" w:type="dxa"/>
              <w:bottom w:w="55" w:type="dxa"/>
              <w:start w:w="65" w:type="dxa"/>
              <w:end w:w="65" w:type="dxa"/>
            </w:tcMar>
            <w:shd w:fill="EDF4FA"/>
          </w:tcPr>
          <w:p>
            <w:pPr>
              <w:pStyle w:val="TableText"/>
            </w:pPr>
            <w:r/>
            <w:r>
              <w:rPr>
                <w:b w:val="0"/>
              </w:rPr>
              <w:t>Current medical disease requires management independently of prior losses.</w:t>
            </w:r>
          </w:p>
        </w:tc>
        <w:tc>
          <w:tcPr>
            <w:tcW w:type="dxa" w:w="4608"/>
            <w:vAlign w:val="center"/>
            <w:tcMar>
              <w:top w:w="55" w:type="dxa"/>
              <w:bottom w:w="55" w:type="dxa"/>
              <w:start w:w="65" w:type="dxa"/>
              <w:end w:w="65" w:type="dxa"/>
            </w:tcMar>
            <w:shd w:fill="EDF4FA"/>
          </w:tcPr>
          <w:p>
            <w:pPr>
              <w:pStyle w:val="TableText"/>
            </w:pPr>
            <w:r/>
            <w:r>
              <w:rPr>
                <w:b w:val="0"/>
              </w:rPr>
              <w:t>HIGH; retain both reasons and avoid claiming that the medical condition caused the losses.</w:t>
            </w:r>
          </w:p>
        </w:tc>
      </w:tr>
      <w:tr>
        <w:trPr>
          <w:cantSplit/>
        </w:trPr>
        <w:tc>
          <w:tcPr>
            <w:tcW w:type="dxa" w:w="2232"/>
            <w:vAlign w:val="center"/>
            <w:tcMar>
              <w:top w:w="55" w:type="dxa"/>
              <w:bottom w:w="55" w:type="dxa"/>
              <w:start w:w="65" w:type="dxa"/>
              <w:end w:w="65" w:type="dxa"/>
            </w:tcMar>
          </w:tcPr>
          <w:p>
            <w:pPr>
              <w:pStyle w:val="TableText"/>
            </w:pPr>
            <w:r/>
            <w:r>
              <w:rPr>
                <w:b w:val="0"/>
              </w:rPr>
              <w:t>RM + absent FH</w:t>
            </w:r>
          </w:p>
        </w:tc>
        <w:tc>
          <w:tcPr>
            <w:tcW w:type="dxa" w:w="4680"/>
            <w:vAlign w:val="center"/>
            <w:tcMar>
              <w:top w:w="55" w:type="dxa"/>
              <w:bottom w:w="55" w:type="dxa"/>
              <w:start w:w="65" w:type="dxa"/>
              <w:end w:w="65" w:type="dxa"/>
            </w:tcMar>
          </w:tcPr>
          <w:p>
            <w:pPr>
              <w:pStyle w:val="TableText"/>
            </w:pPr>
            <w:r/>
            <w:r>
              <w:rPr>
                <w:b w:val="0"/>
              </w:rPr>
              <w:t>History may increase distress, but the current finding still requires independent diagnostic confirmation.</w:t>
            </w:r>
          </w:p>
        </w:tc>
        <w:tc>
          <w:tcPr>
            <w:tcW w:type="dxa" w:w="4608"/>
            <w:vAlign w:val="center"/>
            <w:tcMar>
              <w:top w:w="55" w:type="dxa"/>
              <w:bottom w:w="55" w:type="dxa"/>
              <w:start w:w="65" w:type="dxa"/>
              <w:end w:w="65" w:type="dxa"/>
            </w:tcMar>
          </w:tcPr>
          <w:p>
            <w:pPr>
              <w:pStyle w:val="TableText"/>
            </w:pPr>
            <w:r/>
            <w:r>
              <w:rPr>
                <w:b w:val="0"/>
              </w:rPr>
              <w:t>HIGH + urgent confirmation; use trauma-informed language and never auto-confirm miscarriage.</w:t>
            </w:r>
          </w:p>
        </w:tc>
      </w:tr>
      <w:tr>
        <w:trPr>
          <w:cantSplit/>
        </w:trPr>
        <w:tc>
          <w:tcPr>
            <w:tcW w:type="dxa" w:w="2232"/>
            <w:vAlign w:val="center"/>
            <w:tcMar>
              <w:top w:w="55" w:type="dxa"/>
              <w:bottom w:w="55" w:type="dxa"/>
              <w:start w:w="65" w:type="dxa"/>
              <w:end w:w="65" w:type="dxa"/>
            </w:tcMar>
            <w:shd w:fill="EDF4FA"/>
          </w:tcPr>
          <w:p>
            <w:pPr>
              <w:pStyle w:val="TableText"/>
            </w:pPr>
            <w:r/>
            <w:r>
              <w:rPr>
                <w:b w:val="0"/>
              </w:rPr>
              <w:t>RM + AN</w:t>
            </w:r>
          </w:p>
        </w:tc>
        <w:tc>
          <w:tcPr>
            <w:tcW w:type="dxa" w:w="4680"/>
            <w:vAlign w:val="center"/>
            <w:tcMar>
              <w:top w:w="55" w:type="dxa"/>
              <w:bottom w:w="55" w:type="dxa"/>
              <w:start w:w="65" w:type="dxa"/>
              <w:end w:w="65" w:type="dxa"/>
            </w:tcMar>
            <w:shd w:fill="EDF4FA"/>
          </w:tcPr>
          <w:p>
            <w:pPr>
              <w:pStyle w:val="TableText"/>
            </w:pPr>
            <w:r/>
            <w:r>
              <w:rPr>
                <w:b w:val="0"/>
              </w:rPr>
              <w:t>Prior losses and anemia may have unrelated causes; both need evaluation.</w:t>
            </w:r>
          </w:p>
        </w:tc>
        <w:tc>
          <w:tcPr>
            <w:tcW w:type="dxa" w:w="4608"/>
            <w:vAlign w:val="center"/>
            <w:tcMar>
              <w:top w:w="55" w:type="dxa"/>
              <w:bottom w:w="55" w:type="dxa"/>
              <w:start w:w="65" w:type="dxa"/>
              <w:end w:w="65" w:type="dxa"/>
            </w:tcMar>
            <w:shd w:fill="EDF4FA"/>
          </w:tcPr>
          <w:p>
            <w:pPr>
              <w:pStyle w:val="TableText"/>
            </w:pPr>
            <w:r/>
            <w:r>
              <w:rPr>
                <w:b w:val="0"/>
              </w:rPr>
              <w:t>HIGH; preserve separate reasons.</w:t>
            </w:r>
          </w:p>
        </w:tc>
      </w:tr>
      <w:tr>
        <w:trPr>
          <w:cantSplit/>
        </w:trPr>
        <w:tc>
          <w:tcPr>
            <w:tcW w:type="dxa" w:w="2232"/>
            <w:vAlign w:val="center"/>
            <w:tcMar>
              <w:top w:w="55" w:type="dxa"/>
              <w:bottom w:w="55" w:type="dxa"/>
              <w:start w:w="65" w:type="dxa"/>
              <w:end w:w="65" w:type="dxa"/>
            </w:tcMar>
          </w:tcPr>
          <w:p>
            <w:pPr>
              <w:pStyle w:val="TableText"/>
            </w:pPr>
            <w:r/>
            <w:r>
              <w:rPr>
                <w:b w:val="0"/>
              </w:rPr>
              <w:t>RM + CS</w:t>
            </w:r>
          </w:p>
        </w:tc>
        <w:tc>
          <w:tcPr>
            <w:tcW w:type="dxa" w:w="4680"/>
            <w:vAlign w:val="center"/>
            <w:tcMar>
              <w:top w:w="55" w:type="dxa"/>
              <w:bottom w:w="55" w:type="dxa"/>
              <w:start w:w="65" w:type="dxa"/>
              <w:end w:w="65" w:type="dxa"/>
            </w:tcMar>
          </w:tcPr>
          <w:p>
            <w:pPr>
              <w:pStyle w:val="TableText"/>
            </w:pPr>
            <w:r/>
            <w:r>
              <w:rPr>
                <w:b w:val="0"/>
              </w:rPr>
              <w:t>Complex obstetric history requires record review and hospital planning, but not a predetermined mode of birth.</w:t>
            </w:r>
          </w:p>
        </w:tc>
        <w:tc>
          <w:tcPr>
            <w:tcW w:type="dxa" w:w="4608"/>
            <w:vAlign w:val="center"/>
            <w:tcMar>
              <w:top w:w="55" w:type="dxa"/>
              <w:bottom w:w="55" w:type="dxa"/>
              <w:start w:w="65" w:type="dxa"/>
              <w:end w:w="65" w:type="dxa"/>
            </w:tcMar>
          </w:tcPr>
          <w:p>
            <w:pPr>
              <w:pStyle w:val="TableText"/>
            </w:pPr>
            <w:r/>
            <w:r>
              <w:rPr>
                <w:b w:val="0"/>
              </w:rPr>
              <w:t>HIGH; combine history summary and referral.</w:t>
            </w:r>
          </w:p>
        </w:tc>
      </w:tr>
    </w:tbl>
    <w:p>
      <w:pPr>
        <w:spacing w:after="20"/>
      </w:pPr>
    </w:p>
    <w:p>
      <w:pPr>
        <w:pStyle w:val="Heading1"/>
      </w:pPr>
      <w:r>
        <w:t>7. Multi-Factor Clusters</w:t>
      </w:r>
    </w:p>
    <w:p>
      <w:r>
        <w:t>When three or more factors are active, the system should group them by action domain rather than producing a long, repetitive warning.</w:t>
      </w:r>
    </w:p>
    <w:tbl>
      <w:tblPr>
        <w:tblStyle w:val="TableGrid"/>
        <w:tblW w:type="auto" w:w="0"/>
        <w:jc w:val="center"/>
        <w:tblLook w:firstColumn="1" w:firstRow="1" w:lastColumn="0" w:lastRow="0" w:noHBand="0" w:noVBand="1" w:val="04A0"/>
      </w:tblPr>
      <w:tblGrid>
        <w:gridCol w:w="3427"/>
        <w:gridCol w:w="3427"/>
        <w:gridCol w:w="3427"/>
      </w:tblGrid>
      <w:tr>
        <w:trPr>
          <w:tblHeader w:val="true"/>
          <w:cantSplit/>
        </w:trPr>
        <w:tc>
          <w:tcPr>
            <w:tcW w:type="dxa" w:w="2376"/>
            <w:vAlign w:val="center"/>
            <w:tcMar>
              <w:top w:w="55" w:type="dxa"/>
              <w:bottom w:w="55" w:type="dxa"/>
              <w:start w:w="65" w:type="dxa"/>
              <w:end w:w="65" w:type="dxa"/>
            </w:tcMar>
            <w:shd w:fill="17365D"/>
          </w:tcPr>
          <w:p>
            <w:pPr>
              <w:pStyle w:val="TableHeader"/>
            </w:pPr>
            <w:r/>
            <w:r>
              <w:rPr>
                <w:b/>
                <w:color w:val="FFFFFF"/>
              </w:rPr>
              <w:t>Cluster</w:t>
            </w:r>
          </w:p>
        </w:tc>
        <w:tc>
          <w:tcPr>
            <w:tcW w:type="dxa" w:w="3600"/>
            <w:vAlign w:val="center"/>
            <w:tcMar>
              <w:top w:w="55" w:type="dxa"/>
              <w:bottom w:w="55" w:type="dxa"/>
              <w:start w:w="65" w:type="dxa"/>
              <w:end w:w="65" w:type="dxa"/>
            </w:tcMar>
            <w:shd w:fill="17365D"/>
          </w:tcPr>
          <w:p>
            <w:pPr>
              <w:pStyle w:val="TableHeader"/>
            </w:pPr>
            <w:r/>
            <w:r>
              <w:rPr>
                <w:b/>
                <w:color w:val="FFFFFF"/>
              </w:rPr>
              <w:t>Example factors</w:t>
            </w:r>
          </w:p>
        </w:tc>
        <w:tc>
          <w:tcPr>
            <w:tcW w:type="dxa" w:w="5832"/>
            <w:vAlign w:val="center"/>
            <w:tcMar>
              <w:top w:w="55" w:type="dxa"/>
              <w:bottom w:w="55" w:type="dxa"/>
              <w:start w:w="65" w:type="dxa"/>
              <w:end w:w="65" w:type="dxa"/>
            </w:tcMar>
            <w:shd w:fill="17365D"/>
          </w:tcPr>
          <w:p>
            <w:pPr>
              <w:pStyle w:val="TableHeader"/>
            </w:pPr>
            <w:r/>
            <w:r>
              <w:rPr>
                <w:b/>
                <w:color w:val="FFFFFF"/>
              </w:rPr>
              <w:t>Merged recommendation</w:t>
            </w:r>
          </w:p>
        </w:tc>
      </w:tr>
      <w:tr>
        <w:trPr>
          <w:cantSplit/>
        </w:trPr>
        <w:tc>
          <w:tcPr>
            <w:tcW w:type="dxa" w:w="2376"/>
            <w:vAlign w:val="center"/>
            <w:tcMar>
              <w:top w:w="55" w:type="dxa"/>
              <w:bottom w:w="55" w:type="dxa"/>
              <w:start w:w="65" w:type="dxa"/>
              <w:end w:w="65" w:type="dxa"/>
            </w:tcMar>
          </w:tcPr>
          <w:p>
            <w:pPr>
              <w:pStyle w:val="TableText"/>
            </w:pPr>
            <w:r/>
            <w:r>
              <w:rPr>
                <w:b w:val="0"/>
              </w:rPr>
              <w:t>Maternal medical cluster</w:t>
            </w:r>
          </w:p>
        </w:tc>
        <w:tc>
          <w:tcPr>
            <w:tcW w:type="dxa" w:w="3600"/>
            <w:vAlign w:val="center"/>
            <w:tcMar>
              <w:top w:w="55" w:type="dxa"/>
              <w:bottom w:w="55" w:type="dxa"/>
              <w:start w:w="65" w:type="dxa"/>
              <w:end w:w="65" w:type="dxa"/>
            </w:tcMar>
          </w:tcPr>
          <w:p>
            <w:pPr>
              <w:pStyle w:val="TableText"/>
            </w:pPr>
            <w:r/>
            <w:r>
              <w:rPr>
                <w:b w:val="0"/>
              </w:rPr>
              <w:t>AGE-A + BP-H + DM</w:t>
            </w:r>
          </w:p>
        </w:tc>
        <w:tc>
          <w:tcPr>
            <w:tcW w:type="dxa" w:w="5832"/>
            <w:vAlign w:val="center"/>
            <w:tcMar>
              <w:top w:w="55" w:type="dxa"/>
              <w:bottom w:w="55" w:type="dxa"/>
              <w:start w:w="65" w:type="dxa"/>
              <w:end w:w="65" w:type="dxa"/>
            </w:tcMar>
          </w:tcPr>
          <w:p>
            <w:pPr>
              <w:pStyle w:val="TableText"/>
            </w:pPr>
            <w:r/>
            <w:r>
              <w:rPr>
                <w:b w:val="0"/>
              </w:rPr>
              <w:t>Prompt obstetric/medical review, confirm repeat BP and current diabetes plan, assess preeclampsia symptoms, and document specialist follow-up.</w:t>
            </w:r>
          </w:p>
        </w:tc>
      </w:tr>
      <w:tr>
        <w:trPr>
          <w:cantSplit/>
        </w:trPr>
        <w:tc>
          <w:tcPr>
            <w:tcW w:type="dxa" w:w="2376"/>
            <w:vAlign w:val="center"/>
            <w:tcMar>
              <w:top w:w="55" w:type="dxa"/>
              <w:bottom w:w="55" w:type="dxa"/>
              <w:start w:w="65" w:type="dxa"/>
              <w:end w:w="65" w:type="dxa"/>
            </w:tcMar>
            <w:shd w:fill="EDF4FA"/>
          </w:tcPr>
          <w:p>
            <w:pPr>
              <w:pStyle w:val="TableText"/>
            </w:pPr>
            <w:r/>
            <w:r>
              <w:rPr>
                <w:b w:val="0"/>
              </w:rPr>
              <w:t>Maternal reserve and delivery cluster</w:t>
            </w:r>
          </w:p>
        </w:tc>
        <w:tc>
          <w:tcPr>
            <w:tcW w:type="dxa" w:w="3600"/>
            <w:vAlign w:val="center"/>
            <w:tcMar>
              <w:top w:w="55" w:type="dxa"/>
              <w:bottom w:w="55" w:type="dxa"/>
              <w:start w:w="65" w:type="dxa"/>
              <w:end w:w="65" w:type="dxa"/>
            </w:tcMar>
            <w:shd w:fill="EDF4FA"/>
          </w:tcPr>
          <w:p>
            <w:pPr>
              <w:pStyle w:val="TableText"/>
            </w:pPr>
            <w:r/>
            <w:r>
              <w:rPr>
                <w:b w:val="0"/>
              </w:rPr>
              <w:t>AN + CS + PRES</w:t>
            </w:r>
          </w:p>
        </w:tc>
        <w:tc>
          <w:tcPr>
            <w:tcW w:type="dxa" w:w="5832"/>
            <w:vAlign w:val="center"/>
            <w:tcMar>
              <w:top w:w="55" w:type="dxa"/>
              <w:bottom w:w="55" w:type="dxa"/>
              <w:start w:w="65" w:type="dxa"/>
              <w:end w:w="65" w:type="dxa"/>
            </w:tcMar>
            <w:shd w:fill="EDF4FA"/>
          </w:tcPr>
          <w:p>
            <w:pPr>
              <w:pStyle w:val="TableText"/>
            </w:pPr>
            <w:r/>
            <w:r>
              <w:rPr>
                <w:b w:val="0"/>
              </w:rPr>
              <w:t>Optimize anemia under clinician care and establish a hospital birth plan with emergency operative and transfusion capability.</w:t>
            </w:r>
          </w:p>
        </w:tc>
      </w:tr>
      <w:tr>
        <w:trPr>
          <w:cantSplit/>
        </w:trPr>
        <w:tc>
          <w:tcPr>
            <w:tcW w:type="dxa" w:w="2376"/>
            <w:vAlign w:val="center"/>
            <w:tcMar>
              <w:top w:w="55" w:type="dxa"/>
              <w:bottom w:w="55" w:type="dxa"/>
              <w:start w:w="65" w:type="dxa"/>
              <w:end w:w="65" w:type="dxa"/>
            </w:tcMar>
          </w:tcPr>
          <w:p>
            <w:pPr>
              <w:pStyle w:val="TableText"/>
            </w:pPr>
            <w:r/>
            <w:r>
              <w:rPr>
                <w:b w:val="0"/>
              </w:rPr>
              <w:t>Placental/fetal assessment cluster</w:t>
            </w:r>
          </w:p>
        </w:tc>
        <w:tc>
          <w:tcPr>
            <w:tcW w:type="dxa" w:w="3600"/>
            <w:vAlign w:val="center"/>
            <w:tcMar>
              <w:top w:w="55" w:type="dxa"/>
              <w:bottom w:w="55" w:type="dxa"/>
              <w:start w:w="65" w:type="dxa"/>
              <w:end w:w="65" w:type="dxa"/>
            </w:tcMar>
          </w:tcPr>
          <w:p>
            <w:pPr>
              <w:pStyle w:val="TableText"/>
            </w:pPr>
            <w:r/>
            <w:r>
              <w:rPr>
                <w:b w:val="0"/>
              </w:rPr>
              <w:t>BP-H + low AF + FH warning</w:t>
            </w:r>
          </w:p>
        </w:tc>
        <w:tc>
          <w:tcPr>
            <w:tcW w:type="dxa" w:w="5832"/>
            <w:vAlign w:val="center"/>
            <w:tcMar>
              <w:top w:w="55" w:type="dxa"/>
              <w:bottom w:w="55" w:type="dxa"/>
              <w:start w:w="65" w:type="dxa"/>
              <w:end w:w="65" w:type="dxa"/>
            </w:tcMar>
          </w:tcPr>
          <w:p>
            <w:pPr>
              <w:pStyle w:val="TableText"/>
            </w:pPr>
            <w:r/>
            <w:r>
              <w:rPr>
                <w:b w:val="0"/>
              </w:rPr>
              <w:t>Prompt urgent obstetric assessment of maternal BP and the externally reported fetal/fluid findings; verify growth, measurements, and current fetal status.</w:t>
            </w:r>
          </w:p>
        </w:tc>
      </w:tr>
      <w:tr>
        <w:trPr>
          <w:cantSplit/>
        </w:trPr>
        <w:tc>
          <w:tcPr>
            <w:tcW w:type="dxa" w:w="2376"/>
            <w:vAlign w:val="center"/>
            <w:tcMar>
              <w:top w:w="55" w:type="dxa"/>
              <w:bottom w:w="55" w:type="dxa"/>
              <w:start w:w="65" w:type="dxa"/>
              <w:end w:w="65" w:type="dxa"/>
            </w:tcMar>
            <w:shd w:fill="EDF4FA"/>
          </w:tcPr>
          <w:p>
            <w:pPr>
              <w:pStyle w:val="TableText"/>
            </w:pPr>
            <w:r/>
            <w:r>
              <w:rPr>
                <w:b w:val="0"/>
              </w:rPr>
              <w:t>Diabetes/fetal planning cluster</w:t>
            </w:r>
          </w:p>
        </w:tc>
        <w:tc>
          <w:tcPr>
            <w:tcW w:type="dxa" w:w="3600"/>
            <w:vAlign w:val="center"/>
            <w:tcMar>
              <w:top w:w="55" w:type="dxa"/>
              <w:bottom w:w="55" w:type="dxa"/>
              <w:start w:w="65" w:type="dxa"/>
              <w:end w:w="65" w:type="dxa"/>
            </w:tcMar>
            <w:shd w:fill="EDF4FA"/>
          </w:tcPr>
          <w:p>
            <w:pPr>
              <w:pStyle w:val="TableText"/>
            </w:pPr>
            <w:r/>
            <w:r>
              <w:rPr>
                <w:b w:val="0"/>
              </w:rPr>
              <w:t>DM + high AF + PRES</w:t>
            </w:r>
          </w:p>
        </w:tc>
        <w:tc>
          <w:tcPr>
            <w:tcW w:type="dxa" w:w="5832"/>
            <w:vAlign w:val="center"/>
            <w:tcMar>
              <w:top w:w="55" w:type="dxa"/>
              <w:bottom w:w="55" w:type="dxa"/>
              <w:start w:w="65" w:type="dxa"/>
              <w:end w:w="65" w:type="dxa"/>
            </w:tcMar>
            <w:shd w:fill="EDF4FA"/>
          </w:tcPr>
          <w:p>
            <w:pPr>
              <w:pStyle w:val="TableText"/>
            </w:pPr>
            <w:r/>
            <w:r>
              <w:rPr>
                <w:b w:val="0"/>
              </w:rPr>
              <w:t>Review glycemic management, fluid severity, fetal growth/anatomy, and mode/place-of-birth planning.</w:t>
            </w:r>
          </w:p>
        </w:tc>
      </w:tr>
      <w:tr>
        <w:trPr>
          <w:cantSplit/>
        </w:trPr>
        <w:tc>
          <w:tcPr>
            <w:tcW w:type="dxa" w:w="2376"/>
            <w:vAlign w:val="center"/>
            <w:tcMar>
              <w:top w:w="55" w:type="dxa"/>
              <w:bottom w:w="55" w:type="dxa"/>
              <w:start w:w="65" w:type="dxa"/>
              <w:end w:w="65" w:type="dxa"/>
            </w:tcMar>
          </w:tcPr>
          <w:p>
            <w:pPr>
              <w:pStyle w:val="TableText"/>
            </w:pPr>
            <w:r/>
            <w:r>
              <w:rPr>
                <w:b w:val="0"/>
              </w:rPr>
              <w:t>Loss-history and current viability cluster</w:t>
            </w:r>
          </w:p>
        </w:tc>
        <w:tc>
          <w:tcPr>
            <w:tcW w:type="dxa" w:w="3600"/>
            <w:vAlign w:val="center"/>
            <w:tcMar>
              <w:top w:w="55" w:type="dxa"/>
              <w:bottom w:w="55" w:type="dxa"/>
              <w:start w:w="65" w:type="dxa"/>
              <w:end w:w="65" w:type="dxa"/>
            </w:tcMar>
          </w:tcPr>
          <w:p>
            <w:pPr>
              <w:pStyle w:val="TableText"/>
            </w:pPr>
            <w:r/>
            <w:r>
              <w:rPr>
                <w:b w:val="0"/>
              </w:rPr>
              <w:t>RM + absent FH + bleeding</w:t>
            </w:r>
          </w:p>
        </w:tc>
        <w:tc>
          <w:tcPr>
            <w:tcW w:type="dxa" w:w="5832"/>
            <w:vAlign w:val="center"/>
            <w:tcMar>
              <w:top w:w="55" w:type="dxa"/>
              <w:bottom w:w="55" w:type="dxa"/>
              <w:start w:w="65" w:type="dxa"/>
              <w:end w:w="65" w:type="dxa"/>
            </w:tcMar>
          </w:tcPr>
          <w:p>
            <w:pPr>
              <w:pStyle w:val="TableText"/>
            </w:pPr>
            <w:r/>
            <w:r>
              <w:rPr>
                <w:b w:val="0"/>
              </w:rPr>
              <w:t>Use emergency/urgent pathway, trauma-informed communication, and qualified confirmation; do not auto-diagnose pregnancy loss.</w:t>
            </w:r>
          </w:p>
        </w:tc>
      </w:tr>
      <w:tr>
        <w:trPr>
          <w:cantSplit/>
        </w:trPr>
        <w:tc>
          <w:tcPr>
            <w:tcW w:type="dxa" w:w="2376"/>
            <w:vAlign w:val="center"/>
            <w:tcMar>
              <w:top w:w="55" w:type="dxa"/>
              <w:bottom w:w="55" w:type="dxa"/>
              <w:start w:w="65" w:type="dxa"/>
              <w:end w:w="65" w:type="dxa"/>
            </w:tcMar>
            <w:shd w:fill="EDF4FA"/>
          </w:tcPr>
          <w:p>
            <w:pPr>
              <w:pStyle w:val="TableText"/>
            </w:pPr>
            <w:r/>
            <w:r>
              <w:rPr>
                <w:b w:val="0"/>
              </w:rPr>
              <w:t>Data-quality cluster</w:t>
            </w:r>
          </w:p>
        </w:tc>
        <w:tc>
          <w:tcPr>
            <w:tcW w:type="dxa" w:w="3600"/>
            <w:vAlign w:val="center"/>
            <w:tcMar>
              <w:top w:w="55" w:type="dxa"/>
              <w:bottom w:w="55" w:type="dxa"/>
              <w:start w:w="65" w:type="dxa"/>
              <w:end w:w="65" w:type="dxa"/>
            </w:tcMar>
            <w:shd w:fill="EDF4FA"/>
          </w:tcPr>
          <w:p>
            <w:pPr>
              <w:pStyle w:val="TableText"/>
            </w:pPr>
            <w:r/>
            <w:r>
              <w:rPr>
                <w:b w:val="0"/>
              </w:rPr>
              <w:t>HIGH factor + missing birth plan/ultrasound detail</w:t>
            </w:r>
          </w:p>
        </w:tc>
        <w:tc>
          <w:tcPr>
            <w:tcW w:type="dxa" w:w="5832"/>
            <w:vAlign w:val="center"/>
            <w:tcMar>
              <w:top w:w="55" w:type="dxa"/>
              <w:bottom w:w="55" w:type="dxa"/>
              <w:start w:w="65" w:type="dxa"/>
              <w:end w:w="65" w:type="dxa"/>
            </w:tcMar>
            <w:shd w:fill="EDF4FA"/>
          </w:tcPr>
          <w:p>
            <w:pPr>
              <w:pStyle w:val="TableText"/>
            </w:pPr>
            <w:r/>
            <w:r>
              <w:rPr>
                <w:b w:val="0"/>
              </w:rPr>
              <w:t>Keep HIGH, identify the missing items, and prevent a false sense that the assessment is complete.</w:t>
            </w:r>
          </w:p>
        </w:tc>
      </w:tr>
    </w:tbl>
    <w:p>
      <w:pPr>
        <w:spacing w:after="20"/>
      </w:pPr>
    </w:p>
    <w:p>
      <w:pPr>
        <w:pStyle w:val="Heading1"/>
      </w:pPr>
      <w:r>
        <w:t>8. Explainability Composition Rules</w:t>
      </w:r>
    </w:p>
    <w:p>
      <w:pPr>
        <w:pStyle w:val="ListNumber"/>
        <w:spacing w:after="36"/>
      </w:pPr>
      <w:r>
        <w:t>Start with the final state and urgency: for example, 'HIGH - urgent assessment required.'</w:t>
      </w:r>
    </w:p>
    <w:p>
      <w:pPr>
        <w:pStyle w:val="ListNumber"/>
        <w:spacing w:after="36"/>
      </w:pPr>
      <w:r>
        <w:t>List each verified factor in plain language, ordered by urgency rather than database order.</w:t>
      </w:r>
    </w:p>
    <w:p>
      <w:pPr>
        <w:pStyle w:val="ListNumber"/>
        <w:spacing w:after="36"/>
      </w:pPr>
      <w:r>
        <w:t>Explain the interaction only when supported: for example, 'Diabetes and high amniotic fluid together require review of glucose control, fluid severity, and fetal growth.'</w:t>
      </w:r>
    </w:p>
    <w:p>
      <w:pPr>
        <w:pStyle w:val="ListNumber"/>
        <w:spacing w:after="36"/>
      </w:pPr>
      <w:r>
        <w:t>Use cautious language such as 'may be associated with' or 'requires evaluation'; never state an unconfirmed causal diagnosis.</w:t>
      </w:r>
    </w:p>
    <w:p>
      <w:pPr>
        <w:pStyle w:val="ListNumber"/>
        <w:spacing w:after="36"/>
      </w:pPr>
      <w:r>
        <w:t>End with a single merged action plan and a system-limitation statement.</w:t>
      </w:r>
    </w:p>
    <w:p>
      <w:pPr>
        <w:pStyle w:val="ListNumber"/>
        <w:spacing w:after="36"/>
      </w:pPr>
      <w:r>
        <w:t>Do not expose raw ML probability as the reason when deterministic rules caused HIGH.</w:t>
      </w:r>
    </w:p>
    <w:p>
      <w:pPr>
        <w:pStyle w:val="ListNumber"/>
        <w:spacing w:after="36"/>
      </w:pPr>
      <w:r>
        <w:t>Do not repeat the same recommendation for every factor.</w:t>
      </w:r>
    </w:p>
    <w:p>
      <w:pPr>
        <w:pStyle w:val="ListNumber"/>
        <w:spacing w:after="36"/>
      </w:pPr>
      <w:r>
        <w:t>Use patient-sensitive language for adolescent pregnancy, recurrent miscarriage, absent cardiac activity, and referral refusal.</w:t>
      </w:r>
    </w:p>
    <w:tbl>
      <w:tblPr>
        <w:tblStyle w:val="TableGrid"/>
        <w:tblW w:type="auto" w:w="0"/>
        <w:jc w:val="center"/>
        <w:tblLook w:firstColumn="1" w:firstRow="1" w:lastColumn="0" w:lastRow="0" w:noHBand="0" w:noVBand="1" w:val="04A0"/>
      </w:tblPr>
      <w:tblGrid>
        <w:gridCol w:w="5141"/>
        <w:gridCol w:w="5141"/>
      </w:tblGrid>
      <w:tr>
        <w:trPr>
          <w:tblHeader w:val="true"/>
          <w:cantSplit/>
        </w:trPr>
        <w:tc>
          <w:tcPr>
            <w:tcW w:type="dxa" w:w="4608"/>
            <w:vAlign w:val="center"/>
            <w:tcMar>
              <w:top w:w="55" w:type="dxa"/>
              <w:bottom w:w="55" w:type="dxa"/>
              <w:start w:w="65" w:type="dxa"/>
              <w:end w:w="65" w:type="dxa"/>
            </w:tcMar>
            <w:shd w:fill="17365D"/>
          </w:tcPr>
          <w:p>
            <w:pPr>
              <w:pStyle w:val="TableHeader"/>
            </w:pPr>
            <w:r/>
            <w:r>
              <w:rPr>
                <w:b/>
                <w:color w:val="FFFFFF"/>
              </w:rPr>
              <w:t>Poor output</w:t>
            </w:r>
          </w:p>
        </w:tc>
        <w:tc>
          <w:tcPr>
            <w:tcW w:type="dxa" w:w="5760"/>
            <w:vAlign w:val="center"/>
            <w:tcMar>
              <w:top w:w="55" w:type="dxa"/>
              <w:bottom w:w="55" w:type="dxa"/>
              <w:start w:w="65" w:type="dxa"/>
              <w:end w:w="65" w:type="dxa"/>
            </w:tcMar>
            <w:shd w:fill="17365D"/>
          </w:tcPr>
          <w:p>
            <w:pPr>
              <w:pStyle w:val="TableHeader"/>
            </w:pPr>
            <w:r/>
            <w:r>
              <w:rPr>
                <w:b/>
                <w:color w:val="FFFFFF"/>
              </w:rPr>
              <w:t>Approved interaction output</w:t>
            </w:r>
          </w:p>
        </w:tc>
      </w:tr>
      <w:tr>
        <w:trPr>
          <w:cantSplit/>
        </w:trPr>
        <w:tc>
          <w:tcPr>
            <w:tcW w:type="dxa" w:w="4608"/>
            <w:vAlign w:val="center"/>
            <w:tcMar>
              <w:top w:w="55" w:type="dxa"/>
              <w:bottom w:w="55" w:type="dxa"/>
              <w:start w:w="65" w:type="dxa"/>
              <w:end w:w="65" w:type="dxa"/>
            </w:tcMar>
          </w:tcPr>
          <w:p>
            <w:pPr>
              <w:pStyle w:val="TableText"/>
            </w:pPr>
            <w:r/>
            <w:r>
              <w:rPr>
                <w:b w:val="0"/>
              </w:rPr>
              <w:t>HIGH because you have many dangerous conditions.</w:t>
            </w:r>
          </w:p>
        </w:tc>
        <w:tc>
          <w:tcPr>
            <w:tcW w:type="dxa" w:w="5760"/>
            <w:vAlign w:val="center"/>
            <w:tcMar>
              <w:top w:w="55" w:type="dxa"/>
              <w:bottom w:w="55" w:type="dxa"/>
              <w:start w:w="65" w:type="dxa"/>
              <w:end w:w="65" w:type="dxa"/>
            </w:tcMar>
          </w:tcPr>
          <w:p>
            <w:pPr>
              <w:pStyle w:val="TableText"/>
            </w:pPr>
            <w:r/>
            <w:r>
              <w:rPr>
                <w:b w:val="0"/>
              </w:rPr>
              <w:t>HIGH because elevated blood pressure and diabetes were recorded. Together they require prompt obstetric and medical review. The system does not diagnose preeclampsia or prescribe treatment.</w:t>
            </w:r>
          </w:p>
        </w:tc>
      </w:tr>
      <w:tr>
        <w:trPr>
          <w:cantSplit/>
        </w:trPr>
        <w:tc>
          <w:tcPr>
            <w:tcW w:type="dxa" w:w="4608"/>
            <w:vAlign w:val="center"/>
            <w:tcMar>
              <w:top w:w="55" w:type="dxa"/>
              <w:bottom w:w="55" w:type="dxa"/>
              <w:start w:w="65" w:type="dxa"/>
              <w:end w:w="65" w:type="dxa"/>
            </w:tcMar>
            <w:shd w:fill="EDF4FA"/>
          </w:tcPr>
          <w:p>
            <w:pPr>
              <w:pStyle w:val="TableText"/>
            </w:pPr>
            <w:r/>
            <w:r>
              <w:rPr>
                <w:b w:val="0"/>
              </w:rPr>
              <w:t>Breech + previous CS = cesarean required.</w:t>
            </w:r>
          </w:p>
        </w:tc>
        <w:tc>
          <w:tcPr>
            <w:tcW w:type="dxa" w:w="5760"/>
            <w:vAlign w:val="center"/>
            <w:tcMar>
              <w:top w:w="55" w:type="dxa"/>
              <w:bottom w:w="55" w:type="dxa"/>
              <w:start w:w="65" w:type="dxa"/>
              <w:end w:w="65" w:type="dxa"/>
            </w:tcMar>
            <w:shd w:fill="EDF4FA"/>
          </w:tcPr>
          <w:p>
            <w:pPr>
              <w:pStyle w:val="TableText"/>
            </w:pPr>
            <w:r/>
            <w:r>
              <w:rPr>
                <w:b w:val="0"/>
              </w:rPr>
              <w:t>A previous cesarean and breech presentation were recorded. These findings require individualized hospital birth planning; the clinician will discuss the safest mode of birth.</w:t>
            </w:r>
          </w:p>
        </w:tc>
      </w:tr>
      <w:tr>
        <w:trPr>
          <w:cantSplit/>
        </w:trPr>
        <w:tc>
          <w:tcPr>
            <w:tcW w:type="dxa" w:w="4608"/>
            <w:vAlign w:val="center"/>
            <w:tcMar>
              <w:top w:w="55" w:type="dxa"/>
              <w:bottom w:w="55" w:type="dxa"/>
              <w:start w:w="65" w:type="dxa"/>
              <w:end w:w="65" w:type="dxa"/>
            </w:tcMar>
          </w:tcPr>
          <w:p>
            <w:pPr>
              <w:pStyle w:val="TableText"/>
            </w:pPr>
            <w:r/>
            <w:r>
              <w:rPr>
                <w:b w:val="0"/>
              </w:rPr>
              <w:t>Absent heartbeat means miscarriage again.</w:t>
            </w:r>
          </w:p>
        </w:tc>
        <w:tc>
          <w:tcPr>
            <w:tcW w:type="dxa" w:w="5760"/>
            <w:vAlign w:val="center"/>
            <w:tcMar>
              <w:top w:w="55" w:type="dxa"/>
              <w:bottom w:w="55" w:type="dxa"/>
              <w:start w:w="65" w:type="dxa"/>
              <w:end w:w="65" w:type="dxa"/>
            </w:tcMar>
          </w:tcPr>
          <w:p>
            <w:pPr>
              <w:pStyle w:val="TableText"/>
            </w:pPr>
            <w:r/>
            <w:r>
              <w:rPr>
                <w:b w:val="0"/>
              </w:rPr>
              <w:t>The report states that cardiac activity was not seen. Because of the current finding and prior losses, urgent qualified confirmation and supportive care are needed. The CDSS does not confirm miscarriage.</w:t>
            </w:r>
          </w:p>
        </w:tc>
      </w:tr>
      <w:tr>
        <w:trPr>
          <w:cantSplit/>
        </w:trPr>
        <w:tc>
          <w:tcPr>
            <w:tcW w:type="dxa" w:w="4608"/>
            <w:vAlign w:val="center"/>
            <w:tcMar>
              <w:top w:w="55" w:type="dxa"/>
              <w:bottom w:w="55" w:type="dxa"/>
              <w:start w:w="65" w:type="dxa"/>
              <w:end w:w="65" w:type="dxa"/>
            </w:tcMar>
            <w:shd w:fill="EDF4FA"/>
          </w:tcPr>
          <w:p>
            <w:pPr>
              <w:pStyle w:val="TableText"/>
            </w:pPr>
            <w:r/>
            <w:r>
              <w:rPr>
                <w:b w:val="0"/>
              </w:rPr>
              <w:t>Three risks means very high risk.</w:t>
            </w:r>
          </w:p>
        </w:tc>
        <w:tc>
          <w:tcPr>
            <w:tcW w:type="dxa" w:w="5760"/>
            <w:vAlign w:val="center"/>
            <w:tcMar>
              <w:top w:w="55" w:type="dxa"/>
              <w:bottom w:w="55" w:type="dxa"/>
              <w:start w:w="65" w:type="dxa"/>
              <w:end w:w="65" w:type="dxa"/>
            </w:tcMar>
            <w:shd w:fill="EDF4FA"/>
          </w:tcPr>
          <w:p>
            <w:pPr>
              <w:pStyle w:val="TableText"/>
            </w:pPr>
            <w:r/>
            <w:r>
              <w:rPr>
                <w:b w:val="0"/>
              </w:rPr>
              <w:t>Three separate HIGH factors are active. The category remains HIGH; the recommendation reflects the most urgent required action.</w:t>
            </w:r>
          </w:p>
        </w:tc>
      </w:tr>
    </w:tbl>
    <w:p>
      <w:pPr>
        <w:spacing w:after="20"/>
      </w:pPr>
    </w:p>
    <w:p>
      <w:pPr>
        <w:pStyle w:val="Heading1"/>
      </w:pPr>
      <w:r>
        <w:t>9. Recommendation-Engine Inputs Produced by Part 8</w:t>
      </w:r>
    </w:p>
    <w:tbl>
      <w:tblPr>
        <w:tblStyle w:val="TableGrid"/>
        <w:tblW w:type="auto" w:w="0"/>
        <w:jc w:val="center"/>
        <w:tblLook w:firstColumn="1" w:firstRow="1" w:lastColumn="0" w:lastRow="0" w:noHBand="0" w:noVBand="1" w:val="04A0"/>
      </w:tblPr>
      <w:tblGrid>
        <w:gridCol w:w="3427"/>
        <w:gridCol w:w="3427"/>
        <w:gridCol w:w="3427"/>
      </w:tblGrid>
      <w:tr>
        <w:trPr>
          <w:tblHeader w:val="true"/>
          <w:cantSplit/>
        </w:trPr>
        <w:tc>
          <w:tcPr>
            <w:tcW w:type="dxa" w:w="1944"/>
            <w:vAlign w:val="center"/>
            <w:tcMar>
              <w:top w:w="55" w:type="dxa"/>
              <w:bottom w:w="55" w:type="dxa"/>
              <w:start w:w="65" w:type="dxa"/>
              <w:end w:w="65" w:type="dxa"/>
            </w:tcMar>
            <w:shd w:fill="17365D"/>
          </w:tcPr>
          <w:p>
            <w:pPr>
              <w:pStyle w:val="TableHeader"/>
            </w:pPr>
            <w:r/>
            <w:r>
              <w:rPr>
                <w:b/>
                <w:color w:val="FFFFFF"/>
              </w:rPr>
              <w:t>Output field</w:t>
            </w:r>
          </w:p>
        </w:tc>
        <w:tc>
          <w:tcPr>
            <w:tcW w:type="dxa" w:w="4320"/>
            <w:vAlign w:val="center"/>
            <w:tcMar>
              <w:top w:w="55" w:type="dxa"/>
              <w:bottom w:w="55" w:type="dxa"/>
              <w:start w:w="65" w:type="dxa"/>
              <w:end w:w="65" w:type="dxa"/>
            </w:tcMar>
            <w:shd w:fill="17365D"/>
          </w:tcPr>
          <w:p>
            <w:pPr>
              <w:pStyle w:val="TableHeader"/>
            </w:pPr>
            <w:r/>
            <w:r>
              <w:rPr>
                <w:b/>
                <w:color w:val="FFFFFF"/>
              </w:rPr>
              <w:t>Required content</w:t>
            </w:r>
          </w:p>
        </w:tc>
        <w:tc>
          <w:tcPr>
            <w:tcW w:type="dxa" w:w="4752"/>
            <w:vAlign w:val="center"/>
            <w:tcMar>
              <w:top w:w="55" w:type="dxa"/>
              <w:bottom w:w="55" w:type="dxa"/>
              <w:start w:w="65" w:type="dxa"/>
              <w:end w:w="65" w:type="dxa"/>
            </w:tcMar>
            <w:shd w:fill="17365D"/>
          </w:tcPr>
          <w:p>
            <w:pPr>
              <w:pStyle w:val="TableHeader"/>
            </w:pPr>
            <w:r/>
            <w:r>
              <w:rPr>
                <w:b/>
                <w:color w:val="FFFFFF"/>
              </w:rPr>
              <w:t>Example</w:t>
            </w:r>
          </w:p>
        </w:tc>
      </w:tr>
      <w:tr>
        <w:trPr>
          <w:cantSplit/>
        </w:trPr>
        <w:tc>
          <w:tcPr>
            <w:tcW w:type="dxa" w:w="1944"/>
            <w:vAlign w:val="center"/>
            <w:tcMar>
              <w:top w:w="55" w:type="dxa"/>
              <w:bottom w:w="55" w:type="dxa"/>
              <w:start w:w="65" w:type="dxa"/>
              <w:end w:w="65" w:type="dxa"/>
            </w:tcMar>
          </w:tcPr>
          <w:p>
            <w:pPr>
              <w:pStyle w:val="TableText"/>
            </w:pPr>
            <w:r/>
            <w:r>
              <w:rPr>
                <w:b w:val="0"/>
              </w:rPr>
              <w:t>final_risk</w:t>
            </w:r>
          </w:p>
        </w:tc>
        <w:tc>
          <w:tcPr>
            <w:tcW w:type="dxa" w:w="4320"/>
            <w:vAlign w:val="center"/>
            <w:tcMar>
              <w:top w:w="55" w:type="dxa"/>
              <w:bottom w:w="55" w:type="dxa"/>
              <w:start w:w="65" w:type="dxa"/>
              <w:end w:w="65" w:type="dxa"/>
            </w:tcMar>
          </w:tcPr>
          <w:p>
            <w:pPr>
              <w:pStyle w:val="TableText"/>
            </w:pPr>
            <w:r/>
            <w:r>
              <w:rPr>
                <w:b w:val="0"/>
              </w:rPr>
              <w:t>HIGH, LOW, or ASSESSMENT INCOMPLETE.</w:t>
            </w:r>
          </w:p>
        </w:tc>
        <w:tc>
          <w:tcPr>
            <w:tcW w:type="dxa" w:w="4752"/>
            <w:vAlign w:val="center"/>
            <w:tcMar>
              <w:top w:w="55" w:type="dxa"/>
              <w:bottom w:w="55" w:type="dxa"/>
              <w:start w:w="65" w:type="dxa"/>
              <w:end w:w="65" w:type="dxa"/>
            </w:tcMar>
          </w:tcPr>
          <w:p>
            <w:pPr>
              <w:pStyle w:val="TableText"/>
            </w:pPr>
            <w:r/>
            <w:r>
              <w:rPr>
                <w:b w:val="0"/>
              </w:rPr>
              <w:t>HIGH</w:t>
            </w:r>
          </w:p>
        </w:tc>
      </w:tr>
      <w:tr>
        <w:trPr>
          <w:cantSplit/>
        </w:trPr>
        <w:tc>
          <w:tcPr>
            <w:tcW w:type="dxa" w:w="1944"/>
            <w:vAlign w:val="center"/>
            <w:tcMar>
              <w:top w:w="55" w:type="dxa"/>
              <w:bottom w:w="55" w:type="dxa"/>
              <w:start w:w="65" w:type="dxa"/>
              <w:end w:w="65" w:type="dxa"/>
            </w:tcMar>
            <w:shd w:fill="EDF4FA"/>
          </w:tcPr>
          <w:p>
            <w:pPr>
              <w:pStyle w:val="TableText"/>
            </w:pPr>
            <w:r/>
            <w:r>
              <w:rPr>
                <w:b w:val="0"/>
              </w:rPr>
              <w:t>urgency_level</w:t>
            </w:r>
          </w:p>
        </w:tc>
        <w:tc>
          <w:tcPr>
            <w:tcW w:type="dxa" w:w="4320"/>
            <w:vAlign w:val="center"/>
            <w:tcMar>
              <w:top w:w="55" w:type="dxa"/>
              <w:bottom w:w="55" w:type="dxa"/>
              <w:start w:w="65" w:type="dxa"/>
              <w:end w:w="65" w:type="dxa"/>
            </w:tcMar>
            <w:shd w:fill="EDF4FA"/>
          </w:tcPr>
          <w:p>
            <w:pPr>
              <w:pStyle w:val="TableText"/>
            </w:pPr>
            <w:r/>
            <w:r>
              <w:rPr>
                <w:b w:val="0"/>
              </w:rPr>
              <w:t>routine, prompt, urgent, or emergency according to approved rules.</w:t>
            </w:r>
          </w:p>
        </w:tc>
        <w:tc>
          <w:tcPr>
            <w:tcW w:type="dxa" w:w="4752"/>
            <w:vAlign w:val="center"/>
            <w:tcMar>
              <w:top w:w="55" w:type="dxa"/>
              <w:bottom w:w="55" w:type="dxa"/>
              <w:start w:w="65" w:type="dxa"/>
              <w:end w:w="65" w:type="dxa"/>
            </w:tcMar>
            <w:shd w:fill="EDF4FA"/>
          </w:tcPr>
          <w:p>
            <w:pPr>
              <w:pStyle w:val="TableText"/>
            </w:pPr>
            <w:r/>
            <w:r>
              <w:rPr>
                <w:b w:val="0"/>
              </w:rPr>
              <w:t>urgent</w:t>
            </w:r>
          </w:p>
        </w:tc>
      </w:tr>
      <w:tr>
        <w:trPr>
          <w:cantSplit/>
        </w:trPr>
        <w:tc>
          <w:tcPr>
            <w:tcW w:type="dxa" w:w="1944"/>
            <w:vAlign w:val="center"/>
            <w:tcMar>
              <w:top w:w="55" w:type="dxa"/>
              <w:bottom w:w="55" w:type="dxa"/>
              <w:start w:w="65" w:type="dxa"/>
              <w:end w:w="65" w:type="dxa"/>
            </w:tcMar>
          </w:tcPr>
          <w:p>
            <w:pPr>
              <w:pStyle w:val="TableText"/>
            </w:pPr>
            <w:r/>
            <w:r>
              <w:rPr>
                <w:b w:val="0"/>
              </w:rPr>
              <w:t>active_rule_ids</w:t>
            </w:r>
          </w:p>
        </w:tc>
        <w:tc>
          <w:tcPr>
            <w:tcW w:type="dxa" w:w="4320"/>
            <w:vAlign w:val="center"/>
            <w:tcMar>
              <w:top w:w="55" w:type="dxa"/>
              <w:bottom w:w="55" w:type="dxa"/>
              <w:start w:w="65" w:type="dxa"/>
              <w:end w:w="65" w:type="dxa"/>
            </w:tcMar>
          </w:tcPr>
          <w:p>
            <w:pPr>
              <w:pStyle w:val="TableText"/>
            </w:pPr>
            <w:r/>
            <w:r>
              <w:rPr>
                <w:b w:val="0"/>
              </w:rPr>
              <w:t>Unique deterministic rule identifiers.</w:t>
            </w:r>
          </w:p>
        </w:tc>
        <w:tc>
          <w:tcPr>
            <w:tcW w:type="dxa" w:w="4752"/>
            <w:vAlign w:val="center"/>
            <w:tcMar>
              <w:top w:w="55" w:type="dxa"/>
              <w:bottom w:w="55" w:type="dxa"/>
              <w:start w:w="65" w:type="dxa"/>
              <w:end w:w="65" w:type="dxa"/>
            </w:tcMar>
          </w:tcPr>
          <w:p>
            <w:pPr>
              <w:pStyle w:val="TableText"/>
            </w:pPr>
            <w:r/>
            <w:r>
              <w:rPr>
                <w:b w:val="0"/>
              </w:rPr>
              <w:t>BP-URG, DM-01, US-AF01</w:t>
            </w:r>
          </w:p>
        </w:tc>
      </w:tr>
      <w:tr>
        <w:trPr>
          <w:cantSplit/>
        </w:trPr>
        <w:tc>
          <w:tcPr>
            <w:tcW w:type="dxa" w:w="1944"/>
            <w:vAlign w:val="center"/>
            <w:tcMar>
              <w:top w:w="55" w:type="dxa"/>
              <w:bottom w:w="55" w:type="dxa"/>
              <w:start w:w="65" w:type="dxa"/>
              <w:end w:w="65" w:type="dxa"/>
            </w:tcMar>
            <w:shd w:fill="EDF4FA"/>
          </w:tcPr>
          <w:p>
            <w:pPr>
              <w:pStyle w:val="TableText"/>
            </w:pPr>
            <w:r/>
            <w:r>
              <w:rPr>
                <w:b w:val="0"/>
              </w:rPr>
              <w:t>interaction_ids</w:t>
            </w:r>
          </w:p>
        </w:tc>
        <w:tc>
          <w:tcPr>
            <w:tcW w:type="dxa" w:w="4320"/>
            <w:vAlign w:val="center"/>
            <w:tcMar>
              <w:top w:w="55" w:type="dxa"/>
              <w:bottom w:w="55" w:type="dxa"/>
              <w:start w:w="65" w:type="dxa"/>
              <w:end w:w="65" w:type="dxa"/>
            </w:tcMar>
            <w:shd w:fill="EDF4FA"/>
          </w:tcPr>
          <w:p>
            <w:pPr>
              <w:pStyle w:val="TableText"/>
            </w:pPr>
            <w:r/>
            <w:r>
              <w:rPr>
                <w:b w:val="0"/>
              </w:rPr>
              <w:t>Approved interaction flags, not diagnoses.</w:t>
            </w:r>
          </w:p>
        </w:tc>
        <w:tc>
          <w:tcPr>
            <w:tcW w:type="dxa" w:w="4752"/>
            <w:vAlign w:val="center"/>
            <w:tcMar>
              <w:top w:w="55" w:type="dxa"/>
              <w:bottom w:w="55" w:type="dxa"/>
              <w:start w:w="65" w:type="dxa"/>
              <w:end w:w="65" w:type="dxa"/>
            </w:tcMar>
            <w:shd w:fill="EDF4FA"/>
          </w:tcPr>
          <w:p>
            <w:pPr>
              <w:pStyle w:val="TableText"/>
            </w:pPr>
            <w:r/>
            <w:r>
              <w:rPr>
                <w:b w:val="0"/>
              </w:rPr>
              <w:t>INT-BP-DM, INT-DM-AF</w:t>
            </w:r>
          </w:p>
        </w:tc>
      </w:tr>
      <w:tr>
        <w:trPr>
          <w:cantSplit/>
        </w:trPr>
        <w:tc>
          <w:tcPr>
            <w:tcW w:type="dxa" w:w="1944"/>
            <w:vAlign w:val="center"/>
            <w:tcMar>
              <w:top w:w="55" w:type="dxa"/>
              <w:bottom w:w="55" w:type="dxa"/>
              <w:start w:w="65" w:type="dxa"/>
              <w:end w:w="65" w:type="dxa"/>
            </w:tcMar>
          </w:tcPr>
          <w:p>
            <w:pPr>
              <w:pStyle w:val="TableText"/>
            </w:pPr>
            <w:r/>
            <w:r>
              <w:rPr>
                <w:b w:val="0"/>
              </w:rPr>
              <w:t>reasons</w:t>
            </w:r>
          </w:p>
        </w:tc>
        <w:tc>
          <w:tcPr>
            <w:tcW w:type="dxa" w:w="4320"/>
            <w:vAlign w:val="center"/>
            <w:tcMar>
              <w:top w:w="55" w:type="dxa"/>
              <w:bottom w:w="55" w:type="dxa"/>
              <w:start w:w="65" w:type="dxa"/>
              <w:end w:w="65" w:type="dxa"/>
            </w:tcMar>
          </w:tcPr>
          <w:p>
            <w:pPr>
              <w:pStyle w:val="TableText"/>
            </w:pPr>
            <w:r/>
            <w:r>
              <w:rPr>
                <w:b w:val="0"/>
              </w:rPr>
              <w:t>Plain-language factor statements.</w:t>
            </w:r>
          </w:p>
        </w:tc>
        <w:tc>
          <w:tcPr>
            <w:tcW w:type="dxa" w:w="4752"/>
            <w:vAlign w:val="center"/>
            <w:tcMar>
              <w:top w:w="55" w:type="dxa"/>
              <w:bottom w:w="55" w:type="dxa"/>
              <w:start w:w="65" w:type="dxa"/>
              <w:end w:w="65" w:type="dxa"/>
            </w:tcMar>
          </w:tcPr>
          <w:p>
            <w:pPr>
              <w:pStyle w:val="TableText"/>
            </w:pPr>
            <w:r/>
            <w:r>
              <w:rPr>
                <w:b w:val="0"/>
              </w:rPr>
              <w:t>Severe BP threshold reached; diabetes recorded; high fluid reported.</w:t>
            </w:r>
          </w:p>
        </w:tc>
      </w:tr>
      <w:tr>
        <w:trPr>
          <w:cantSplit/>
        </w:trPr>
        <w:tc>
          <w:tcPr>
            <w:tcW w:type="dxa" w:w="1944"/>
            <w:vAlign w:val="center"/>
            <w:tcMar>
              <w:top w:w="55" w:type="dxa"/>
              <w:bottom w:w="55" w:type="dxa"/>
              <w:start w:w="65" w:type="dxa"/>
              <w:end w:w="65" w:type="dxa"/>
            </w:tcMar>
            <w:shd w:fill="EDF4FA"/>
          </w:tcPr>
          <w:p>
            <w:pPr>
              <w:pStyle w:val="TableText"/>
            </w:pPr>
            <w:r/>
            <w:r>
              <w:rPr>
                <w:b w:val="0"/>
              </w:rPr>
              <w:t>merged_recommendation</w:t>
            </w:r>
          </w:p>
        </w:tc>
        <w:tc>
          <w:tcPr>
            <w:tcW w:type="dxa" w:w="4320"/>
            <w:vAlign w:val="center"/>
            <w:tcMar>
              <w:top w:w="55" w:type="dxa"/>
              <w:bottom w:w="55" w:type="dxa"/>
              <w:start w:w="65" w:type="dxa"/>
              <w:end w:w="65" w:type="dxa"/>
            </w:tcMar>
            <w:shd w:fill="EDF4FA"/>
          </w:tcPr>
          <w:p>
            <w:pPr>
              <w:pStyle w:val="TableText"/>
            </w:pPr>
            <w:r/>
            <w:r>
              <w:rPr>
                <w:b w:val="0"/>
              </w:rPr>
              <w:t>One prioritized action plan.</w:t>
            </w:r>
          </w:p>
        </w:tc>
        <w:tc>
          <w:tcPr>
            <w:tcW w:type="dxa" w:w="4752"/>
            <w:vAlign w:val="center"/>
            <w:tcMar>
              <w:top w:w="55" w:type="dxa"/>
              <w:bottom w:w="55" w:type="dxa"/>
              <w:start w:w="65" w:type="dxa"/>
              <w:end w:w="65" w:type="dxa"/>
            </w:tcMar>
            <w:shd w:fill="EDF4FA"/>
          </w:tcPr>
          <w:p>
            <w:pPr>
              <w:pStyle w:val="TableText"/>
            </w:pPr>
            <w:r/>
            <w:r>
              <w:rPr>
                <w:b w:val="0"/>
              </w:rPr>
              <w:t>Immediate clinical assessment, then coordinated diabetes and ultrasound review.</w:t>
            </w:r>
          </w:p>
        </w:tc>
      </w:tr>
      <w:tr>
        <w:trPr>
          <w:cantSplit/>
        </w:trPr>
        <w:tc>
          <w:tcPr>
            <w:tcW w:type="dxa" w:w="1944"/>
            <w:vAlign w:val="center"/>
            <w:tcMar>
              <w:top w:w="55" w:type="dxa"/>
              <w:bottom w:w="55" w:type="dxa"/>
              <w:start w:w="65" w:type="dxa"/>
              <w:end w:w="65" w:type="dxa"/>
            </w:tcMar>
          </w:tcPr>
          <w:p>
            <w:pPr>
              <w:pStyle w:val="TableText"/>
            </w:pPr>
            <w:r/>
            <w:r>
              <w:rPr>
                <w:b w:val="0"/>
              </w:rPr>
              <w:t>limitations</w:t>
            </w:r>
          </w:p>
        </w:tc>
        <w:tc>
          <w:tcPr>
            <w:tcW w:type="dxa" w:w="4320"/>
            <w:vAlign w:val="center"/>
            <w:tcMar>
              <w:top w:w="55" w:type="dxa"/>
              <w:bottom w:w="55" w:type="dxa"/>
              <w:start w:w="65" w:type="dxa"/>
              <w:end w:w="65" w:type="dxa"/>
            </w:tcMar>
          </w:tcPr>
          <w:p>
            <w:pPr>
              <w:pStyle w:val="TableText"/>
            </w:pPr>
            <w:r/>
            <w:r>
              <w:rPr>
                <w:b w:val="0"/>
              </w:rPr>
              <w:t>What the CDSS did not determine.</w:t>
            </w:r>
          </w:p>
        </w:tc>
        <w:tc>
          <w:tcPr>
            <w:tcW w:type="dxa" w:w="4752"/>
            <w:vAlign w:val="center"/>
            <w:tcMar>
              <w:top w:w="55" w:type="dxa"/>
              <w:bottom w:w="55" w:type="dxa"/>
              <w:start w:w="65" w:type="dxa"/>
              <w:end w:w="65" w:type="dxa"/>
            </w:tcMar>
          </w:tcPr>
          <w:p>
            <w:pPr>
              <w:pStyle w:val="TableText"/>
            </w:pPr>
            <w:r/>
            <w:r>
              <w:rPr>
                <w:b w:val="0"/>
              </w:rPr>
              <w:t>No diagnosis of preeclampsia, polyhydramnios cause, or delivery timing.</w:t>
            </w:r>
          </w:p>
        </w:tc>
      </w:tr>
      <w:tr>
        <w:trPr>
          <w:cantSplit/>
        </w:trPr>
        <w:tc>
          <w:tcPr>
            <w:tcW w:type="dxa" w:w="1944"/>
            <w:vAlign w:val="center"/>
            <w:tcMar>
              <w:top w:w="55" w:type="dxa"/>
              <w:bottom w:w="55" w:type="dxa"/>
              <w:start w:w="65" w:type="dxa"/>
              <w:end w:w="65" w:type="dxa"/>
            </w:tcMar>
            <w:shd w:fill="EDF4FA"/>
          </w:tcPr>
          <w:p>
            <w:pPr>
              <w:pStyle w:val="TableText"/>
            </w:pPr>
            <w:r/>
            <w:r>
              <w:rPr>
                <w:b w:val="0"/>
              </w:rPr>
              <w:t>data_gaps</w:t>
            </w:r>
          </w:p>
        </w:tc>
        <w:tc>
          <w:tcPr>
            <w:tcW w:type="dxa" w:w="4320"/>
            <w:vAlign w:val="center"/>
            <w:tcMar>
              <w:top w:w="55" w:type="dxa"/>
              <w:bottom w:w="55" w:type="dxa"/>
              <w:start w:w="65" w:type="dxa"/>
              <w:end w:w="65" w:type="dxa"/>
            </w:tcMar>
            <w:shd w:fill="EDF4FA"/>
          </w:tcPr>
          <w:p>
            <w:pPr>
              <w:pStyle w:val="TableText"/>
            </w:pPr>
            <w:r/>
            <w:r>
              <w:rPr>
                <w:b w:val="0"/>
              </w:rPr>
              <w:t>Missing or unverified information.</w:t>
            </w:r>
          </w:p>
        </w:tc>
        <w:tc>
          <w:tcPr>
            <w:tcW w:type="dxa" w:w="4752"/>
            <w:vAlign w:val="center"/>
            <w:tcMar>
              <w:top w:w="55" w:type="dxa"/>
              <w:bottom w:w="55" w:type="dxa"/>
              <w:start w:w="65" w:type="dxa"/>
              <w:end w:w="65" w:type="dxa"/>
            </w:tcMar>
            <w:shd w:fill="EDF4FA"/>
          </w:tcPr>
          <w:p>
            <w:pPr>
              <w:pStyle w:val="TableText"/>
            </w:pPr>
            <w:r/>
            <w:r>
              <w:rPr>
                <w:b w:val="0"/>
              </w:rPr>
              <w:t>Repeat BP, fluid measurement, signed report, referral acceptance.</w:t>
            </w:r>
          </w:p>
        </w:tc>
      </w:tr>
    </w:tbl>
    <w:p>
      <w:pPr>
        <w:spacing w:after="20"/>
      </w:pPr>
    </w:p>
    <w:p>
      <w:pPr>
        <w:pStyle w:val="Heading1"/>
      </w:pPr>
      <w:r>
        <w:t>10. Implementation Pseudocode</w:t>
      </w:r>
    </w:p>
    <w:p>
      <w:r>
        <w:rPr>
          <w:rFonts w:ascii="Consolas" w:hAnsi="Consolas"/>
          <w:sz w:val="16"/>
        </w:rPr>
        <w:t>1. Validate and normalize required inputs.</w:t>
        <w:br/>
        <w:t>2. Evaluate every deterministic rule independently.</w:t>
        <w:br/>
        <w:t>3. Store each activated rule once.</w:t>
        <w:br/>
        <w:t>4. Evaluate approved interaction flags from active rules.</w:t>
        <w:br/>
        <w:t>5. Determine urgency = maximum urgency among rules and interactions.</w:t>
        <w:br/>
        <w:t>6. If any deterministic HIGH rule is active:</w:t>
        <w:br/>
        <w:t xml:space="preserve">       final = HIGH</w:t>
        <w:br/>
        <w:t xml:space="preserve">   else if required record missing or ML invalid:</w:t>
        <w:br/>
        <w:t xml:space="preserve">       final = ASSESSMENT INCOMPLETE</w:t>
        <w:br/>
        <w:t xml:space="preserve">   else if ML = HIGH:</w:t>
        <w:br/>
        <w:t xml:space="preserve">       final = HIGH</w:t>
        <w:br/>
        <w:t xml:space="preserve">   else:</w:t>
        <w:br/>
        <w:t xml:space="preserve">       final = LOW</w:t>
        <w:br/>
        <w:t>7. Order explanations by urgency and action domain.</w:t>
        <w:br/>
        <w:t>8. Generate one merged recommendation and limitation statement.</w:t>
        <w:br/>
        <w:t>9. Save inputs, rule versions, interactions, final result, user, and timestamp.</w:t>
      </w:r>
    </w:p>
    <w:tbl>
      <w:tblPr>
        <w:tblW w:type="auto" w:w="0"/>
        <w:tblLook w:firstColumn="1" w:firstRow="1" w:lastColumn="0" w:lastRow="0" w:noHBand="0" w:noVBand="1" w:val="04A0"/>
      </w:tblPr>
      <w:tblGrid>
        <w:gridCol w:w="10282"/>
      </w:tblGrid>
      <w:tr>
        <w:tc>
          <w:tcPr>
            <w:tcW w:type="dxa" w:w="10282"/>
            <w:shd w:fill="FCE4D6"/>
            <w:tcBorders>
              <w:top w:val="single" w:sz="8" w:color="C00000"/>
              <w:left w:val="single" w:sz="8" w:color="C00000"/>
              <w:bottom w:val="single" w:sz="8" w:color="C00000"/>
              <w:right w:val="single" w:sz="8" w:color="C00000"/>
            </w:tcBorders>
            <w:tcMar>
              <w:top w:w="95" w:type="dxa"/>
              <w:bottom w:w="95" w:type="dxa"/>
              <w:start w:w="105" w:type="dxa"/>
              <w:end w:w="105" w:type="dxa"/>
            </w:tcMar>
          </w:tcPr>
          <w:p>
            <w:pPr>
              <w:pStyle w:val="Callout"/>
            </w:pPr>
            <w:r/>
            <w:r>
              <w:rPr>
                <w:b/>
                <w:color w:val="C00000"/>
              </w:rPr>
              <w:t>No hidden interaction</w:t>
              <w:br/>
            </w:r>
            <w:r>
              <w:t>Every interaction that changes wording, urgency, or referral must have a documented interaction ID, evidence note, test case, and version. Developers must not add undocumented combinations directly in the controller.</w:t>
            </w:r>
          </w:p>
        </w:tc>
      </w:tr>
    </w:tbl>
    <w:p>
      <w:pPr>
        <w:spacing w:after="20"/>
      </w:pPr>
    </w:p>
    <w:p>
      <w:pPr>
        <w:pStyle w:val="Heading1"/>
      </w:pPr>
      <w:r>
        <w:t>11. Validation Matrix</w:t>
      </w:r>
    </w:p>
    <w:tbl>
      <w:tblPr>
        <w:tblStyle w:val="TableGrid"/>
        <w:tblW w:type="auto" w:w="0"/>
        <w:jc w:val="center"/>
        <w:tblLook w:firstColumn="1" w:firstRow="1" w:lastColumn="0" w:lastRow="0" w:noHBand="0" w:noVBand="1" w:val="04A0"/>
      </w:tblPr>
      <w:tblGrid>
        <w:gridCol w:w="3427"/>
        <w:gridCol w:w="3427"/>
        <w:gridCol w:w="3427"/>
      </w:tblGrid>
      <w:tr>
        <w:trPr>
          <w:tblHeader w:val="true"/>
          <w:cantSplit/>
        </w:trPr>
        <w:tc>
          <w:tcPr>
            <w:tcW w:type="dxa" w:w="1080"/>
            <w:vAlign w:val="center"/>
            <w:tcMar>
              <w:top w:w="55" w:type="dxa"/>
              <w:bottom w:w="55" w:type="dxa"/>
              <w:start w:w="65" w:type="dxa"/>
              <w:end w:w="65" w:type="dxa"/>
            </w:tcMar>
            <w:shd w:fill="17365D"/>
          </w:tcPr>
          <w:p>
            <w:pPr>
              <w:pStyle w:val="TableHeader"/>
            </w:pPr>
            <w:r/>
            <w:r>
              <w:rPr>
                <w:b/>
                <w:color w:val="FFFFFF"/>
              </w:rPr>
              <w:t>Test ID</w:t>
            </w:r>
          </w:p>
        </w:tc>
        <w:tc>
          <w:tcPr>
            <w:tcW w:type="dxa" w:w="4320"/>
            <w:vAlign w:val="center"/>
            <w:tcMar>
              <w:top w:w="55" w:type="dxa"/>
              <w:bottom w:w="55" w:type="dxa"/>
              <w:start w:w="65" w:type="dxa"/>
              <w:end w:w="65" w:type="dxa"/>
            </w:tcMar>
            <w:shd w:fill="17365D"/>
          </w:tcPr>
          <w:p>
            <w:pPr>
              <w:pStyle w:val="TableHeader"/>
            </w:pPr>
            <w:r/>
            <w:r>
              <w:rPr>
                <w:b/>
                <w:color w:val="FFFFFF"/>
              </w:rPr>
              <w:t>Inputs</w:t>
            </w:r>
          </w:p>
        </w:tc>
        <w:tc>
          <w:tcPr>
            <w:tcW w:type="dxa" w:w="5472"/>
            <w:vAlign w:val="center"/>
            <w:tcMar>
              <w:top w:w="55" w:type="dxa"/>
              <w:bottom w:w="55" w:type="dxa"/>
              <w:start w:w="65" w:type="dxa"/>
              <w:end w:w="65" w:type="dxa"/>
            </w:tcMar>
            <w:shd w:fill="17365D"/>
          </w:tcPr>
          <w:p>
            <w:pPr>
              <w:pStyle w:val="TableHeader"/>
            </w:pPr>
            <w:r/>
            <w:r>
              <w:rPr>
                <w:b/>
                <w:color w:val="FFFFFF"/>
              </w:rPr>
              <w:t>Expected final behavior</w:t>
            </w:r>
          </w:p>
        </w:tc>
      </w:tr>
      <w:tr>
        <w:trPr>
          <w:cantSplit/>
        </w:trPr>
        <w:tc>
          <w:tcPr>
            <w:tcW w:type="dxa" w:w="1080"/>
            <w:vAlign w:val="center"/>
            <w:tcMar>
              <w:top w:w="55" w:type="dxa"/>
              <w:bottom w:w="55" w:type="dxa"/>
              <w:start w:w="65" w:type="dxa"/>
              <w:end w:w="65" w:type="dxa"/>
            </w:tcMar>
          </w:tcPr>
          <w:p>
            <w:pPr>
              <w:pStyle w:val="TableText"/>
            </w:pPr>
            <w:r/>
            <w:r>
              <w:rPr>
                <w:b w:val="0"/>
              </w:rPr>
              <w:t>INT-T01</w:t>
            </w:r>
          </w:p>
        </w:tc>
        <w:tc>
          <w:tcPr>
            <w:tcW w:type="dxa" w:w="4320"/>
            <w:vAlign w:val="center"/>
            <w:tcMar>
              <w:top w:w="55" w:type="dxa"/>
              <w:bottom w:w="55" w:type="dxa"/>
              <w:start w:w="65" w:type="dxa"/>
              <w:end w:w="65" w:type="dxa"/>
            </w:tcMar>
          </w:tcPr>
          <w:p>
            <w:pPr>
              <w:pStyle w:val="TableText"/>
            </w:pPr>
            <w:r/>
            <w:r>
              <w:rPr>
                <w:b w:val="0"/>
              </w:rPr>
              <w:t>AGE-A + BP-H; ML LOW</w:t>
            </w:r>
          </w:p>
        </w:tc>
        <w:tc>
          <w:tcPr>
            <w:tcW w:type="dxa" w:w="5472"/>
            <w:vAlign w:val="center"/>
            <w:tcMar>
              <w:top w:w="55" w:type="dxa"/>
              <w:bottom w:w="55" w:type="dxa"/>
              <w:start w:w="65" w:type="dxa"/>
              <w:end w:w="65" w:type="dxa"/>
            </w:tcMar>
          </w:tcPr>
          <w:p>
            <w:pPr>
              <w:pStyle w:val="TableText"/>
            </w:pPr>
            <w:r/>
            <w:r>
              <w:rPr>
                <w:b w:val="0"/>
              </w:rPr>
              <w:t>HIGH; both reasons; prompt hypertensive review; no preeclampsia diagnosis.</w:t>
            </w:r>
          </w:p>
        </w:tc>
      </w:tr>
      <w:tr>
        <w:trPr>
          <w:cantSplit/>
        </w:trPr>
        <w:tc>
          <w:tcPr>
            <w:tcW w:type="dxa" w:w="1080"/>
            <w:vAlign w:val="center"/>
            <w:tcMar>
              <w:top w:w="55" w:type="dxa"/>
              <w:bottom w:w="55" w:type="dxa"/>
              <w:start w:w="65" w:type="dxa"/>
              <w:end w:w="65" w:type="dxa"/>
            </w:tcMar>
            <w:shd w:fill="EDF4FA"/>
          </w:tcPr>
          <w:p>
            <w:pPr>
              <w:pStyle w:val="TableText"/>
            </w:pPr>
            <w:r/>
            <w:r>
              <w:rPr>
                <w:b w:val="0"/>
              </w:rPr>
              <w:t>INT-T02</w:t>
            </w:r>
          </w:p>
        </w:tc>
        <w:tc>
          <w:tcPr>
            <w:tcW w:type="dxa" w:w="4320"/>
            <w:vAlign w:val="center"/>
            <w:tcMar>
              <w:top w:w="55" w:type="dxa"/>
              <w:bottom w:w="55" w:type="dxa"/>
              <w:start w:w="65" w:type="dxa"/>
              <w:end w:w="65" w:type="dxa"/>
            </w:tcMar>
            <w:shd w:fill="EDF4FA"/>
          </w:tcPr>
          <w:p>
            <w:pPr>
              <w:pStyle w:val="TableText"/>
            </w:pPr>
            <w:r/>
            <w:r>
              <w:rPr>
                <w:b w:val="0"/>
              </w:rPr>
              <w:t>AGE-A + BP-S; ML LOW</w:t>
            </w:r>
          </w:p>
        </w:tc>
        <w:tc>
          <w:tcPr>
            <w:tcW w:type="dxa" w:w="5472"/>
            <w:vAlign w:val="center"/>
            <w:tcMar>
              <w:top w:w="55" w:type="dxa"/>
              <w:bottom w:w="55" w:type="dxa"/>
              <w:start w:w="65" w:type="dxa"/>
              <w:end w:w="65" w:type="dxa"/>
            </w:tcMar>
            <w:shd w:fill="EDF4FA"/>
          </w:tcPr>
          <w:p>
            <w:pPr>
              <w:pStyle w:val="TableText"/>
            </w:pPr>
            <w:r/>
            <w:r>
              <w:rPr>
                <w:b w:val="0"/>
              </w:rPr>
              <w:t>HIGH + urgent banner; severe BP first.</w:t>
            </w:r>
          </w:p>
        </w:tc>
      </w:tr>
      <w:tr>
        <w:trPr>
          <w:cantSplit/>
        </w:trPr>
        <w:tc>
          <w:tcPr>
            <w:tcW w:type="dxa" w:w="1080"/>
            <w:vAlign w:val="center"/>
            <w:tcMar>
              <w:top w:w="55" w:type="dxa"/>
              <w:bottom w:w="55" w:type="dxa"/>
              <w:start w:w="65" w:type="dxa"/>
              <w:end w:w="65" w:type="dxa"/>
            </w:tcMar>
          </w:tcPr>
          <w:p>
            <w:pPr>
              <w:pStyle w:val="TableText"/>
            </w:pPr>
            <w:r/>
            <w:r>
              <w:rPr>
                <w:b w:val="0"/>
              </w:rPr>
              <w:t>INT-T03</w:t>
            </w:r>
          </w:p>
        </w:tc>
        <w:tc>
          <w:tcPr>
            <w:tcW w:type="dxa" w:w="4320"/>
            <w:vAlign w:val="center"/>
            <w:tcMar>
              <w:top w:w="55" w:type="dxa"/>
              <w:bottom w:w="55" w:type="dxa"/>
              <w:start w:w="65" w:type="dxa"/>
              <w:end w:w="65" w:type="dxa"/>
            </w:tcMar>
          </w:tcPr>
          <w:p>
            <w:pPr>
              <w:pStyle w:val="TableText"/>
            </w:pPr>
            <w:r/>
            <w:r>
              <w:rPr>
                <w:b w:val="0"/>
              </w:rPr>
              <w:t>BP-H + DM</w:t>
            </w:r>
          </w:p>
        </w:tc>
        <w:tc>
          <w:tcPr>
            <w:tcW w:type="dxa" w:w="5472"/>
            <w:vAlign w:val="center"/>
            <w:tcMar>
              <w:top w:w="55" w:type="dxa"/>
              <w:bottom w:w="55" w:type="dxa"/>
              <w:start w:w="65" w:type="dxa"/>
              <w:end w:w="65" w:type="dxa"/>
            </w:tcMar>
          </w:tcPr>
          <w:p>
            <w:pPr>
              <w:pStyle w:val="TableText"/>
            </w:pPr>
            <w:r/>
            <w:r>
              <w:rPr>
                <w:b w:val="0"/>
              </w:rPr>
              <w:t>HIGH; combined medical referral; interaction INT-BP-DM logged.</w:t>
            </w:r>
          </w:p>
        </w:tc>
      </w:tr>
      <w:tr>
        <w:trPr>
          <w:cantSplit/>
        </w:trPr>
        <w:tc>
          <w:tcPr>
            <w:tcW w:type="dxa" w:w="1080"/>
            <w:vAlign w:val="center"/>
            <w:tcMar>
              <w:top w:w="55" w:type="dxa"/>
              <w:bottom w:w="55" w:type="dxa"/>
              <w:start w:w="65" w:type="dxa"/>
              <w:end w:w="65" w:type="dxa"/>
            </w:tcMar>
            <w:shd w:fill="EDF4FA"/>
          </w:tcPr>
          <w:p>
            <w:pPr>
              <w:pStyle w:val="TableText"/>
            </w:pPr>
            <w:r/>
            <w:r>
              <w:rPr>
                <w:b w:val="0"/>
              </w:rPr>
              <w:t>INT-T04</w:t>
            </w:r>
          </w:p>
        </w:tc>
        <w:tc>
          <w:tcPr>
            <w:tcW w:type="dxa" w:w="4320"/>
            <w:vAlign w:val="center"/>
            <w:tcMar>
              <w:top w:w="55" w:type="dxa"/>
              <w:bottom w:w="55" w:type="dxa"/>
              <w:start w:w="65" w:type="dxa"/>
              <w:end w:w="65" w:type="dxa"/>
            </w:tcMar>
            <w:shd w:fill="EDF4FA"/>
          </w:tcPr>
          <w:p>
            <w:pPr>
              <w:pStyle w:val="TableText"/>
            </w:pPr>
            <w:r/>
            <w:r>
              <w:rPr>
                <w:b w:val="0"/>
              </w:rPr>
              <w:t>BP-H + low AF</w:t>
            </w:r>
          </w:p>
        </w:tc>
        <w:tc>
          <w:tcPr>
            <w:tcW w:type="dxa" w:w="5472"/>
            <w:vAlign w:val="center"/>
            <w:tcMar>
              <w:top w:w="55" w:type="dxa"/>
              <w:bottom w:w="55" w:type="dxa"/>
              <w:start w:w="65" w:type="dxa"/>
              <w:end w:w="65" w:type="dxa"/>
            </w:tcMar>
            <w:shd w:fill="EDF4FA"/>
          </w:tcPr>
          <w:p>
            <w:pPr>
              <w:pStyle w:val="TableText"/>
            </w:pPr>
            <w:r/>
            <w:r>
              <w:rPr>
                <w:b w:val="0"/>
              </w:rPr>
              <w:t>HIGH; maternal and fetal/placental review wording; no causal diagnosis.</w:t>
            </w:r>
          </w:p>
        </w:tc>
      </w:tr>
      <w:tr>
        <w:trPr>
          <w:cantSplit/>
        </w:trPr>
        <w:tc>
          <w:tcPr>
            <w:tcW w:type="dxa" w:w="1080"/>
            <w:vAlign w:val="center"/>
            <w:tcMar>
              <w:top w:w="55" w:type="dxa"/>
              <w:bottom w:w="55" w:type="dxa"/>
              <w:start w:w="65" w:type="dxa"/>
              <w:end w:w="65" w:type="dxa"/>
            </w:tcMar>
          </w:tcPr>
          <w:p>
            <w:pPr>
              <w:pStyle w:val="TableText"/>
            </w:pPr>
            <w:r/>
            <w:r>
              <w:rPr>
                <w:b w:val="0"/>
              </w:rPr>
              <w:t>INT-T05</w:t>
            </w:r>
          </w:p>
        </w:tc>
        <w:tc>
          <w:tcPr>
            <w:tcW w:type="dxa" w:w="4320"/>
            <w:vAlign w:val="center"/>
            <w:tcMar>
              <w:top w:w="55" w:type="dxa"/>
              <w:bottom w:w="55" w:type="dxa"/>
              <w:start w:w="65" w:type="dxa"/>
              <w:end w:w="65" w:type="dxa"/>
            </w:tcMar>
          </w:tcPr>
          <w:p>
            <w:pPr>
              <w:pStyle w:val="TableText"/>
            </w:pPr>
            <w:r/>
            <w:r>
              <w:rPr>
                <w:b w:val="0"/>
              </w:rPr>
              <w:t>DM + high AF</w:t>
            </w:r>
          </w:p>
        </w:tc>
        <w:tc>
          <w:tcPr>
            <w:tcW w:type="dxa" w:w="5472"/>
            <w:vAlign w:val="center"/>
            <w:tcMar>
              <w:top w:w="55" w:type="dxa"/>
              <w:bottom w:w="55" w:type="dxa"/>
              <w:start w:w="65" w:type="dxa"/>
              <w:end w:w="65" w:type="dxa"/>
            </w:tcMar>
          </w:tcPr>
          <w:p>
            <w:pPr>
              <w:pStyle w:val="TableText"/>
            </w:pPr>
            <w:r/>
            <w:r>
              <w:rPr>
                <w:b w:val="0"/>
              </w:rPr>
              <w:t>HIGH; verify glucose plan, fluid measurement, fetal growth.</w:t>
            </w:r>
          </w:p>
        </w:tc>
      </w:tr>
      <w:tr>
        <w:trPr>
          <w:cantSplit/>
        </w:trPr>
        <w:tc>
          <w:tcPr>
            <w:tcW w:type="dxa" w:w="1080"/>
            <w:vAlign w:val="center"/>
            <w:tcMar>
              <w:top w:w="55" w:type="dxa"/>
              <w:bottom w:w="55" w:type="dxa"/>
              <w:start w:w="65" w:type="dxa"/>
              <w:end w:w="65" w:type="dxa"/>
            </w:tcMar>
            <w:shd w:fill="EDF4FA"/>
          </w:tcPr>
          <w:p>
            <w:pPr>
              <w:pStyle w:val="TableText"/>
            </w:pPr>
            <w:r/>
            <w:r>
              <w:rPr>
                <w:b w:val="0"/>
              </w:rPr>
              <w:t>INT-T06</w:t>
            </w:r>
          </w:p>
        </w:tc>
        <w:tc>
          <w:tcPr>
            <w:tcW w:type="dxa" w:w="4320"/>
            <w:vAlign w:val="center"/>
            <w:tcMar>
              <w:top w:w="55" w:type="dxa"/>
              <w:bottom w:w="55" w:type="dxa"/>
              <w:start w:w="65" w:type="dxa"/>
              <w:end w:w="65" w:type="dxa"/>
            </w:tcMar>
            <w:shd w:fill="EDF4FA"/>
          </w:tcPr>
          <w:p>
            <w:pPr>
              <w:pStyle w:val="TableText"/>
            </w:pPr>
            <w:r/>
            <w:r>
              <w:rPr>
                <w:b w:val="0"/>
              </w:rPr>
              <w:t>DM + PRES</w:t>
            </w:r>
          </w:p>
        </w:tc>
        <w:tc>
          <w:tcPr>
            <w:tcW w:type="dxa" w:w="5472"/>
            <w:vAlign w:val="center"/>
            <w:tcMar>
              <w:top w:w="55" w:type="dxa"/>
              <w:bottom w:w="55" w:type="dxa"/>
              <w:start w:w="65" w:type="dxa"/>
              <w:end w:w="65" w:type="dxa"/>
            </w:tcMar>
            <w:shd w:fill="EDF4FA"/>
          </w:tcPr>
          <w:p>
            <w:pPr>
              <w:pStyle w:val="TableText"/>
            </w:pPr>
            <w:r/>
            <w:r>
              <w:rPr>
                <w:b w:val="0"/>
              </w:rPr>
              <w:t>HIGH; hospital birth planning; no mode-of-birth decision.</w:t>
            </w:r>
          </w:p>
        </w:tc>
      </w:tr>
      <w:tr>
        <w:trPr>
          <w:cantSplit/>
        </w:trPr>
        <w:tc>
          <w:tcPr>
            <w:tcW w:type="dxa" w:w="1080"/>
            <w:vAlign w:val="center"/>
            <w:tcMar>
              <w:top w:w="55" w:type="dxa"/>
              <w:bottom w:w="55" w:type="dxa"/>
              <w:start w:w="65" w:type="dxa"/>
              <w:end w:w="65" w:type="dxa"/>
            </w:tcMar>
          </w:tcPr>
          <w:p>
            <w:pPr>
              <w:pStyle w:val="TableText"/>
            </w:pPr>
            <w:r/>
            <w:r>
              <w:rPr>
                <w:b w:val="0"/>
              </w:rPr>
              <w:t>INT-T07</w:t>
            </w:r>
          </w:p>
        </w:tc>
        <w:tc>
          <w:tcPr>
            <w:tcW w:type="dxa" w:w="4320"/>
            <w:vAlign w:val="center"/>
            <w:tcMar>
              <w:top w:w="55" w:type="dxa"/>
              <w:bottom w:w="55" w:type="dxa"/>
              <w:start w:w="65" w:type="dxa"/>
              <w:end w:w="65" w:type="dxa"/>
            </w:tcMar>
          </w:tcPr>
          <w:p>
            <w:pPr>
              <w:pStyle w:val="TableText"/>
            </w:pPr>
            <w:r/>
            <w:r>
              <w:rPr>
                <w:b w:val="0"/>
              </w:rPr>
              <w:t>AN + CS</w:t>
            </w:r>
          </w:p>
        </w:tc>
        <w:tc>
          <w:tcPr>
            <w:tcW w:type="dxa" w:w="5472"/>
            <w:vAlign w:val="center"/>
            <w:tcMar>
              <w:top w:w="55" w:type="dxa"/>
              <w:bottom w:w="55" w:type="dxa"/>
              <w:start w:w="65" w:type="dxa"/>
              <w:end w:w="65" w:type="dxa"/>
            </w:tcMar>
          </w:tcPr>
          <w:p>
            <w:pPr>
              <w:pStyle w:val="TableText"/>
            </w:pPr>
            <w:r/>
            <w:r>
              <w:rPr>
                <w:b w:val="0"/>
              </w:rPr>
              <w:t>HIGH; anemia follow-up plus hospital/transfusion-capability planning.</w:t>
            </w:r>
          </w:p>
        </w:tc>
      </w:tr>
      <w:tr>
        <w:trPr>
          <w:cantSplit/>
        </w:trPr>
        <w:tc>
          <w:tcPr>
            <w:tcW w:type="dxa" w:w="1080"/>
            <w:vAlign w:val="center"/>
            <w:tcMar>
              <w:top w:w="55" w:type="dxa"/>
              <w:bottom w:w="55" w:type="dxa"/>
              <w:start w:w="65" w:type="dxa"/>
              <w:end w:w="65" w:type="dxa"/>
            </w:tcMar>
            <w:shd w:fill="EDF4FA"/>
          </w:tcPr>
          <w:p>
            <w:pPr>
              <w:pStyle w:val="TableText"/>
            </w:pPr>
            <w:r/>
            <w:r>
              <w:rPr>
                <w:b w:val="0"/>
              </w:rPr>
              <w:t>INT-T08</w:t>
            </w:r>
          </w:p>
        </w:tc>
        <w:tc>
          <w:tcPr>
            <w:tcW w:type="dxa" w:w="4320"/>
            <w:vAlign w:val="center"/>
            <w:tcMar>
              <w:top w:w="55" w:type="dxa"/>
              <w:bottom w:w="55" w:type="dxa"/>
              <w:start w:w="65" w:type="dxa"/>
              <w:end w:w="65" w:type="dxa"/>
            </w:tcMar>
            <w:shd w:fill="EDF4FA"/>
          </w:tcPr>
          <w:p>
            <w:pPr>
              <w:pStyle w:val="TableText"/>
            </w:pPr>
            <w:r/>
            <w:r>
              <w:rPr>
                <w:b w:val="0"/>
              </w:rPr>
              <w:t>AN + BP-S</w:t>
            </w:r>
          </w:p>
        </w:tc>
        <w:tc>
          <w:tcPr>
            <w:tcW w:type="dxa" w:w="5472"/>
            <w:vAlign w:val="center"/>
            <w:tcMar>
              <w:top w:w="55" w:type="dxa"/>
              <w:bottom w:w="55" w:type="dxa"/>
              <w:start w:w="65" w:type="dxa"/>
              <w:end w:w="65" w:type="dxa"/>
            </w:tcMar>
            <w:shd w:fill="EDF4FA"/>
          </w:tcPr>
          <w:p>
            <w:pPr>
              <w:pStyle w:val="TableText"/>
            </w:pPr>
            <w:r/>
            <w:r>
              <w:rPr>
                <w:b w:val="0"/>
              </w:rPr>
              <w:t>HIGH + urgent banner; BP action first, anemia retained.</w:t>
            </w:r>
          </w:p>
        </w:tc>
      </w:tr>
      <w:tr>
        <w:trPr>
          <w:cantSplit/>
        </w:trPr>
        <w:tc>
          <w:tcPr>
            <w:tcW w:type="dxa" w:w="1080"/>
            <w:vAlign w:val="center"/>
            <w:tcMar>
              <w:top w:w="55" w:type="dxa"/>
              <w:bottom w:w="55" w:type="dxa"/>
              <w:start w:w="65" w:type="dxa"/>
              <w:end w:w="65" w:type="dxa"/>
            </w:tcMar>
          </w:tcPr>
          <w:p>
            <w:pPr>
              <w:pStyle w:val="TableText"/>
            </w:pPr>
            <w:r/>
            <w:r>
              <w:rPr>
                <w:b w:val="0"/>
              </w:rPr>
              <w:t>INT-T09</w:t>
            </w:r>
          </w:p>
        </w:tc>
        <w:tc>
          <w:tcPr>
            <w:tcW w:type="dxa" w:w="4320"/>
            <w:vAlign w:val="center"/>
            <w:tcMar>
              <w:top w:w="55" w:type="dxa"/>
              <w:bottom w:w="55" w:type="dxa"/>
              <w:start w:w="65" w:type="dxa"/>
              <w:end w:w="65" w:type="dxa"/>
            </w:tcMar>
          </w:tcPr>
          <w:p>
            <w:pPr>
              <w:pStyle w:val="TableText"/>
            </w:pPr>
            <w:r/>
            <w:r>
              <w:rPr>
                <w:b w:val="0"/>
              </w:rPr>
              <w:t>CS + breech</w:t>
            </w:r>
          </w:p>
        </w:tc>
        <w:tc>
          <w:tcPr>
            <w:tcW w:type="dxa" w:w="5472"/>
            <w:vAlign w:val="center"/>
            <w:tcMar>
              <w:top w:w="55" w:type="dxa"/>
              <w:bottom w:w="55" w:type="dxa"/>
              <w:start w:w="65" w:type="dxa"/>
              <w:end w:w="65" w:type="dxa"/>
            </w:tcMar>
          </w:tcPr>
          <w:p>
            <w:pPr>
              <w:pStyle w:val="TableText"/>
            </w:pPr>
            <w:r/>
            <w:r>
              <w:rPr>
                <w:b w:val="0"/>
              </w:rPr>
              <w:t>HIGH; prior-CS and presentation reasons; no automatic cesarean.</w:t>
            </w:r>
          </w:p>
        </w:tc>
      </w:tr>
      <w:tr>
        <w:trPr>
          <w:cantSplit/>
        </w:trPr>
        <w:tc>
          <w:tcPr>
            <w:tcW w:type="dxa" w:w="1080"/>
            <w:vAlign w:val="center"/>
            <w:tcMar>
              <w:top w:w="55" w:type="dxa"/>
              <w:bottom w:w="55" w:type="dxa"/>
              <w:start w:w="65" w:type="dxa"/>
              <w:end w:w="65" w:type="dxa"/>
            </w:tcMar>
            <w:shd w:fill="EDF4FA"/>
          </w:tcPr>
          <w:p>
            <w:pPr>
              <w:pStyle w:val="TableText"/>
            </w:pPr>
            <w:r/>
            <w:r>
              <w:rPr>
                <w:b w:val="0"/>
              </w:rPr>
              <w:t>INT-T10</w:t>
            </w:r>
          </w:p>
        </w:tc>
        <w:tc>
          <w:tcPr>
            <w:tcW w:type="dxa" w:w="4320"/>
            <w:vAlign w:val="center"/>
            <w:tcMar>
              <w:top w:w="55" w:type="dxa"/>
              <w:bottom w:w="55" w:type="dxa"/>
              <w:start w:w="65" w:type="dxa"/>
              <w:end w:w="65" w:type="dxa"/>
            </w:tcMar>
            <w:shd w:fill="EDF4FA"/>
          </w:tcPr>
          <w:p>
            <w:pPr>
              <w:pStyle w:val="TableText"/>
            </w:pPr>
            <w:r/>
            <w:r>
              <w:rPr>
                <w:b w:val="0"/>
              </w:rPr>
              <w:t>CS + absent FH</w:t>
            </w:r>
          </w:p>
        </w:tc>
        <w:tc>
          <w:tcPr>
            <w:tcW w:type="dxa" w:w="5472"/>
            <w:vAlign w:val="center"/>
            <w:tcMar>
              <w:top w:w="55" w:type="dxa"/>
              <w:bottom w:w="55" w:type="dxa"/>
              <w:start w:w="65" w:type="dxa"/>
              <w:end w:w="65" w:type="dxa"/>
            </w:tcMar>
            <w:shd w:fill="EDF4FA"/>
          </w:tcPr>
          <w:p>
            <w:pPr>
              <w:pStyle w:val="TableText"/>
            </w:pPr>
            <w:r/>
            <w:r>
              <w:rPr>
                <w:b w:val="0"/>
              </w:rPr>
              <w:t>HIGH + urgent confirmation; no fetal-death diagnosis.</w:t>
            </w:r>
          </w:p>
        </w:tc>
      </w:tr>
      <w:tr>
        <w:trPr>
          <w:cantSplit/>
        </w:trPr>
        <w:tc>
          <w:tcPr>
            <w:tcW w:type="dxa" w:w="1080"/>
            <w:vAlign w:val="center"/>
            <w:tcMar>
              <w:top w:w="55" w:type="dxa"/>
              <w:bottom w:w="55" w:type="dxa"/>
              <w:start w:w="65" w:type="dxa"/>
              <w:end w:w="65" w:type="dxa"/>
            </w:tcMar>
          </w:tcPr>
          <w:p>
            <w:pPr>
              <w:pStyle w:val="TableText"/>
            </w:pPr>
            <w:r/>
            <w:r>
              <w:rPr>
                <w:b w:val="0"/>
              </w:rPr>
              <w:t>INT-T11</w:t>
            </w:r>
          </w:p>
        </w:tc>
        <w:tc>
          <w:tcPr>
            <w:tcW w:type="dxa" w:w="4320"/>
            <w:vAlign w:val="center"/>
            <w:tcMar>
              <w:top w:w="55" w:type="dxa"/>
              <w:bottom w:w="55" w:type="dxa"/>
              <w:start w:w="65" w:type="dxa"/>
              <w:end w:w="65" w:type="dxa"/>
            </w:tcMar>
          </w:tcPr>
          <w:p>
            <w:pPr>
              <w:pStyle w:val="TableText"/>
            </w:pPr>
            <w:r/>
            <w:r>
              <w:rPr>
                <w:b w:val="0"/>
              </w:rPr>
              <w:t>RM + absent FH</w:t>
            </w:r>
          </w:p>
        </w:tc>
        <w:tc>
          <w:tcPr>
            <w:tcW w:type="dxa" w:w="5472"/>
            <w:vAlign w:val="center"/>
            <w:tcMar>
              <w:top w:w="55" w:type="dxa"/>
              <w:bottom w:w="55" w:type="dxa"/>
              <w:start w:w="65" w:type="dxa"/>
              <w:end w:w="65" w:type="dxa"/>
            </w:tcMar>
          </w:tcPr>
          <w:p>
            <w:pPr>
              <w:pStyle w:val="TableText"/>
            </w:pPr>
            <w:r/>
            <w:r>
              <w:rPr>
                <w:b w:val="0"/>
              </w:rPr>
              <w:t>HIGH + urgent confirmation; trauma-informed explanation.</w:t>
            </w:r>
          </w:p>
        </w:tc>
      </w:tr>
      <w:tr>
        <w:trPr>
          <w:cantSplit/>
        </w:trPr>
        <w:tc>
          <w:tcPr>
            <w:tcW w:type="dxa" w:w="1080"/>
            <w:vAlign w:val="center"/>
            <w:tcMar>
              <w:top w:w="55" w:type="dxa"/>
              <w:bottom w:w="55" w:type="dxa"/>
              <w:start w:w="65" w:type="dxa"/>
              <w:end w:w="65" w:type="dxa"/>
            </w:tcMar>
            <w:shd w:fill="EDF4FA"/>
          </w:tcPr>
          <w:p>
            <w:pPr>
              <w:pStyle w:val="TableText"/>
            </w:pPr>
            <w:r/>
            <w:r>
              <w:rPr>
                <w:b w:val="0"/>
              </w:rPr>
              <w:t>INT-T12</w:t>
            </w:r>
          </w:p>
        </w:tc>
        <w:tc>
          <w:tcPr>
            <w:tcW w:type="dxa" w:w="4320"/>
            <w:vAlign w:val="center"/>
            <w:tcMar>
              <w:top w:w="55" w:type="dxa"/>
              <w:bottom w:w="55" w:type="dxa"/>
              <w:start w:w="65" w:type="dxa"/>
              <w:end w:w="65" w:type="dxa"/>
            </w:tcMar>
            <w:shd w:fill="EDF4FA"/>
          </w:tcPr>
          <w:p>
            <w:pPr>
              <w:pStyle w:val="TableText"/>
            </w:pPr>
            <w:r/>
            <w:r>
              <w:rPr>
                <w:b w:val="0"/>
              </w:rPr>
              <w:t>RM + DM</w:t>
            </w:r>
          </w:p>
        </w:tc>
        <w:tc>
          <w:tcPr>
            <w:tcW w:type="dxa" w:w="5472"/>
            <w:vAlign w:val="center"/>
            <w:tcMar>
              <w:top w:w="55" w:type="dxa"/>
              <w:bottom w:w="55" w:type="dxa"/>
              <w:start w:w="65" w:type="dxa"/>
              <w:end w:w="65" w:type="dxa"/>
            </w:tcMar>
            <w:shd w:fill="EDF4FA"/>
          </w:tcPr>
          <w:p>
            <w:pPr>
              <w:pStyle w:val="TableText"/>
            </w:pPr>
            <w:r/>
            <w:r>
              <w:rPr>
                <w:b w:val="0"/>
              </w:rPr>
              <w:t>HIGH; separate reasons; no claim diabetes caused losses.</w:t>
            </w:r>
          </w:p>
        </w:tc>
      </w:tr>
      <w:tr>
        <w:trPr>
          <w:cantSplit/>
        </w:trPr>
        <w:tc>
          <w:tcPr>
            <w:tcW w:type="dxa" w:w="1080"/>
            <w:vAlign w:val="center"/>
            <w:tcMar>
              <w:top w:w="55" w:type="dxa"/>
              <w:bottom w:w="55" w:type="dxa"/>
              <w:start w:w="65" w:type="dxa"/>
              <w:end w:w="65" w:type="dxa"/>
            </w:tcMar>
          </w:tcPr>
          <w:p>
            <w:pPr>
              <w:pStyle w:val="TableText"/>
            </w:pPr>
            <w:r/>
            <w:r>
              <w:rPr>
                <w:b w:val="0"/>
              </w:rPr>
              <w:t>INT-T13</w:t>
            </w:r>
          </w:p>
        </w:tc>
        <w:tc>
          <w:tcPr>
            <w:tcW w:type="dxa" w:w="4320"/>
            <w:vAlign w:val="center"/>
            <w:tcMar>
              <w:top w:w="55" w:type="dxa"/>
              <w:bottom w:w="55" w:type="dxa"/>
              <w:start w:w="65" w:type="dxa"/>
              <w:end w:w="65" w:type="dxa"/>
            </w:tcMar>
          </w:tcPr>
          <w:p>
            <w:pPr>
              <w:pStyle w:val="TableText"/>
            </w:pPr>
            <w:r/>
            <w:r>
              <w:rPr>
                <w:b w:val="0"/>
              </w:rPr>
              <w:t>AGE-Y + AN</w:t>
            </w:r>
          </w:p>
        </w:tc>
        <w:tc>
          <w:tcPr>
            <w:tcW w:type="dxa" w:w="5472"/>
            <w:vAlign w:val="center"/>
            <w:tcMar>
              <w:top w:w="55" w:type="dxa"/>
              <w:bottom w:w="55" w:type="dxa"/>
              <w:start w:w="65" w:type="dxa"/>
              <w:end w:w="65" w:type="dxa"/>
            </w:tcMar>
          </w:tcPr>
          <w:p>
            <w:pPr>
              <w:pStyle w:val="TableText"/>
            </w:pPr>
            <w:r/>
            <w:r>
              <w:rPr>
                <w:b w:val="0"/>
              </w:rPr>
              <w:t>HIGH; adolescent-sensitive anemia recommendation.</w:t>
            </w:r>
          </w:p>
        </w:tc>
      </w:tr>
      <w:tr>
        <w:trPr>
          <w:cantSplit/>
        </w:trPr>
        <w:tc>
          <w:tcPr>
            <w:tcW w:type="dxa" w:w="1080"/>
            <w:vAlign w:val="center"/>
            <w:tcMar>
              <w:top w:w="55" w:type="dxa"/>
              <w:bottom w:w="55" w:type="dxa"/>
              <w:start w:w="65" w:type="dxa"/>
              <w:end w:w="65" w:type="dxa"/>
            </w:tcMar>
            <w:shd w:fill="EDF4FA"/>
          </w:tcPr>
          <w:p>
            <w:pPr>
              <w:pStyle w:val="TableText"/>
            </w:pPr>
            <w:r/>
            <w:r>
              <w:rPr>
                <w:b w:val="0"/>
              </w:rPr>
              <w:t>INT-T14</w:t>
            </w:r>
          </w:p>
        </w:tc>
        <w:tc>
          <w:tcPr>
            <w:tcW w:type="dxa" w:w="4320"/>
            <w:vAlign w:val="center"/>
            <w:tcMar>
              <w:top w:w="55" w:type="dxa"/>
              <w:bottom w:w="55" w:type="dxa"/>
              <w:start w:w="65" w:type="dxa"/>
              <w:end w:w="65" w:type="dxa"/>
            </w:tcMar>
            <w:shd w:fill="EDF4FA"/>
          </w:tcPr>
          <w:p>
            <w:pPr>
              <w:pStyle w:val="TableText"/>
            </w:pPr>
            <w:r/>
            <w:r>
              <w:rPr>
                <w:b w:val="0"/>
              </w:rPr>
              <w:t>Breech + low AF + abnormal FH</w:t>
            </w:r>
          </w:p>
        </w:tc>
        <w:tc>
          <w:tcPr>
            <w:tcW w:type="dxa" w:w="5472"/>
            <w:vAlign w:val="center"/>
            <w:tcMar>
              <w:top w:w="55" w:type="dxa"/>
              <w:bottom w:w="55" w:type="dxa"/>
              <w:start w:w="65" w:type="dxa"/>
              <w:end w:w="65" w:type="dxa"/>
            </w:tcMar>
            <w:shd w:fill="EDF4FA"/>
          </w:tcPr>
          <w:p>
            <w:pPr>
              <w:pStyle w:val="TableText"/>
            </w:pPr>
            <w:r/>
            <w:r>
              <w:rPr>
                <w:b w:val="0"/>
              </w:rPr>
              <w:t>HIGH; all three reasons; cardiac urgency first.</w:t>
            </w:r>
          </w:p>
        </w:tc>
      </w:tr>
      <w:tr>
        <w:trPr>
          <w:cantSplit/>
        </w:trPr>
        <w:tc>
          <w:tcPr>
            <w:tcW w:type="dxa" w:w="1080"/>
            <w:vAlign w:val="center"/>
            <w:tcMar>
              <w:top w:w="55" w:type="dxa"/>
              <w:bottom w:w="55" w:type="dxa"/>
              <w:start w:w="65" w:type="dxa"/>
              <w:end w:w="65" w:type="dxa"/>
            </w:tcMar>
          </w:tcPr>
          <w:p>
            <w:pPr>
              <w:pStyle w:val="TableText"/>
            </w:pPr>
            <w:r/>
            <w:r>
              <w:rPr>
                <w:b w:val="0"/>
              </w:rPr>
              <w:t>INT-T15</w:t>
            </w:r>
          </w:p>
        </w:tc>
        <w:tc>
          <w:tcPr>
            <w:tcW w:type="dxa" w:w="4320"/>
            <w:vAlign w:val="center"/>
            <w:tcMar>
              <w:top w:w="55" w:type="dxa"/>
              <w:bottom w:w="55" w:type="dxa"/>
              <w:start w:w="65" w:type="dxa"/>
              <w:end w:w="65" w:type="dxa"/>
            </w:tcMar>
          </w:tcPr>
          <w:p>
            <w:pPr>
              <w:pStyle w:val="TableText"/>
            </w:pPr>
            <w:r/>
            <w:r>
              <w:rPr>
                <w:b w:val="0"/>
              </w:rPr>
              <w:t>BP-S + DM + high AF</w:t>
            </w:r>
          </w:p>
        </w:tc>
        <w:tc>
          <w:tcPr>
            <w:tcW w:type="dxa" w:w="5472"/>
            <w:vAlign w:val="center"/>
            <w:tcMar>
              <w:top w:w="55" w:type="dxa"/>
              <w:bottom w:w="55" w:type="dxa"/>
              <w:start w:w="65" w:type="dxa"/>
              <w:end w:w="65" w:type="dxa"/>
            </w:tcMar>
          </w:tcPr>
          <w:p>
            <w:pPr>
              <w:pStyle w:val="TableText"/>
            </w:pPr>
            <w:r/>
            <w:r>
              <w:rPr>
                <w:b w:val="0"/>
              </w:rPr>
              <w:t>HIGH + urgent; immediate BP assessment followed by coordinated review.</w:t>
            </w:r>
          </w:p>
        </w:tc>
      </w:tr>
      <w:tr>
        <w:trPr>
          <w:cantSplit/>
        </w:trPr>
        <w:tc>
          <w:tcPr>
            <w:tcW w:type="dxa" w:w="1080"/>
            <w:vAlign w:val="center"/>
            <w:tcMar>
              <w:top w:w="55" w:type="dxa"/>
              <w:bottom w:w="55" w:type="dxa"/>
              <w:start w:w="65" w:type="dxa"/>
              <w:end w:w="65" w:type="dxa"/>
            </w:tcMar>
            <w:shd w:fill="EDF4FA"/>
          </w:tcPr>
          <w:p>
            <w:pPr>
              <w:pStyle w:val="TableText"/>
            </w:pPr>
            <w:r/>
            <w:r>
              <w:rPr>
                <w:b w:val="0"/>
              </w:rPr>
              <w:t>INT-T16</w:t>
            </w:r>
          </w:p>
        </w:tc>
        <w:tc>
          <w:tcPr>
            <w:tcW w:type="dxa" w:w="4320"/>
            <w:vAlign w:val="center"/>
            <w:tcMar>
              <w:top w:w="55" w:type="dxa"/>
              <w:bottom w:w="55" w:type="dxa"/>
              <w:start w:w="65" w:type="dxa"/>
              <w:end w:w="65" w:type="dxa"/>
            </w:tcMar>
            <w:shd w:fill="EDF4FA"/>
          </w:tcPr>
          <w:p>
            <w:pPr>
              <w:pStyle w:val="TableText"/>
            </w:pPr>
            <w:r/>
            <w:r>
              <w:rPr>
                <w:b w:val="0"/>
              </w:rPr>
              <w:t>HIGH factor + missing birth plan</w:t>
            </w:r>
          </w:p>
        </w:tc>
        <w:tc>
          <w:tcPr>
            <w:tcW w:type="dxa" w:w="5472"/>
            <w:vAlign w:val="center"/>
            <w:tcMar>
              <w:top w:w="55" w:type="dxa"/>
              <w:bottom w:w="55" w:type="dxa"/>
              <w:start w:w="65" w:type="dxa"/>
              <w:end w:w="65" w:type="dxa"/>
            </w:tcMar>
            <w:shd w:fill="EDF4FA"/>
          </w:tcPr>
          <w:p>
            <w:pPr>
              <w:pStyle w:val="TableText"/>
            </w:pPr>
            <w:r/>
            <w:r>
              <w:rPr>
                <w:b w:val="0"/>
              </w:rPr>
              <w:t>HIGH; data gap shown; do not downgrade to incomplete-only.</w:t>
            </w:r>
          </w:p>
        </w:tc>
      </w:tr>
      <w:tr>
        <w:trPr>
          <w:cantSplit/>
        </w:trPr>
        <w:tc>
          <w:tcPr>
            <w:tcW w:type="dxa" w:w="1080"/>
            <w:vAlign w:val="center"/>
            <w:tcMar>
              <w:top w:w="55" w:type="dxa"/>
              <w:bottom w:w="55" w:type="dxa"/>
              <w:start w:w="65" w:type="dxa"/>
              <w:end w:w="65" w:type="dxa"/>
            </w:tcMar>
          </w:tcPr>
          <w:p>
            <w:pPr>
              <w:pStyle w:val="TableText"/>
            </w:pPr>
            <w:r/>
            <w:r>
              <w:rPr>
                <w:b w:val="0"/>
              </w:rPr>
              <w:t>INT-T17</w:t>
            </w:r>
          </w:p>
        </w:tc>
        <w:tc>
          <w:tcPr>
            <w:tcW w:type="dxa" w:w="4320"/>
            <w:vAlign w:val="center"/>
            <w:tcMar>
              <w:top w:w="55" w:type="dxa"/>
              <w:bottom w:w="55" w:type="dxa"/>
              <w:start w:w="65" w:type="dxa"/>
              <w:end w:w="65" w:type="dxa"/>
            </w:tcMar>
          </w:tcPr>
          <w:p>
            <w:pPr>
              <w:pStyle w:val="TableText"/>
            </w:pPr>
            <w:r/>
            <w:r>
              <w:rPr>
                <w:b w:val="0"/>
              </w:rPr>
              <w:t>No HIGH factors + missing ultrasound</w:t>
            </w:r>
          </w:p>
        </w:tc>
        <w:tc>
          <w:tcPr>
            <w:tcW w:type="dxa" w:w="5472"/>
            <w:vAlign w:val="center"/>
            <w:tcMar>
              <w:top w:w="55" w:type="dxa"/>
              <w:bottom w:w="55" w:type="dxa"/>
              <w:start w:w="65" w:type="dxa"/>
              <w:end w:w="65" w:type="dxa"/>
            </w:tcMar>
          </w:tcPr>
          <w:p>
            <w:pPr>
              <w:pStyle w:val="TableText"/>
            </w:pPr>
            <w:r/>
            <w:r>
              <w:rPr>
                <w:b w:val="0"/>
              </w:rPr>
              <w:t>ASSESSMENT INCOMPLETE.</w:t>
            </w:r>
          </w:p>
        </w:tc>
      </w:tr>
      <w:tr>
        <w:trPr>
          <w:cantSplit/>
        </w:trPr>
        <w:tc>
          <w:tcPr>
            <w:tcW w:type="dxa" w:w="1080"/>
            <w:vAlign w:val="center"/>
            <w:tcMar>
              <w:top w:w="55" w:type="dxa"/>
              <w:bottom w:w="55" w:type="dxa"/>
              <w:start w:w="65" w:type="dxa"/>
              <w:end w:w="65" w:type="dxa"/>
            </w:tcMar>
            <w:shd w:fill="EDF4FA"/>
          </w:tcPr>
          <w:p>
            <w:pPr>
              <w:pStyle w:val="TableText"/>
            </w:pPr>
            <w:r/>
            <w:r>
              <w:rPr>
                <w:b w:val="0"/>
              </w:rPr>
              <w:t>INT-T18</w:t>
            </w:r>
          </w:p>
        </w:tc>
        <w:tc>
          <w:tcPr>
            <w:tcW w:type="dxa" w:w="4320"/>
            <w:vAlign w:val="center"/>
            <w:tcMar>
              <w:top w:w="55" w:type="dxa"/>
              <w:bottom w:w="55" w:type="dxa"/>
              <w:start w:w="65" w:type="dxa"/>
              <w:end w:w="65" w:type="dxa"/>
            </w:tcMar>
            <w:shd w:fill="EDF4FA"/>
          </w:tcPr>
          <w:p>
            <w:pPr>
              <w:pStyle w:val="TableText"/>
            </w:pPr>
            <w:r/>
            <w:r>
              <w:rPr>
                <w:b w:val="0"/>
              </w:rPr>
              <w:t>No HIGH factors + all complete + ML LOW</w:t>
            </w:r>
          </w:p>
        </w:tc>
        <w:tc>
          <w:tcPr>
            <w:tcW w:type="dxa" w:w="5472"/>
            <w:vAlign w:val="center"/>
            <w:tcMar>
              <w:top w:w="55" w:type="dxa"/>
              <w:bottom w:w="55" w:type="dxa"/>
              <w:start w:w="65" w:type="dxa"/>
              <w:end w:w="65" w:type="dxa"/>
            </w:tcMar>
            <w:shd w:fill="EDF4FA"/>
          </w:tcPr>
          <w:p>
            <w:pPr>
              <w:pStyle w:val="TableText"/>
            </w:pPr>
            <w:r/>
            <w:r>
              <w:rPr>
                <w:b w:val="0"/>
              </w:rPr>
              <w:t>LOW.</w:t>
            </w:r>
          </w:p>
        </w:tc>
      </w:tr>
      <w:tr>
        <w:trPr>
          <w:cantSplit/>
        </w:trPr>
        <w:tc>
          <w:tcPr>
            <w:tcW w:type="dxa" w:w="1080"/>
            <w:vAlign w:val="center"/>
            <w:tcMar>
              <w:top w:w="55" w:type="dxa"/>
              <w:bottom w:w="55" w:type="dxa"/>
              <w:start w:w="65" w:type="dxa"/>
              <w:end w:w="65" w:type="dxa"/>
            </w:tcMar>
          </w:tcPr>
          <w:p>
            <w:pPr>
              <w:pStyle w:val="TableText"/>
            </w:pPr>
            <w:r/>
            <w:r>
              <w:rPr>
                <w:b w:val="0"/>
              </w:rPr>
              <w:t>INT-T19</w:t>
            </w:r>
          </w:p>
        </w:tc>
        <w:tc>
          <w:tcPr>
            <w:tcW w:type="dxa" w:w="4320"/>
            <w:vAlign w:val="center"/>
            <w:tcMar>
              <w:top w:w="55" w:type="dxa"/>
              <w:bottom w:w="55" w:type="dxa"/>
              <w:start w:w="65" w:type="dxa"/>
              <w:end w:w="65" w:type="dxa"/>
            </w:tcMar>
          </w:tcPr>
          <w:p>
            <w:pPr>
              <w:pStyle w:val="TableText"/>
            </w:pPr>
            <w:r/>
            <w:r>
              <w:rPr>
                <w:b w:val="0"/>
              </w:rPr>
              <w:t>Two factors share same action</w:t>
            </w:r>
          </w:p>
        </w:tc>
        <w:tc>
          <w:tcPr>
            <w:tcW w:type="dxa" w:w="5472"/>
            <w:vAlign w:val="center"/>
            <w:tcMar>
              <w:top w:w="55" w:type="dxa"/>
              <w:bottom w:w="55" w:type="dxa"/>
              <w:start w:w="65" w:type="dxa"/>
              <w:end w:w="65" w:type="dxa"/>
            </w:tcMar>
          </w:tcPr>
          <w:p>
            <w:pPr>
              <w:pStyle w:val="TableText"/>
            </w:pPr>
            <w:r/>
            <w:r>
              <w:rPr>
                <w:b w:val="0"/>
              </w:rPr>
              <w:t>One merged recommendation, no duplicate paragraphs.</w:t>
            </w:r>
          </w:p>
        </w:tc>
      </w:tr>
      <w:tr>
        <w:trPr>
          <w:cantSplit/>
        </w:trPr>
        <w:tc>
          <w:tcPr>
            <w:tcW w:type="dxa" w:w="1080"/>
            <w:vAlign w:val="center"/>
            <w:tcMar>
              <w:top w:w="55" w:type="dxa"/>
              <w:bottom w:w="55" w:type="dxa"/>
              <w:start w:w="65" w:type="dxa"/>
              <w:end w:w="65" w:type="dxa"/>
            </w:tcMar>
            <w:shd w:fill="EDF4FA"/>
          </w:tcPr>
          <w:p>
            <w:pPr>
              <w:pStyle w:val="TableText"/>
            </w:pPr>
            <w:r/>
            <w:r>
              <w:rPr>
                <w:b w:val="0"/>
              </w:rPr>
              <w:t>INT-T20</w:t>
            </w:r>
          </w:p>
        </w:tc>
        <w:tc>
          <w:tcPr>
            <w:tcW w:type="dxa" w:w="4320"/>
            <w:vAlign w:val="center"/>
            <w:tcMar>
              <w:top w:w="55" w:type="dxa"/>
              <w:bottom w:w="55" w:type="dxa"/>
              <w:start w:w="65" w:type="dxa"/>
              <w:end w:w="65" w:type="dxa"/>
            </w:tcMar>
            <w:shd w:fill="EDF4FA"/>
          </w:tcPr>
          <w:p>
            <w:pPr>
              <w:pStyle w:val="TableText"/>
            </w:pPr>
            <w:r/>
            <w:r>
              <w:rPr>
                <w:b w:val="0"/>
              </w:rPr>
              <w:t>Same rule activated twice through duplicate data</w:t>
            </w:r>
          </w:p>
        </w:tc>
        <w:tc>
          <w:tcPr>
            <w:tcW w:type="dxa" w:w="5472"/>
            <w:vAlign w:val="center"/>
            <w:tcMar>
              <w:top w:w="55" w:type="dxa"/>
              <w:bottom w:w="55" w:type="dxa"/>
              <w:start w:w="65" w:type="dxa"/>
              <w:end w:w="65" w:type="dxa"/>
            </w:tcMar>
            <w:shd w:fill="EDF4FA"/>
          </w:tcPr>
          <w:p>
            <w:pPr>
              <w:pStyle w:val="TableText"/>
            </w:pPr>
            <w:r/>
            <w:r>
              <w:rPr>
                <w:b w:val="0"/>
              </w:rPr>
              <w:t>One reason only; duplicate detected/audited.</w:t>
            </w:r>
          </w:p>
        </w:tc>
      </w:tr>
      <w:tr>
        <w:trPr>
          <w:cantSplit/>
        </w:trPr>
        <w:tc>
          <w:tcPr>
            <w:tcW w:type="dxa" w:w="1080"/>
            <w:vAlign w:val="center"/>
            <w:tcMar>
              <w:top w:w="55" w:type="dxa"/>
              <w:bottom w:w="55" w:type="dxa"/>
              <w:start w:w="65" w:type="dxa"/>
              <w:end w:w="65" w:type="dxa"/>
            </w:tcMar>
          </w:tcPr>
          <w:p>
            <w:pPr>
              <w:pStyle w:val="TableText"/>
            </w:pPr>
            <w:r/>
            <w:r>
              <w:rPr>
                <w:b w:val="0"/>
              </w:rPr>
              <w:t>INT-T21</w:t>
            </w:r>
          </w:p>
        </w:tc>
        <w:tc>
          <w:tcPr>
            <w:tcW w:type="dxa" w:w="4320"/>
            <w:vAlign w:val="center"/>
            <w:tcMar>
              <w:top w:w="55" w:type="dxa"/>
              <w:bottom w:w="55" w:type="dxa"/>
              <w:start w:w="65" w:type="dxa"/>
              <w:end w:w="65" w:type="dxa"/>
            </w:tcMar>
          </w:tcPr>
          <w:p>
            <w:pPr>
              <w:pStyle w:val="TableText"/>
            </w:pPr>
            <w:r/>
            <w:r>
              <w:rPr>
                <w:b w:val="0"/>
              </w:rPr>
              <w:t>Interaction absent from approved library</w:t>
            </w:r>
          </w:p>
        </w:tc>
        <w:tc>
          <w:tcPr>
            <w:tcW w:type="dxa" w:w="5472"/>
            <w:vAlign w:val="center"/>
            <w:tcMar>
              <w:top w:w="55" w:type="dxa"/>
              <w:bottom w:w="55" w:type="dxa"/>
              <w:start w:w="65" w:type="dxa"/>
              <w:end w:w="65" w:type="dxa"/>
            </w:tcMar>
          </w:tcPr>
          <w:p>
            <w:pPr>
              <w:pStyle w:val="TableText"/>
            </w:pPr>
            <w:r/>
            <w:r>
              <w:rPr>
                <w:b w:val="0"/>
              </w:rPr>
              <w:t>No invented claim; show individual reasons only.</w:t>
            </w:r>
          </w:p>
        </w:tc>
      </w:tr>
      <w:tr>
        <w:trPr>
          <w:cantSplit/>
        </w:trPr>
        <w:tc>
          <w:tcPr>
            <w:tcW w:type="dxa" w:w="1080"/>
            <w:vAlign w:val="center"/>
            <w:tcMar>
              <w:top w:w="55" w:type="dxa"/>
              <w:bottom w:w="55" w:type="dxa"/>
              <w:start w:w="65" w:type="dxa"/>
              <w:end w:w="65" w:type="dxa"/>
            </w:tcMar>
            <w:shd w:fill="EDF4FA"/>
          </w:tcPr>
          <w:p>
            <w:pPr>
              <w:pStyle w:val="TableText"/>
            </w:pPr>
            <w:r/>
            <w:r>
              <w:rPr>
                <w:b w:val="0"/>
              </w:rPr>
              <w:t>INT-T22</w:t>
            </w:r>
          </w:p>
        </w:tc>
        <w:tc>
          <w:tcPr>
            <w:tcW w:type="dxa" w:w="4320"/>
            <w:vAlign w:val="center"/>
            <w:tcMar>
              <w:top w:w="55" w:type="dxa"/>
              <w:bottom w:w="55" w:type="dxa"/>
              <w:start w:w="65" w:type="dxa"/>
              <w:end w:w="65" w:type="dxa"/>
            </w:tcMar>
            <w:shd w:fill="EDF4FA"/>
          </w:tcPr>
          <w:p>
            <w:pPr>
              <w:pStyle w:val="TableText"/>
            </w:pPr>
            <w:r/>
            <w:r>
              <w:rPr>
                <w:b w:val="0"/>
              </w:rPr>
              <w:t>Referral completed after HIGH combination</w:t>
            </w:r>
          </w:p>
        </w:tc>
        <w:tc>
          <w:tcPr>
            <w:tcW w:type="dxa" w:w="5472"/>
            <w:vAlign w:val="center"/>
            <w:tcMar>
              <w:top w:w="55" w:type="dxa"/>
              <w:bottom w:w="55" w:type="dxa"/>
              <w:start w:w="65" w:type="dxa"/>
              <w:end w:w="65" w:type="dxa"/>
            </w:tcMar>
            <w:shd w:fill="EDF4FA"/>
          </w:tcPr>
          <w:p>
            <w:pPr>
              <w:pStyle w:val="TableText"/>
            </w:pPr>
            <w:r/>
            <w:r>
              <w:rPr>
                <w:b w:val="0"/>
              </w:rPr>
              <w:t>HIGH history remains; completion status and plan displayed.</w:t>
            </w:r>
          </w:p>
        </w:tc>
      </w:tr>
      <w:tr>
        <w:trPr>
          <w:cantSplit/>
        </w:trPr>
        <w:tc>
          <w:tcPr>
            <w:tcW w:type="dxa" w:w="1080"/>
            <w:vAlign w:val="center"/>
            <w:tcMar>
              <w:top w:w="55" w:type="dxa"/>
              <w:bottom w:w="55" w:type="dxa"/>
              <w:start w:w="65" w:type="dxa"/>
              <w:end w:w="65" w:type="dxa"/>
            </w:tcMar>
          </w:tcPr>
          <w:p>
            <w:pPr>
              <w:pStyle w:val="TableText"/>
            </w:pPr>
            <w:r/>
            <w:r>
              <w:rPr>
                <w:b w:val="0"/>
              </w:rPr>
              <w:t>INT-T23</w:t>
            </w:r>
          </w:p>
        </w:tc>
        <w:tc>
          <w:tcPr>
            <w:tcW w:type="dxa" w:w="4320"/>
            <w:vAlign w:val="center"/>
            <w:tcMar>
              <w:top w:w="55" w:type="dxa"/>
              <w:bottom w:w="55" w:type="dxa"/>
              <w:start w:w="65" w:type="dxa"/>
              <w:end w:w="65" w:type="dxa"/>
            </w:tcMar>
          </w:tcPr>
          <w:p>
            <w:pPr>
              <w:pStyle w:val="TableText"/>
            </w:pPr>
            <w:r/>
            <w:r>
              <w:rPr>
                <w:b w:val="0"/>
              </w:rPr>
              <w:t>Patient refuses referral</w:t>
            </w:r>
          </w:p>
        </w:tc>
        <w:tc>
          <w:tcPr>
            <w:tcW w:type="dxa" w:w="5472"/>
            <w:vAlign w:val="center"/>
            <w:tcMar>
              <w:top w:w="55" w:type="dxa"/>
              <w:bottom w:w="55" w:type="dxa"/>
              <w:start w:w="65" w:type="dxa"/>
              <w:end w:w="65" w:type="dxa"/>
            </w:tcMar>
          </w:tcPr>
          <w:p>
            <w:pPr>
              <w:pStyle w:val="TableText"/>
            </w:pPr>
            <w:r/>
            <w:r>
              <w:rPr>
                <w:b w:val="0"/>
              </w:rPr>
              <w:t>HIGH remains; refusal and safety net documented.</w:t>
            </w:r>
          </w:p>
        </w:tc>
      </w:tr>
      <w:tr>
        <w:trPr>
          <w:cantSplit/>
        </w:trPr>
        <w:tc>
          <w:tcPr>
            <w:tcW w:type="dxa" w:w="1080"/>
            <w:vAlign w:val="center"/>
            <w:tcMar>
              <w:top w:w="55" w:type="dxa"/>
              <w:bottom w:w="55" w:type="dxa"/>
              <w:start w:w="65" w:type="dxa"/>
              <w:end w:w="65" w:type="dxa"/>
            </w:tcMar>
            <w:shd w:fill="EDF4FA"/>
          </w:tcPr>
          <w:p>
            <w:pPr>
              <w:pStyle w:val="TableText"/>
            </w:pPr>
            <w:r/>
            <w:r>
              <w:rPr>
                <w:b w:val="0"/>
              </w:rPr>
              <w:t>INT-T24</w:t>
            </w:r>
          </w:p>
        </w:tc>
        <w:tc>
          <w:tcPr>
            <w:tcW w:type="dxa" w:w="4320"/>
            <w:vAlign w:val="center"/>
            <w:tcMar>
              <w:top w:w="55" w:type="dxa"/>
              <w:bottom w:w="55" w:type="dxa"/>
              <w:start w:w="65" w:type="dxa"/>
              <w:end w:w="65" w:type="dxa"/>
            </w:tcMar>
            <w:shd w:fill="EDF4FA"/>
          </w:tcPr>
          <w:p>
            <w:pPr>
              <w:pStyle w:val="TableText"/>
            </w:pPr>
            <w:r/>
            <w:r>
              <w:rPr>
                <w:b w:val="0"/>
              </w:rPr>
              <w:t>Delivered record opened</w:t>
            </w:r>
          </w:p>
        </w:tc>
        <w:tc>
          <w:tcPr>
            <w:tcW w:type="dxa" w:w="5472"/>
            <w:vAlign w:val="center"/>
            <w:tcMar>
              <w:top w:w="55" w:type="dxa"/>
              <w:bottom w:w="55" w:type="dxa"/>
              <w:start w:w="65" w:type="dxa"/>
              <w:end w:w="65" w:type="dxa"/>
            </w:tcMar>
            <w:shd w:fill="EDF4FA"/>
          </w:tcPr>
          <w:p>
            <w:pPr>
              <w:pStyle w:val="TableText"/>
            </w:pPr>
            <w:r/>
            <w:r>
              <w:rPr>
                <w:b w:val="0"/>
              </w:rPr>
              <w:t>Read-only; interaction history preserved.</w:t>
            </w:r>
          </w:p>
        </w:tc>
      </w:tr>
      <w:tr>
        <w:trPr>
          <w:cantSplit/>
        </w:trPr>
        <w:tc>
          <w:tcPr>
            <w:tcW w:type="dxa" w:w="1080"/>
            <w:vAlign w:val="center"/>
            <w:tcMar>
              <w:top w:w="55" w:type="dxa"/>
              <w:bottom w:w="55" w:type="dxa"/>
              <w:start w:w="65" w:type="dxa"/>
              <w:end w:w="65" w:type="dxa"/>
            </w:tcMar>
          </w:tcPr>
          <w:p>
            <w:pPr>
              <w:pStyle w:val="TableText"/>
            </w:pPr>
            <w:r/>
            <w:r>
              <w:rPr>
                <w:b w:val="0"/>
              </w:rPr>
              <w:t>INT-T25</w:t>
            </w:r>
          </w:p>
        </w:tc>
        <w:tc>
          <w:tcPr>
            <w:tcW w:type="dxa" w:w="4320"/>
            <w:vAlign w:val="center"/>
            <w:tcMar>
              <w:top w:w="55" w:type="dxa"/>
              <w:bottom w:w="55" w:type="dxa"/>
              <w:start w:w="65" w:type="dxa"/>
              <w:end w:w="65" w:type="dxa"/>
            </w:tcMar>
          </w:tcPr>
          <w:p>
            <w:pPr>
              <w:pStyle w:val="TableText"/>
            </w:pPr>
            <w:r/>
            <w:r>
              <w:rPr>
                <w:b w:val="0"/>
              </w:rPr>
              <w:t>New pregnancy created</w:t>
            </w:r>
          </w:p>
        </w:tc>
        <w:tc>
          <w:tcPr>
            <w:tcW w:type="dxa" w:w="5472"/>
            <w:vAlign w:val="center"/>
            <w:tcMar>
              <w:top w:w="55" w:type="dxa"/>
              <w:bottom w:w="55" w:type="dxa"/>
              <w:start w:w="65" w:type="dxa"/>
              <w:end w:w="65" w:type="dxa"/>
            </w:tcMar>
          </w:tcPr>
          <w:p>
            <w:pPr>
              <w:pStyle w:val="TableText"/>
            </w:pPr>
            <w:r/>
            <w:r>
              <w:rPr>
                <w:b w:val="0"/>
              </w:rPr>
              <w:t>Fresh current inputs; prior obstetric history reconfirmed.</w:t>
            </w:r>
          </w:p>
        </w:tc>
      </w:tr>
    </w:tbl>
    <w:p>
      <w:pPr>
        <w:spacing w:after="20"/>
      </w:pPr>
    </w:p>
    <w:p>
      <w:pPr>
        <w:pStyle w:val="Heading1"/>
      </w:pPr>
      <w:r>
        <w:t>12. Failure Modes and Controls</w:t>
      </w:r>
    </w:p>
    <w:tbl>
      <w:tblPr>
        <w:tblStyle w:val="TableGrid"/>
        <w:tblW w:type="auto" w:w="0"/>
        <w:jc w:val="center"/>
        <w:tblLook w:firstColumn="1" w:firstRow="1" w:lastColumn="0" w:lastRow="0" w:noHBand="0" w:noVBand="1" w:val="04A0"/>
      </w:tblPr>
      <w:tblGrid>
        <w:gridCol w:w="3427"/>
        <w:gridCol w:w="3427"/>
        <w:gridCol w:w="3427"/>
      </w:tblGrid>
      <w:tr>
        <w:trPr>
          <w:tblHeader w:val="true"/>
          <w:cantSplit/>
        </w:trPr>
        <w:tc>
          <w:tcPr>
            <w:tcW w:type="dxa" w:w="2880"/>
            <w:vAlign w:val="center"/>
            <w:tcMar>
              <w:top w:w="55" w:type="dxa"/>
              <w:bottom w:w="55" w:type="dxa"/>
              <w:start w:w="65" w:type="dxa"/>
              <w:end w:w="65" w:type="dxa"/>
            </w:tcMar>
            <w:shd w:fill="17365D"/>
          </w:tcPr>
          <w:p>
            <w:pPr>
              <w:pStyle w:val="TableHeader"/>
            </w:pPr>
            <w:r/>
            <w:r>
              <w:rPr>
                <w:b/>
                <w:color w:val="FFFFFF"/>
              </w:rPr>
              <w:t>Failure mode</w:t>
            </w:r>
          </w:p>
        </w:tc>
        <w:tc>
          <w:tcPr>
            <w:tcW w:type="dxa" w:w="3528"/>
            <w:vAlign w:val="center"/>
            <w:tcMar>
              <w:top w:w="55" w:type="dxa"/>
              <w:bottom w:w="55" w:type="dxa"/>
              <w:start w:w="65" w:type="dxa"/>
              <w:end w:w="65" w:type="dxa"/>
            </w:tcMar>
            <w:shd w:fill="17365D"/>
          </w:tcPr>
          <w:p>
            <w:pPr>
              <w:pStyle w:val="TableHeader"/>
            </w:pPr>
            <w:r/>
            <w:r>
              <w:rPr>
                <w:b/>
                <w:color w:val="FFFFFF"/>
              </w:rPr>
              <w:t>Potential harm</w:t>
            </w:r>
          </w:p>
        </w:tc>
        <w:tc>
          <w:tcPr>
            <w:tcW w:type="dxa" w:w="4320"/>
            <w:vAlign w:val="center"/>
            <w:tcMar>
              <w:top w:w="55" w:type="dxa"/>
              <w:bottom w:w="55" w:type="dxa"/>
              <w:start w:w="65" w:type="dxa"/>
              <w:end w:w="65" w:type="dxa"/>
            </w:tcMar>
            <w:shd w:fill="17365D"/>
          </w:tcPr>
          <w:p>
            <w:pPr>
              <w:pStyle w:val="TableHeader"/>
            </w:pPr>
            <w:r/>
            <w:r>
              <w:rPr>
                <w:b/>
                <w:color w:val="FFFFFF"/>
              </w:rPr>
              <w:t>Required control</w:t>
            </w:r>
          </w:p>
        </w:tc>
      </w:tr>
      <w:tr>
        <w:trPr>
          <w:cantSplit/>
        </w:trPr>
        <w:tc>
          <w:tcPr>
            <w:tcW w:type="dxa" w:w="2880"/>
            <w:vAlign w:val="center"/>
            <w:tcMar>
              <w:top w:w="55" w:type="dxa"/>
              <w:bottom w:w="55" w:type="dxa"/>
              <w:start w:w="65" w:type="dxa"/>
              <w:end w:w="65" w:type="dxa"/>
            </w:tcMar>
          </w:tcPr>
          <w:p>
            <w:pPr>
              <w:pStyle w:val="TableText"/>
            </w:pPr>
            <w:r/>
            <w:r>
              <w:rPr>
                <w:b w:val="0"/>
              </w:rPr>
              <w:t>Counting factors as a validated score</w:t>
            </w:r>
          </w:p>
        </w:tc>
        <w:tc>
          <w:tcPr>
            <w:tcW w:type="dxa" w:w="3528"/>
            <w:vAlign w:val="center"/>
            <w:tcMar>
              <w:top w:w="55" w:type="dxa"/>
              <w:bottom w:w="55" w:type="dxa"/>
              <w:start w:w="65" w:type="dxa"/>
              <w:end w:w="65" w:type="dxa"/>
            </w:tcMar>
          </w:tcPr>
          <w:p>
            <w:pPr>
              <w:pStyle w:val="TableText"/>
            </w:pPr>
            <w:r/>
            <w:r>
              <w:rPr>
                <w:b w:val="0"/>
              </w:rPr>
              <w:t>False precision and unsupported risk ranking.</w:t>
            </w:r>
          </w:p>
        </w:tc>
        <w:tc>
          <w:tcPr>
            <w:tcW w:type="dxa" w:w="4320"/>
            <w:vAlign w:val="center"/>
            <w:tcMar>
              <w:top w:w="55" w:type="dxa"/>
              <w:bottom w:w="55" w:type="dxa"/>
              <w:start w:w="65" w:type="dxa"/>
              <w:end w:w="65" w:type="dxa"/>
            </w:tcMar>
          </w:tcPr>
          <w:p>
            <w:pPr>
              <w:pStyle w:val="TableText"/>
            </w:pPr>
            <w:r/>
            <w:r>
              <w:rPr>
                <w:b w:val="0"/>
              </w:rPr>
              <w:t>No numeric total or percentage unless separately validated.</w:t>
            </w:r>
          </w:p>
        </w:tc>
      </w:tr>
      <w:tr>
        <w:trPr>
          <w:cantSplit/>
        </w:trPr>
        <w:tc>
          <w:tcPr>
            <w:tcW w:type="dxa" w:w="2880"/>
            <w:vAlign w:val="center"/>
            <w:tcMar>
              <w:top w:w="55" w:type="dxa"/>
              <w:bottom w:w="55" w:type="dxa"/>
              <w:start w:w="65" w:type="dxa"/>
              <w:end w:w="65" w:type="dxa"/>
            </w:tcMar>
            <w:shd w:fill="EDF4FA"/>
          </w:tcPr>
          <w:p>
            <w:pPr>
              <w:pStyle w:val="TableText"/>
            </w:pPr>
            <w:r/>
            <w:r>
              <w:rPr>
                <w:b w:val="0"/>
              </w:rPr>
              <w:t>One factor cancels another</w:t>
            </w:r>
          </w:p>
        </w:tc>
        <w:tc>
          <w:tcPr>
            <w:tcW w:type="dxa" w:w="3528"/>
            <w:vAlign w:val="center"/>
            <w:tcMar>
              <w:top w:w="55" w:type="dxa"/>
              <w:bottom w:w="55" w:type="dxa"/>
              <w:start w:w="65" w:type="dxa"/>
              <w:end w:w="65" w:type="dxa"/>
            </w:tcMar>
            <w:shd w:fill="EDF4FA"/>
          </w:tcPr>
          <w:p>
            <w:pPr>
              <w:pStyle w:val="TableText"/>
            </w:pPr>
            <w:r/>
            <w:r>
              <w:rPr>
                <w:b w:val="0"/>
              </w:rPr>
              <w:t>False LOW result.</w:t>
            </w:r>
          </w:p>
        </w:tc>
        <w:tc>
          <w:tcPr>
            <w:tcW w:type="dxa" w:w="4320"/>
            <w:vAlign w:val="center"/>
            <w:tcMar>
              <w:top w:w="55" w:type="dxa"/>
              <w:bottom w:w="55" w:type="dxa"/>
              <w:start w:w="65" w:type="dxa"/>
              <w:end w:w="65" w:type="dxa"/>
            </w:tcMar>
            <w:shd w:fill="EDF4FA"/>
          </w:tcPr>
          <w:p>
            <w:pPr>
              <w:pStyle w:val="TableText"/>
            </w:pPr>
            <w:r/>
            <w:r>
              <w:rPr>
                <w:b w:val="0"/>
              </w:rPr>
              <w:t>Independent rules and maximum-urgency precedence.</w:t>
            </w:r>
          </w:p>
        </w:tc>
      </w:tr>
      <w:tr>
        <w:trPr>
          <w:cantSplit/>
        </w:trPr>
        <w:tc>
          <w:tcPr>
            <w:tcW w:type="dxa" w:w="2880"/>
            <w:vAlign w:val="center"/>
            <w:tcMar>
              <w:top w:w="55" w:type="dxa"/>
              <w:bottom w:w="55" w:type="dxa"/>
              <w:start w:w="65" w:type="dxa"/>
              <w:end w:w="65" w:type="dxa"/>
            </w:tcMar>
          </w:tcPr>
          <w:p>
            <w:pPr>
              <w:pStyle w:val="TableText"/>
            </w:pPr>
            <w:r/>
            <w:r>
              <w:rPr>
                <w:b w:val="0"/>
              </w:rPr>
              <w:t>All combinations labelled emergency</w:t>
            </w:r>
          </w:p>
        </w:tc>
        <w:tc>
          <w:tcPr>
            <w:tcW w:type="dxa" w:w="3528"/>
            <w:vAlign w:val="center"/>
            <w:tcMar>
              <w:top w:w="55" w:type="dxa"/>
              <w:bottom w:w="55" w:type="dxa"/>
              <w:start w:w="65" w:type="dxa"/>
              <w:end w:w="65" w:type="dxa"/>
            </w:tcMar>
          </w:tcPr>
          <w:p>
            <w:pPr>
              <w:pStyle w:val="TableText"/>
            </w:pPr>
            <w:r/>
            <w:r>
              <w:rPr>
                <w:b w:val="0"/>
              </w:rPr>
              <w:t>Alarm fatigue and unnecessary transfer.</w:t>
            </w:r>
          </w:p>
        </w:tc>
        <w:tc>
          <w:tcPr>
            <w:tcW w:type="dxa" w:w="4320"/>
            <w:vAlign w:val="center"/>
            <w:tcMar>
              <w:top w:w="55" w:type="dxa"/>
              <w:bottom w:w="55" w:type="dxa"/>
              <w:start w:w="65" w:type="dxa"/>
              <w:end w:w="65" w:type="dxa"/>
            </w:tcMar>
          </w:tcPr>
          <w:p>
            <w:pPr>
              <w:pStyle w:val="TableText"/>
            </w:pPr>
            <w:r/>
            <w:r>
              <w:rPr>
                <w:b w:val="0"/>
              </w:rPr>
              <w:t>Interaction-specific urgency table.</w:t>
            </w:r>
          </w:p>
        </w:tc>
      </w:tr>
      <w:tr>
        <w:trPr>
          <w:cantSplit/>
        </w:trPr>
        <w:tc>
          <w:tcPr>
            <w:tcW w:type="dxa" w:w="2880"/>
            <w:vAlign w:val="center"/>
            <w:tcMar>
              <w:top w:w="55" w:type="dxa"/>
              <w:bottom w:w="55" w:type="dxa"/>
              <w:start w:w="65" w:type="dxa"/>
              <w:end w:w="65" w:type="dxa"/>
            </w:tcMar>
            <w:shd w:fill="EDF4FA"/>
          </w:tcPr>
          <w:p>
            <w:pPr>
              <w:pStyle w:val="TableText"/>
            </w:pPr>
            <w:r/>
            <w:r>
              <w:rPr>
                <w:b w:val="0"/>
              </w:rPr>
              <w:t>Causal statement from association</w:t>
            </w:r>
          </w:p>
        </w:tc>
        <w:tc>
          <w:tcPr>
            <w:tcW w:type="dxa" w:w="3528"/>
            <w:vAlign w:val="center"/>
            <w:tcMar>
              <w:top w:w="55" w:type="dxa"/>
              <w:bottom w:w="55" w:type="dxa"/>
              <w:start w:w="65" w:type="dxa"/>
              <w:end w:w="65" w:type="dxa"/>
            </w:tcMar>
            <w:shd w:fill="EDF4FA"/>
          </w:tcPr>
          <w:p>
            <w:pPr>
              <w:pStyle w:val="TableText"/>
            </w:pPr>
            <w:r/>
            <w:r>
              <w:rPr>
                <w:b w:val="0"/>
              </w:rPr>
              <w:t>Misdiagnosis and misleading counseling.</w:t>
            </w:r>
          </w:p>
        </w:tc>
        <w:tc>
          <w:tcPr>
            <w:tcW w:type="dxa" w:w="4320"/>
            <w:vAlign w:val="center"/>
            <w:tcMar>
              <w:top w:w="55" w:type="dxa"/>
              <w:bottom w:w="55" w:type="dxa"/>
              <w:start w:w="65" w:type="dxa"/>
              <w:end w:w="65" w:type="dxa"/>
            </w:tcMar>
            <w:shd w:fill="EDF4FA"/>
          </w:tcPr>
          <w:p>
            <w:pPr>
              <w:pStyle w:val="TableText"/>
            </w:pPr>
            <w:r/>
            <w:r>
              <w:rPr>
                <w:b w:val="0"/>
              </w:rPr>
              <w:t>Use cautious, evidence-bounded wording.</w:t>
            </w:r>
          </w:p>
        </w:tc>
      </w:tr>
      <w:tr>
        <w:trPr>
          <w:cantSplit/>
        </w:trPr>
        <w:tc>
          <w:tcPr>
            <w:tcW w:type="dxa" w:w="2880"/>
            <w:vAlign w:val="center"/>
            <w:tcMar>
              <w:top w:w="55" w:type="dxa"/>
              <w:bottom w:w="55" w:type="dxa"/>
              <w:start w:w="65" w:type="dxa"/>
              <w:end w:w="65" w:type="dxa"/>
            </w:tcMar>
          </w:tcPr>
          <w:p>
            <w:pPr>
              <w:pStyle w:val="TableText"/>
            </w:pPr>
            <w:r/>
            <w:r>
              <w:rPr>
                <w:b w:val="0"/>
              </w:rPr>
              <w:t>Duplicate explanations</w:t>
            </w:r>
          </w:p>
        </w:tc>
        <w:tc>
          <w:tcPr>
            <w:tcW w:type="dxa" w:w="3528"/>
            <w:vAlign w:val="center"/>
            <w:tcMar>
              <w:top w:w="55" w:type="dxa"/>
              <w:bottom w:w="55" w:type="dxa"/>
              <w:start w:w="65" w:type="dxa"/>
              <w:end w:w="65" w:type="dxa"/>
            </w:tcMar>
          </w:tcPr>
          <w:p>
            <w:pPr>
              <w:pStyle w:val="TableText"/>
            </w:pPr>
            <w:r/>
            <w:r>
              <w:rPr>
                <w:b w:val="0"/>
              </w:rPr>
              <w:t>Unreadable, frightening output.</w:t>
            </w:r>
          </w:p>
        </w:tc>
        <w:tc>
          <w:tcPr>
            <w:tcW w:type="dxa" w:w="4320"/>
            <w:vAlign w:val="center"/>
            <w:tcMar>
              <w:top w:w="55" w:type="dxa"/>
              <w:bottom w:w="55" w:type="dxa"/>
              <w:start w:w="65" w:type="dxa"/>
              <w:end w:w="65" w:type="dxa"/>
            </w:tcMar>
          </w:tcPr>
          <w:p>
            <w:pPr>
              <w:pStyle w:val="TableText"/>
            </w:pPr>
            <w:r/>
            <w:r>
              <w:rPr>
                <w:b w:val="0"/>
              </w:rPr>
              <w:t>Deduplicate and merge by action domain.</w:t>
            </w:r>
          </w:p>
        </w:tc>
      </w:tr>
      <w:tr>
        <w:trPr>
          <w:cantSplit/>
        </w:trPr>
        <w:tc>
          <w:tcPr>
            <w:tcW w:type="dxa" w:w="2880"/>
            <w:vAlign w:val="center"/>
            <w:tcMar>
              <w:top w:w="55" w:type="dxa"/>
              <w:bottom w:w="55" w:type="dxa"/>
              <w:start w:w="65" w:type="dxa"/>
              <w:end w:w="65" w:type="dxa"/>
            </w:tcMar>
            <w:shd w:fill="EDF4FA"/>
          </w:tcPr>
          <w:p>
            <w:pPr>
              <w:pStyle w:val="TableText"/>
            </w:pPr>
            <w:r/>
            <w:r>
              <w:rPr>
                <w:b w:val="0"/>
              </w:rPr>
              <w:t>Missing data hides HIGH</w:t>
            </w:r>
          </w:p>
        </w:tc>
        <w:tc>
          <w:tcPr>
            <w:tcW w:type="dxa" w:w="3528"/>
            <w:vAlign w:val="center"/>
            <w:tcMar>
              <w:top w:w="55" w:type="dxa"/>
              <w:bottom w:w="55" w:type="dxa"/>
              <w:start w:w="65" w:type="dxa"/>
              <w:end w:w="65" w:type="dxa"/>
            </w:tcMar>
            <w:shd w:fill="EDF4FA"/>
          </w:tcPr>
          <w:p>
            <w:pPr>
              <w:pStyle w:val="TableText"/>
            </w:pPr>
            <w:r/>
            <w:r>
              <w:rPr>
                <w:b w:val="0"/>
              </w:rPr>
              <w:t>Safety-critical factor overlooked.</w:t>
            </w:r>
          </w:p>
        </w:tc>
        <w:tc>
          <w:tcPr>
            <w:tcW w:type="dxa" w:w="4320"/>
            <w:vAlign w:val="center"/>
            <w:tcMar>
              <w:top w:w="55" w:type="dxa"/>
              <w:bottom w:w="55" w:type="dxa"/>
              <w:start w:w="65" w:type="dxa"/>
              <w:end w:w="65" w:type="dxa"/>
            </w:tcMar>
            <w:shd w:fill="EDF4FA"/>
          </w:tcPr>
          <w:p>
            <w:pPr>
              <w:pStyle w:val="TableText"/>
            </w:pPr>
            <w:r/>
            <w:r>
              <w:rPr>
                <w:b w:val="0"/>
              </w:rPr>
              <w:t>HIGH precedence plus visible data-gap list.</w:t>
            </w:r>
          </w:p>
        </w:tc>
      </w:tr>
      <w:tr>
        <w:trPr>
          <w:cantSplit/>
        </w:trPr>
        <w:tc>
          <w:tcPr>
            <w:tcW w:type="dxa" w:w="2880"/>
            <w:vAlign w:val="center"/>
            <w:tcMar>
              <w:top w:w="55" w:type="dxa"/>
              <w:bottom w:w="55" w:type="dxa"/>
              <w:start w:w="65" w:type="dxa"/>
              <w:end w:w="65" w:type="dxa"/>
            </w:tcMar>
          </w:tcPr>
          <w:p>
            <w:pPr>
              <w:pStyle w:val="TableText"/>
            </w:pPr>
            <w:r/>
            <w:r>
              <w:rPr>
                <w:b w:val="0"/>
              </w:rPr>
              <w:t>HIGH hides urgent condition</w:t>
            </w:r>
          </w:p>
        </w:tc>
        <w:tc>
          <w:tcPr>
            <w:tcW w:type="dxa" w:w="3528"/>
            <w:vAlign w:val="center"/>
            <w:tcMar>
              <w:top w:w="55" w:type="dxa"/>
              <w:bottom w:w="55" w:type="dxa"/>
              <w:start w:w="65" w:type="dxa"/>
              <w:end w:w="65" w:type="dxa"/>
            </w:tcMar>
          </w:tcPr>
          <w:p>
            <w:pPr>
              <w:pStyle w:val="TableText"/>
            </w:pPr>
            <w:r/>
            <w:r>
              <w:rPr>
                <w:b w:val="0"/>
              </w:rPr>
              <w:t>Delayed emergency care.</w:t>
            </w:r>
          </w:p>
        </w:tc>
        <w:tc>
          <w:tcPr>
            <w:tcW w:type="dxa" w:w="4320"/>
            <w:vAlign w:val="center"/>
            <w:tcMar>
              <w:top w:w="55" w:type="dxa"/>
              <w:bottom w:w="55" w:type="dxa"/>
              <w:start w:w="65" w:type="dxa"/>
              <w:end w:w="65" w:type="dxa"/>
            </w:tcMar>
          </w:tcPr>
          <w:p>
            <w:pPr>
              <w:pStyle w:val="TableText"/>
            </w:pPr>
            <w:r/>
            <w:r>
              <w:rPr>
                <w:b w:val="0"/>
              </w:rPr>
              <w:t>Separate urgency_level and emergency banner.</w:t>
            </w:r>
          </w:p>
        </w:tc>
      </w:tr>
      <w:tr>
        <w:trPr>
          <w:cantSplit/>
        </w:trPr>
        <w:tc>
          <w:tcPr>
            <w:tcW w:type="dxa" w:w="2880"/>
            <w:vAlign w:val="center"/>
            <w:tcMar>
              <w:top w:w="55" w:type="dxa"/>
              <w:bottom w:w="55" w:type="dxa"/>
              <w:start w:w="65" w:type="dxa"/>
              <w:end w:w="65" w:type="dxa"/>
            </w:tcMar>
            <w:shd w:fill="EDF4FA"/>
          </w:tcPr>
          <w:p>
            <w:pPr>
              <w:pStyle w:val="TableText"/>
            </w:pPr>
            <w:r/>
            <w:r>
              <w:rPr>
                <w:b w:val="0"/>
              </w:rPr>
              <w:t>Interaction added only in UI</w:t>
            </w:r>
          </w:p>
        </w:tc>
        <w:tc>
          <w:tcPr>
            <w:tcW w:type="dxa" w:w="3528"/>
            <w:vAlign w:val="center"/>
            <w:tcMar>
              <w:top w:w="55" w:type="dxa"/>
              <w:bottom w:w="55" w:type="dxa"/>
              <w:start w:w="65" w:type="dxa"/>
              <w:end w:w="65" w:type="dxa"/>
            </w:tcMar>
            <w:shd w:fill="EDF4FA"/>
          </w:tcPr>
          <w:p>
            <w:pPr>
              <w:pStyle w:val="TableText"/>
            </w:pPr>
            <w:r/>
            <w:r>
              <w:rPr>
                <w:b w:val="0"/>
              </w:rPr>
              <w:t>Backend, audit, and referral become inconsistent.</w:t>
            </w:r>
          </w:p>
        </w:tc>
        <w:tc>
          <w:tcPr>
            <w:tcW w:type="dxa" w:w="4320"/>
            <w:vAlign w:val="center"/>
            <w:tcMar>
              <w:top w:w="55" w:type="dxa"/>
              <w:bottom w:w="55" w:type="dxa"/>
              <w:start w:w="65" w:type="dxa"/>
              <w:end w:w="65" w:type="dxa"/>
            </w:tcMar>
            <w:shd w:fill="EDF4FA"/>
          </w:tcPr>
          <w:p>
            <w:pPr>
              <w:pStyle w:val="TableText"/>
            </w:pPr>
            <w:r/>
            <w:r>
              <w:rPr>
                <w:b w:val="0"/>
              </w:rPr>
              <w:t>Central versioned interaction service.</w:t>
            </w:r>
          </w:p>
        </w:tc>
      </w:tr>
      <w:tr>
        <w:trPr>
          <w:cantSplit/>
        </w:trPr>
        <w:tc>
          <w:tcPr>
            <w:tcW w:type="dxa" w:w="2880"/>
            <w:vAlign w:val="center"/>
            <w:tcMar>
              <w:top w:w="55" w:type="dxa"/>
              <w:bottom w:w="55" w:type="dxa"/>
              <w:start w:w="65" w:type="dxa"/>
              <w:end w:w="65" w:type="dxa"/>
            </w:tcMar>
          </w:tcPr>
          <w:p>
            <w:pPr>
              <w:pStyle w:val="TableText"/>
            </w:pPr>
            <w:r/>
            <w:r>
              <w:rPr>
                <w:b w:val="0"/>
              </w:rPr>
              <w:t>Outdated evidence</w:t>
            </w:r>
          </w:p>
        </w:tc>
        <w:tc>
          <w:tcPr>
            <w:tcW w:type="dxa" w:w="3528"/>
            <w:vAlign w:val="center"/>
            <w:tcMar>
              <w:top w:w="55" w:type="dxa"/>
              <w:bottom w:w="55" w:type="dxa"/>
              <w:start w:w="65" w:type="dxa"/>
              <w:end w:w="65" w:type="dxa"/>
            </w:tcMar>
          </w:tcPr>
          <w:p>
            <w:pPr>
              <w:pStyle w:val="TableText"/>
            </w:pPr>
            <w:r/>
            <w:r>
              <w:rPr>
                <w:b w:val="0"/>
              </w:rPr>
              <w:t>Recommendations drift from current guidance.</w:t>
            </w:r>
          </w:p>
        </w:tc>
        <w:tc>
          <w:tcPr>
            <w:tcW w:type="dxa" w:w="4320"/>
            <w:vAlign w:val="center"/>
            <w:tcMar>
              <w:top w:w="55" w:type="dxa"/>
              <w:bottom w:w="55" w:type="dxa"/>
              <w:start w:w="65" w:type="dxa"/>
              <w:end w:w="65" w:type="dxa"/>
            </w:tcMar>
          </w:tcPr>
          <w:p>
            <w:pPr>
              <w:pStyle w:val="TableText"/>
            </w:pPr>
            <w:r/>
            <w:r>
              <w:rPr>
                <w:b w:val="0"/>
              </w:rPr>
              <w:t>Scheduled clinical governance review.</w:t>
            </w:r>
          </w:p>
        </w:tc>
      </w:tr>
      <w:tr>
        <w:trPr>
          <w:cantSplit/>
        </w:trPr>
        <w:tc>
          <w:tcPr>
            <w:tcW w:type="dxa" w:w="2880"/>
            <w:vAlign w:val="center"/>
            <w:tcMar>
              <w:top w:w="55" w:type="dxa"/>
              <w:bottom w:w="55" w:type="dxa"/>
              <w:start w:w="65" w:type="dxa"/>
              <w:end w:w="65" w:type="dxa"/>
            </w:tcMar>
            <w:shd w:fill="EDF4FA"/>
          </w:tcPr>
          <w:p>
            <w:pPr>
              <w:pStyle w:val="TableText"/>
            </w:pPr>
            <w:r/>
            <w:r>
              <w:rPr>
                <w:b w:val="0"/>
              </w:rPr>
              <w:t>Local capability assumed</w:t>
            </w:r>
          </w:p>
        </w:tc>
        <w:tc>
          <w:tcPr>
            <w:tcW w:type="dxa" w:w="3528"/>
            <w:vAlign w:val="center"/>
            <w:tcMar>
              <w:top w:w="55" w:type="dxa"/>
              <w:bottom w:w="55" w:type="dxa"/>
              <w:start w:w="65" w:type="dxa"/>
              <w:end w:w="65" w:type="dxa"/>
            </w:tcMar>
            <w:shd w:fill="EDF4FA"/>
          </w:tcPr>
          <w:p>
            <w:pPr>
              <w:pStyle w:val="TableText"/>
            </w:pPr>
            <w:r/>
            <w:r>
              <w:rPr>
                <w:b w:val="0"/>
              </w:rPr>
              <w:t>Referral advice does not match real resources.</w:t>
            </w:r>
          </w:p>
        </w:tc>
        <w:tc>
          <w:tcPr>
            <w:tcW w:type="dxa" w:w="4320"/>
            <w:vAlign w:val="center"/>
            <w:tcMar>
              <w:top w:w="55" w:type="dxa"/>
              <w:bottom w:w="55" w:type="dxa"/>
              <w:start w:w="65" w:type="dxa"/>
              <w:end w:w="65" w:type="dxa"/>
            </w:tcMar>
            <w:shd w:fill="EDF4FA"/>
          </w:tcPr>
          <w:p>
            <w:pPr>
              <w:pStyle w:val="TableText"/>
            </w:pPr>
            <w:r/>
            <w:r>
              <w:rPr>
                <w:b w:val="0"/>
              </w:rPr>
              <w:t>Maintain current facility and referral-capability registry.</w:t>
            </w:r>
          </w:p>
        </w:tc>
      </w:tr>
    </w:tbl>
    <w:p>
      <w:pPr>
        <w:spacing w:after="20"/>
      </w:pPr>
    </w:p>
    <w:p>
      <w:pPr>
        <w:pStyle w:val="Heading1"/>
      </w:pPr>
      <w:r>
        <w:t>13. Clinical Governance and Local Applicability</w:t>
      </w:r>
    </w:p>
    <w:p>
      <w:pPr>
        <w:pStyle w:val="ListNumber"/>
        <w:spacing w:after="36"/>
      </w:pPr>
      <w:r>
        <w:t>Approve the interaction catalogue with a Philippine obstetrician and the participating lying-in clinic before deployment.</w:t>
      </w:r>
    </w:p>
    <w:p>
      <w:pPr>
        <w:pStyle w:val="ListNumber"/>
        <w:spacing w:after="36"/>
      </w:pPr>
      <w:r>
        <w:t>Map recommendation urgency to the clinic's actual emergency transport, hospital referral, blood-bank, ultrasound, and physician-access capabilities.</w:t>
      </w:r>
    </w:p>
    <w:p>
      <w:pPr>
        <w:pStyle w:val="ListNumber"/>
        <w:spacing w:after="36"/>
      </w:pPr>
      <w:r>
        <w:t>Keep clinical interaction rules in a versioned service or configuration file rather than scattered across controllers and views.</w:t>
      </w:r>
    </w:p>
    <w:p>
      <w:pPr>
        <w:pStyle w:val="ListNumber"/>
        <w:spacing w:after="36"/>
      </w:pPr>
      <w:r>
        <w:t>Require one evidence note, one clinical owner, and at least one automated test for every interaction ID.</w:t>
      </w:r>
    </w:p>
    <w:p>
      <w:pPr>
        <w:pStyle w:val="ListNumber"/>
        <w:spacing w:after="36"/>
      </w:pPr>
      <w:r>
        <w:t>Review all combinations involving severe BP, absent cardiac activity, active bleeding, labour after cesarean, and referral refusal as safety-critical scenarios.</w:t>
      </w:r>
    </w:p>
    <w:p>
      <w:pPr>
        <w:pStyle w:val="ListNumber"/>
        <w:spacing w:after="36"/>
      </w:pPr>
      <w:r>
        <w:t>Audit whether multiple-factor patients receive completed referrals and whether urgency wording causes delay, over-referral, or misunderstanding.</w:t>
      </w:r>
    </w:p>
    <w:p>
      <w:pPr>
        <w:pStyle w:val="ListNumber"/>
        <w:spacing w:after="36"/>
      </w:pPr>
      <w:r>
        <w:t>Do not introduce a HIGHER or VERY HIGH category without a validated definition, management pathway, interface testing, and clinician approval.</w:t>
      </w:r>
    </w:p>
    <w:p>
      <w:pPr>
        <w:pStyle w:val="ListNumber"/>
        <w:spacing w:after="36"/>
      </w:pPr>
      <w:r>
        <w:t>Update this chapter whenever Parts 1-7, the database fields, ML model, referral network, or clinic scope changes.</w:t>
      </w:r>
    </w:p>
    <w:p>
      <w:pPr>
        <w:pStyle w:val="Heading1"/>
      </w:pPr>
      <w:r>
        <w:t>14. Panel Defense Questions and Model Answers</w:t>
      </w:r>
    </w:p>
    <w:p>
      <w:pPr>
        <w:keepNext/>
      </w:pPr>
      <w:r>
        <w:rPr>
          <w:b/>
          <w:color w:val="17365D"/>
        </w:rPr>
        <w:t>Q: Why do you need an interaction matrix if every factor already causes HIGH?</w:t>
      </w:r>
    </w:p>
    <w:p>
      <w:pPr>
        <w:ind w:left="288"/>
      </w:pPr>
      <w:r>
        <w:t>A: Because the final category alone does not determine urgency, referral destination, explanation, or the combined clinical plan. The matrix prevents repetitive or contradictory recommendations.</w:t>
      </w:r>
    </w:p>
    <w:p>
      <w:pPr>
        <w:keepNext/>
      </w:pPr>
      <w:r>
        <w:rPr>
          <w:b/>
          <w:color w:val="17365D"/>
        </w:rPr>
        <w:t>Q: Do you add the risks together?</w:t>
      </w:r>
    </w:p>
    <w:p>
      <w:pPr>
        <w:ind w:left="288"/>
      </w:pPr>
      <w:r>
        <w:t>A: No. The system does not calculate a score or percentage. It preserves all reasons and applies the most urgent supported action.</w:t>
      </w:r>
    </w:p>
    <w:p>
      <w:pPr>
        <w:keepNext/>
      </w:pPr>
      <w:r>
        <w:rPr>
          <w:b/>
          <w:color w:val="17365D"/>
        </w:rPr>
        <w:t>Q: Why not create VERY HIGH?</w:t>
      </w:r>
    </w:p>
    <w:p>
      <w:pPr>
        <w:ind w:left="288"/>
      </w:pPr>
      <w:r>
        <w:t>A: There is no validated threshold or management pathway for that label in this project. HIGH plus a separate urgency level is safer and more transparent.</w:t>
      </w:r>
    </w:p>
    <w:p>
      <w:pPr>
        <w:keepNext/>
      </w:pPr>
      <w:r>
        <w:rPr>
          <w:b/>
          <w:color w:val="17365D"/>
        </w:rPr>
        <w:t>Q: Can one normal finding cancel a HIGH factor?</w:t>
      </w:r>
    </w:p>
    <w:p>
      <w:pPr>
        <w:ind w:left="288"/>
      </w:pPr>
      <w:r>
        <w:t>A: No. Each deterministic factor is evaluated independently. A cephalic presentation, for example, cannot cancel severe hypertension.</w:t>
      </w:r>
    </w:p>
    <w:p>
      <w:pPr>
        <w:keepNext/>
      </w:pPr>
      <w:r>
        <w:rPr>
          <w:b/>
          <w:color w:val="17365D"/>
        </w:rPr>
        <w:t>Q: What is the strongest interaction evidence?</w:t>
      </w:r>
    </w:p>
    <w:p>
      <w:pPr>
        <w:ind w:left="288"/>
      </w:pPr>
      <w:r>
        <w:t>A: Examples include age plus comorbidities in ACOG counseling, combinations of preeclampsia risk factors, diabetes with serial growth/fluid surveillance, and previous cesarean plus placenta previa for accreta risk.</w:t>
      </w:r>
    </w:p>
    <w:p>
      <w:pPr>
        <w:keepNext/>
      </w:pPr>
      <w:r>
        <w:rPr>
          <w:b/>
          <w:color w:val="17365D"/>
        </w:rPr>
        <w:t>Q: Does BP plus low fluid mean placental insufficiency?</w:t>
      </w:r>
    </w:p>
    <w:p>
      <w:pPr>
        <w:ind w:left="288"/>
      </w:pPr>
      <w:r>
        <w:t>A: Not automatically. It is a clinically concerning pattern that requires review, but the CDSS lacks measurements and cannot diagnose the cause.</w:t>
      </w:r>
    </w:p>
    <w:p>
      <w:pPr>
        <w:keepNext/>
      </w:pPr>
      <w:r>
        <w:rPr>
          <w:b/>
          <w:color w:val="17365D"/>
        </w:rPr>
        <w:t>Q: Does diabetes plus high fluid mean diabetes caused it?</w:t>
      </w:r>
    </w:p>
    <w:p>
      <w:pPr>
        <w:ind w:left="288"/>
      </w:pPr>
      <w:r>
        <w:t>A: No. Diabetes is one possible association. The system recommends review of glucose control, fluid severity, fetal growth, and other causes.</w:t>
      </w:r>
    </w:p>
    <w:p>
      <w:pPr>
        <w:keepNext/>
      </w:pPr>
      <w:r>
        <w:rPr>
          <w:b/>
          <w:color w:val="17365D"/>
        </w:rPr>
        <w:t>Q: How do you prevent alarm fatigue?</w:t>
      </w:r>
    </w:p>
    <w:p>
      <w:pPr>
        <w:ind w:left="288"/>
      </w:pPr>
      <w:r>
        <w:t>A: Urgency is assigned only to approved combinations, explanations are merged, and the interface distinguishes prompt referral from emergency action.</w:t>
      </w:r>
    </w:p>
    <w:p>
      <w:pPr>
        <w:keepNext/>
      </w:pPr>
      <w:r>
        <w:rPr>
          <w:b/>
          <w:color w:val="17365D"/>
        </w:rPr>
        <w:t>Q: What happens when data are missing but one HIGH factor is known?</w:t>
      </w:r>
    </w:p>
    <w:p>
      <w:pPr>
        <w:ind w:left="288"/>
      </w:pPr>
      <w:r>
        <w:t>A: The result remains HIGH, while the missing information is shown as a data gap. Missing data cannot erase a verified safety factor.</w:t>
      </w:r>
    </w:p>
    <w:p>
      <w:pPr>
        <w:keepNext/>
      </w:pPr>
      <w:r>
        <w:rPr>
          <w:b/>
          <w:color w:val="17365D"/>
        </w:rPr>
        <w:t>Q: How is this explainable to the panel?</w:t>
      </w:r>
    </w:p>
    <w:p>
      <w:pPr>
        <w:ind w:left="288"/>
      </w:pPr>
      <w:r>
        <w:t>A: Each final result stores the individual rule IDs, interaction IDs, urgency level, reasons, merged recommendation, limitations, and version.</w:t>
      </w:r>
    </w:p>
    <w:p>
      <w:pPr>
        <w:pStyle w:val="Heading1"/>
      </w:pPr>
      <w:r>
        <w:t>15. Final Interaction Specification</w:t>
      </w:r>
    </w:p>
    <w:tbl>
      <w:tblPr>
        <w:tblW w:type="auto" w:w="0"/>
        <w:tblLook w:firstColumn="1" w:firstRow="1" w:lastColumn="0" w:lastRow="0" w:noHBand="0" w:noVBand="1" w:val="04A0"/>
      </w:tblPr>
      <w:tblGrid>
        <w:gridCol w:w="10282"/>
      </w:tblGrid>
      <w:tr>
        <w:tc>
          <w:tcPr>
            <w:tcW w:type="dxa" w:w="10282"/>
            <w:shd w:fill="E2F0D9"/>
            <w:tcBorders>
              <w:top w:val="single" w:sz="8" w:color="548235"/>
              <w:left w:val="single" w:sz="8" w:color="548235"/>
              <w:bottom w:val="single" w:sz="8" w:color="548235"/>
              <w:right w:val="single" w:sz="8" w:color="548235"/>
            </w:tcBorders>
            <w:tcMar>
              <w:top w:w="95" w:type="dxa"/>
              <w:bottom w:w="95" w:type="dxa"/>
              <w:start w:w="105" w:type="dxa"/>
              <w:end w:w="105" w:type="dxa"/>
            </w:tcMar>
          </w:tcPr>
          <w:p>
            <w:pPr>
              <w:pStyle w:val="Callout"/>
            </w:pPr>
            <w:r/>
            <w:r>
              <w:rPr>
                <w:b/>
                <w:color w:val="548235"/>
              </w:rPr>
              <w:t>Approved specification</w:t>
              <w:br/>
            </w:r>
            <w:r>
              <w:t>The CDSS shall evaluate every deterministic factor independently and retain every verified active reason. When multiple factors coexist, the final category shall remain HIGH rather than being converted into an unvalidated numerical score or additional risk class. The system shall evaluate only documented interaction rules, assign the highest applicable urgency, order explanations by urgency, and generate one merged referral-oriented recommendation. No normal finding, LOW ML output, incomplete secondary record, or completed referral shall cancel a verified HIGH factor. Emergency or urgent indicators shall be displayed separately from the HIGH category. Interaction language shall describe the need for evaluation without diagnosing an unconfirmed combined condition or prescribing treatment.</w:t>
            </w:r>
          </w:p>
        </w:tc>
      </w:tr>
    </w:tbl>
    <w:p>
      <w:pPr>
        <w:spacing w:after="20"/>
      </w:pPr>
    </w:p>
    <w:p>
      <w:pPr>
        <w:pStyle w:val="Heading1"/>
      </w:pPr>
      <w:r>
        <w:t>16. References</w:t>
      </w:r>
    </w:p>
    <w:p>
      <w:r>
        <w:t>Official guideline and institutional sources are used wherever publicly available. Accessed July 2026. URLs are clickable.</w:t>
      </w:r>
    </w:p>
    <w:p>
      <w:pPr>
        <w:pStyle w:val="Reference"/>
        <w:ind w:left="259" w:hanging="259"/>
      </w:pPr>
      <w:r>
        <w:t xml:space="preserve">[1] American College of Obstetricians and Gynecologists and Society for Maternal-Fetal Medicine. Pregnancy at Age 35 Years or Older, Obstetric Care Consensus No. 11. 2022. </w:t>
      </w:r>
      <w:hyperlink r:id="rId11">
        <w:r>
          <w:rPr>
            <w:color w:val="2F75B5"/>
            <w:u w:val="single"/>
          </w:rPr>
          <w:t>https://www.acog.org/clinical/clinical-guidance/obstetric-care-consensus/articles/2022/08/pregnancy-at-age-35-years-or-older</w:t>
        </w:r>
      </w:hyperlink>
    </w:p>
    <w:p>
      <w:pPr>
        <w:pStyle w:val="Reference"/>
        <w:ind w:left="259" w:hanging="259"/>
      </w:pPr>
      <w:r>
        <w:t xml:space="preserve">[2] American College of Obstetricians and Gynecologists and Society for Maternal-Fetal Medicine. Low-Dose Aspirin Use for the Prevention of Preeclampsia and Related Morbidity and Mortality. 2021. </w:t>
      </w:r>
      <w:hyperlink r:id="rId12">
        <w:r>
          <w:rPr>
            <w:color w:val="2F75B5"/>
            <w:u w:val="single"/>
          </w:rPr>
          <w:t>https://www.acog.org/clinical/clinical-guidance/practice-advisory/articles/2021/12/low-dose-aspirin-use-for-the-prevention-of-preeclampsia-and-related-morbidity-and-mortality</w:t>
        </w:r>
      </w:hyperlink>
    </w:p>
    <w:p>
      <w:pPr>
        <w:pStyle w:val="Reference"/>
        <w:ind w:left="259" w:hanging="259"/>
      </w:pPr>
      <w:r>
        <w:t xml:space="preserve">[3] American College of Obstetricians and Gynecologists. Low-Dose Aspirin Use During Pregnancy, Committee Opinion No. 743. 2018. </w:t>
      </w:r>
      <w:hyperlink r:id="rId13">
        <w:r>
          <w:rPr>
            <w:color w:val="2F75B5"/>
            <w:u w:val="single"/>
          </w:rPr>
          <w:t>https://www.acog.org/clinical/clinical-guidance/committee-opinion/articles/2018/07/low-dose-aspirin-use-during-pregnancy</w:t>
        </w:r>
      </w:hyperlink>
    </w:p>
    <w:p>
      <w:pPr>
        <w:pStyle w:val="Reference"/>
        <w:ind w:left="259" w:hanging="259"/>
      </w:pPr>
      <w:r>
        <w:t xml:space="preserve">[4] National Institute for Health and Care Excellence. Hypertension in pregnancy: diagnosis and management (NG133). 2019, updated. </w:t>
      </w:r>
      <w:hyperlink r:id="rId14">
        <w:r>
          <w:rPr>
            <w:color w:val="2F75B5"/>
            <w:u w:val="single"/>
          </w:rPr>
          <w:t>https://www.nice.org.uk/guidance/ng133/chapter/recommendations</w:t>
        </w:r>
      </w:hyperlink>
    </w:p>
    <w:p>
      <w:pPr>
        <w:pStyle w:val="Reference"/>
        <w:ind w:left="259" w:hanging="259"/>
      </w:pPr>
      <w:r>
        <w:t xml:space="preserve">[5] National Institute for Health and Care Excellence. Diabetes in pregnancy: management from preconception to the postnatal period (NG3). 2015, updated 2020. </w:t>
      </w:r>
      <w:hyperlink r:id="rId15">
        <w:r>
          <w:rPr>
            <w:color w:val="2F75B5"/>
            <w:u w:val="single"/>
          </w:rPr>
          <w:t>https://www.nice.org.uk/guidance/NG3/chapter/recommendations</w:t>
        </w:r>
      </w:hyperlink>
    </w:p>
    <w:p>
      <w:pPr>
        <w:pStyle w:val="Reference"/>
        <w:ind w:left="259" w:hanging="259"/>
      </w:pPr>
      <w:r>
        <w:t xml:space="preserve">[6] American College of Obstetricians and Gynecologists. Placenta Accreta Spectrum, Obstetric Care Consensus No. 7. 2018, reaffirmed. </w:t>
      </w:r>
      <w:hyperlink r:id="rId16">
        <w:r>
          <w:rPr>
            <w:color w:val="2F75B5"/>
            <w:u w:val="single"/>
          </w:rPr>
          <w:t>https://www.acog.org/clinical/clinical-guidance/obstetric-care-consensus/articles/2018/12/placenta-accreta-spectrum</w:t>
        </w:r>
      </w:hyperlink>
    </w:p>
    <w:p>
      <w:pPr>
        <w:pStyle w:val="Reference"/>
        <w:ind w:left="259" w:hanging="259"/>
      </w:pPr>
      <w:r>
        <w:t xml:space="preserve">[7] World Health Organization. WHO guideline on preventing early pregnancy and poor reproductive outcomes among adolescents in low- and middle-income countries. 2025. </w:t>
      </w:r>
      <w:hyperlink r:id="rId17">
        <w:r>
          <w:rPr>
            <w:color w:val="2F75B5"/>
            <w:u w:val="single"/>
          </w:rPr>
          <w:t>https://www.who.int/publications/i/item/9789240104105</w:t>
        </w:r>
      </w:hyperlink>
    </w:p>
    <w:p>
      <w:pPr>
        <w:pStyle w:val="Reference"/>
        <w:ind w:left="259" w:hanging="259"/>
      </w:pPr>
      <w:r>
        <w:t xml:space="preserve">[8] World Health Organization. Anaemia fact sheet. 2025. </w:t>
      </w:r>
      <w:hyperlink r:id="rId18">
        <w:r>
          <w:rPr>
            <w:color w:val="2F75B5"/>
            <w:u w:val="single"/>
          </w:rPr>
          <w:t>https://www.who.int/news-room/fact-sheets/detail/anaemia</w:t>
        </w:r>
      </w:hyperlink>
    </w:p>
    <w:p>
      <w:pPr>
        <w:pStyle w:val="Reference"/>
        <w:ind w:left="259" w:hanging="259"/>
      </w:pPr>
      <w:r>
        <w:t xml:space="preserve">[9] World Health Organization. WHO recommendations on antenatal care for a positive pregnancy experience. 2016, updated components. </w:t>
      </w:r>
      <w:hyperlink r:id="rId19">
        <w:r>
          <w:rPr>
            <w:color w:val="2F75B5"/>
            <w:u w:val="single"/>
          </w:rPr>
          <w:t>https://www.who.int/publications/i/item/9789241549912/</w:t>
        </w:r>
      </w:hyperlink>
    </w:p>
    <w:p>
      <w:pPr>
        <w:pStyle w:val="Reference"/>
        <w:ind w:left="259" w:hanging="259"/>
      </w:pPr>
      <w:r>
        <w:t xml:space="preserve">[10] World Health Organization. WHO recommendations on care for women with diabetes during pregnancy. 2025. </w:t>
      </w:r>
      <w:hyperlink r:id="rId20">
        <w:r>
          <w:rPr>
            <w:color w:val="2F75B5"/>
            <w:u w:val="single"/>
          </w:rPr>
          <w:t>https://www.who.int/publications/i/item/9789240117044</w:t>
        </w:r>
      </w:hyperlink>
    </w:p>
    <w:p>
      <w:pPr>
        <w:pStyle w:val="Reference"/>
        <w:ind w:left="259" w:hanging="259"/>
      </w:pPr>
      <w:r>
        <w:t xml:space="preserve">[11] World Health Organization. WHO recommendations: drug treatment for severe hypertension in pregnancy. 2018. </w:t>
      </w:r>
      <w:hyperlink r:id="rId21">
        <w:r>
          <w:rPr>
            <w:color w:val="2F75B5"/>
            <w:u w:val="single"/>
          </w:rPr>
          <w:t>https://www.who.int/publications/i/item/9789241550437</w:t>
        </w:r>
      </w:hyperlink>
    </w:p>
    <w:p>
      <w:pPr>
        <w:pStyle w:val="Reference"/>
        <w:ind w:left="259" w:hanging="259"/>
      </w:pPr>
      <w:r>
        <w:t xml:space="preserve">[12] International Society of Ultrasound in Obstetrics and Gynecology. ISUOG Practice Guidelines: performance of third-trimester obstetric ultrasound scan. 2024. </w:t>
      </w:r>
      <w:hyperlink r:id="rId22">
        <w:r>
          <w:rPr>
            <w:color w:val="2F75B5"/>
            <w:u w:val="single"/>
          </w:rPr>
          <w:t>https://www.isuog.org/resource/isuog-practice-guidelines-performance-of-third-trimester-obstetric.html</w:t>
        </w:r>
      </w:hyperlink>
    </w:p>
    <w:p>
      <w:pPr>
        <w:pStyle w:val="Reference"/>
        <w:ind w:left="259" w:hanging="259"/>
      </w:pPr>
      <w:r>
        <w:t xml:space="preserve">[13] National Institute for Health and Care Excellence. Caesarean birth (NG192). 2021, updated 2025. </w:t>
      </w:r>
      <w:hyperlink r:id="rId23">
        <w:r>
          <w:rPr>
            <w:color w:val="2F75B5"/>
            <w:u w:val="single"/>
          </w:rPr>
          <w:t>https://www.nice.org.uk/guidance/ng192/chapter/recommendations</w:t>
        </w:r>
      </w:hyperlink>
    </w:p>
    <w:p>
      <w:pPr>
        <w:pStyle w:val="Reference"/>
        <w:ind w:left="259" w:hanging="259"/>
      </w:pPr>
      <w:r>
        <w:t xml:space="preserve">[14] Royal College of Obstetricians and Gynaecologists. Recurrent Miscarriage: Green-top Guideline No. 17. 2023. </w:t>
      </w:r>
      <w:hyperlink r:id="rId24">
        <w:r>
          <w:rPr>
            <w:color w:val="2F75B5"/>
            <w:u w:val="single"/>
          </w:rPr>
          <w:t>https://www.rcog.org.uk/guidance/browse-all-guidance/green-top-guidelines/recurrent-miscarriage-green-top-guideline-no-17/</w:t>
        </w:r>
      </w:hyperlink>
    </w:p>
    <w:p>
      <w:pPr>
        <w:pStyle w:val="Reference"/>
        <w:ind w:left="259" w:hanging="259"/>
      </w:pPr>
      <w:r>
        <w:t xml:space="preserve">[15] Department of Health, Philippines. Administrative Order No. 2007-0039: Regulation of Birthing Homes. 2007. </w:t>
      </w:r>
      <w:hyperlink r:id="rId25">
        <w:r>
          <w:rPr>
            <w:color w:val="2F75B5"/>
            <w:u w:val="single"/>
          </w:rPr>
          <w:t>https://elibrary.judiciary.gov.ph/thebookshelf/showdocs/10/52132</w:t>
        </w:r>
      </w:hyperlink>
    </w:p>
    <w:p>
      <w:pPr>
        <w:pStyle w:val="Heading1"/>
      </w:pPr>
      <w:r>
        <w:t>Appendix A. Interaction-ID Library</w:t>
      </w:r>
    </w:p>
    <w:tbl>
      <w:tblPr>
        <w:tblStyle w:val="TableGrid"/>
        <w:tblW w:type="auto" w:w="0"/>
        <w:jc w:val="center"/>
        <w:tblLook w:firstColumn="1" w:firstRow="1" w:lastColumn="0" w:lastRow="0" w:noHBand="0" w:noVBand="1" w:val="04A0"/>
      </w:tblPr>
      <w:tblGrid>
        <w:gridCol w:w="3427"/>
        <w:gridCol w:w="3427"/>
        <w:gridCol w:w="3427"/>
      </w:tblGrid>
      <w:tr>
        <w:trPr>
          <w:tblHeader w:val="true"/>
          <w:cantSplit/>
        </w:trPr>
        <w:tc>
          <w:tcPr>
            <w:tcW w:type="dxa" w:w="2232"/>
            <w:vAlign w:val="center"/>
            <w:tcMar>
              <w:top w:w="55" w:type="dxa"/>
              <w:bottom w:w="55" w:type="dxa"/>
              <w:start w:w="65" w:type="dxa"/>
              <w:end w:w="65" w:type="dxa"/>
            </w:tcMar>
            <w:shd w:fill="17365D"/>
          </w:tcPr>
          <w:p>
            <w:pPr>
              <w:pStyle w:val="TableHeader"/>
            </w:pPr>
            <w:r/>
            <w:r>
              <w:rPr>
                <w:b/>
                <w:color w:val="FFFFFF"/>
              </w:rPr>
              <w:t>Interaction ID</w:t>
            </w:r>
          </w:p>
        </w:tc>
        <w:tc>
          <w:tcPr>
            <w:tcW w:type="dxa" w:w="4032"/>
            <w:vAlign w:val="center"/>
            <w:tcMar>
              <w:top w:w="55" w:type="dxa"/>
              <w:bottom w:w="55" w:type="dxa"/>
              <w:start w:w="65" w:type="dxa"/>
              <w:end w:w="65" w:type="dxa"/>
            </w:tcMar>
            <w:shd w:fill="17365D"/>
          </w:tcPr>
          <w:p>
            <w:pPr>
              <w:pStyle w:val="TableHeader"/>
            </w:pPr>
            <w:r/>
            <w:r>
              <w:rPr>
                <w:b/>
                <w:color w:val="FFFFFF"/>
              </w:rPr>
              <w:t>Active factors</w:t>
            </w:r>
          </w:p>
        </w:tc>
        <w:tc>
          <w:tcPr>
            <w:tcW w:type="dxa" w:w="5112"/>
            <w:vAlign w:val="center"/>
            <w:tcMar>
              <w:top w:w="55" w:type="dxa"/>
              <w:bottom w:w="55" w:type="dxa"/>
              <w:start w:w="65" w:type="dxa"/>
              <w:end w:w="65" w:type="dxa"/>
            </w:tcMar>
            <w:shd w:fill="17365D"/>
          </w:tcPr>
          <w:p>
            <w:pPr>
              <w:pStyle w:val="TableHeader"/>
            </w:pPr>
            <w:r/>
            <w:r>
              <w:rPr>
                <w:b/>
                <w:color w:val="FFFFFF"/>
              </w:rPr>
              <w:t>Primary action domain</w:t>
            </w:r>
          </w:p>
        </w:tc>
      </w:tr>
      <w:tr>
        <w:trPr>
          <w:cantSplit/>
        </w:trPr>
        <w:tc>
          <w:tcPr>
            <w:tcW w:type="dxa" w:w="2232"/>
            <w:vAlign w:val="center"/>
            <w:tcMar>
              <w:top w:w="55" w:type="dxa"/>
              <w:bottom w:w="55" w:type="dxa"/>
              <w:start w:w="65" w:type="dxa"/>
              <w:end w:w="65" w:type="dxa"/>
            </w:tcMar>
          </w:tcPr>
          <w:p>
            <w:pPr>
              <w:pStyle w:val="TableText"/>
            </w:pPr>
            <w:r/>
            <w:r>
              <w:rPr>
                <w:b w:val="0"/>
              </w:rPr>
              <w:t>INT-AGE-BP</w:t>
            </w:r>
          </w:p>
        </w:tc>
        <w:tc>
          <w:tcPr>
            <w:tcW w:type="dxa" w:w="4032"/>
            <w:vAlign w:val="center"/>
            <w:tcMar>
              <w:top w:w="55" w:type="dxa"/>
              <w:bottom w:w="55" w:type="dxa"/>
              <w:start w:w="65" w:type="dxa"/>
              <w:end w:w="65" w:type="dxa"/>
            </w:tcMar>
          </w:tcPr>
          <w:p>
            <w:pPr>
              <w:pStyle w:val="TableText"/>
            </w:pPr>
            <w:r/>
            <w:r>
              <w:rPr>
                <w:b w:val="0"/>
              </w:rPr>
              <w:t>AGE-A or AGE-Y + BP-H/BP-S</w:t>
            </w:r>
          </w:p>
        </w:tc>
        <w:tc>
          <w:tcPr>
            <w:tcW w:type="dxa" w:w="5112"/>
            <w:vAlign w:val="center"/>
            <w:tcMar>
              <w:top w:w="55" w:type="dxa"/>
              <w:bottom w:w="55" w:type="dxa"/>
              <w:start w:w="65" w:type="dxa"/>
              <w:end w:w="65" w:type="dxa"/>
            </w:tcMar>
          </w:tcPr>
          <w:p>
            <w:pPr>
              <w:pStyle w:val="TableText"/>
            </w:pPr>
            <w:r/>
            <w:r>
              <w:rPr>
                <w:b w:val="0"/>
              </w:rPr>
              <w:t>Maternal hypertensive review; urgent if severe.</w:t>
            </w:r>
          </w:p>
        </w:tc>
      </w:tr>
      <w:tr>
        <w:trPr>
          <w:cantSplit/>
        </w:trPr>
        <w:tc>
          <w:tcPr>
            <w:tcW w:type="dxa" w:w="2232"/>
            <w:vAlign w:val="center"/>
            <w:tcMar>
              <w:top w:w="55" w:type="dxa"/>
              <w:bottom w:w="55" w:type="dxa"/>
              <w:start w:w="65" w:type="dxa"/>
              <w:end w:w="65" w:type="dxa"/>
            </w:tcMar>
            <w:shd w:fill="EDF4FA"/>
          </w:tcPr>
          <w:p>
            <w:pPr>
              <w:pStyle w:val="TableText"/>
            </w:pPr>
            <w:r/>
            <w:r>
              <w:rPr>
                <w:b w:val="0"/>
              </w:rPr>
              <w:t>INT-AGE-DM</w:t>
            </w:r>
          </w:p>
        </w:tc>
        <w:tc>
          <w:tcPr>
            <w:tcW w:type="dxa" w:w="4032"/>
            <w:vAlign w:val="center"/>
            <w:tcMar>
              <w:top w:w="55" w:type="dxa"/>
              <w:bottom w:w="55" w:type="dxa"/>
              <w:start w:w="65" w:type="dxa"/>
              <w:end w:w="65" w:type="dxa"/>
            </w:tcMar>
            <w:shd w:fill="EDF4FA"/>
          </w:tcPr>
          <w:p>
            <w:pPr>
              <w:pStyle w:val="TableText"/>
            </w:pPr>
            <w:r/>
            <w:r>
              <w:rPr>
                <w:b w:val="0"/>
              </w:rPr>
              <w:t>AGE-A or AGE-Y + DM</w:t>
            </w:r>
          </w:p>
        </w:tc>
        <w:tc>
          <w:tcPr>
            <w:tcW w:type="dxa" w:w="5112"/>
            <w:vAlign w:val="center"/>
            <w:tcMar>
              <w:top w:w="55" w:type="dxa"/>
              <w:bottom w:w="55" w:type="dxa"/>
              <w:start w:w="65" w:type="dxa"/>
              <w:end w:w="65" w:type="dxa"/>
            </w:tcMar>
            <w:shd w:fill="EDF4FA"/>
          </w:tcPr>
          <w:p>
            <w:pPr>
              <w:pStyle w:val="TableText"/>
            </w:pPr>
            <w:r/>
            <w:r>
              <w:rPr>
                <w:b w:val="0"/>
              </w:rPr>
              <w:t>Medical/obstetric co-management.</w:t>
            </w:r>
          </w:p>
        </w:tc>
      </w:tr>
      <w:tr>
        <w:trPr>
          <w:cantSplit/>
        </w:trPr>
        <w:tc>
          <w:tcPr>
            <w:tcW w:type="dxa" w:w="2232"/>
            <w:vAlign w:val="center"/>
            <w:tcMar>
              <w:top w:w="55" w:type="dxa"/>
              <w:bottom w:w="55" w:type="dxa"/>
              <w:start w:w="65" w:type="dxa"/>
              <w:end w:w="65" w:type="dxa"/>
            </w:tcMar>
          </w:tcPr>
          <w:p>
            <w:pPr>
              <w:pStyle w:val="TableText"/>
            </w:pPr>
            <w:r/>
            <w:r>
              <w:rPr>
                <w:b w:val="0"/>
              </w:rPr>
              <w:t>INT-AGE-AN</w:t>
            </w:r>
          </w:p>
        </w:tc>
        <w:tc>
          <w:tcPr>
            <w:tcW w:type="dxa" w:w="4032"/>
            <w:vAlign w:val="center"/>
            <w:tcMar>
              <w:top w:w="55" w:type="dxa"/>
              <w:bottom w:w="55" w:type="dxa"/>
              <w:start w:w="65" w:type="dxa"/>
              <w:end w:w="65" w:type="dxa"/>
            </w:tcMar>
          </w:tcPr>
          <w:p>
            <w:pPr>
              <w:pStyle w:val="TableText"/>
            </w:pPr>
            <w:r/>
            <w:r>
              <w:rPr>
                <w:b w:val="0"/>
              </w:rPr>
              <w:t>AGE-Y or AGE-A + AN</w:t>
            </w:r>
          </w:p>
        </w:tc>
        <w:tc>
          <w:tcPr>
            <w:tcW w:type="dxa" w:w="5112"/>
            <w:vAlign w:val="center"/>
            <w:tcMar>
              <w:top w:w="55" w:type="dxa"/>
              <w:bottom w:w="55" w:type="dxa"/>
              <w:start w:w="65" w:type="dxa"/>
              <w:end w:w="65" w:type="dxa"/>
            </w:tcMar>
          </w:tcPr>
          <w:p>
            <w:pPr>
              <w:pStyle w:val="TableText"/>
            </w:pPr>
            <w:r/>
            <w:r>
              <w:rPr>
                <w:b w:val="0"/>
              </w:rPr>
              <w:t>Nutrition/hematology and age-sensitive care.</w:t>
            </w:r>
          </w:p>
        </w:tc>
      </w:tr>
      <w:tr>
        <w:trPr>
          <w:cantSplit/>
        </w:trPr>
        <w:tc>
          <w:tcPr>
            <w:tcW w:type="dxa" w:w="2232"/>
            <w:vAlign w:val="center"/>
            <w:tcMar>
              <w:top w:w="55" w:type="dxa"/>
              <w:bottom w:w="55" w:type="dxa"/>
              <w:start w:w="65" w:type="dxa"/>
              <w:end w:w="65" w:type="dxa"/>
            </w:tcMar>
            <w:shd w:fill="EDF4FA"/>
          </w:tcPr>
          <w:p>
            <w:pPr>
              <w:pStyle w:val="TableText"/>
            </w:pPr>
            <w:r/>
            <w:r>
              <w:rPr>
                <w:b w:val="0"/>
              </w:rPr>
              <w:t>INT-BP-DM</w:t>
            </w:r>
          </w:p>
        </w:tc>
        <w:tc>
          <w:tcPr>
            <w:tcW w:type="dxa" w:w="4032"/>
            <w:vAlign w:val="center"/>
            <w:tcMar>
              <w:top w:w="55" w:type="dxa"/>
              <w:bottom w:w="55" w:type="dxa"/>
              <w:start w:w="65" w:type="dxa"/>
              <w:end w:w="65" w:type="dxa"/>
            </w:tcMar>
            <w:shd w:fill="EDF4FA"/>
          </w:tcPr>
          <w:p>
            <w:pPr>
              <w:pStyle w:val="TableText"/>
            </w:pPr>
            <w:r/>
            <w:r>
              <w:rPr>
                <w:b w:val="0"/>
              </w:rPr>
              <w:t>BP-H/BP-S + DM</w:t>
            </w:r>
          </w:p>
        </w:tc>
        <w:tc>
          <w:tcPr>
            <w:tcW w:type="dxa" w:w="5112"/>
            <w:vAlign w:val="center"/>
            <w:tcMar>
              <w:top w:w="55" w:type="dxa"/>
              <w:bottom w:w="55" w:type="dxa"/>
              <w:start w:w="65" w:type="dxa"/>
              <w:end w:w="65" w:type="dxa"/>
            </w:tcMar>
            <w:shd w:fill="EDF4FA"/>
          </w:tcPr>
          <w:p>
            <w:pPr>
              <w:pStyle w:val="TableText"/>
            </w:pPr>
            <w:r/>
            <w:r>
              <w:rPr>
                <w:b w:val="0"/>
              </w:rPr>
              <w:t>Preeclampsia-risk and medical review.</w:t>
            </w:r>
          </w:p>
        </w:tc>
      </w:tr>
      <w:tr>
        <w:trPr>
          <w:cantSplit/>
        </w:trPr>
        <w:tc>
          <w:tcPr>
            <w:tcW w:type="dxa" w:w="2232"/>
            <w:vAlign w:val="center"/>
            <w:tcMar>
              <w:top w:w="55" w:type="dxa"/>
              <w:bottom w:w="55" w:type="dxa"/>
              <w:start w:w="65" w:type="dxa"/>
              <w:end w:w="65" w:type="dxa"/>
            </w:tcMar>
          </w:tcPr>
          <w:p>
            <w:pPr>
              <w:pStyle w:val="TableText"/>
            </w:pPr>
            <w:r/>
            <w:r>
              <w:rPr>
                <w:b w:val="0"/>
              </w:rPr>
              <w:t>INT-BP-AF</w:t>
            </w:r>
          </w:p>
        </w:tc>
        <w:tc>
          <w:tcPr>
            <w:tcW w:type="dxa" w:w="4032"/>
            <w:vAlign w:val="center"/>
            <w:tcMar>
              <w:top w:w="55" w:type="dxa"/>
              <w:bottom w:w="55" w:type="dxa"/>
              <w:start w:w="65" w:type="dxa"/>
              <w:end w:w="65" w:type="dxa"/>
            </w:tcMar>
          </w:tcPr>
          <w:p>
            <w:pPr>
              <w:pStyle w:val="TableText"/>
            </w:pPr>
            <w:r/>
            <w:r>
              <w:rPr>
                <w:b w:val="0"/>
              </w:rPr>
              <w:t>BP-H/BP-S + AF</w:t>
            </w:r>
          </w:p>
        </w:tc>
        <w:tc>
          <w:tcPr>
            <w:tcW w:type="dxa" w:w="5112"/>
            <w:vAlign w:val="center"/>
            <w:tcMar>
              <w:top w:w="55" w:type="dxa"/>
              <w:bottom w:w="55" w:type="dxa"/>
              <w:start w:w="65" w:type="dxa"/>
              <w:end w:w="65" w:type="dxa"/>
            </w:tcMar>
          </w:tcPr>
          <w:p>
            <w:pPr>
              <w:pStyle w:val="TableText"/>
            </w:pPr>
            <w:r/>
            <w:r>
              <w:rPr>
                <w:b w:val="0"/>
              </w:rPr>
              <w:t>Maternal and placental/fetal assessment.</w:t>
            </w:r>
          </w:p>
        </w:tc>
      </w:tr>
      <w:tr>
        <w:trPr>
          <w:cantSplit/>
        </w:trPr>
        <w:tc>
          <w:tcPr>
            <w:tcW w:type="dxa" w:w="2232"/>
            <w:vAlign w:val="center"/>
            <w:tcMar>
              <w:top w:w="55" w:type="dxa"/>
              <w:bottom w:w="55" w:type="dxa"/>
              <w:start w:w="65" w:type="dxa"/>
              <w:end w:w="65" w:type="dxa"/>
            </w:tcMar>
            <w:shd w:fill="EDF4FA"/>
          </w:tcPr>
          <w:p>
            <w:pPr>
              <w:pStyle w:val="TableText"/>
            </w:pPr>
            <w:r/>
            <w:r>
              <w:rPr>
                <w:b w:val="0"/>
              </w:rPr>
              <w:t>INT-BP-FH</w:t>
            </w:r>
          </w:p>
        </w:tc>
        <w:tc>
          <w:tcPr>
            <w:tcW w:type="dxa" w:w="4032"/>
            <w:vAlign w:val="center"/>
            <w:tcMar>
              <w:top w:w="55" w:type="dxa"/>
              <w:bottom w:w="55" w:type="dxa"/>
              <w:start w:w="65" w:type="dxa"/>
              <w:end w:w="65" w:type="dxa"/>
            </w:tcMar>
            <w:shd w:fill="EDF4FA"/>
          </w:tcPr>
          <w:p>
            <w:pPr>
              <w:pStyle w:val="TableText"/>
            </w:pPr>
            <w:r/>
            <w:r>
              <w:rPr>
                <w:b w:val="0"/>
              </w:rPr>
              <w:t>BP-H/BP-S + FH</w:t>
            </w:r>
          </w:p>
        </w:tc>
        <w:tc>
          <w:tcPr>
            <w:tcW w:type="dxa" w:w="5112"/>
            <w:vAlign w:val="center"/>
            <w:tcMar>
              <w:top w:w="55" w:type="dxa"/>
              <w:bottom w:w="55" w:type="dxa"/>
              <w:start w:w="65" w:type="dxa"/>
              <w:end w:w="65" w:type="dxa"/>
            </w:tcMar>
            <w:shd w:fill="EDF4FA"/>
          </w:tcPr>
          <w:p>
            <w:pPr>
              <w:pStyle w:val="TableText"/>
            </w:pPr>
            <w:r/>
            <w:r>
              <w:rPr>
                <w:b w:val="0"/>
              </w:rPr>
              <w:t>Urgent maternal-fetal assessment.</w:t>
            </w:r>
          </w:p>
        </w:tc>
      </w:tr>
      <w:tr>
        <w:trPr>
          <w:cantSplit/>
        </w:trPr>
        <w:tc>
          <w:tcPr>
            <w:tcW w:type="dxa" w:w="2232"/>
            <w:vAlign w:val="center"/>
            <w:tcMar>
              <w:top w:w="55" w:type="dxa"/>
              <w:bottom w:w="55" w:type="dxa"/>
              <w:start w:w="65" w:type="dxa"/>
              <w:end w:w="65" w:type="dxa"/>
            </w:tcMar>
          </w:tcPr>
          <w:p>
            <w:pPr>
              <w:pStyle w:val="TableText"/>
            </w:pPr>
            <w:r/>
            <w:r>
              <w:rPr>
                <w:b w:val="0"/>
              </w:rPr>
              <w:t>INT-DM-AF</w:t>
            </w:r>
          </w:p>
        </w:tc>
        <w:tc>
          <w:tcPr>
            <w:tcW w:type="dxa" w:w="4032"/>
            <w:vAlign w:val="center"/>
            <w:tcMar>
              <w:top w:w="55" w:type="dxa"/>
              <w:bottom w:w="55" w:type="dxa"/>
              <w:start w:w="65" w:type="dxa"/>
              <w:end w:w="65" w:type="dxa"/>
            </w:tcMar>
          </w:tcPr>
          <w:p>
            <w:pPr>
              <w:pStyle w:val="TableText"/>
            </w:pPr>
            <w:r/>
            <w:r>
              <w:rPr>
                <w:b w:val="0"/>
              </w:rPr>
              <w:t>DM + AF</w:t>
            </w:r>
          </w:p>
        </w:tc>
        <w:tc>
          <w:tcPr>
            <w:tcW w:type="dxa" w:w="5112"/>
            <w:vAlign w:val="center"/>
            <w:tcMar>
              <w:top w:w="55" w:type="dxa"/>
              <w:bottom w:w="55" w:type="dxa"/>
              <w:start w:w="65" w:type="dxa"/>
              <w:end w:w="65" w:type="dxa"/>
            </w:tcMar>
          </w:tcPr>
          <w:p>
            <w:pPr>
              <w:pStyle w:val="TableText"/>
            </w:pPr>
            <w:r/>
            <w:r>
              <w:rPr>
                <w:b w:val="0"/>
              </w:rPr>
              <w:t>Glucose, fluid, growth, and cause review.</w:t>
            </w:r>
          </w:p>
        </w:tc>
      </w:tr>
      <w:tr>
        <w:trPr>
          <w:cantSplit/>
        </w:trPr>
        <w:tc>
          <w:tcPr>
            <w:tcW w:type="dxa" w:w="2232"/>
            <w:vAlign w:val="center"/>
            <w:tcMar>
              <w:top w:w="55" w:type="dxa"/>
              <w:bottom w:w="55" w:type="dxa"/>
              <w:start w:w="65" w:type="dxa"/>
              <w:end w:w="65" w:type="dxa"/>
            </w:tcMar>
            <w:shd w:fill="EDF4FA"/>
          </w:tcPr>
          <w:p>
            <w:pPr>
              <w:pStyle w:val="TableText"/>
            </w:pPr>
            <w:r/>
            <w:r>
              <w:rPr>
                <w:b w:val="0"/>
              </w:rPr>
              <w:t>INT-DM-PRES</w:t>
            </w:r>
          </w:p>
        </w:tc>
        <w:tc>
          <w:tcPr>
            <w:tcW w:type="dxa" w:w="4032"/>
            <w:vAlign w:val="center"/>
            <w:tcMar>
              <w:top w:w="55" w:type="dxa"/>
              <w:bottom w:w="55" w:type="dxa"/>
              <w:start w:w="65" w:type="dxa"/>
              <w:end w:w="65" w:type="dxa"/>
            </w:tcMar>
            <w:shd w:fill="EDF4FA"/>
          </w:tcPr>
          <w:p>
            <w:pPr>
              <w:pStyle w:val="TableText"/>
            </w:pPr>
            <w:r/>
            <w:r>
              <w:rPr>
                <w:b w:val="0"/>
              </w:rPr>
              <w:t>DM + PRES</w:t>
            </w:r>
          </w:p>
        </w:tc>
        <w:tc>
          <w:tcPr>
            <w:tcW w:type="dxa" w:w="5112"/>
            <w:vAlign w:val="center"/>
            <w:tcMar>
              <w:top w:w="55" w:type="dxa"/>
              <w:bottom w:w="55" w:type="dxa"/>
              <w:start w:w="65" w:type="dxa"/>
              <w:end w:w="65" w:type="dxa"/>
            </w:tcMar>
            <w:shd w:fill="EDF4FA"/>
          </w:tcPr>
          <w:p>
            <w:pPr>
              <w:pStyle w:val="TableText"/>
            </w:pPr>
            <w:r/>
            <w:r>
              <w:rPr>
                <w:b w:val="0"/>
              </w:rPr>
              <w:t>Hospital birth planning.</w:t>
            </w:r>
          </w:p>
        </w:tc>
      </w:tr>
      <w:tr>
        <w:trPr>
          <w:cantSplit/>
        </w:trPr>
        <w:tc>
          <w:tcPr>
            <w:tcW w:type="dxa" w:w="2232"/>
            <w:vAlign w:val="center"/>
            <w:tcMar>
              <w:top w:w="55" w:type="dxa"/>
              <w:bottom w:w="55" w:type="dxa"/>
              <w:start w:w="65" w:type="dxa"/>
              <w:end w:w="65" w:type="dxa"/>
            </w:tcMar>
          </w:tcPr>
          <w:p>
            <w:pPr>
              <w:pStyle w:val="TableText"/>
            </w:pPr>
            <w:r/>
            <w:r>
              <w:rPr>
                <w:b w:val="0"/>
              </w:rPr>
              <w:t>INT-AN-CS</w:t>
            </w:r>
          </w:p>
        </w:tc>
        <w:tc>
          <w:tcPr>
            <w:tcW w:type="dxa" w:w="4032"/>
            <w:vAlign w:val="center"/>
            <w:tcMar>
              <w:top w:w="55" w:type="dxa"/>
              <w:bottom w:w="55" w:type="dxa"/>
              <w:start w:w="65" w:type="dxa"/>
              <w:end w:w="65" w:type="dxa"/>
            </w:tcMar>
          </w:tcPr>
          <w:p>
            <w:pPr>
              <w:pStyle w:val="TableText"/>
            </w:pPr>
            <w:r/>
            <w:r>
              <w:rPr>
                <w:b w:val="0"/>
              </w:rPr>
              <w:t>AN + CS</w:t>
            </w:r>
          </w:p>
        </w:tc>
        <w:tc>
          <w:tcPr>
            <w:tcW w:type="dxa" w:w="5112"/>
            <w:vAlign w:val="center"/>
            <w:tcMar>
              <w:top w:w="55" w:type="dxa"/>
              <w:bottom w:w="55" w:type="dxa"/>
              <w:start w:w="65" w:type="dxa"/>
              <w:end w:w="65" w:type="dxa"/>
            </w:tcMar>
          </w:tcPr>
          <w:p>
            <w:pPr>
              <w:pStyle w:val="TableText"/>
            </w:pPr>
            <w:r/>
            <w:r>
              <w:rPr>
                <w:b w:val="0"/>
              </w:rPr>
              <w:t>Maternal optimization and hospital capability.</w:t>
            </w:r>
          </w:p>
        </w:tc>
      </w:tr>
      <w:tr>
        <w:trPr>
          <w:cantSplit/>
        </w:trPr>
        <w:tc>
          <w:tcPr>
            <w:tcW w:type="dxa" w:w="2232"/>
            <w:vAlign w:val="center"/>
            <w:tcMar>
              <w:top w:w="55" w:type="dxa"/>
              <w:bottom w:w="55" w:type="dxa"/>
              <w:start w:w="65" w:type="dxa"/>
              <w:end w:w="65" w:type="dxa"/>
            </w:tcMar>
            <w:shd w:fill="EDF4FA"/>
          </w:tcPr>
          <w:p>
            <w:pPr>
              <w:pStyle w:val="TableText"/>
            </w:pPr>
            <w:r/>
            <w:r>
              <w:rPr>
                <w:b w:val="0"/>
              </w:rPr>
              <w:t>INT-CS-PRES</w:t>
            </w:r>
          </w:p>
        </w:tc>
        <w:tc>
          <w:tcPr>
            <w:tcW w:type="dxa" w:w="4032"/>
            <w:vAlign w:val="center"/>
            <w:tcMar>
              <w:top w:w="55" w:type="dxa"/>
              <w:bottom w:w="55" w:type="dxa"/>
              <w:start w:w="65" w:type="dxa"/>
              <w:end w:w="65" w:type="dxa"/>
            </w:tcMar>
            <w:shd w:fill="EDF4FA"/>
          </w:tcPr>
          <w:p>
            <w:pPr>
              <w:pStyle w:val="TableText"/>
            </w:pPr>
            <w:r/>
            <w:r>
              <w:rPr>
                <w:b w:val="0"/>
              </w:rPr>
              <w:t>CS + PRES</w:t>
            </w:r>
          </w:p>
        </w:tc>
        <w:tc>
          <w:tcPr>
            <w:tcW w:type="dxa" w:w="5112"/>
            <w:vAlign w:val="center"/>
            <w:tcMar>
              <w:top w:w="55" w:type="dxa"/>
              <w:bottom w:w="55" w:type="dxa"/>
              <w:start w:w="65" w:type="dxa"/>
              <w:end w:w="65" w:type="dxa"/>
            </w:tcMar>
            <w:shd w:fill="EDF4FA"/>
          </w:tcPr>
          <w:p>
            <w:pPr>
              <w:pStyle w:val="TableText"/>
            </w:pPr>
            <w:r/>
            <w:r>
              <w:rPr>
                <w:b w:val="0"/>
              </w:rPr>
              <w:t>Hospital mode/place-of-birth planning.</w:t>
            </w:r>
          </w:p>
        </w:tc>
      </w:tr>
      <w:tr>
        <w:trPr>
          <w:cantSplit/>
        </w:trPr>
        <w:tc>
          <w:tcPr>
            <w:tcW w:type="dxa" w:w="2232"/>
            <w:vAlign w:val="center"/>
            <w:tcMar>
              <w:top w:w="55" w:type="dxa"/>
              <w:bottom w:w="55" w:type="dxa"/>
              <w:start w:w="65" w:type="dxa"/>
              <w:end w:w="65" w:type="dxa"/>
            </w:tcMar>
          </w:tcPr>
          <w:p>
            <w:pPr>
              <w:pStyle w:val="TableText"/>
            </w:pPr>
            <w:r/>
            <w:r>
              <w:rPr>
                <w:b w:val="0"/>
              </w:rPr>
              <w:t>INT-CS-FH</w:t>
            </w:r>
          </w:p>
        </w:tc>
        <w:tc>
          <w:tcPr>
            <w:tcW w:type="dxa" w:w="4032"/>
            <w:vAlign w:val="center"/>
            <w:tcMar>
              <w:top w:w="55" w:type="dxa"/>
              <w:bottom w:w="55" w:type="dxa"/>
              <w:start w:w="65" w:type="dxa"/>
              <w:end w:w="65" w:type="dxa"/>
            </w:tcMar>
          </w:tcPr>
          <w:p>
            <w:pPr>
              <w:pStyle w:val="TableText"/>
            </w:pPr>
            <w:r/>
            <w:r>
              <w:rPr>
                <w:b w:val="0"/>
              </w:rPr>
              <w:t>CS + FH</w:t>
            </w:r>
          </w:p>
        </w:tc>
        <w:tc>
          <w:tcPr>
            <w:tcW w:type="dxa" w:w="5112"/>
            <w:vAlign w:val="center"/>
            <w:tcMar>
              <w:top w:w="55" w:type="dxa"/>
              <w:bottom w:w="55" w:type="dxa"/>
              <w:start w:w="65" w:type="dxa"/>
              <w:end w:w="65" w:type="dxa"/>
            </w:tcMar>
          </w:tcPr>
          <w:p>
            <w:pPr>
              <w:pStyle w:val="TableText"/>
            </w:pPr>
            <w:r/>
            <w:r>
              <w:rPr>
                <w:b w:val="0"/>
              </w:rPr>
              <w:t>Hospital/urgent fetal assessment.</w:t>
            </w:r>
          </w:p>
        </w:tc>
      </w:tr>
      <w:tr>
        <w:trPr>
          <w:cantSplit/>
        </w:trPr>
        <w:tc>
          <w:tcPr>
            <w:tcW w:type="dxa" w:w="2232"/>
            <w:vAlign w:val="center"/>
            <w:tcMar>
              <w:top w:w="55" w:type="dxa"/>
              <w:bottom w:w="55" w:type="dxa"/>
              <w:start w:w="65" w:type="dxa"/>
              <w:end w:w="65" w:type="dxa"/>
            </w:tcMar>
            <w:shd w:fill="EDF4FA"/>
          </w:tcPr>
          <w:p>
            <w:pPr>
              <w:pStyle w:val="TableText"/>
            </w:pPr>
            <w:r/>
            <w:r>
              <w:rPr>
                <w:b w:val="0"/>
              </w:rPr>
              <w:t>INT-RM-FH</w:t>
            </w:r>
          </w:p>
        </w:tc>
        <w:tc>
          <w:tcPr>
            <w:tcW w:type="dxa" w:w="4032"/>
            <w:vAlign w:val="center"/>
            <w:tcMar>
              <w:top w:w="55" w:type="dxa"/>
              <w:bottom w:w="55" w:type="dxa"/>
              <w:start w:w="65" w:type="dxa"/>
              <w:end w:w="65" w:type="dxa"/>
            </w:tcMar>
            <w:shd w:fill="EDF4FA"/>
          </w:tcPr>
          <w:p>
            <w:pPr>
              <w:pStyle w:val="TableText"/>
            </w:pPr>
            <w:r/>
            <w:r>
              <w:rPr>
                <w:b w:val="0"/>
              </w:rPr>
              <w:t>RM + FH</w:t>
            </w:r>
          </w:p>
        </w:tc>
        <w:tc>
          <w:tcPr>
            <w:tcW w:type="dxa" w:w="5112"/>
            <w:vAlign w:val="center"/>
            <w:tcMar>
              <w:top w:w="55" w:type="dxa"/>
              <w:bottom w:w="55" w:type="dxa"/>
              <w:start w:w="65" w:type="dxa"/>
              <w:end w:w="65" w:type="dxa"/>
            </w:tcMar>
            <w:shd w:fill="EDF4FA"/>
          </w:tcPr>
          <w:p>
            <w:pPr>
              <w:pStyle w:val="TableText"/>
            </w:pPr>
            <w:r/>
            <w:r>
              <w:rPr>
                <w:b w:val="0"/>
              </w:rPr>
              <w:t>Urgent confirmation and trauma-informed support.</w:t>
            </w:r>
          </w:p>
        </w:tc>
      </w:tr>
      <w:tr>
        <w:trPr>
          <w:cantSplit/>
        </w:trPr>
        <w:tc>
          <w:tcPr>
            <w:tcW w:type="dxa" w:w="2232"/>
            <w:vAlign w:val="center"/>
            <w:tcMar>
              <w:top w:w="55" w:type="dxa"/>
              <w:bottom w:w="55" w:type="dxa"/>
              <w:start w:w="65" w:type="dxa"/>
              <w:end w:w="65" w:type="dxa"/>
            </w:tcMar>
          </w:tcPr>
          <w:p>
            <w:pPr>
              <w:pStyle w:val="TableText"/>
            </w:pPr>
            <w:r/>
            <w:r>
              <w:rPr>
                <w:b w:val="0"/>
              </w:rPr>
              <w:t>INT-MULTI-MED</w:t>
            </w:r>
          </w:p>
        </w:tc>
        <w:tc>
          <w:tcPr>
            <w:tcW w:type="dxa" w:w="4032"/>
            <w:vAlign w:val="center"/>
            <w:tcMar>
              <w:top w:w="55" w:type="dxa"/>
              <w:bottom w:w="55" w:type="dxa"/>
              <w:start w:w="65" w:type="dxa"/>
              <w:end w:w="65" w:type="dxa"/>
            </w:tcMar>
          </w:tcPr>
          <w:p>
            <w:pPr>
              <w:pStyle w:val="TableText"/>
            </w:pPr>
            <w:r/>
            <w:r>
              <w:rPr>
                <w:b w:val="0"/>
              </w:rPr>
              <w:t>Three or more maternal medical factors</w:t>
            </w:r>
          </w:p>
        </w:tc>
        <w:tc>
          <w:tcPr>
            <w:tcW w:type="dxa" w:w="5112"/>
            <w:vAlign w:val="center"/>
            <w:tcMar>
              <w:top w:w="55" w:type="dxa"/>
              <w:bottom w:w="55" w:type="dxa"/>
              <w:start w:w="65" w:type="dxa"/>
              <w:end w:w="65" w:type="dxa"/>
            </w:tcMar>
          </w:tcPr>
          <w:p>
            <w:pPr>
              <w:pStyle w:val="TableText"/>
            </w:pPr>
            <w:r/>
            <w:r>
              <w:rPr>
                <w:b w:val="0"/>
              </w:rPr>
              <w:t>Merged specialist-care plan.</w:t>
            </w:r>
          </w:p>
        </w:tc>
      </w:tr>
      <w:tr>
        <w:trPr>
          <w:cantSplit/>
        </w:trPr>
        <w:tc>
          <w:tcPr>
            <w:tcW w:type="dxa" w:w="2232"/>
            <w:vAlign w:val="center"/>
            <w:tcMar>
              <w:top w:w="55" w:type="dxa"/>
              <w:bottom w:w="55" w:type="dxa"/>
              <w:start w:w="65" w:type="dxa"/>
              <w:end w:w="65" w:type="dxa"/>
            </w:tcMar>
            <w:shd w:fill="EDF4FA"/>
          </w:tcPr>
          <w:p>
            <w:pPr>
              <w:pStyle w:val="TableText"/>
            </w:pPr>
            <w:r/>
            <w:r>
              <w:rPr>
                <w:b w:val="0"/>
              </w:rPr>
              <w:t>INT-MULTI-FETAL</w:t>
            </w:r>
          </w:p>
        </w:tc>
        <w:tc>
          <w:tcPr>
            <w:tcW w:type="dxa" w:w="4032"/>
            <w:vAlign w:val="center"/>
            <w:tcMar>
              <w:top w:w="55" w:type="dxa"/>
              <w:bottom w:w="55" w:type="dxa"/>
              <w:start w:w="65" w:type="dxa"/>
              <w:end w:w="65" w:type="dxa"/>
            </w:tcMar>
            <w:shd w:fill="EDF4FA"/>
          </w:tcPr>
          <w:p>
            <w:pPr>
              <w:pStyle w:val="TableText"/>
            </w:pPr>
            <w:r/>
            <w:r>
              <w:rPr>
                <w:b w:val="0"/>
              </w:rPr>
              <w:t>Two or more ultrasound factors</w:t>
            </w:r>
          </w:p>
        </w:tc>
        <w:tc>
          <w:tcPr>
            <w:tcW w:type="dxa" w:w="5112"/>
            <w:vAlign w:val="center"/>
            <w:tcMar>
              <w:top w:w="55" w:type="dxa"/>
              <w:bottom w:w="55" w:type="dxa"/>
              <w:start w:w="65" w:type="dxa"/>
              <w:end w:w="65" w:type="dxa"/>
            </w:tcMar>
            <w:shd w:fill="EDF4FA"/>
          </w:tcPr>
          <w:p>
            <w:pPr>
              <w:pStyle w:val="TableText"/>
            </w:pPr>
            <w:r/>
            <w:r>
              <w:rPr>
                <w:b w:val="0"/>
              </w:rPr>
              <w:t>Prioritized fetal/obstetric review.</w:t>
            </w:r>
          </w:p>
        </w:tc>
      </w:tr>
      <w:tr>
        <w:trPr>
          <w:cantSplit/>
        </w:trPr>
        <w:tc>
          <w:tcPr>
            <w:tcW w:type="dxa" w:w="2232"/>
            <w:vAlign w:val="center"/>
            <w:tcMar>
              <w:top w:w="55" w:type="dxa"/>
              <w:bottom w:w="55" w:type="dxa"/>
              <w:start w:w="65" w:type="dxa"/>
              <w:end w:w="65" w:type="dxa"/>
            </w:tcMar>
          </w:tcPr>
          <w:p>
            <w:pPr>
              <w:pStyle w:val="TableText"/>
            </w:pPr>
            <w:r/>
            <w:r>
              <w:rPr>
                <w:b w:val="0"/>
              </w:rPr>
              <w:t>INT-HIGH-GAP</w:t>
            </w:r>
          </w:p>
        </w:tc>
        <w:tc>
          <w:tcPr>
            <w:tcW w:type="dxa" w:w="4032"/>
            <w:vAlign w:val="center"/>
            <w:tcMar>
              <w:top w:w="55" w:type="dxa"/>
              <w:bottom w:w="55" w:type="dxa"/>
              <w:start w:w="65" w:type="dxa"/>
              <w:end w:w="65" w:type="dxa"/>
            </w:tcMar>
          </w:tcPr>
          <w:p>
            <w:pPr>
              <w:pStyle w:val="TableText"/>
            </w:pPr>
            <w:r/>
            <w:r>
              <w:rPr>
                <w:b w:val="0"/>
              </w:rPr>
              <w:t>Any HIGH factor + missing required data</w:t>
            </w:r>
          </w:p>
        </w:tc>
        <w:tc>
          <w:tcPr>
            <w:tcW w:type="dxa" w:w="5112"/>
            <w:vAlign w:val="center"/>
            <w:tcMar>
              <w:top w:w="55" w:type="dxa"/>
              <w:bottom w:w="55" w:type="dxa"/>
              <w:start w:w="65" w:type="dxa"/>
              <w:end w:w="65" w:type="dxa"/>
            </w:tcMar>
          </w:tcPr>
          <w:p>
            <w:pPr>
              <w:pStyle w:val="TableText"/>
            </w:pPr>
            <w:r/>
            <w:r>
              <w:rPr>
                <w:b w:val="0"/>
              </w:rPr>
              <w:t>HIGH retained; data gaps displayed.</w:t>
            </w:r>
          </w:p>
        </w:tc>
      </w:tr>
    </w:tbl>
    <w:p>
      <w:pPr>
        <w:spacing w:after="20"/>
      </w:pPr>
    </w:p>
    <w:p>
      <w:pPr>
        <w:pStyle w:val="Heading1"/>
      </w:pPr>
      <w:r>
        <w:t>Appendix B. Evidence Classification</w:t>
      </w:r>
    </w:p>
    <w:tbl>
      <w:tblPr>
        <w:tblStyle w:val="TableGrid"/>
        <w:tblW w:type="auto" w:w="0"/>
        <w:jc w:val="center"/>
        <w:tblLook w:firstColumn="1" w:firstRow="1" w:lastColumn="0" w:lastRow="0" w:noHBand="0" w:noVBand="1" w:val="04A0"/>
      </w:tblPr>
      <w:tblGrid>
        <w:gridCol w:w="3427"/>
        <w:gridCol w:w="3427"/>
        <w:gridCol w:w="3427"/>
      </w:tblGrid>
      <w:tr>
        <w:trPr>
          <w:tblHeader w:val="true"/>
          <w:cantSplit/>
        </w:trPr>
        <w:tc>
          <w:tcPr>
            <w:tcW w:type="dxa" w:w="2376"/>
            <w:vAlign w:val="center"/>
            <w:tcMar>
              <w:top w:w="55" w:type="dxa"/>
              <w:bottom w:w="55" w:type="dxa"/>
              <w:start w:w="65" w:type="dxa"/>
              <w:end w:w="65" w:type="dxa"/>
            </w:tcMar>
            <w:shd w:fill="17365D"/>
          </w:tcPr>
          <w:p>
            <w:pPr>
              <w:pStyle w:val="TableHeader"/>
            </w:pPr>
            <w:r/>
            <w:r>
              <w:rPr>
                <w:b/>
                <w:color w:val="FFFFFF"/>
              </w:rPr>
              <w:t>Statement type</w:t>
            </w:r>
          </w:p>
        </w:tc>
        <w:tc>
          <w:tcPr>
            <w:tcW w:type="dxa" w:w="4320"/>
            <w:vAlign w:val="center"/>
            <w:tcMar>
              <w:top w:w="55" w:type="dxa"/>
              <w:bottom w:w="55" w:type="dxa"/>
              <w:start w:w="65" w:type="dxa"/>
              <w:end w:w="65" w:type="dxa"/>
            </w:tcMar>
            <w:shd w:fill="17365D"/>
          </w:tcPr>
          <w:p>
            <w:pPr>
              <w:pStyle w:val="TableHeader"/>
            </w:pPr>
            <w:r/>
            <w:r>
              <w:rPr>
                <w:b/>
                <w:color w:val="FFFFFF"/>
              </w:rPr>
              <w:t>Definition</w:t>
            </w:r>
          </w:p>
        </w:tc>
        <w:tc>
          <w:tcPr>
            <w:tcW w:type="dxa" w:w="4680"/>
            <w:vAlign w:val="center"/>
            <w:tcMar>
              <w:top w:w="55" w:type="dxa"/>
              <w:bottom w:w="55" w:type="dxa"/>
              <w:start w:w="65" w:type="dxa"/>
              <w:end w:w="65" w:type="dxa"/>
            </w:tcMar>
            <w:shd w:fill="17365D"/>
          </w:tcPr>
          <w:p>
            <w:pPr>
              <w:pStyle w:val="TableHeader"/>
            </w:pPr>
            <w:r/>
            <w:r>
              <w:rPr>
                <w:b/>
                <w:color w:val="FFFFFF"/>
              </w:rPr>
              <w:t>Example</w:t>
            </w:r>
          </w:p>
        </w:tc>
      </w:tr>
      <w:tr>
        <w:trPr>
          <w:cantSplit/>
        </w:trPr>
        <w:tc>
          <w:tcPr>
            <w:tcW w:type="dxa" w:w="2376"/>
            <w:vAlign w:val="center"/>
            <w:tcMar>
              <w:top w:w="55" w:type="dxa"/>
              <w:bottom w:w="55" w:type="dxa"/>
              <w:start w:w="65" w:type="dxa"/>
              <w:end w:w="65" w:type="dxa"/>
            </w:tcMar>
          </w:tcPr>
          <w:p>
            <w:pPr>
              <w:pStyle w:val="TableText"/>
            </w:pPr>
            <w:r/>
            <w:r>
              <w:rPr>
                <w:b w:val="0"/>
              </w:rPr>
              <w:t>Direct guideline recommendation</w:t>
            </w:r>
          </w:p>
        </w:tc>
        <w:tc>
          <w:tcPr>
            <w:tcW w:type="dxa" w:w="4320"/>
            <w:vAlign w:val="center"/>
            <w:tcMar>
              <w:top w:w="55" w:type="dxa"/>
              <w:bottom w:w="55" w:type="dxa"/>
              <w:start w:w="65" w:type="dxa"/>
              <w:end w:w="65" w:type="dxa"/>
            </w:tcMar>
          </w:tcPr>
          <w:p>
            <w:pPr>
              <w:pStyle w:val="TableText"/>
            </w:pPr>
            <w:r/>
            <w:r>
              <w:rPr>
                <w:b w:val="0"/>
              </w:rPr>
              <w:t>A source explicitly recommends an action for a defined condition.</w:t>
            </w:r>
          </w:p>
        </w:tc>
        <w:tc>
          <w:tcPr>
            <w:tcW w:type="dxa" w:w="4680"/>
            <w:vAlign w:val="center"/>
            <w:tcMar>
              <w:top w:w="55" w:type="dxa"/>
              <w:bottom w:w="55" w:type="dxa"/>
              <w:start w:w="65" w:type="dxa"/>
              <w:end w:w="65" w:type="dxa"/>
            </w:tcMar>
          </w:tcPr>
          <w:p>
            <w:pPr>
              <w:pStyle w:val="TableText"/>
            </w:pPr>
            <w:r/>
            <w:r>
              <w:rPr>
                <w:b w:val="0"/>
              </w:rPr>
              <w:t>NICE diabetes guidance recommends serial fetal growth and fluid monitoring.</w:t>
            </w:r>
          </w:p>
        </w:tc>
      </w:tr>
      <w:tr>
        <w:trPr>
          <w:cantSplit/>
        </w:trPr>
        <w:tc>
          <w:tcPr>
            <w:tcW w:type="dxa" w:w="2376"/>
            <w:vAlign w:val="center"/>
            <w:tcMar>
              <w:top w:w="55" w:type="dxa"/>
              <w:bottom w:w="55" w:type="dxa"/>
              <w:start w:w="65" w:type="dxa"/>
              <w:end w:w="65" w:type="dxa"/>
            </w:tcMar>
            <w:shd w:fill="EDF4FA"/>
          </w:tcPr>
          <w:p>
            <w:pPr>
              <w:pStyle w:val="TableText"/>
            </w:pPr>
            <w:r/>
            <w:r>
              <w:rPr>
                <w:b w:val="0"/>
              </w:rPr>
              <w:t>Guideline-supported association</w:t>
            </w:r>
          </w:p>
        </w:tc>
        <w:tc>
          <w:tcPr>
            <w:tcW w:type="dxa" w:w="4320"/>
            <w:vAlign w:val="center"/>
            <w:tcMar>
              <w:top w:w="55" w:type="dxa"/>
              <w:bottom w:w="55" w:type="dxa"/>
              <w:start w:w="65" w:type="dxa"/>
              <w:end w:w="65" w:type="dxa"/>
            </w:tcMar>
            <w:shd w:fill="EDF4FA"/>
          </w:tcPr>
          <w:p>
            <w:pPr>
              <w:pStyle w:val="TableText"/>
            </w:pPr>
            <w:r/>
            <w:r>
              <w:rPr>
                <w:b w:val="0"/>
              </w:rPr>
              <w:t>A source identifies factors that coexist or modify risk.</w:t>
            </w:r>
          </w:p>
        </w:tc>
        <w:tc>
          <w:tcPr>
            <w:tcW w:type="dxa" w:w="4680"/>
            <w:vAlign w:val="center"/>
            <w:tcMar>
              <w:top w:w="55" w:type="dxa"/>
              <w:bottom w:w="55" w:type="dxa"/>
              <w:start w:w="65" w:type="dxa"/>
              <w:end w:w="65" w:type="dxa"/>
            </w:tcMar>
            <w:shd w:fill="EDF4FA"/>
          </w:tcPr>
          <w:p>
            <w:pPr>
              <w:pStyle w:val="TableText"/>
            </w:pPr>
            <w:r/>
            <w:r>
              <w:rPr>
                <w:b w:val="0"/>
              </w:rPr>
              <w:t>ACOG describes age and comorbidities; prior cesarean and previa modify accreta risk.</w:t>
            </w:r>
          </w:p>
        </w:tc>
      </w:tr>
      <w:tr>
        <w:trPr>
          <w:cantSplit/>
        </w:trPr>
        <w:tc>
          <w:tcPr>
            <w:tcW w:type="dxa" w:w="2376"/>
            <w:vAlign w:val="center"/>
            <w:tcMar>
              <w:top w:w="55" w:type="dxa"/>
              <w:bottom w:w="55" w:type="dxa"/>
              <w:start w:w="65" w:type="dxa"/>
              <w:end w:w="65" w:type="dxa"/>
            </w:tcMar>
          </w:tcPr>
          <w:p>
            <w:pPr>
              <w:pStyle w:val="TableText"/>
            </w:pPr>
            <w:r/>
            <w:r>
              <w:rPr>
                <w:b w:val="0"/>
              </w:rPr>
              <w:t>Evidence-informed interaction</w:t>
            </w:r>
          </w:p>
        </w:tc>
        <w:tc>
          <w:tcPr>
            <w:tcW w:type="dxa" w:w="4320"/>
            <w:vAlign w:val="center"/>
            <w:tcMar>
              <w:top w:w="55" w:type="dxa"/>
              <w:bottom w:w="55" w:type="dxa"/>
              <w:start w:w="65" w:type="dxa"/>
              <w:end w:w="65" w:type="dxa"/>
            </w:tcMar>
          </w:tcPr>
          <w:p>
            <w:pPr>
              <w:pStyle w:val="TableText"/>
            </w:pPr>
            <w:r/>
            <w:r>
              <w:rPr>
                <w:b w:val="0"/>
              </w:rPr>
              <w:t>The project combines guideline principles with lying-in facility limitations.</w:t>
            </w:r>
          </w:p>
        </w:tc>
        <w:tc>
          <w:tcPr>
            <w:tcW w:type="dxa" w:w="4680"/>
            <w:vAlign w:val="center"/>
            <w:tcMar>
              <w:top w:w="55" w:type="dxa"/>
              <w:bottom w:w="55" w:type="dxa"/>
              <w:start w:w="65" w:type="dxa"/>
              <w:end w:w="65" w:type="dxa"/>
            </w:tcMar>
          </w:tcPr>
          <w:p>
            <w:pPr>
              <w:pStyle w:val="TableText"/>
            </w:pPr>
            <w:r/>
            <w:r>
              <w:rPr>
                <w:b w:val="0"/>
              </w:rPr>
              <w:t>Anemia plus previous cesarean prompts hospital planning and anemia follow-up.</w:t>
            </w:r>
          </w:p>
        </w:tc>
      </w:tr>
      <w:tr>
        <w:trPr>
          <w:cantSplit/>
        </w:trPr>
        <w:tc>
          <w:tcPr>
            <w:tcW w:type="dxa" w:w="2376"/>
            <w:vAlign w:val="center"/>
            <w:tcMar>
              <w:top w:w="55" w:type="dxa"/>
              <w:bottom w:w="55" w:type="dxa"/>
              <w:start w:w="65" w:type="dxa"/>
              <w:end w:w="65" w:type="dxa"/>
            </w:tcMar>
            <w:shd w:fill="EDF4FA"/>
          </w:tcPr>
          <w:p>
            <w:pPr>
              <w:pStyle w:val="TableText"/>
            </w:pPr>
            <w:r/>
            <w:r>
              <w:rPr>
                <w:b w:val="0"/>
              </w:rPr>
              <w:t>Project safety decision</w:t>
            </w:r>
          </w:p>
        </w:tc>
        <w:tc>
          <w:tcPr>
            <w:tcW w:type="dxa" w:w="4320"/>
            <w:vAlign w:val="center"/>
            <w:tcMar>
              <w:top w:w="55" w:type="dxa"/>
              <w:bottom w:w="55" w:type="dxa"/>
              <w:start w:w="65" w:type="dxa"/>
              <w:end w:w="65" w:type="dxa"/>
            </w:tcMar>
            <w:shd w:fill="EDF4FA"/>
          </w:tcPr>
          <w:p>
            <w:pPr>
              <w:pStyle w:val="TableText"/>
            </w:pPr>
            <w:r/>
            <w:r>
              <w:rPr>
                <w:b w:val="0"/>
              </w:rPr>
              <w:t>Software behavior chosen for predictability and explainability.</w:t>
            </w:r>
          </w:p>
        </w:tc>
        <w:tc>
          <w:tcPr>
            <w:tcW w:type="dxa" w:w="4680"/>
            <w:vAlign w:val="center"/>
            <w:tcMar>
              <w:top w:w="55" w:type="dxa"/>
              <w:bottom w:w="55" w:type="dxa"/>
              <w:start w:w="65" w:type="dxa"/>
              <w:end w:w="65" w:type="dxa"/>
            </w:tcMar>
            <w:shd w:fill="EDF4FA"/>
          </w:tcPr>
          <w:p>
            <w:pPr>
              <w:pStyle w:val="TableText"/>
            </w:pPr>
            <w:r/>
            <w:r>
              <w:rPr>
                <w:b w:val="0"/>
              </w:rPr>
              <w:t>No cancellation; no arithmetic score; maximum-urgency precedence.</w:t>
            </w:r>
          </w:p>
        </w:tc>
      </w:tr>
      <w:tr>
        <w:trPr>
          <w:cantSplit/>
        </w:trPr>
        <w:tc>
          <w:tcPr>
            <w:tcW w:type="dxa" w:w="2376"/>
            <w:vAlign w:val="center"/>
            <w:tcMar>
              <w:top w:w="55" w:type="dxa"/>
              <w:bottom w:w="55" w:type="dxa"/>
              <w:start w:w="65" w:type="dxa"/>
              <w:end w:w="65" w:type="dxa"/>
            </w:tcMar>
          </w:tcPr>
          <w:p>
            <w:pPr>
              <w:pStyle w:val="TableText"/>
            </w:pPr>
            <w:r/>
            <w:r>
              <w:rPr>
                <w:b w:val="0"/>
              </w:rPr>
              <w:t>Future interaction</w:t>
            </w:r>
          </w:p>
        </w:tc>
        <w:tc>
          <w:tcPr>
            <w:tcW w:type="dxa" w:w="4320"/>
            <w:vAlign w:val="center"/>
            <w:tcMar>
              <w:top w:w="55" w:type="dxa"/>
              <w:bottom w:w="55" w:type="dxa"/>
              <w:start w:w="65" w:type="dxa"/>
              <w:end w:w="65" w:type="dxa"/>
            </w:tcMar>
          </w:tcPr>
          <w:p>
            <w:pPr>
              <w:pStyle w:val="TableText"/>
            </w:pPr>
            <w:r/>
            <w:r>
              <w:rPr>
                <w:b w:val="0"/>
              </w:rPr>
              <w:t>Clinically important but not computable from current fields.</w:t>
            </w:r>
          </w:p>
        </w:tc>
        <w:tc>
          <w:tcPr>
            <w:tcW w:type="dxa" w:w="4680"/>
            <w:vAlign w:val="center"/>
            <w:tcMar>
              <w:top w:w="55" w:type="dxa"/>
              <w:bottom w:w="55" w:type="dxa"/>
              <w:start w:w="65" w:type="dxa"/>
              <w:end w:w="65" w:type="dxa"/>
            </w:tcMar>
          </w:tcPr>
          <w:p>
            <w:pPr>
              <w:pStyle w:val="TableText"/>
            </w:pPr>
            <w:r/>
            <w:r>
              <w:rPr>
                <w:b w:val="0"/>
              </w:rPr>
              <w:t>Previous cesarean plus placenta previa.</w:t>
            </w:r>
          </w:p>
        </w:tc>
      </w:tr>
    </w:tbl>
    <w:p>
      <w:pPr>
        <w:spacing w:after="20"/>
      </w:pPr>
    </w:p>
    <w:p>
      <w:pPr>
        <w:pStyle w:val="Heading1"/>
      </w:pPr>
      <w:r>
        <w:t>Appendix C. Expanded Pairwise Interaction Catalogue</w:t>
      </w:r>
    </w:p>
    <w:p>
      <w:r>
        <w:t>This catalogue expands the master matrix into implementation-ready pairings. It does not create new diagnoses. Where no interaction-specific evidence is available, the system must show the two independent reasons without inventing a causal connection.</w:t>
      </w:r>
    </w:p>
    <w:tbl>
      <w:tblPr>
        <w:tblStyle w:val="TableGrid"/>
        <w:tblW w:type="auto" w:w="0"/>
        <w:jc w:val="center"/>
        <w:tblLook w:firstColumn="1" w:firstRow="1" w:lastColumn="0" w:lastRow="0" w:noHBand="0" w:noVBand="1" w:val="04A0"/>
      </w:tblPr>
      <w:tblGrid>
        <w:gridCol w:w="3427"/>
        <w:gridCol w:w="3427"/>
        <w:gridCol w:w="3427"/>
      </w:tblGrid>
      <w:tr>
        <w:trPr>
          <w:tblHeader w:val="true"/>
          <w:cantSplit/>
        </w:trPr>
        <w:tc>
          <w:tcPr>
            <w:tcW w:type="dxa" w:w="2232"/>
            <w:vAlign w:val="center"/>
            <w:tcMar>
              <w:top w:w="55" w:type="dxa"/>
              <w:bottom w:w="55" w:type="dxa"/>
              <w:start w:w="65" w:type="dxa"/>
              <w:end w:w="65" w:type="dxa"/>
            </w:tcMar>
            <w:shd w:fill="17365D"/>
          </w:tcPr>
          <w:p>
            <w:pPr>
              <w:pStyle w:val="TableHeader"/>
            </w:pPr>
            <w:r/>
            <w:r>
              <w:rPr>
                <w:b/>
                <w:color w:val="FFFFFF"/>
              </w:rPr>
              <w:t>Pair</w:t>
            </w:r>
          </w:p>
        </w:tc>
        <w:tc>
          <w:tcPr>
            <w:tcW w:type="dxa" w:w="4680"/>
            <w:vAlign w:val="center"/>
            <w:tcMar>
              <w:top w:w="55" w:type="dxa"/>
              <w:bottom w:w="55" w:type="dxa"/>
              <w:start w:w="65" w:type="dxa"/>
              <w:end w:w="65" w:type="dxa"/>
            </w:tcMar>
            <w:shd w:fill="17365D"/>
          </w:tcPr>
          <w:p>
            <w:pPr>
              <w:pStyle w:val="TableHeader"/>
            </w:pPr>
            <w:r/>
            <w:r>
              <w:rPr>
                <w:b/>
                <w:color w:val="FFFFFF"/>
              </w:rPr>
              <w:t>Interaction interpretation</w:t>
            </w:r>
          </w:p>
        </w:tc>
        <w:tc>
          <w:tcPr>
            <w:tcW w:type="dxa" w:w="4608"/>
            <w:vAlign w:val="center"/>
            <w:tcMar>
              <w:top w:w="55" w:type="dxa"/>
              <w:bottom w:w="55" w:type="dxa"/>
              <w:start w:w="65" w:type="dxa"/>
              <w:end w:w="65" w:type="dxa"/>
            </w:tcMar>
            <w:shd w:fill="17365D"/>
          </w:tcPr>
          <w:p>
            <w:pPr>
              <w:pStyle w:val="TableHeader"/>
            </w:pPr>
            <w:r/>
            <w:r>
              <w:rPr>
                <w:b/>
                <w:color w:val="FFFFFF"/>
              </w:rPr>
              <w:t>Required CDSS behavior</w:t>
            </w:r>
          </w:p>
        </w:tc>
      </w:tr>
      <w:tr>
        <w:trPr>
          <w:cantSplit/>
        </w:trPr>
        <w:tc>
          <w:tcPr>
            <w:tcW w:type="dxa" w:w="2232"/>
            <w:vAlign w:val="center"/>
            <w:tcMar>
              <w:top w:w="55" w:type="dxa"/>
              <w:bottom w:w="55" w:type="dxa"/>
              <w:start w:w="65" w:type="dxa"/>
              <w:end w:w="65" w:type="dxa"/>
            </w:tcMar>
          </w:tcPr>
          <w:p>
            <w:pPr>
              <w:pStyle w:val="TableText"/>
            </w:pPr>
            <w:r/>
            <w:r>
              <w:rPr>
                <w:b w:val="0"/>
              </w:rPr>
              <w:t>AGE-Y + BP</w:t>
            </w:r>
          </w:p>
        </w:tc>
        <w:tc>
          <w:tcPr>
            <w:tcW w:type="dxa" w:w="4680"/>
            <w:vAlign w:val="center"/>
            <w:tcMar>
              <w:top w:w="55" w:type="dxa"/>
              <w:bottom w:w="55" w:type="dxa"/>
              <w:start w:w="65" w:type="dxa"/>
              <w:end w:w="65" w:type="dxa"/>
            </w:tcMar>
          </w:tcPr>
          <w:p>
            <w:pPr>
              <w:pStyle w:val="TableText"/>
            </w:pPr>
            <w:r/>
            <w:r>
              <w:rPr>
                <w:b w:val="0"/>
              </w:rPr>
              <w:t>Young age does not reduce the importance of elevated BP.</w:t>
            </w:r>
          </w:p>
        </w:tc>
        <w:tc>
          <w:tcPr>
            <w:tcW w:type="dxa" w:w="4608"/>
            <w:vAlign w:val="center"/>
            <w:tcMar>
              <w:top w:w="55" w:type="dxa"/>
              <w:bottom w:w="55" w:type="dxa"/>
              <w:start w:w="65" w:type="dxa"/>
              <w:end w:w="65" w:type="dxa"/>
            </w:tcMar>
          </w:tcPr>
          <w:p>
            <w:pPr>
              <w:pStyle w:val="TableText"/>
            </w:pPr>
            <w:r/>
            <w:r>
              <w:rPr>
                <w:b w:val="0"/>
              </w:rPr>
              <w:t>Use BP urgency; provide adolescent-sensitive communication and support.</w:t>
            </w:r>
          </w:p>
        </w:tc>
      </w:tr>
      <w:tr>
        <w:trPr>
          <w:cantSplit/>
        </w:trPr>
        <w:tc>
          <w:tcPr>
            <w:tcW w:type="dxa" w:w="2232"/>
            <w:vAlign w:val="center"/>
            <w:tcMar>
              <w:top w:w="55" w:type="dxa"/>
              <w:bottom w:w="55" w:type="dxa"/>
              <w:start w:w="65" w:type="dxa"/>
              <w:end w:w="65" w:type="dxa"/>
            </w:tcMar>
            <w:shd w:fill="EDF4FA"/>
          </w:tcPr>
          <w:p>
            <w:pPr>
              <w:pStyle w:val="TableText"/>
            </w:pPr>
            <w:r/>
            <w:r>
              <w:rPr>
                <w:b w:val="0"/>
              </w:rPr>
              <w:t>AGE-Y + DM</w:t>
            </w:r>
          </w:p>
        </w:tc>
        <w:tc>
          <w:tcPr>
            <w:tcW w:type="dxa" w:w="4680"/>
            <w:vAlign w:val="center"/>
            <w:tcMar>
              <w:top w:w="55" w:type="dxa"/>
              <w:bottom w:w="55" w:type="dxa"/>
              <w:start w:w="65" w:type="dxa"/>
              <w:end w:w="65" w:type="dxa"/>
            </w:tcMar>
            <w:shd w:fill="EDF4FA"/>
          </w:tcPr>
          <w:p>
            <w:pPr>
              <w:pStyle w:val="TableText"/>
            </w:pPr>
            <w:r/>
            <w:r>
              <w:rPr>
                <w:b w:val="0"/>
              </w:rPr>
              <w:t>Requires medical management plus age-appropriate consent, privacy, and social support.</w:t>
            </w:r>
          </w:p>
        </w:tc>
        <w:tc>
          <w:tcPr>
            <w:tcW w:type="dxa" w:w="4608"/>
            <w:vAlign w:val="center"/>
            <w:tcMar>
              <w:top w:w="55" w:type="dxa"/>
              <w:bottom w:w="55" w:type="dxa"/>
              <w:start w:w="65" w:type="dxa"/>
              <w:end w:w="65" w:type="dxa"/>
            </w:tcMar>
            <w:shd w:fill="EDF4FA"/>
          </w:tcPr>
          <w:p>
            <w:pPr>
              <w:pStyle w:val="TableText"/>
            </w:pPr>
            <w:r/>
            <w:r>
              <w:rPr>
                <w:b w:val="0"/>
              </w:rPr>
              <w:t>HIGH; coordinated obstetric/medical review.</w:t>
            </w:r>
          </w:p>
        </w:tc>
      </w:tr>
      <w:tr>
        <w:trPr>
          <w:cantSplit/>
        </w:trPr>
        <w:tc>
          <w:tcPr>
            <w:tcW w:type="dxa" w:w="2232"/>
            <w:vAlign w:val="center"/>
            <w:tcMar>
              <w:top w:w="55" w:type="dxa"/>
              <w:bottom w:w="55" w:type="dxa"/>
              <w:start w:w="65" w:type="dxa"/>
              <w:end w:w="65" w:type="dxa"/>
            </w:tcMar>
          </w:tcPr>
          <w:p>
            <w:pPr>
              <w:pStyle w:val="TableText"/>
            </w:pPr>
            <w:r/>
            <w:r>
              <w:rPr>
                <w:b w:val="0"/>
              </w:rPr>
              <w:t>AGE-Y + AN</w:t>
            </w:r>
          </w:p>
        </w:tc>
        <w:tc>
          <w:tcPr>
            <w:tcW w:type="dxa" w:w="4680"/>
            <w:vAlign w:val="center"/>
            <w:tcMar>
              <w:top w:w="55" w:type="dxa"/>
              <w:bottom w:w="55" w:type="dxa"/>
              <w:start w:w="65" w:type="dxa"/>
              <w:end w:w="65" w:type="dxa"/>
            </w:tcMar>
          </w:tcPr>
          <w:p>
            <w:pPr>
              <w:pStyle w:val="TableText"/>
            </w:pPr>
            <w:r/>
            <w:r>
              <w:rPr>
                <w:b w:val="0"/>
              </w:rPr>
              <w:t>Nutritional vulnerability and pregnancy anemia may coexist.</w:t>
            </w:r>
          </w:p>
        </w:tc>
        <w:tc>
          <w:tcPr>
            <w:tcW w:type="dxa" w:w="4608"/>
            <w:vAlign w:val="center"/>
            <w:tcMar>
              <w:top w:w="55" w:type="dxa"/>
              <w:bottom w:w="55" w:type="dxa"/>
              <w:start w:w="65" w:type="dxa"/>
              <w:end w:w="65" w:type="dxa"/>
            </w:tcMar>
          </w:tcPr>
          <w:p>
            <w:pPr>
              <w:pStyle w:val="TableText"/>
            </w:pPr>
            <w:r/>
            <w:r>
              <w:rPr>
                <w:b w:val="0"/>
              </w:rPr>
              <w:t>HIGH; verify hemoglobin and treatment plan; avoid blame.</w:t>
            </w:r>
          </w:p>
        </w:tc>
      </w:tr>
      <w:tr>
        <w:trPr>
          <w:cantSplit/>
        </w:trPr>
        <w:tc>
          <w:tcPr>
            <w:tcW w:type="dxa" w:w="2232"/>
            <w:vAlign w:val="center"/>
            <w:tcMar>
              <w:top w:w="55" w:type="dxa"/>
              <w:bottom w:w="55" w:type="dxa"/>
              <w:start w:w="65" w:type="dxa"/>
              <w:end w:w="65" w:type="dxa"/>
            </w:tcMar>
            <w:shd w:fill="EDF4FA"/>
          </w:tcPr>
          <w:p>
            <w:pPr>
              <w:pStyle w:val="TableText"/>
            </w:pPr>
            <w:r/>
            <w:r>
              <w:rPr>
                <w:b w:val="0"/>
              </w:rPr>
              <w:t>AGE-Y + CS</w:t>
            </w:r>
          </w:p>
        </w:tc>
        <w:tc>
          <w:tcPr>
            <w:tcW w:type="dxa" w:w="4680"/>
            <w:vAlign w:val="center"/>
            <w:tcMar>
              <w:top w:w="55" w:type="dxa"/>
              <w:bottom w:w="55" w:type="dxa"/>
              <w:start w:w="65" w:type="dxa"/>
              <w:end w:w="65" w:type="dxa"/>
            </w:tcMar>
            <w:shd w:fill="EDF4FA"/>
          </w:tcPr>
          <w:p>
            <w:pPr>
              <w:pStyle w:val="TableText"/>
            </w:pPr>
            <w:r/>
            <w:r>
              <w:rPr>
                <w:b w:val="0"/>
              </w:rPr>
              <w:t>Uncommon but complex obstetric and psychosocial history.</w:t>
            </w:r>
          </w:p>
        </w:tc>
        <w:tc>
          <w:tcPr>
            <w:tcW w:type="dxa" w:w="4608"/>
            <w:vAlign w:val="center"/>
            <w:tcMar>
              <w:top w:w="55" w:type="dxa"/>
              <w:bottom w:w="55" w:type="dxa"/>
              <w:start w:w="65" w:type="dxa"/>
              <w:end w:w="65" w:type="dxa"/>
            </w:tcMar>
            <w:shd w:fill="EDF4FA"/>
          </w:tcPr>
          <w:p>
            <w:pPr>
              <w:pStyle w:val="TableText"/>
            </w:pPr>
            <w:r/>
            <w:r>
              <w:rPr>
                <w:b w:val="0"/>
              </w:rPr>
              <w:t>HIGH; hospital birth planning and safeguarding support.</w:t>
            </w:r>
          </w:p>
        </w:tc>
      </w:tr>
      <w:tr>
        <w:trPr>
          <w:cantSplit/>
        </w:trPr>
        <w:tc>
          <w:tcPr>
            <w:tcW w:type="dxa" w:w="2232"/>
            <w:vAlign w:val="center"/>
            <w:tcMar>
              <w:top w:w="55" w:type="dxa"/>
              <w:bottom w:w="55" w:type="dxa"/>
              <w:start w:w="65" w:type="dxa"/>
              <w:end w:w="65" w:type="dxa"/>
            </w:tcMar>
          </w:tcPr>
          <w:p>
            <w:pPr>
              <w:pStyle w:val="TableText"/>
            </w:pPr>
            <w:r/>
            <w:r>
              <w:rPr>
                <w:b w:val="0"/>
              </w:rPr>
              <w:t>AGE-Y + RM</w:t>
            </w:r>
          </w:p>
        </w:tc>
        <w:tc>
          <w:tcPr>
            <w:tcW w:type="dxa" w:w="4680"/>
            <w:vAlign w:val="center"/>
            <w:tcMar>
              <w:top w:w="55" w:type="dxa"/>
              <w:bottom w:w="55" w:type="dxa"/>
              <w:start w:w="65" w:type="dxa"/>
              <w:end w:w="65" w:type="dxa"/>
            </w:tcMar>
          </w:tcPr>
          <w:p>
            <w:pPr>
              <w:pStyle w:val="TableText"/>
            </w:pPr>
            <w:r/>
            <w:r>
              <w:rPr>
                <w:b w:val="0"/>
              </w:rPr>
              <w:t>May carry substantial grief and social vulnerability.</w:t>
            </w:r>
          </w:p>
        </w:tc>
        <w:tc>
          <w:tcPr>
            <w:tcW w:type="dxa" w:w="4608"/>
            <w:vAlign w:val="center"/>
            <w:tcMar>
              <w:top w:w="55" w:type="dxa"/>
              <w:bottom w:w="55" w:type="dxa"/>
              <w:start w:w="65" w:type="dxa"/>
              <w:end w:w="65" w:type="dxa"/>
            </w:tcMar>
          </w:tcPr>
          <w:p>
            <w:pPr>
              <w:pStyle w:val="TableText"/>
            </w:pPr>
            <w:r/>
            <w:r>
              <w:rPr>
                <w:b w:val="0"/>
              </w:rPr>
              <w:t>HIGH; trauma-informed specialist review.</w:t>
            </w:r>
          </w:p>
        </w:tc>
      </w:tr>
      <w:tr>
        <w:trPr>
          <w:cantSplit/>
        </w:trPr>
        <w:tc>
          <w:tcPr>
            <w:tcW w:type="dxa" w:w="2232"/>
            <w:vAlign w:val="center"/>
            <w:tcMar>
              <w:top w:w="55" w:type="dxa"/>
              <w:bottom w:w="55" w:type="dxa"/>
              <w:start w:w="65" w:type="dxa"/>
              <w:end w:w="65" w:type="dxa"/>
            </w:tcMar>
            <w:shd w:fill="EDF4FA"/>
          </w:tcPr>
          <w:p>
            <w:pPr>
              <w:pStyle w:val="TableText"/>
            </w:pPr>
            <w:r/>
            <w:r>
              <w:rPr>
                <w:b w:val="0"/>
              </w:rPr>
              <w:t>AGE-Y + PRES/AF/FH</w:t>
            </w:r>
          </w:p>
        </w:tc>
        <w:tc>
          <w:tcPr>
            <w:tcW w:type="dxa" w:w="4680"/>
            <w:vAlign w:val="center"/>
            <w:tcMar>
              <w:top w:w="55" w:type="dxa"/>
              <w:bottom w:w="55" w:type="dxa"/>
              <w:start w:w="65" w:type="dxa"/>
              <w:end w:w="65" w:type="dxa"/>
            </w:tcMar>
            <w:shd w:fill="EDF4FA"/>
          </w:tcPr>
          <w:p>
            <w:pPr>
              <w:pStyle w:val="TableText"/>
            </w:pPr>
            <w:r/>
            <w:r>
              <w:rPr>
                <w:b w:val="0"/>
              </w:rPr>
              <w:t>Fetal/ultrasound finding determines urgency.</w:t>
            </w:r>
          </w:p>
        </w:tc>
        <w:tc>
          <w:tcPr>
            <w:tcW w:type="dxa" w:w="4608"/>
            <w:vAlign w:val="center"/>
            <w:tcMar>
              <w:top w:w="55" w:type="dxa"/>
              <w:bottom w:w="55" w:type="dxa"/>
              <w:start w:w="65" w:type="dxa"/>
              <w:end w:w="65" w:type="dxa"/>
            </w:tcMar>
            <w:shd w:fill="EDF4FA"/>
          </w:tcPr>
          <w:p>
            <w:pPr>
              <w:pStyle w:val="TableText"/>
            </w:pPr>
            <w:r/>
            <w:r>
              <w:rPr>
                <w:b w:val="0"/>
              </w:rPr>
              <w:t>HIGH; show age as context, not cause.</w:t>
            </w:r>
          </w:p>
        </w:tc>
      </w:tr>
      <w:tr>
        <w:trPr>
          <w:cantSplit/>
        </w:trPr>
        <w:tc>
          <w:tcPr>
            <w:tcW w:type="dxa" w:w="2232"/>
            <w:vAlign w:val="center"/>
            <w:tcMar>
              <w:top w:w="55" w:type="dxa"/>
              <w:bottom w:w="55" w:type="dxa"/>
              <w:start w:w="65" w:type="dxa"/>
              <w:end w:w="65" w:type="dxa"/>
            </w:tcMar>
          </w:tcPr>
          <w:p>
            <w:pPr>
              <w:pStyle w:val="TableText"/>
            </w:pPr>
            <w:r/>
            <w:r>
              <w:rPr>
                <w:b w:val="0"/>
              </w:rPr>
              <w:t>AGE-A + BP</w:t>
            </w:r>
          </w:p>
        </w:tc>
        <w:tc>
          <w:tcPr>
            <w:tcW w:type="dxa" w:w="4680"/>
            <w:vAlign w:val="center"/>
            <w:tcMar>
              <w:top w:w="55" w:type="dxa"/>
              <w:bottom w:w="55" w:type="dxa"/>
              <w:start w:w="65" w:type="dxa"/>
              <w:end w:w="65" w:type="dxa"/>
            </w:tcMar>
          </w:tcPr>
          <w:p>
            <w:pPr>
              <w:pStyle w:val="TableText"/>
            </w:pPr>
            <w:r/>
            <w:r>
              <w:rPr>
                <w:b w:val="0"/>
              </w:rPr>
              <w:t>Age and nulliparity modify hypertensive-risk assessment.</w:t>
            </w:r>
          </w:p>
        </w:tc>
        <w:tc>
          <w:tcPr>
            <w:tcW w:type="dxa" w:w="4608"/>
            <w:vAlign w:val="center"/>
            <w:tcMar>
              <w:top w:w="55" w:type="dxa"/>
              <w:bottom w:w="55" w:type="dxa"/>
              <w:start w:w="65" w:type="dxa"/>
              <w:end w:w="65" w:type="dxa"/>
            </w:tcMar>
          </w:tcPr>
          <w:p>
            <w:pPr>
              <w:pStyle w:val="TableText"/>
            </w:pPr>
            <w:r/>
            <w:r>
              <w:rPr>
                <w:b w:val="0"/>
              </w:rPr>
              <w:t>HIGH; severe BP urgent; no automatic preeclampsia diagnosis.</w:t>
            </w:r>
          </w:p>
        </w:tc>
      </w:tr>
      <w:tr>
        <w:trPr>
          <w:cantSplit/>
        </w:trPr>
        <w:tc>
          <w:tcPr>
            <w:tcW w:type="dxa" w:w="2232"/>
            <w:vAlign w:val="center"/>
            <w:tcMar>
              <w:top w:w="55" w:type="dxa"/>
              <w:bottom w:w="55" w:type="dxa"/>
              <w:start w:w="65" w:type="dxa"/>
              <w:end w:w="65" w:type="dxa"/>
            </w:tcMar>
            <w:shd w:fill="EDF4FA"/>
          </w:tcPr>
          <w:p>
            <w:pPr>
              <w:pStyle w:val="TableText"/>
            </w:pPr>
            <w:r/>
            <w:r>
              <w:rPr>
                <w:b w:val="0"/>
              </w:rPr>
              <w:t>AGE-A + DM</w:t>
            </w:r>
          </w:p>
        </w:tc>
        <w:tc>
          <w:tcPr>
            <w:tcW w:type="dxa" w:w="4680"/>
            <w:vAlign w:val="center"/>
            <w:tcMar>
              <w:top w:w="55" w:type="dxa"/>
              <w:bottom w:w="55" w:type="dxa"/>
              <w:start w:w="65" w:type="dxa"/>
              <w:end w:w="65" w:type="dxa"/>
            </w:tcMar>
            <w:shd w:fill="EDF4FA"/>
          </w:tcPr>
          <w:p>
            <w:pPr>
              <w:pStyle w:val="TableText"/>
            </w:pPr>
            <w:r/>
            <w:r>
              <w:rPr>
                <w:b w:val="0"/>
              </w:rPr>
              <w:t>Comorbidity increases need for individualized medical and fetal surveillance.</w:t>
            </w:r>
          </w:p>
        </w:tc>
        <w:tc>
          <w:tcPr>
            <w:tcW w:type="dxa" w:w="4608"/>
            <w:vAlign w:val="center"/>
            <w:tcMar>
              <w:top w:w="55" w:type="dxa"/>
              <w:bottom w:w="55" w:type="dxa"/>
              <w:start w:w="65" w:type="dxa"/>
              <w:end w:w="65" w:type="dxa"/>
            </w:tcMar>
            <w:shd w:fill="EDF4FA"/>
          </w:tcPr>
          <w:p>
            <w:pPr>
              <w:pStyle w:val="TableText"/>
            </w:pPr>
            <w:r/>
            <w:r>
              <w:rPr>
                <w:b w:val="0"/>
              </w:rPr>
              <w:t>HIGH; medical/obstetric co-management.</w:t>
            </w:r>
          </w:p>
        </w:tc>
      </w:tr>
      <w:tr>
        <w:trPr>
          <w:cantSplit/>
        </w:trPr>
        <w:tc>
          <w:tcPr>
            <w:tcW w:type="dxa" w:w="2232"/>
            <w:vAlign w:val="center"/>
            <w:tcMar>
              <w:top w:w="55" w:type="dxa"/>
              <w:bottom w:w="55" w:type="dxa"/>
              <w:start w:w="65" w:type="dxa"/>
              <w:end w:w="65" w:type="dxa"/>
            </w:tcMar>
          </w:tcPr>
          <w:p>
            <w:pPr>
              <w:pStyle w:val="TableText"/>
            </w:pPr>
            <w:r/>
            <w:r>
              <w:rPr>
                <w:b w:val="0"/>
              </w:rPr>
              <w:t>AGE-A + AN</w:t>
            </w:r>
          </w:p>
        </w:tc>
        <w:tc>
          <w:tcPr>
            <w:tcW w:type="dxa" w:w="4680"/>
            <w:vAlign w:val="center"/>
            <w:tcMar>
              <w:top w:w="55" w:type="dxa"/>
              <w:bottom w:w="55" w:type="dxa"/>
              <w:start w:w="65" w:type="dxa"/>
              <w:end w:w="65" w:type="dxa"/>
            </w:tcMar>
          </w:tcPr>
          <w:p>
            <w:pPr>
              <w:pStyle w:val="TableText"/>
            </w:pPr>
            <w:r/>
            <w:r>
              <w:rPr>
                <w:b w:val="0"/>
              </w:rPr>
              <w:t>Age does not establish cause of anemia but can increase overall complexity.</w:t>
            </w:r>
          </w:p>
        </w:tc>
        <w:tc>
          <w:tcPr>
            <w:tcW w:type="dxa" w:w="4608"/>
            <w:vAlign w:val="center"/>
            <w:tcMar>
              <w:top w:w="55" w:type="dxa"/>
              <w:bottom w:w="55" w:type="dxa"/>
              <w:start w:w="65" w:type="dxa"/>
              <w:end w:w="65" w:type="dxa"/>
            </w:tcMar>
          </w:tcPr>
          <w:p>
            <w:pPr>
              <w:pStyle w:val="TableText"/>
            </w:pPr>
            <w:r/>
            <w:r>
              <w:rPr>
                <w:b w:val="0"/>
              </w:rPr>
              <w:t>HIGH; separate explanations.</w:t>
            </w:r>
          </w:p>
        </w:tc>
      </w:tr>
      <w:tr>
        <w:trPr>
          <w:cantSplit/>
        </w:trPr>
        <w:tc>
          <w:tcPr>
            <w:tcW w:type="dxa" w:w="2232"/>
            <w:vAlign w:val="center"/>
            <w:tcMar>
              <w:top w:w="55" w:type="dxa"/>
              <w:bottom w:w="55" w:type="dxa"/>
              <w:start w:w="65" w:type="dxa"/>
              <w:end w:w="65" w:type="dxa"/>
            </w:tcMar>
            <w:shd w:fill="EDF4FA"/>
          </w:tcPr>
          <w:p>
            <w:pPr>
              <w:pStyle w:val="TableText"/>
            </w:pPr>
            <w:r/>
            <w:r>
              <w:rPr>
                <w:b w:val="0"/>
              </w:rPr>
              <w:t>AGE-A + CS</w:t>
            </w:r>
          </w:p>
        </w:tc>
        <w:tc>
          <w:tcPr>
            <w:tcW w:type="dxa" w:w="4680"/>
            <w:vAlign w:val="center"/>
            <w:tcMar>
              <w:top w:w="55" w:type="dxa"/>
              <w:bottom w:w="55" w:type="dxa"/>
              <w:start w:w="65" w:type="dxa"/>
              <w:end w:w="65" w:type="dxa"/>
            </w:tcMar>
            <w:shd w:fill="EDF4FA"/>
          </w:tcPr>
          <w:p>
            <w:pPr>
              <w:pStyle w:val="TableText"/>
            </w:pPr>
            <w:r/>
            <w:r>
              <w:rPr>
                <w:b w:val="0"/>
              </w:rPr>
              <w:t>Age plus uterine scar affects counseling and facility planning.</w:t>
            </w:r>
          </w:p>
        </w:tc>
        <w:tc>
          <w:tcPr>
            <w:tcW w:type="dxa" w:w="4608"/>
            <w:vAlign w:val="center"/>
            <w:tcMar>
              <w:top w:w="55" w:type="dxa"/>
              <w:bottom w:w="55" w:type="dxa"/>
              <w:start w:w="65" w:type="dxa"/>
              <w:end w:w="65" w:type="dxa"/>
            </w:tcMar>
            <w:shd w:fill="EDF4FA"/>
          </w:tcPr>
          <w:p>
            <w:pPr>
              <w:pStyle w:val="TableText"/>
            </w:pPr>
            <w:r/>
            <w:r>
              <w:rPr>
                <w:b w:val="0"/>
              </w:rPr>
              <w:t>HIGH; no automatic repeat cesarean.</w:t>
            </w:r>
          </w:p>
        </w:tc>
      </w:tr>
      <w:tr>
        <w:trPr>
          <w:cantSplit/>
        </w:trPr>
        <w:tc>
          <w:tcPr>
            <w:tcW w:type="dxa" w:w="2232"/>
            <w:vAlign w:val="center"/>
            <w:tcMar>
              <w:top w:w="55" w:type="dxa"/>
              <w:bottom w:w="55" w:type="dxa"/>
              <w:start w:w="65" w:type="dxa"/>
              <w:end w:w="65" w:type="dxa"/>
            </w:tcMar>
          </w:tcPr>
          <w:p>
            <w:pPr>
              <w:pStyle w:val="TableText"/>
            </w:pPr>
            <w:r/>
            <w:r>
              <w:rPr>
                <w:b w:val="0"/>
              </w:rPr>
              <w:t>AGE-A + RM</w:t>
            </w:r>
          </w:p>
        </w:tc>
        <w:tc>
          <w:tcPr>
            <w:tcW w:type="dxa" w:w="4680"/>
            <w:vAlign w:val="center"/>
            <w:tcMar>
              <w:top w:w="55" w:type="dxa"/>
              <w:bottom w:w="55" w:type="dxa"/>
              <w:start w:w="65" w:type="dxa"/>
              <w:end w:w="65" w:type="dxa"/>
            </w:tcMar>
          </w:tcPr>
          <w:p>
            <w:pPr>
              <w:pStyle w:val="TableText"/>
            </w:pPr>
            <w:r/>
            <w:r>
              <w:rPr>
                <w:b w:val="0"/>
              </w:rPr>
              <w:t>Age may influence miscarriage risk and genetic counseling.</w:t>
            </w:r>
          </w:p>
        </w:tc>
        <w:tc>
          <w:tcPr>
            <w:tcW w:type="dxa" w:w="4608"/>
            <w:vAlign w:val="center"/>
            <w:tcMar>
              <w:top w:w="55" w:type="dxa"/>
              <w:bottom w:w="55" w:type="dxa"/>
              <w:start w:w="65" w:type="dxa"/>
              <w:end w:w="65" w:type="dxa"/>
            </w:tcMar>
          </w:tcPr>
          <w:p>
            <w:pPr>
              <w:pStyle w:val="TableText"/>
            </w:pPr>
            <w:r/>
            <w:r>
              <w:rPr>
                <w:b w:val="0"/>
              </w:rPr>
              <w:t>HIGH; specialist review without deterministic prognosis.</w:t>
            </w:r>
          </w:p>
        </w:tc>
      </w:tr>
      <w:tr>
        <w:trPr>
          <w:cantSplit/>
        </w:trPr>
        <w:tc>
          <w:tcPr>
            <w:tcW w:type="dxa" w:w="2232"/>
            <w:vAlign w:val="center"/>
            <w:tcMar>
              <w:top w:w="55" w:type="dxa"/>
              <w:bottom w:w="55" w:type="dxa"/>
              <w:start w:w="65" w:type="dxa"/>
              <w:end w:w="65" w:type="dxa"/>
            </w:tcMar>
            <w:shd w:fill="EDF4FA"/>
          </w:tcPr>
          <w:p>
            <w:pPr>
              <w:pStyle w:val="TableText"/>
            </w:pPr>
            <w:r/>
            <w:r>
              <w:rPr>
                <w:b w:val="0"/>
              </w:rPr>
              <w:t>BP + DM</w:t>
            </w:r>
          </w:p>
        </w:tc>
        <w:tc>
          <w:tcPr>
            <w:tcW w:type="dxa" w:w="4680"/>
            <w:vAlign w:val="center"/>
            <w:tcMar>
              <w:top w:w="55" w:type="dxa"/>
              <w:bottom w:w="55" w:type="dxa"/>
              <w:start w:w="65" w:type="dxa"/>
              <w:end w:w="65" w:type="dxa"/>
            </w:tcMar>
            <w:shd w:fill="EDF4FA"/>
          </w:tcPr>
          <w:p>
            <w:pPr>
              <w:pStyle w:val="TableText"/>
            </w:pPr>
            <w:r/>
            <w:r>
              <w:rPr>
                <w:b w:val="0"/>
              </w:rPr>
              <w:t>Both are high-risk factors in preeclampsia-prevention frameworks.</w:t>
            </w:r>
          </w:p>
        </w:tc>
        <w:tc>
          <w:tcPr>
            <w:tcW w:type="dxa" w:w="4608"/>
            <w:vAlign w:val="center"/>
            <w:tcMar>
              <w:top w:w="55" w:type="dxa"/>
              <w:bottom w:w="55" w:type="dxa"/>
              <w:start w:w="65" w:type="dxa"/>
              <w:end w:w="65" w:type="dxa"/>
            </w:tcMar>
            <w:shd w:fill="EDF4FA"/>
          </w:tcPr>
          <w:p>
            <w:pPr>
              <w:pStyle w:val="TableText"/>
            </w:pPr>
            <w:r/>
            <w:r>
              <w:rPr>
                <w:b w:val="0"/>
              </w:rPr>
              <w:t>HIGH; combined medical review; no medication automation.</w:t>
            </w:r>
          </w:p>
        </w:tc>
      </w:tr>
      <w:tr>
        <w:trPr>
          <w:cantSplit/>
        </w:trPr>
        <w:tc>
          <w:tcPr>
            <w:tcW w:type="dxa" w:w="2232"/>
            <w:vAlign w:val="center"/>
            <w:tcMar>
              <w:top w:w="55" w:type="dxa"/>
              <w:bottom w:w="55" w:type="dxa"/>
              <w:start w:w="65" w:type="dxa"/>
              <w:end w:w="65" w:type="dxa"/>
            </w:tcMar>
          </w:tcPr>
          <w:p>
            <w:pPr>
              <w:pStyle w:val="TableText"/>
            </w:pPr>
            <w:r/>
            <w:r>
              <w:rPr>
                <w:b w:val="0"/>
              </w:rPr>
              <w:t>BP + AN</w:t>
            </w:r>
          </w:p>
        </w:tc>
        <w:tc>
          <w:tcPr>
            <w:tcW w:type="dxa" w:w="4680"/>
            <w:vAlign w:val="center"/>
            <w:tcMar>
              <w:top w:w="55" w:type="dxa"/>
              <w:bottom w:w="55" w:type="dxa"/>
              <w:start w:w="65" w:type="dxa"/>
              <w:end w:w="65" w:type="dxa"/>
            </w:tcMar>
          </w:tcPr>
          <w:p>
            <w:pPr>
              <w:pStyle w:val="TableText"/>
            </w:pPr>
            <w:r/>
            <w:r>
              <w:rPr>
                <w:b w:val="0"/>
              </w:rPr>
              <w:t>Maternal conditions require parallel evaluation.</w:t>
            </w:r>
          </w:p>
        </w:tc>
        <w:tc>
          <w:tcPr>
            <w:tcW w:type="dxa" w:w="4608"/>
            <w:vAlign w:val="center"/>
            <w:tcMar>
              <w:top w:w="55" w:type="dxa"/>
              <w:bottom w:w="55" w:type="dxa"/>
              <w:start w:w="65" w:type="dxa"/>
              <w:end w:w="65" w:type="dxa"/>
            </w:tcMar>
          </w:tcPr>
          <w:p>
            <w:pPr>
              <w:pStyle w:val="TableText"/>
            </w:pPr>
            <w:r/>
            <w:r>
              <w:rPr>
                <w:b w:val="0"/>
              </w:rPr>
              <w:t>HIGH; BP urgency first when severe.</w:t>
            </w:r>
          </w:p>
        </w:tc>
      </w:tr>
      <w:tr>
        <w:trPr>
          <w:cantSplit/>
        </w:trPr>
        <w:tc>
          <w:tcPr>
            <w:tcW w:type="dxa" w:w="2232"/>
            <w:vAlign w:val="center"/>
            <w:tcMar>
              <w:top w:w="55" w:type="dxa"/>
              <w:bottom w:w="55" w:type="dxa"/>
              <w:start w:w="65" w:type="dxa"/>
              <w:end w:w="65" w:type="dxa"/>
            </w:tcMar>
            <w:shd w:fill="EDF4FA"/>
          </w:tcPr>
          <w:p>
            <w:pPr>
              <w:pStyle w:val="TableText"/>
            </w:pPr>
            <w:r/>
            <w:r>
              <w:rPr>
                <w:b w:val="0"/>
              </w:rPr>
              <w:t>BP + CS</w:t>
            </w:r>
          </w:p>
        </w:tc>
        <w:tc>
          <w:tcPr>
            <w:tcW w:type="dxa" w:w="4680"/>
            <w:vAlign w:val="center"/>
            <w:tcMar>
              <w:top w:w="55" w:type="dxa"/>
              <w:bottom w:w="55" w:type="dxa"/>
              <w:start w:w="65" w:type="dxa"/>
              <w:end w:w="65" w:type="dxa"/>
            </w:tcMar>
            <w:shd w:fill="EDF4FA"/>
          </w:tcPr>
          <w:p>
            <w:pPr>
              <w:pStyle w:val="TableText"/>
            </w:pPr>
            <w:r/>
            <w:r>
              <w:rPr>
                <w:b w:val="0"/>
              </w:rPr>
              <w:t>Potential hypertensive complication plus scarred uterus requires hospital planning.</w:t>
            </w:r>
          </w:p>
        </w:tc>
        <w:tc>
          <w:tcPr>
            <w:tcW w:type="dxa" w:w="4608"/>
            <w:vAlign w:val="center"/>
            <w:tcMar>
              <w:top w:w="55" w:type="dxa"/>
              <w:bottom w:w="55" w:type="dxa"/>
              <w:start w:w="65" w:type="dxa"/>
              <w:end w:w="65" w:type="dxa"/>
            </w:tcMar>
            <w:shd w:fill="EDF4FA"/>
          </w:tcPr>
          <w:p>
            <w:pPr>
              <w:pStyle w:val="TableText"/>
            </w:pPr>
            <w:r/>
            <w:r>
              <w:rPr>
                <w:b w:val="0"/>
              </w:rPr>
              <w:t>HIGH; severe BP urgent.</w:t>
            </w:r>
          </w:p>
        </w:tc>
      </w:tr>
      <w:tr>
        <w:trPr>
          <w:cantSplit/>
        </w:trPr>
        <w:tc>
          <w:tcPr>
            <w:tcW w:type="dxa" w:w="2232"/>
            <w:vAlign w:val="center"/>
            <w:tcMar>
              <w:top w:w="55" w:type="dxa"/>
              <w:bottom w:w="55" w:type="dxa"/>
              <w:start w:w="65" w:type="dxa"/>
              <w:end w:w="65" w:type="dxa"/>
            </w:tcMar>
          </w:tcPr>
          <w:p>
            <w:pPr>
              <w:pStyle w:val="TableText"/>
            </w:pPr>
            <w:r/>
            <w:r>
              <w:rPr>
                <w:b w:val="0"/>
              </w:rPr>
              <w:t>BP + RM</w:t>
            </w:r>
          </w:p>
        </w:tc>
        <w:tc>
          <w:tcPr>
            <w:tcW w:type="dxa" w:w="4680"/>
            <w:vAlign w:val="center"/>
            <w:tcMar>
              <w:top w:w="55" w:type="dxa"/>
              <w:bottom w:w="55" w:type="dxa"/>
              <w:start w:w="65" w:type="dxa"/>
              <w:end w:w="65" w:type="dxa"/>
            </w:tcMar>
          </w:tcPr>
          <w:p>
            <w:pPr>
              <w:pStyle w:val="TableText"/>
            </w:pPr>
            <w:r/>
            <w:r>
              <w:rPr>
                <w:b w:val="0"/>
              </w:rPr>
              <w:t>Current BP requires independent management; do not claim it caused prior losses.</w:t>
            </w:r>
          </w:p>
        </w:tc>
        <w:tc>
          <w:tcPr>
            <w:tcW w:type="dxa" w:w="4608"/>
            <w:vAlign w:val="center"/>
            <w:tcMar>
              <w:top w:w="55" w:type="dxa"/>
              <w:bottom w:w="55" w:type="dxa"/>
              <w:start w:w="65" w:type="dxa"/>
              <w:end w:w="65" w:type="dxa"/>
            </w:tcMar>
          </w:tcPr>
          <w:p>
            <w:pPr>
              <w:pStyle w:val="TableText"/>
            </w:pPr>
            <w:r/>
            <w:r>
              <w:rPr>
                <w:b w:val="0"/>
              </w:rPr>
              <w:t>HIGH; separate reasons.</w:t>
            </w:r>
          </w:p>
        </w:tc>
      </w:tr>
      <w:tr>
        <w:trPr>
          <w:cantSplit/>
        </w:trPr>
        <w:tc>
          <w:tcPr>
            <w:tcW w:type="dxa" w:w="2232"/>
            <w:vAlign w:val="center"/>
            <w:tcMar>
              <w:top w:w="55" w:type="dxa"/>
              <w:bottom w:w="55" w:type="dxa"/>
              <w:start w:w="65" w:type="dxa"/>
              <w:end w:w="65" w:type="dxa"/>
            </w:tcMar>
            <w:shd w:fill="EDF4FA"/>
          </w:tcPr>
          <w:p>
            <w:pPr>
              <w:pStyle w:val="TableText"/>
            </w:pPr>
            <w:r/>
            <w:r>
              <w:rPr>
                <w:b w:val="0"/>
              </w:rPr>
              <w:t>BP + PRES</w:t>
            </w:r>
          </w:p>
        </w:tc>
        <w:tc>
          <w:tcPr>
            <w:tcW w:type="dxa" w:w="4680"/>
            <w:vAlign w:val="center"/>
            <w:tcMar>
              <w:top w:w="55" w:type="dxa"/>
              <w:bottom w:w="55" w:type="dxa"/>
              <w:start w:w="65" w:type="dxa"/>
              <w:end w:w="65" w:type="dxa"/>
            </w:tcMar>
            <w:shd w:fill="EDF4FA"/>
          </w:tcPr>
          <w:p>
            <w:pPr>
              <w:pStyle w:val="TableText"/>
            </w:pPr>
            <w:r/>
            <w:r>
              <w:rPr>
                <w:b w:val="0"/>
              </w:rPr>
              <w:t>Maternal disease plus delivery-position issue.</w:t>
            </w:r>
          </w:p>
        </w:tc>
        <w:tc>
          <w:tcPr>
            <w:tcW w:type="dxa" w:w="4608"/>
            <w:vAlign w:val="center"/>
            <w:tcMar>
              <w:top w:w="55" w:type="dxa"/>
              <w:bottom w:w="55" w:type="dxa"/>
              <w:start w:w="65" w:type="dxa"/>
              <w:end w:w="65" w:type="dxa"/>
            </w:tcMar>
            <w:shd w:fill="EDF4FA"/>
          </w:tcPr>
          <w:p>
            <w:pPr>
              <w:pStyle w:val="TableText"/>
            </w:pPr>
            <w:r/>
            <w:r>
              <w:rPr>
                <w:b w:val="0"/>
              </w:rPr>
              <w:t>HIGH; hospital plan; no delivery-mode decision.</w:t>
            </w:r>
          </w:p>
        </w:tc>
      </w:tr>
      <w:tr>
        <w:trPr>
          <w:cantSplit/>
        </w:trPr>
        <w:tc>
          <w:tcPr>
            <w:tcW w:type="dxa" w:w="2232"/>
            <w:vAlign w:val="center"/>
            <w:tcMar>
              <w:top w:w="55" w:type="dxa"/>
              <w:bottom w:w="55" w:type="dxa"/>
              <w:start w:w="65" w:type="dxa"/>
              <w:end w:w="65" w:type="dxa"/>
            </w:tcMar>
          </w:tcPr>
          <w:p>
            <w:pPr>
              <w:pStyle w:val="TableText"/>
            </w:pPr>
            <w:r/>
            <w:r>
              <w:rPr>
                <w:b w:val="0"/>
              </w:rPr>
              <w:t>BP + AF</w:t>
            </w:r>
          </w:p>
        </w:tc>
        <w:tc>
          <w:tcPr>
            <w:tcW w:type="dxa" w:w="4680"/>
            <w:vAlign w:val="center"/>
            <w:tcMar>
              <w:top w:w="55" w:type="dxa"/>
              <w:bottom w:w="55" w:type="dxa"/>
              <w:start w:w="65" w:type="dxa"/>
              <w:end w:w="65" w:type="dxa"/>
            </w:tcMar>
          </w:tcPr>
          <w:p>
            <w:pPr>
              <w:pStyle w:val="TableText"/>
            </w:pPr>
            <w:r/>
            <w:r>
              <w:rPr>
                <w:b w:val="0"/>
              </w:rPr>
              <w:t>Possible placental/fetal concern requiring verification.</w:t>
            </w:r>
          </w:p>
        </w:tc>
        <w:tc>
          <w:tcPr>
            <w:tcW w:type="dxa" w:w="4608"/>
            <w:vAlign w:val="center"/>
            <w:tcMar>
              <w:top w:w="55" w:type="dxa"/>
              <w:bottom w:w="55" w:type="dxa"/>
              <w:start w:w="65" w:type="dxa"/>
              <w:end w:w="65" w:type="dxa"/>
            </w:tcMar>
          </w:tcPr>
          <w:p>
            <w:pPr>
              <w:pStyle w:val="TableText"/>
            </w:pPr>
            <w:r/>
            <w:r>
              <w:rPr>
                <w:b w:val="0"/>
              </w:rPr>
              <w:t>HIGH; review measurement, growth, Doppler/report, and symptoms.</w:t>
            </w:r>
          </w:p>
        </w:tc>
      </w:tr>
      <w:tr>
        <w:trPr>
          <w:cantSplit/>
        </w:trPr>
        <w:tc>
          <w:tcPr>
            <w:tcW w:type="dxa" w:w="2232"/>
            <w:vAlign w:val="center"/>
            <w:tcMar>
              <w:top w:w="55" w:type="dxa"/>
              <w:bottom w:w="55" w:type="dxa"/>
              <w:start w:w="65" w:type="dxa"/>
              <w:end w:w="65" w:type="dxa"/>
            </w:tcMar>
            <w:shd w:fill="EDF4FA"/>
          </w:tcPr>
          <w:p>
            <w:pPr>
              <w:pStyle w:val="TableText"/>
            </w:pPr>
            <w:r/>
            <w:r>
              <w:rPr>
                <w:b w:val="0"/>
              </w:rPr>
              <w:t>BP + FH</w:t>
            </w:r>
          </w:p>
        </w:tc>
        <w:tc>
          <w:tcPr>
            <w:tcW w:type="dxa" w:w="4680"/>
            <w:vAlign w:val="center"/>
            <w:tcMar>
              <w:top w:w="55" w:type="dxa"/>
              <w:bottom w:w="55" w:type="dxa"/>
              <w:start w:w="65" w:type="dxa"/>
              <w:end w:w="65" w:type="dxa"/>
            </w:tcMar>
            <w:shd w:fill="EDF4FA"/>
          </w:tcPr>
          <w:p>
            <w:pPr>
              <w:pStyle w:val="TableText"/>
            </w:pPr>
            <w:r/>
            <w:r>
              <w:rPr>
                <w:b w:val="0"/>
              </w:rPr>
              <w:t>Maternal and fetal warning combination.</w:t>
            </w:r>
          </w:p>
        </w:tc>
        <w:tc>
          <w:tcPr>
            <w:tcW w:type="dxa" w:w="4608"/>
            <w:vAlign w:val="center"/>
            <w:tcMar>
              <w:top w:w="55" w:type="dxa"/>
              <w:bottom w:w="55" w:type="dxa"/>
              <w:start w:w="65" w:type="dxa"/>
              <w:end w:w="65" w:type="dxa"/>
            </w:tcMar>
            <w:shd w:fill="EDF4FA"/>
          </w:tcPr>
          <w:p>
            <w:pPr>
              <w:pStyle w:val="TableText"/>
            </w:pPr>
            <w:r/>
            <w:r>
              <w:rPr>
                <w:b w:val="0"/>
              </w:rPr>
              <w:t>HIGH; urgent based on BP severity and cardiac report.</w:t>
            </w:r>
          </w:p>
        </w:tc>
      </w:tr>
      <w:tr>
        <w:trPr>
          <w:cantSplit/>
        </w:trPr>
        <w:tc>
          <w:tcPr>
            <w:tcW w:type="dxa" w:w="2232"/>
            <w:vAlign w:val="center"/>
            <w:tcMar>
              <w:top w:w="55" w:type="dxa"/>
              <w:bottom w:w="55" w:type="dxa"/>
              <w:start w:w="65" w:type="dxa"/>
              <w:end w:w="65" w:type="dxa"/>
            </w:tcMar>
          </w:tcPr>
          <w:p>
            <w:pPr>
              <w:pStyle w:val="TableText"/>
            </w:pPr>
            <w:r/>
            <w:r>
              <w:rPr>
                <w:b w:val="0"/>
              </w:rPr>
              <w:t>DM + AN</w:t>
            </w:r>
          </w:p>
        </w:tc>
        <w:tc>
          <w:tcPr>
            <w:tcW w:type="dxa" w:w="4680"/>
            <w:vAlign w:val="center"/>
            <w:tcMar>
              <w:top w:w="55" w:type="dxa"/>
              <w:bottom w:w="55" w:type="dxa"/>
              <w:start w:w="65" w:type="dxa"/>
              <w:end w:w="65" w:type="dxa"/>
            </w:tcMar>
          </w:tcPr>
          <w:p>
            <w:pPr>
              <w:pStyle w:val="TableText"/>
            </w:pPr>
            <w:r/>
            <w:r>
              <w:rPr>
                <w:b w:val="0"/>
              </w:rPr>
              <w:t>Coexisting medical conditions may complicate treatment and pregnancy planning.</w:t>
            </w:r>
          </w:p>
        </w:tc>
        <w:tc>
          <w:tcPr>
            <w:tcW w:type="dxa" w:w="4608"/>
            <w:vAlign w:val="center"/>
            <w:tcMar>
              <w:top w:w="55" w:type="dxa"/>
              <w:bottom w:w="55" w:type="dxa"/>
              <w:start w:w="65" w:type="dxa"/>
              <w:end w:w="65" w:type="dxa"/>
            </w:tcMar>
          </w:tcPr>
          <w:p>
            <w:pPr>
              <w:pStyle w:val="TableText"/>
            </w:pPr>
            <w:r/>
            <w:r>
              <w:rPr>
                <w:b w:val="0"/>
              </w:rPr>
              <w:t>HIGH; coordinated care; no causal claim.</w:t>
            </w:r>
          </w:p>
        </w:tc>
      </w:tr>
      <w:tr>
        <w:trPr>
          <w:cantSplit/>
        </w:trPr>
        <w:tc>
          <w:tcPr>
            <w:tcW w:type="dxa" w:w="2232"/>
            <w:vAlign w:val="center"/>
            <w:tcMar>
              <w:top w:w="55" w:type="dxa"/>
              <w:bottom w:w="55" w:type="dxa"/>
              <w:start w:w="65" w:type="dxa"/>
              <w:end w:w="65" w:type="dxa"/>
            </w:tcMar>
            <w:shd w:fill="EDF4FA"/>
          </w:tcPr>
          <w:p>
            <w:pPr>
              <w:pStyle w:val="TableText"/>
            </w:pPr>
            <w:r/>
            <w:r>
              <w:rPr>
                <w:b w:val="0"/>
              </w:rPr>
              <w:t>DM + CS</w:t>
            </w:r>
          </w:p>
        </w:tc>
        <w:tc>
          <w:tcPr>
            <w:tcW w:type="dxa" w:w="4680"/>
            <w:vAlign w:val="center"/>
            <w:tcMar>
              <w:top w:w="55" w:type="dxa"/>
              <w:bottom w:w="55" w:type="dxa"/>
              <w:start w:w="65" w:type="dxa"/>
              <w:end w:w="65" w:type="dxa"/>
            </w:tcMar>
            <w:shd w:fill="EDF4FA"/>
          </w:tcPr>
          <w:p>
            <w:pPr>
              <w:pStyle w:val="TableText"/>
            </w:pPr>
            <w:r/>
            <w:r>
              <w:rPr>
                <w:b w:val="0"/>
              </w:rPr>
              <w:t>Diabetes and uterine scar both affect birth planning and perioperative care.</w:t>
            </w:r>
          </w:p>
        </w:tc>
        <w:tc>
          <w:tcPr>
            <w:tcW w:type="dxa" w:w="4608"/>
            <w:vAlign w:val="center"/>
            <w:tcMar>
              <w:top w:w="55" w:type="dxa"/>
              <w:bottom w:w="55" w:type="dxa"/>
              <w:start w:w="65" w:type="dxa"/>
              <w:end w:w="65" w:type="dxa"/>
            </w:tcMar>
            <w:shd w:fill="EDF4FA"/>
          </w:tcPr>
          <w:p>
            <w:pPr>
              <w:pStyle w:val="TableText"/>
            </w:pPr>
            <w:r/>
            <w:r>
              <w:rPr>
                <w:b w:val="0"/>
              </w:rPr>
              <w:t>HIGH; hospital plan and diabetes management review.</w:t>
            </w:r>
          </w:p>
        </w:tc>
      </w:tr>
      <w:tr>
        <w:trPr>
          <w:cantSplit/>
        </w:trPr>
        <w:tc>
          <w:tcPr>
            <w:tcW w:type="dxa" w:w="2232"/>
            <w:vAlign w:val="center"/>
            <w:tcMar>
              <w:top w:w="55" w:type="dxa"/>
              <w:bottom w:w="55" w:type="dxa"/>
              <w:start w:w="65" w:type="dxa"/>
              <w:end w:w="65" w:type="dxa"/>
            </w:tcMar>
          </w:tcPr>
          <w:p>
            <w:pPr>
              <w:pStyle w:val="TableText"/>
            </w:pPr>
            <w:r/>
            <w:r>
              <w:rPr>
                <w:b w:val="0"/>
              </w:rPr>
              <w:t>DM + RM</w:t>
            </w:r>
          </w:p>
        </w:tc>
        <w:tc>
          <w:tcPr>
            <w:tcW w:type="dxa" w:w="4680"/>
            <w:vAlign w:val="center"/>
            <w:tcMar>
              <w:top w:w="55" w:type="dxa"/>
              <w:bottom w:w="55" w:type="dxa"/>
              <w:start w:w="65" w:type="dxa"/>
              <w:end w:w="65" w:type="dxa"/>
            </w:tcMar>
          </w:tcPr>
          <w:p>
            <w:pPr>
              <w:pStyle w:val="TableText"/>
            </w:pPr>
            <w:r/>
            <w:r>
              <w:rPr>
                <w:b w:val="0"/>
              </w:rPr>
              <w:t>Both require specialist care; cause of prior loss remains unproven.</w:t>
            </w:r>
          </w:p>
        </w:tc>
        <w:tc>
          <w:tcPr>
            <w:tcW w:type="dxa" w:w="4608"/>
            <w:vAlign w:val="center"/>
            <w:tcMar>
              <w:top w:w="55" w:type="dxa"/>
              <w:bottom w:w="55" w:type="dxa"/>
              <w:start w:w="65" w:type="dxa"/>
              <w:end w:w="65" w:type="dxa"/>
            </w:tcMar>
          </w:tcPr>
          <w:p>
            <w:pPr>
              <w:pStyle w:val="TableText"/>
            </w:pPr>
            <w:r/>
            <w:r>
              <w:rPr>
                <w:b w:val="0"/>
              </w:rPr>
              <w:t>HIGH; preserve separate reasons.</w:t>
            </w:r>
          </w:p>
        </w:tc>
      </w:tr>
      <w:tr>
        <w:trPr>
          <w:cantSplit/>
        </w:trPr>
        <w:tc>
          <w:tcPr>
            <w:tcW w:type="dxa" w:w="2232"/>
            <w:vAlign w:val="center"/>
            <w:tcMar>
              <w:top w:w="55" w:type="dxa"/>
              <w:bottom w:w="55" w:type="dxa"/>
              <w:start w:w="65" w:type="dxa"/>
              <w:end w:w="65" w:type="dxa"/>
            </w:tcMar>
            <w:shd w:fill="EDF4FA"/>
          </w:tcPr>
          <w:p>
            <w:pPr>
              <w:pStyle w:val="TableText"/>
            </w:pPr>
            <w:r/>
            <w:r>
              <w:rPr>
                <w:b w:val="0"/>
              </w:rPr>
              <w:t>DM + PRES</w:t>
            </w:r>
          </w:p>
        </w:tc>
        <w:tc>
          <w:tcPr>
            <w:tcW w:type="dxa" w:w="4680"/>
            <w:vAlign w:val="center"/>
            <w:tcMar>
              <w:top w:w="55" w:type="dxa"/>
              <w:bottom w:w="55" w:type="dxa"/>
              <w:start w:w="65" w:type="dxa"/>
              <w:end w:w="65" w:type="dxa"/>
            </w:tcMar>
            <w:shd w:fill="EDF4FA"/>
          </w:tcPr>
          <w:p>
            <w:pPr>
              <w:pStyle w:val="TableText"/>
            </w:pPr>
            <w:r/>
            <w:r>
              <w:rPr>
                <w:b w:val="0"/>
              </w:rPr>
              <w:t>Growth and presentation considerations may affect place/mode planning.</w:t>
            </w:r>
          </w:p>
        </w:tc>
        <w:tc>
          <w:tcPr>
            <w:tcW w:type="dxa" w:w="4608"/>
            <w:vAlign w:val="center"/>
            <w:tcMar>
              <w:top w:w="55" w:type="dxa"/>
              <w:bottom w:w="55" w:type="dxa"/>
              <w:start w:w="65" w:type="dxa"/>
              <w:end w:w="65" w:type="dxa"/>
            </w:tcMar>
            <w:shd w:fill="EDF4FA"/>
          </w:tcPr>
          <w:p>
            <w:pPr>
              <w:pStyle w:val="TableText"/>
            </w:pPr>
            <w:r/>
            <w:r>
              <w:rPr>
                <w:b w:val="0"/>
              </w:rPr>
              <w:t>HIGH; no automatic cesarean.</w:t>
            </w:r>
          </w:p>
        </w:tc>
      </w:tr>
      <w:tr>
        <w:trPr>
          <w:cantSplit/>
        </w:trPr>
        <w:tc>
          <w:tcPr>
            <w:tcW w:type="dxa" w:w="2232"/>
            <w:vAlign w:val="center"/>
            <w:tcMar>
              <w:top w:w="55" w:type="dxa"/>
              <w:bottom w:w="55" w:type="dxa"/>
              <w:start w:w="65" w:type="dxa"/>
              <w:end w:w="65" w:type="dxa"/>
            </w:tcMar>
          </w:tcPr>
          <w:p>
            <w:pPr>
              <w:pStyle w:val="TableText"/>
            </w:pPr>
            <w:r/>
            <w:r>
              <w:rPr>
                <w:b w:val="0"/>
              </w:rPr>
              <w:t>DM + AF</w:t>
            </w:r>
          </w:p>
        </w:tc>
        <w:tc>
          <w:tcPr>
            <w:tcW w:type="dxa" w:w="4680"/>
            <w:vAlign w:val="center"/>
            <w:tcMar>
              <w:top w:w="55" w:type="dxa"/>
              <w:bottom w:w="55" w:type="dxa"/>
              <w:start w:w="65" w:type="dxa"/>
              <w:end w:w="65" w:type="dxa"/>
            </w:tcMar>
          </w:tcPr>
          <w:p>
            <w:pPr>
              <w:pStyle w:val="TableText"/>
            </w:pPr>
            <w:r/>
            <w:r>
              <w:rPr>
                <w:b w:val="0"/>
              </w:rPr>
              <w:t>Fluid abnormality may be associated with diabetes but needs measurement and differential diagnosis.</w:t>
            </w:r>
          </w:p>
        </w:tc>
        <w:tc>
          <w:tcPr>
            <w:tcW w:type="dxa" w:w="4608"/>
            <w:vAlign w:val="center"/>
            <w:tcMar>
              <w:top w:w="55" w:type="dxa"/>
              <w:bottom w:w="55" w:type="dxa"/>
              <w:start w:w="65" w:type="dxa"/>
              <w:end w:w="65" w:type="dxa"/>
            </w:tcMar>
          </w:tcPr>
          <w:p>
            <w:pPr>
              <w:pStyle w:val="TableText"/>
            </w:pPr>
            <w:r/>
            <w:r>
              <w:rPr>
                <w:b w:val="0"/>
              </w:rPr>
              <w:t>HIGH; interaction-specific explanation.</w:t>
            </w:r>
          </w:p>
        </w:tc>
      </w:tr>
      <w:tr>
        <w:trPr>
          <w:cantSplit/>
        </w:trPr>
        <w:tc>
          <w:tcPr>
            <w:tcW w:type="dxa" w:w="2232"/>
            <w:vAlign w:val="center"/>
            <w:tcMar>
              <w:top w:w="55" w:type="dxa"/>
              <w:bottom w:w="55" w:type="dxa"/>
              <w:start w:w="65" w:type="dxa"/>
              <w:end w:w="65" w:type="dxa"/>
            </w:tcMar>
            <w:shd w:fill="EDF4FA"/>
          </w:tcPr>
          <w:p>
            <w:pPr>
              <w:pStyle w:val="TableText"/>
            </w:pPr>
            <w:r/>
            <w:r>
              <w:rPr>
                <w:b w:val="0"/>
              </w:rPr>
              <w:t>DM + FH</w:t>
            </w:r>
          </w:p>
        </w:tc>
        <w:tc>
          <w:tcPr>
            <w:tcW w:type="dxa" w:w="4680"/>
            <w:vAlign w:val="center"/>
            <w:tcMar>
              <w:top w:w="55" w:type="dxa"/>
              <w:bottom w:w="55" w:type="dxa"/>
              <w:start w:w="65" w:type="dxa"/>
              <w:end w:w="65" w:type="dxa"/>
            </w:tcMar>
            <w:shd w:fill="EDF4FA"/>
          </w:tcPr>
          <w:p>
            <w:pPr>
              <w:pStyle w:val="TableText"/>
            </w:pPr>
            <w:r/>
            <w:r>
              <w:rPr>
                <w:b w:val="0"/>
              </w:rPr>
              <w:t>Fetal cardiac warning takes urgency precedence.</w:t>
            </w:r>
          </w:p>
        </w:tc>
        <w:tc>
          <w:tcPr>
            <w:tcW w:type="dxa" w:w="4608"/>
            <w:vAlign w:val="center"/>
            <w:tcMar>
              <w:top w:w="55" w:type="dxa"/>
              <w:bottom w:w="55" w:type="dxa"/>
              <w:start w:w="65" w:type="dxa"/>
              <w:end w:w="65" w:type="dxa"/>
            </w:tcMar>
            <w:shd w:fill="EDF4FA"/>
          </w:tcPr>
          <w:p>
            <w:pPr>
              <w:pStyle w:val="TableText"/>
            </w:pPr>
            <w:r/>
            <w:r>
              <w:rPr>
                <w:b w:val="0"/>
              </w:rPr>
              <w:t>HIGH; prompt/urgent qualified review.</w:t>
            </w:r>
          </w:p>
        </w:tc>
      </w:tr>
      <w:tr>
        <w:trPr>
          <w:cantSplit/>
        </w:trPr>
        <w:tc>
          <w:tcPr>
            <w:tcW w:type="dxa" w:w="2232"/>
            <w:vAlign w:val="center"/>
            <w:tcMar>
              <w:top w:w="55" w:type="dxa"/>
              <w:bottom w:w="55" w:type="dxa"/>
              <w:start w:w="65" w:type="dxa"/>
              <w:end w:w="65" w:type="dxa"/>
            </w:tcMar>
          </w:tcPr>
          <w:p>
            <w:pPr>
              <w:pStyle w:val="TableText"/>
            </w:pPr>
            <w:r/>
            <w:r>
              <w:rPr>
                <w:b w:val="0"/>
              </w:rPr>
              <w:t>AN + CS</w:t>
            </w:r>
          </w:p>
        </w:tc>
        <w:tc>
          <w:tcPr>
            <w:tcW w:type="dxa" w:w="4680"/>
            <w:vAlign w:val="center"/>
            <w:tcMar>
              <w:top w:w="55" w:type="dxa"/>
              <w:bottom w:w="55" w:type="dxa"/>
              <w:start w:w="65" w:type="dxa"/>
              <w:end w:w="65" w:type="dxa"/>
            </w:tcMar>
          </w:tcPr>
          <w:p>
            <w:pPr>
              <w:pStyle w:val="TableText"/>
            </w:pPr>
            <w:r/>
            <w:r>
              <w:rPr>
                <w:b w:val="0"/>
              </w:rPr>
              <w:t>Reduced hematologic reserve plus possible operative birth.</w:t>
            </w:r>
          </w:p>
        </w:tc>
        <w:tc>
          <w:tcPr>
            <w:tcW w:type="dxa" w:w="4608"/>
            <w:vAlign w:val="center"/>
            <w:tcMar>
              <w:top w:w="55" w:type="dxa"/>
              <w:bottom w:w="55" w:type="dxa"/>
              <w:start w:w="65" w:type="dxa"/>
              <w:end w:w="65" w:type="dxa"/>
            </w:tcMar>
          </w:tcPr>
          <w:p>
            <w:pPr>
              <w:pStyle w:val="TableText"/>
            </w:pPr>
            <w:r/>
            <w:r>
              <w:rPr>
                <w:b w:val="0"/>
              </w:rPr>
              <w:t>HIGH; anemia optimization and hospital capability.</w:t>
            </w:r>
          </w:p>
        </w:tc>
      </w:tr>
      <w:tr>
        <w:trPr>
          <w:cantSplit/>
        </w:trPr>
        <w:tc>
          <w:tcPr>
            <w:tcW w:type="dxa" w:w="2232"/>
            <w:vAlign w:val="center"/>
            <w:tcMar>
              <w:top w:w="55" w:type="dxa"/>
              <w:bottom w:w="55" w:type="dxa"/>
              <w:start w:w="65" w:type="dxa"/>
              <w:end w:w="65" w:type="dxa"/>
            </w:tcMar>
            <w:shd w:fill="EDF4FA"/>
          </w:tcPr>
          <w:p>
            <w:pPr>
              <w:pStyle w:val="TableText"/>
            </w:pPr>
            <w:r/>
            <w:r>
              <w:rPr>
                <w:b w:val="0"/>
              </w:rPr>
              <w:t>AN + RM</w:t>
            </w:r>
          </w:p>
        </w:tc>
        <w:tc>
          <w:tcPr>
            <w:tcW w:type="dxa" w:w="4680"/>
            <w:vAlign w:val="center"/>
            <w:tcMar>
              <w:top w:w="55" w:type="dxa"/>
              <w:bottom w:w="55" w:type="dxa"/>
              <w:start w:w="65" w:type="dxa"/>
              <w:end w:w="65" w:type="dxa"/>
            </w:tcMar>
            <w:shd w:fill="EDF4FA"/>
          </w:tcPr>
          <w:p>
            <w:pPr>
              <w:pStyle w:val="TableText"/>
            </w:pPr>
            <w:r/>
            <w:r>
              <w:rPr>
                <w:b w:val="0"/>
              </w:rPr>
              <w:t>May be unrelated; both require history and medical review.</w:t>
            </w:r>
          </w:p>
        </w:tc>
        <w:tc>
          <w:tcPr>
            <w:tcW w:type="dxa" w:w="4608"/>
            <w:vAlign w:val="center"/>
            <w:tcMar>
              <w:top w:w="55" w:type="dxa"/>
              <w:bottom w:w="55" w:type="dxa"/>
              <w:start w:w="65" w:type="dxa"/>
              <w:end w:w="65" w:type="dxa"/>
            </w:tcMar>
            <w:shd w:fill="EDF4FA"/>
          </w:tcPr>
          <w:p>
            <w:pPr>
              <w:pStyle w:val="TableText"/>
            </w:pPr>
            <w:r/>
            <w:r>
              <w:rPr>
                <w:b w:val="0"/>
              </w:rPr>
              <w:t>HIGH; avoid causal wording.</w:t>
            </w:r>
          </w:p>
        </w:tc>
      </w:tr>
      <w:tr>
        <w:trPr>
          <w:cantSplit/>
        </w:trPr>
        <w:tc>
          <w:tcPr>
            <w:tcW w:type="dxa" w:w="2232"/>
            <w:vAlign w:val="center"/>
            <w:tcMar>
              <w:top w:w="55" w:type="dxa"/>
              <w:bottom w:w="55" w:type="dxa"/>
              <w:start w:w="65" w:type="dxa"/>
              <w:end w:w="65" w:type="dxa"/>
            </w:tcMar>
          </w:tcPr>
          <w:p>
            <w:pPr>
              <w:pStyle w:val="TableText"/>
            </w:pPr>
            <w:r/>
            <w:r>
              <w:rPr>
                <w:b w:val="0"/>
              </w:rPr>
              <w:t>AN + PRES</w:t>
            </w:r>
          </w:p>
        </w:tc>
        <w:tc>
          <w:tcPr>
            <w:tcW w:type="dxa" w:w="4680"/>
            <w:vAlign w:val="center"/>
            <w:tcMar>
              <w:top w:w="55" w:type="dxa"/>
              <w:bottom w:w="55" w:type="dxa"/>
              <w:start w:w="65" w:type="dxa"/>
              <w:end w:w="65" w:type="dxa"/>
            </w:tcMar>
          </w:tcPr>
          <w:p>
            <w:pPr>
              <w:pStyle w:val="TableText"/>
            </w:pPr>
            <w:r/>
            <w:r>
              <w:rPr>
                <w:b w:val="0"/>
              </w:rPr>
              <w:t>Potential operative delivery plus anemia.</w:t>
            </w:r>
          </w:p>
        </w:tc>
        <w:tc>
          <w:tcPr>
            <w:tcW w:type="dxa" w:w="4608"/>
            <w:vAlign w:val="center"/>
            <w:tcMar>
              <w:top w:w="55" w:type="dxa"/>
              <w:bottom w:w="55" w:type="dxa"/>
              <w:start w:w="65" w:type="dxa"/>
              <w:end w:w="65" w:type="dxa"/>
            </w:tcMar>
          </w:tcPr>
          <w:p>
            <w:pPr>
              <w:pStyle w:val="TableText"/>
            </w:pPr>
            <w:r/>
            <w:r>
              <w:rPr>
                <w:b w:val="0"/>
              </w:rPr>
              <w:t>HIGH; birth-facility and anemia plan.</w:t>
            </w:r>
          </w:p>
        </w:tc>
      </w:tr>
      <w:tr>
        <w:trPr>
          <w:cantSplit/>
        </w:trPr>
        <w:tc>
          <w:tcPr>
            <w:tcW w:type="dxa" w:w="2232"/>
            <w:vAlign w:val="center"/>
            <w:tcMar>
              <w:top w:w="55" w:type="dxa"/>
              <w:bottom w:w="55" w:type="dxa"/>
              <w:start w:w="65" w:type="dxa"/>
              <w:end w:w="65" w:type="dxa"/>
            </w:tcMar>
            <w:shd w:fill="EDF4FA"/>
          </w:tcPr>
          <w:p>
            <w:pPr>
              <w:pStyle w:val="TableText"/>
            </w:pPr>
            <w:r/>
            <w:r>
              <w:rPr>
                <w:b w:val="0"/>
              </w:rPr>
              <w:t>AN + AF</w:t>
            </w:r>
          </w:p>
        </w:tc>
        <w:tc>
          <w:tcPr>
            <w:tcW w:type="dxa" w:w="4680"/>
            <w:vAlign w:val="center"/>
            <w:tcMar>
              <w:top w:w="55" w:type="dxa"/>
              <w:bottom w:w="55" w:type="dxa"/>
              <w:start w:w="65" w:type="dxa"/>
              <w:end w:w="65" w:type="dxa"/>
            </w:tcMar>
            <w:shd w:fill="EDF4FA"/>
          </w:tcPr>
          <w:p>
            <w:pPr>
              <w:pStyle w:val="TableText"/>
            </w:pPr>
            <w:r/>
            <w:r>
              <w:rPr>
                <w:b w:val="0"/>
              </w:rPr>
              <w:t>Separate maternal and ultrasound reasons.</w:t>
            </w:r>
          </w:p>
        </w:tc>
        <w:tc>
          <w:tcPr>
            <w:tcW w:type="dxa" w:w="4608"/>
            <w:vAlign w:val="center"/>
            <w:tcMar>
              <w:top w:w="55" w:type="dxa"/>
              <w:bottom w:w="55" w:type="dxa"/>
              <w:start w:w="65" w:type="dxa"/>
              <w:end w:w="65" w:type="dxa"/>
            </w:tcMar>
            <w:shd w:fill="EDF4FA"/>
          </w:tcPr>
          <w:p>
            <w:pPr>
              <w:pStyle w:val="TableText"/>
            </w:pPr>
            <w:r/>
            <w:r>
              <w:rPr>
                <w:b w:val="0"/>
              </w:rPr>
              <w:t>HIGH; no unsupported mechanism.</w:t>
            </w:r>
          </w:p>
        </w:tc>
      </w:tr>
      <w:tr>
        <w:trPr>
          <w:cantSplit/>
        </w:trPr>
        <w:tc>
          <w:tcPr>
            <w:tcW w:type="dxa" w:w="2232"/>
            <w:vAlign w:val="center"/>
            <w:tcMar>
              <w:top w:w="55" w:type="dxa"/>
              <w:bottom w:w="55" w:type="dxa"/>
              <w:start w:w="65" w:type="dxa"/>
              <w:end w:w="65" w:type="dxa"/>
            </w:tcMar>
          </w:tcPr>
          <w:p>
            <w:pPr>
              <w:pStyle w:val="TableText"/>
            </w:pPr>
            <w:r/>
            <w:r>
              <w:rPr>
                <w:b w:val="0"/>
              </w:rPr>
              <w:t>AN + FH</w:t>
            </w:r>
          </w:p>
        </w:tc>
        <w:tc>
          <w:tcPr>
            <w:tcW w:type="dxa" w:w="4680"/>
            <w:vAlign w:val="center"/>
            <w:tcMar>
              <w:top w:w="55" w:type="dxa"/>
              <w:bottom w:w="55" w:type="dxa"/>
              <w:start w:w="65" w:type="dxa"/>
              <w:end w:w="65" w:type="dxa"/>
            </w:tcMar>
          </w:tcPr>
          <w:p>
            <w:pPr>
              <w:pStyle w:val="TableText"/>
            </w:pPr>
            <w:r/>
            <w:r>
              <w:rPr>
                <w:b w:val="0"/>
              </w:rPr>
              <w:t>Fetal warning determines urgency; anemia remains relevant to maternal care.</w:t>
            </w:r>
          </w:p>
        </w:tc>
        <w:tc>
          <w:tcPr>
            <w:tcW w:type="dxa" w:w="4608"/>
            <w:vAlign w:val="center"/>
            <w:tcMar>
              <w:top w:w="55" w:type="dxa"/>
              <w:bottom w:w="55" w:type="dxa"/>
              <w:start w:w="65" w:type="dxa"/>
              <w:end w:w="65" w:type="dxa"/>
            </w:tcMar>
          </w:tcPr>
          <w:p>
            <w:pPr>
              <w:pStyle w:val="TableText"/>
            </w:pPr>
            <w:r/>
            <w:r>
              <w:rPr>
                <w:b w:val="0"/>
              </w:rPr>
              <w:t>HIGH; merged urgent plan.</w:t>
            </w:r>
          </w:p>
        </w:tc>
      </w:tr>
      <w:tr>
        <w:trPr>
          <w:cantSplit/>
        </w:trPr>
        <w:tc>
          <w:tcPr>
            <w:tcW w:type="dxa" w:w="2232"/>
            <w:vAlign w:val="center"/>
            <w:tcMar>
              <w:top w:w="55" w:type="dxa"/>
              <w:bottom w:w="55" w:type="dxa"/>
              <w:start w:w="65" w:type="dxa"/>
              <w:end w:w="65" w:type="dxa"/>
            </w:tcMar>
            <w:shd w:fill="EDF4FA"/>
          </w:tcPr>
          <w:p>
            <w:pPr>
              <w:pStyle w:val="TableText"/>
            </w:pPr>
            <w:r/>
            <w:r>
              <w:rPr>
                <w:b w:val="0"/>
              </w:rPr>
              <w:t>CS + RM</w:t>
            </w:r>
          </w:p>
        </w:tc>
        <w:tc>
          <w:tcPr>
            <w:tcW w:type="dxa" w:w="4680"/>
            <w:vAlign w:val="center"/>
            <w:tcMar>
              <w:top w:w="55" w:type="dxa"/>
              <w:bottom w:w="55" w:type="dxa"/>
              <w:start w:w="65" w:type="dxa"/>
              <w:end w:w="65" w:type="dxa"/>
            </w:tcMar>
            <w:shd w:fill="EDF4FA"/>
          </w:tcPr>
          <w:p>
            <w:pPr>
              <w:pStyle w:val="TableText"/>
            </w:pPr>
            <w:r/>
            <w:r>
              <w:rPr>
                <w:b w:val="0"/>
              </w:rPr>
              <w:t>Complex obstetric history requiring record review.</w:t>
            </w:r>
          </w:p>
        </w:tc>
        <w:tc>
          <w:tcPr>
            <w:tcW w:type="dxa" w:w="4608"/>
            <w:vAlign w:val="center"/>
            <w:tcMar>
              <w:top w:w="55" w:type="dxa"/>
              <w:bottom w:w="55" w:type="dxa"/>
              <w:start w:w="65" w:type="dxa"/>
              <w:end w:w="65" w:type="dxa"/>
            </w:tcMar>
            <w:shd w:fill="EDF4FA"/>
          </w:tcPr>
          <w:p>
            <w:pPr>
              <w:pStyle w:val="TableText"/>
            </w:pPr>
            <w:r/>
            <w:r>
              <w:rPr>
                <w:b w:val="0"/>
              </w:rPr>
              <w:t>HIGH; hospital and specialist plan.</w:t>
            </w:r>
          </w:p>
        </w:tc>
      </w:tr>
      <w:tr>
        <w:trPr>
          <w:cantSplit/>
        </w:trPr>
        <w:tc>
          <w:tcPr>
            <w:tcW w:type="dxa" w:w="2232"/>
            <w:vAlign w:val="center"/>
            <w:tcMar>
              <w:top w:w="55" w:type="dxa"/>
              <w:bottom w:w="55" w:type="dxa"/>
              <w:start w:w="65" w:type="dxa"/>
              <w:end w:w="65" w:type="dxa"/>
            </w:tcMar>
          </w:tcPr>
          <w:p>
            <w:pPr>
              <w:pStyle w:val="TableText"/>
            </w:pPr>
            <w:r/>
            <w:r>
              <w:rPr>
                <w:b w:val="0"/>
              </w:rPr>
              <w:t>CS + PRES</w:t>
            </w:r>
          </w:p>
        </w:tc>
        <w:tc>
          <w:tcPr>
            <w:tcW w:type="dxa" w:w="4680"/>
            <w:vAlign w:val="center"/>
            <w:tcMar>
              <w:top w:w="55" w:type="dxa"/>
              <w:bottom w:w="55" w:type="dxa"/>
              <w:start w:w="65" w:type="dxa"/>
              <w:end w:w="65" w:type="dxa"/>
            </w:tcMar>
          </w:tcPr>
          <w:p>
            <w:pPr>
              <w:pStyle w:val="TableText"/>
            </w:pPr>
            <w:r/>
            <w:r>
              <w:rPr>
                <w:b w:val="0"/>
              </w:rPr>
              <w:t>Scarred uterus plus non-cephalic presentation.</w:t>
            </w:r>
          </w:p>
        </w:tc>
        <w:tc>
          <w:tcPr>
            <w:tcW w:type="dxa" w:w="4608"/>
            <w:vAlign w:val="center"/>
            <w:tcMar>
              <w:top w:w="55" w:type="dxa"/>
              <w:bottom w:w="55" w:type="dxa"/>
              <w:start w:w="65" w:type="dxa"/>
              <w:end w:w="65" w:type="dxa"/>
            </w:tcMar>
          </w:tcPr>
          <w:p>
            <w:pPr>
              <w:pStyle w:val="TableText"/>
            </w:pPr>
            <w:r/>
            <w:r>
              <w:rPr>
                <w:b w:val="0"/>
              </w:rPr>
              <w:t>HIGH; hospital birth planning.</w:t>
            </w:r>
          </w:p>
        </w:tc>
      </w:tr>
      <w:tr>
        <w:trPr>
          <w:cantSplit/>
        </w:trPr>
        <w:tc>
          <w:tcPr>
            <w:tcW w:type="dxa" w:w="2232"/>
            <w:vAlign w:val="center"/>
            <w:tcMar>
              <w:top w:w="55" w:type="dxa"/>
              <w:bottom w:w="55" w:type="dxa"/>
              <w:start w:w="65" w:type="dxa"/>
              <w:end w:w="65" w:type="dxa"/>
            </w:tcMar>
            <w:shd w:fill="EDF4FA"/>
          </w:tcPr>
          <w:p>
            <w:pPr>
              <w:pStyle w:val="TableText"/>
            </w:pPr>
            <w:r/>
            <w:r>
              <w:rPr>
                <w:b w:val="0"/>
              </w:rPr>
              <w:t>CS + AF</w:t>
            </w:r>
          </w:p>
        </w:tc>
        <w:tc>
          <w:tcPr>
            <w:tcW w:type="dxa" w:w="4680"/>
            <w:vAlign w:val="center"/>
            <w:tcMar>
              <w:top w:w="55" w:type="dxa"/>
              <w:bottom w:w="55" w:type="dxa"/>
              <w:start w:w="65" w:type="dxa"/>
              <w:end w:w="65" w:type="dxa"/>
            </w:tcMar>
            <w:shd w:fill="EDF4FA"/>
          </w:tcPr>
          <w:p>
            <w:pPr>
              <w:pStyle w:val="TableText"/>
            </w:pPr>
            <w:r/>
            <w:r>
              <w:rPr>
                <w:b w:val="0"/>
              </w:rPr>
              <w:t>May alter monitoring or delivery planning.</w:t>
            </w:r>
          </w:p>
        </w:tc>
        <w:tc>
          <w:tcPr>
            <w:tcW w:type="dxa" w:w="4608"/>
            <w:vAlign w:val="center"/>
            <w:tcMar>
              <w:top w:w="55" w:type="dxa"/>
              <w:bottom w:w="55" w:type="dxa"/>
              <w:start w:w="65" w:type="dxa"/>
              <w:end w:w="65" w:type="dxa"/>
            </w:tcMar>
            <w:shd w:fill="EDF4FA"/>
          </w:tcPr>
          <w:p>
            <w:pPr>
              <w:pStyle w:val="TableText"/>
            </w:pPr>
            <w:r/>
            <w:r>
              <w:rPr>
                <w:b w:val="0"/>
              </w:rPr>
              <w:t>HIGH; verify report and obstetric plan.</w:t>
            </w:r>
          </w:p>
        </w:tc>
      </w:tr>
      <w:tr>
        <w:trPr>
          <w:cantSplit/>
        </w:trPr>
        <w:tc>
          <w:tcPr>
            <w:tcW w:type="dxa" w:w="2232"/>
            <w:vAlign w:val="center"/>
            <w:tcMar>
              <w:top w:w="55" w:type="dxa"/>
              <w:bottom w:w="55" w:type="dxa"/>
              <w:start w:w="65" w:type="dxa"/>
              <w:end w:w="65" w:type="dxa"/>
            </w:tcMar>
          </w:tcPr>
          <w:p>
            <w:pPr>
              <w:pStyle w:val="TableText"/>
            </w:pPr>
            <w:r/>
            <w:r>
              <w:rPr>
                <w:b w:val="0"/>
              </w:rPr>
              <w:t>CS + FH</w:t>
            </w:r>
          </w:p>
        </w:tc>
        <w:tc>
          <w:tcPr>
            <w:tcW w:type="dxa" w:w="4680"/>
            <w:vAlign w:val="center"/>
            <w:tcMar>
              <w:top w:w="55" w:type="dxa"/>
              <w:bottom w:w="55" w:type="dxa"/>
              <w:start w:w="65" w:type="dxa"/>
              <w:end w:w="65" w:type="dxa"/>
            </w:tcMar>
          </w:tcPr>
          <w:p>
            <w:pPr>
              <w:pStyle w:val="TableText"/>
            </w:pPr>
            <w:r/>
            <w:r>
              <w:rPr>
                <w:b w:val="0"/>
              </w:rPr>
              <w:t>Fetal warning in a patient who may require operative capability.</w:t>
            </w:r>
          </w:p>
        </w:tc>
        <w:tc>
          <w:tcPr>
            <w:tcW w:type="dxa" w:w="4608"/>
            <w:vAlign w:val="center"/>
            <w:tcMar>
              <w:top w:w="55" w:type="dxa"/>
              <w:bottom w:w="55" w:type="dxa"/>
              <w:start w:w="65" w:type="dxa"/>
              <w:end w:w="65" w:type="dxa"/>
            </w:tcMar>
          </w:tcPr>
          <w:p>
            <w:pPr>
              <w:pStyle w:val="TableText"/>
            </w:pPr>
            <w:r/>
            <w:r>
              <w:rPr>
                <w:b w:val="0"/>
              </w:rPr>
              <w:t>HIGH; urgent hospital assessment as indicated.</w:t>
            </w:r>
          </w:p>
        </w:tc>
      </w:tr>
      <w:tr>
        <w:trPr>
          <w:cantSplit/>
        </w:trPr>
        <w:tc>
          <w:tcPr>
            <w:tcW w:type="dxa" w:w="2232"/>
            <w:vAlign w:val="center"/>
            <w:tcMar>
              <w:top w:w="55" w:type="dxa"/>
              <w:bottom w:w="55" w:type="dxa"/>
              <w:start w:w="65" w:type="dxa"/>
              <w:end w:w="65" w:type="dxa"/>
            </w:tcMar>
            <w:shd w:fill="EDF4FA"/>
          </w:tcPr>
          <w:p>
            <w:pPr>
              <w:pStyle w:val="TableText"/>
            </w:pPr>
            <w:r/>
            <w:r>
              <w:rPr>
                <w:b w:val="0"/>
              </w:rPr>
              <w:t>RM + PRES</w:t>
            </w:r>
          </w:p>
        </w:tc>
        <w:tc>
          <w:tcPr>
            <w:tcW w:type="dxa" w:w="4680"/>
            <w:vAlign w:val="center"/>
            <w:tcMar>
              <w:top w:w="55" w:type="dxa"/>
              <w:bottom w:w="55" w:type="dxa"/>
              <w:start w:w="65" w:type="dxa"/>
              <w:end w:w="65" w:type="dxa"/>
            </w:tcMar>
            <w:shd w:fill="EDF4FA"/>
          </w:tcPr>
          <w:p>
            <w:pPr>
              <w:pStyle w:val="TableText"/>
            </w:pPr>
            <w:r/>
            <w:r>
              <w:rPr>
                <w:b w:val="0"/>
              </w:rPr>
              <w:t>Prior loss history plus current delivery-position concern.</w:t>
            </w:r>
          </w:p>
        </w:tc>
        <w:tc>
          <w:tcPr>
            <w:tcW w:type="dxa" w:w="4608"/>
            <w:vAlign w:val="center"/>
            <w:tcMar>
              <w:top w:w="55" w:type="dxa"/>
              <w:bottom w:w="55" w:type="dxa"/>
              <w:start w:w="65" w:type="dxa"/>
              <w:end w:w="65" w:type="dxa"/>
            </w:tcMar>
            <w:shd w:fill="EDF4FA"/>
          </w:tcPr>
          <w:p>
            <w:pPr>
              <w:pStyle w:val="TableText"/>
            </w:pPr>
            <w:r/>
            <w:r>
              <w:rPr>
                <w:b w:val="0"/>
              </w:rPr>
              <w:t>HIGH; separate trauma-informed and birth-planning reasons.</w:t>
            </w:r>
          </w:p>
        </w:tc>
      </w:tr>
      <w:tr>
        <w:trPr>
          <w:cantSplit/>
        </w:trPr>
        <w:tc>
          <w:tcPr>
            <w:tcW w:type="dxa" w:w="2232"/>
            <w:vAlign w:val="center"/>
            <w:tcMar>
              <w:top w:w="55" w:type="dxa"/>
              <w:bottom w:w="55" w:type="dxa"/>
              <w:start w:w="65" w:type="dxa"/>
              <w:end w:w="65" w:type="dxa"/>
            </w:tcMar>
          </w:tcPr>
          <w:p>
            <w:pPr>
              <w:pStyle w:val="TableText"/>
            </w:pPr>
            <w:r/>
            <w:r>
              <w:rPr>
                <w:b w:val="0"/>
              </w:rPr>
              <w:t>RM + AF</w:t>
            </w:r>
          </w:p>
        </w:tc>
        <w:tc>
          <w:tcPr>
            <w:tcW w:type="dxa" w:w="4680"/>
            <w:vAlign w:val="center"/>
            <w:tcMar>
              <w:top w:w="55" w:type="dxa"/>
              <w:bottom w:w="55" w:type="dxa"/>
              <w:start w:w="65" w:type="dxa"/>
              <w:end w:w="65" w:type="dxa"/>
            </w:tcMar>
          </w:tcPr>
          <w:p>
            <w:pPr>
              <w:pStyle w:val="TableText"/>
            </w:pPr>
            <w:r/>
            <w:r>
              <w:rPr>
                <w:b w:val="0"/>
              </w:rPr>
              <w:t>Prior losses do not establish cause of current fluid abnormality.</w:t>
            </w:r>
          </w:p>
        </w:tc>
        <w:tc>
          <w:tcPr>
            <w:tcW w:type="dxa" w:w="4608"/>
            <w:vAlign w:val="center"/>
            <w:tcMar>
              <w:top w:w="55" w:type="dxa"/>
              <w:bottom w:w="55" w:type="dxa"/>
              <w:start w:w="65" w:type="dxa"/>
              <w:end w:w="65" w:type="dxa"/>
            </w:tcMar>
          </w:tcPr>
          <w:p>
            <w:pPr>
              <w:pStyle w:val="TableText"/>
            </w:pPr>
            <w:r/>
            <w:r>
              <w:rPr>
                <w:b w:val="0"/>
              </w:rPr>
              <w:t>HIGH; verify fluid and specialist plan.</w:t>
            </w:r>
          </w:p>
        </w:tc>
      </w:tr>
      <w:tr>
        <w:trPr>
          <w:cantSplit/>
        </w:trPr>
        <w:tc>
          <w:tcPr>
            <w:tcW w:type="dxa" w:w="2232"/>
            <w:vAlign w:val="center"/>
            <w:tcMar>
              <w:top w:w="55" w:type="dxa"/>
              <w:bottom w:w="55" w:type="dxa"/>
              <w:start w:w="65" w:type="dxa"/>
              <w:end w:w="65" w:type="dxa"/>
            </w:tcMar>
            <w:shd w:fill="EDF4FA"/>
          </w:tcPr>
          <w:p>
            <w:pPr>
              <w:pStyle w:val="TableText"/>
            </w:pPr>
            <w:r/>
            <w:r>
              <w:rPr>
                <w:b w:val="0"/>
              </w:rPr>
              <w:t>RM + FH</w:t>
            </w:r>
          </w:p>
        </w:tc>
        <w:tc>
          <w:tcPr>
            <w:tcW w:type="dxa" w:w="4680"/>
            <w:vAlign w:val="center"/>
            <w:tcMar>
              <w:top w:w="55" w:type="dxa"/>
              <w:bottom w:w="55" w:type="dxa"/>
              <w:start w:w="65" w:type="dxa"/>
              <w:end w:w="65" w:type="dxa"/>
            </w:tcMar>
            <w:shd w:fill="EDF4FA"/>
          </w:tcPr>
          <w:p>
            <w:pPr>
              <w:pStyle w:val="TableText"/>
            </w:pPr>
            <w:r/>
            <w:r>
              <w:rPr>
                <w:b w:val="0"/>
              </w:rPr>
              <w:t>Current viability/cardiac concern plus prior losses.</w:t>
            </w:r>
          </w:p>
        </w:tc>
        <w:tc>
          <w:tcPr>
            <w:tcW w:type="dxa" w:w="4608"/>
            <w:vAlign w:val="center"/>
            <w:tcMar>
              <w:top w:w="55" w:type="dxa"/>
              <w:bottom w:w="55" w:type="dxa"/>
              <w:start w:w="65" w:type="dxa"/>
              <w:end w:w="65" w:type="dxa"/>
            </w:tcMar>
            <w:shd w:fill="EDF4FA"/>
          </w:tcPr>
          <w:p>
            <w:pPr>
              <w:pStyle w:val="TableText"/>
            </w:pPr>
            <w:r/>
            <w:r>
              <w:rPr>
                <w:b w:val="0"/>
              </w:rPr>
              <w:t>HIGH; urgent confirmation and trauma-informed communication.</w:t>
            </w:r>
          </w:p>
        </w:tc>
      </w:tr>
      <w:tr>
        <w:trPr>
          <w:cantSplit/>
        </w:trPr>
        <w:tc>
          <w:tcPr>
            <w:tcW w:type="dxa" w:w="2232"/>
            <w:vAlign w:val="center"/>
            <w:tcMar>
              <w:top w:w="55" w:type="dxa"/>
              <w:bottom w:w="55" w:type="dxa"/>
              <w:start w:w="65" w:type="dxa"/>
              <w:end w:w="65" w:type="dxa"/>
            </w:tcMar>
          </w:tcPr>
          <w:p>
            <w:pPr>
              <w:pStyle w:val="TableText"/>
            </w:pPr>
            <w:r/>
            <w:r>
              <w:rPr>
                <w:b w:val="0"/>
              </w:rPr>
              <w:t>PRES + AF</w:t>
            </w:r>
          </w:p>
        </w:tc>
        <w:tc>
          <w:tcPr>
            <w:tcW w:type="dxa" w:w="4680"/>
            <w:vAlign w:val="center"/>
            <w:tcMar>
              <w:top w:w="55" w:type="dxa"/>
              <w:bottom w:w="55" w:type="dxa"/>
              <w:start w:w="65" w:type="dxa"/>
              <w:end w:w="65" w:type="dxa"/>
            </w:tcMar>
          </w:tcPr>
          <w:p>
            <w:pPr>
              <w:pStyle w:val="TableText"/>
            </w:pPr>
            <w:r/>
            <w:r>
              <w:rPr>
                <w:b w:val="0"/>
              </w:rPr>
              <w:t>Two ultrasound findings can change delivery planning and surveillance.</w:t>
            </w:r>
          </w:p>
        </w:tc>
        <w:tc>
          <w:tcPr>
            <w:tcW w:type="dxa" w:w="4608"/>
            <w:vAlign w:val="center"/>
            <w:tcMar>
              <w:top w:w="55" w:type="dxa"/>
              <w:bottom w:w="55" w:type="dxa"/>
              <w:start w:w="65" w:type="dxa"/>
              <w:end w:w="65" w:type="dxa"/>
            </w:tcMar>
          </w:tcPr>
          <w:p>
            <w:pPr>
              <w:pStyle w:val="TableText"/>
            </w:pPr>
            <w:r/>
            <w:r>
              <w:rPr>
                <w:b w:val="0"/>
              </w:rPr>
              <w:t>HIGH; verify gestational age, measurements, and hospital plan.</w:t>
            </w:r>
          </w:p>
        </w:tc>
      </w:tr>
      <w:tr>
        <w:trPr>
          <w:cantSplit/>
        </w:trPr>
        <w:tc>
          <w:tcPr>
            <w:tcW w:type="dxa" w:w="2232"/>
            <w:vAlign w:val="center"/>
            <w:tcMar>
              <w:top w:w="55" w:type="dxa"/>
              <w:bottom w:w="55" w:type="dxa"/>
              <w:start w:w="65" w:type="dxa"/>
              <w:end w:w="65" w:type="dxa"/>
            </w:tcMar>
            <w:shd w:fill="EDF4FA"/>
          </w:tcPr>
          <w:p>
            <w:pPr>
              <w:pStyle w:val="TableText"/>
            </w:pPr>
            <w:r/>
            <w:r>
              <w:rPr>
                <w:b w:val="0"/>
              </w:rPr>
              <w:t>PRES + FH</w:t>
            </w:r>
          </w:p>
        </w:tc>
        <w:tc>
          <w:tcPr>
            <w:tcW w:type="dxa" w:w="4680"/>
            <w:vAlign w:val="center"/>
            <w:tcMar>
              <w:top w:w="55" w:type="dxa"/>
              <w:bottom w:w="55" w:type="dxa"/>
              <w:start w:w="65" w:type="dxa"/>
              <w:end w:w="65" w:type="dxa"/>
            </w:tcMar>
            <w:shd w:fill="EDF4FA"/>
          </w:tcPr>
          <w:p>
            <w:pPr>
              <w:pStyle w:val="TableText"/>
            </w:pPr>
            <w:r/>
            <w:r>
              <w:rPr>
                <w:b w:val="0"/>
              </w:rPr>
              <w:t>Position plus fetal cardiac concern.</w:t>
            </w:r>
          </w:p>
        </w:tc>
        <w:tc>
          <w:tcPr>
            <w:tcW w:type="dxa" w:w="4608"/>
            <w:vAlign w:val="center"/>
            <w:tcMar>
              <w:top w:w="55" w:type="dxa"/>
              <w:bottom w:w="55" w:type="dxa"/>
              <w:start w:w="65" w:type="dxa"/>
              <w:end w:w="65" w:type="dxa"/>
            </w:tcMar>
            <w:shd w:fill="EDF4FA"/>
          </w:tcPr>
          <w:p>
            <w:pPr>
              <w:pStyle w:val="TableText"/>
            </w:pPr>
            <w:r/>
            <w:r>
              <w:rPr>
                <w:b w:val="0"/>
              </w:rPr>
              <w:t>HIGH; cardiac urgency first; no automatic delivery method.</w:t>
            </w:r>
          </w:p>
        </w:tc>
      </w:tr>
      <w:tr>
        <w:trPr>
          <w:cantSplit/>
        </w:trPr>
        <w:tc>
          <w:tcPr>
            <w:tcW w:type="dxa" w:w="2232"/>
            <w:vAlign w:val="center"/>
            <w:tcMar>
              <w:top w:w="55" w:type="dxa"/>
              <w:bottom w:w="55" w:type="dxa"/>
              <w:start w:w="65" w:type="dxa"/>
              <w:end w:w="65" w:type="dxa"/>
            </w:tcMar>
          </w:tcPr>
          <w:p>
            <w:pPr>
              <w:pStyle w:val="TableText"/>
            </w:pPr>
            <w:r/>
            <w:r>
              <w:rPr>
                <w:b w:val="0"/>
              </w:rPr>
              <w:t>AF + FH</w:t>
            </w:r>
          </w:p>
        </w:tc>
        <w:tc>
          <w:tcPr>
            <w:tcW w:type="dxa" w:w="4680"/>
            <w:vAlign w:val="center"/>
            <w:tcMar>
              <w:top w:w="55" w:type="dxa"/>
              <w:bottom w:w="55" w:type="dxa"/>
              <w:start w:w="65" w:type="dxa"/>
              <w:end w:w="65" w:type="dxa"/>
            </w:tcMar>
          </w:tcPr>
          <w:p>
            <w:pPr>
              <w:pStyle w:val="TableText"/>
            </w:pPr>
            <w:r/>
            <w:r>
              <w:rPr>
                <w:b w:val="0"/>
              </w:rPr>
              <w:t>Fluid abnormality plus cardiac warning may indicate fetal compromise but is not diagnostic.</w:t>
            </w:r>
          </w:p>
        </w:tc>
        <w:tc>
          <w:tcPr>
            <w:tcW w:type="dxa" w:w="4608"/>
            <w:vAlign w:val="center"/>
            <w:tcMar>
              <w:top w:w="55" w:type="dxa"/>
              <w:bottom w:w="55" w:type="dxa"/>
              <w:start w:w="65" w:type="dxa"/>
              <w:end w:w="65" w:type="dxa"/>
            </w:tcMar>
          </w:tcPr>
          <w:p>
            <w:pPr>
              <w:pStyle w:val="TableText"/>
            </w:pPr>
            <w:r/>
            <w:r>
              <w:rPr>
                <w:b w:val="0"/>
              </w:rPr>
              <w:t>HIGH; urgent qualified review and report verification.</w:t>
            </w:r>
          </w:p>
        </w:tc>
      </w:tr>
    </w:tbl>
    <w:p>
      <w:pPr>
        <w:spacing w:after="20"/>
      </w:pPr>
    </w:p>
    <w:p>
      <w:pPr>
        <w:pStyle w:val="Heading1"/>
      </w:pPr>
      <w:r>
        <w:t>Appendix D. End-to-End Case Walkthroughs</w:t>
      </w:r>
    </w:p>
    <w:p>
      <w:pPr>
        <w:keepNext/>
      </w:pPr>
      <w:r>
        <w:rPr>
          <w:b/>
          <w:color w:val="17365D"/>
        </w:rPr>
        <w:t>Case 1 - Single urgent factor</w:t>
      </w:r>
    </w:p>
    <w:p>
      <w:pPr>
        <w:ind w:left="216"/>
      </w:pPr>
      <w:r>
        <w:rPr>
          <w:b/>
        </w:rPr>
        <w:t xml:space="preserve">Inputs: </w:t>
      </w:r>
      <w:r>
        <w:t>Age 27; complete records; BP 164/92; no diabetes/anemia; cephalic; normal fluid/heartbeat; ML LOW.</w:t>
      </w:r>
    </w:p>
    <w:p>
      <w:pPr>
        <w:ind w:left="216"/>
      </w:pPr>
      <w:r>
        <w:rPr>
          <w:b/>
        </w:rPr>
        <w:t xml:space="preserve">Expected processing: </w:t>
      </w:r>
      <w:r>
        <w:t>BP-S activates. Final HIGH with urgent banner. Explanation starts with severe systolic BP. ML LOW is retained only in audit and cannot cancel the rule. Recommendation: immediate clinical assessment/transfer according to protocol.</w:t>
      </w:r>
    </w:p>
    <w:p>
      <w:pPr>
        <w:keepNext/>
      </w:pPr>
      <w:r>
        <w:rPr>
          <w:b/>
          <w:color w:val="17365D"/>
        </w:rPr>
        <w:t>Case 2 - Medical interaction</w:t>
      </w:r>
    </w:p>
    <w:p>
      <w:pPr>
        <w:ind w:left="216"/>
      </w:pPr>
      <w:r>
        <w:rPr>
          <w:b/>
        </w:rPr>
        <w:t xml:space="preserve">Inputs: </w:t>
      </w:r>
      <w:r>
        <w:t>Age 36, first pregnancy; diabetes Yes; BP 146/94; all records complete; ML LOW.</w:t>
      </w:r>
    </w:p>
    <w:p>
      <w:pPr>
        <w:ind w:left="216"/>
      </w:pPr>
      <w:r>
        <w:rPr>
          <w:b/>
        </w:rPr>
        <w:t xml:space="preserve">Expected processing: </w:t>
      </w:r>
      <w:r>
        <w:t>AGE-A, DM, and BP-H activate. Final HIGH. Interaction IDs INT-AGE-BP, INT-AGE-DM, and INT-BP-DM may be stored. Recommendation merges hypertensive and diabetes review; no diagnosis of preeclampsia and no medication advice.</w:t>
      </w:r>
    </w:p>
    <w:p>
      <w:pPr>
        <w:keepNext/>
      </w:pPr>
      <w:r>
        <w:rPr>
          <w:b/>
          <w:color w:val="17365D"/>
        </w:rPr>
        <w:t>Case 3 - Delivery capability cluster</w:t>
      </w:r>
    </w:p>
    <w:p>
      <w:pPr>
        <w:ind w:left="216"/>
      </w:pPr>
      <w:r>
        <w:rPr>
          <w:b/>
        </w:rPr>
        <w:t xml:space="preserve">Inputs: </w:t>
      </w:r>
      <w:r>
        <w:t>Anemia Yes; previous cesarean Yes; breech presentation near term; normal fluid/heartbeat.</w:t>
      </w:r>
    </w:p>
    <w:p>
      <w:pPr>
        <w:ind w:left="216"/>
      </w:pPr>
      <w:r>
        <w:rPr>
          <w:b/>
        </w:rPr>
        <w:t xml:space="preserve">Expected processing: </w:t>
      </w:r>
      <w:r>
        <w:t>AN, CS, and PRES activate. Final HIGH. The recommendation prioritizes a documented hospital birth plan with emergency operative capability and clinician-led anemia management. It does not state that repeat cesarean is mandatory.</w:t>
      </w:r>
    </w:p>
    <w:p>
      <w:pPr>
        <w:keepNext/>
      </w:pPr>
      <w:r>
        <w:rPr>
          <w:b/>
          <w:color w:val="17365D"/>
        </w:rPr>
        <w:t>Case 4 - Diabetes and fluid</w:t>
      </w:r>
    </w:p>
    <w:p>
      <w:pPr>
        <w:ind w:left="216"/>
      </w:pPr>
      <w:r>
        <w:rPr>
          <w:b/>
        </w:rPr>
        <w:t xml:space="preserve">Inputs: </w:t>
      </w:r>
      <w:r>
        <w:t>Diabetes Yes; high amniotic fluid reported; cephalic; normal heartbeat; ML LOW.</w:t>
      </w:r>
    </w:p>
    <w:p>
      <w:pPr>
        <w:ind w:left="216"/>
      </w:pPr>
      <w:r>
        <w:rPr>
          <w:b/>
        </w:rPr>
        <w:t xml:space="preserve">Expected processing: </w:t>
      </w:r>
      <w:r>
        <w:t>DM and US-AF01 activate. Final HIGH. Explanation states that high fluid may be associated with diabetes but needs confirmation of severity, fetal growth/anatomy, and other causes.</w:t>
      </w:r>
    </w:p>
    <w:p>
      <w:pPr>
        <w:keepNext/>
      </w:pPr>
      <w:r>
        <w:rPr>
          <w:b/>
          <w:color w:val="17365D"/>
        </w:rPr>
        <w:t>Case 5 - Recurrent loss and current cardiac concern</w:t>
      </w:r>
    </w:p>
    <w:p>
      <w:pPr>
        <w:ind w:left="216"/>
      </w:pPr>
      <w:r>
        <w:rPr>
          <w:b/>
        </w:rPr>
        <w:t xml:space="preserve">Inputs: </w:t>
      </w:r>
      <w:r>
        <w:t>Miscarriage count 3; ultrasound report says absent cardiac activity; patient stable, no pain or bleeding.</w:t>
      </w:r>
    </w:p>
    <w:p>
      <w:pPr>
        <w:ind w:left="216"/>
      </w:pPr>
      <w:r>
        <w:rPr>
          <w:b/>
        </w:rPr>
        <w:t xml:space="preserve">Expected processing: </w:t>
      </w:r>
      <w:r>
        <w:t>RM and US-FH01 activate. Final HIGH with urgent confirmation. Trauma-informed message states that the CDSS does not confirm miscarriage and that qualified review/repeat assessment may be needed.</w:t>
      </w:r>
    </w:p>
    <w:p>
      <w:pPr>
        <w:keepNext/>
      </w:pPr>
      <w:r>
        <w:rPr>
          <w:b/>
          <w:color w:val="17365D"/>
        </w:rPr>
        <w:t>Case 6 - Emergency symptoms</w:t>
      </w:r>
    </w:p>
    <w:p>
      <w:pPr>
        <w:ind w:left="216"/>
      </w:pPr>
      <w:r>
        <w:rPr>
          <w:b/>
        </w:rPr>
        <w:t xml:space="preserve">Inputs: </w:t>
      </w:r>
      <w:r>
        <w:t>Previous cesarean Yes; transverse lie; patient reports heavy bleeding and dizziness.</w:t>
      </w:r>
    </w:p>
    <w:p>
      <w:pPr>
        <w:ind w:left="216"/>
      </w:pPr>
      <w:r>
        <w:rPr>
          <w:b/>
        </w:rPr>
        <w:t xml:space="preserve">Expected processing: </w:t>
      </w:r>
      <w:r>
        <w:t>Historical rules activate HIGH, but emergency symptoms determine P1 action. The interface should instruct immediate emergency response/transfer and should not wait for ML or routine referral completion.</w:t>
      </w:r>
    </w:p>
    <w:p>
      <w:pPr>
        <w:keepNext/>
      </w:pPr>
      <w:r>
        <w:rPr>
          <w:b/>
          <w:color w:val="17365D"/>
        </w:rPr>
        <w:t>Case 7 - HIGH plus incomplete data</w:t>
      </w:r>
    </w:p>
    <w:p>
      <w:pPr>
        <w:ind w:left="216"/>
      </w:pPr>
      <w:r>
        <w:rPr>
          <w:b/>
        </w:rPr>
        <w:t xml:space="preserve">Inputs: </w:t>
      </w:r>
      <w:r>
        <w:t>Diabetes Yes; birth plan missing; ultrasound present and normal; ML unavailable.</w:t>
      </w:r>
    </w:p>
    <w:p>
      <w:pPr>
        <w:ind w:left="216"/>
      </w:pPr>
      <w:r>
        <w:rPr>
          <w:b/>
        </w:rPr>
        <w:t xml:space="preserve">Expected processing: </w:t>
      </w:r>
      <w:r>
        <w:t>DM activates HIGH. Missing birth plan and ML failure are listed as data gaps. The final result remains HIGH rather than displaying only ASSESSMENT INCOMPLETE.</w:t>
      </w:r>
    </w:p>
    <w:p>
      <w:pPr>
        <w:keepNext/>
      </w:pPr>
      <w:r>
        <w:rPr>
          <w:b/>
          <w:color w:val="17365D"/>
        </w:rPr>
        <w:t>Case 8 - No verified HIGH but incomplete</w:t>
      </w:r>
    </w:p>
    <w:p>
      <w:pPr>
        <w:ind w:left="216"/>
      </w:pPr>
      <w:r>
        <w:rPr>
          <w:b/>
        </w:rPr>
        <w:t xml:space="preserve">Inputs: </w:t>
      </w:r>
      <w:r>
        <w:t>Age 24; BP 118/76; no recorded medical risk factors; ultrasound missing; ML LOW.</w:t>
      </w:r>
    </w:p>
    <w:p>
      <w:pPr>
        <w:ind w:left="216"/>
      </w:pPr>
      <w:r>
        <w:rPr>
          <w:b/>
        </w:rPr>
        <w:t xml:space="preserve">Expected processing: </w:t>
      </w:r>
      <w:r>
        <w:t>No deterministic HIGH factor is active, but required ultrasound is missing. Final ASSESSMENT INCOMPLETE. LOW is prohibited until the record is complete.</w:t>
      </w:r>
    </w:p>
    <w:p>
      <w:pPr>
        <w:keepNext/>
      </w:pPr>
      <w:r>
        <w:rPr>
          <w:b/>
          <w:color w:val="17365D"/>
        </w:rPr>
        <w:t>Case 9 - Multiple ultrasound factors</w:t>
      </w:r>
    </w:p>
    <w:p>
      <w:pPr>
        <w:ind w:left="216"/>
      </w:pPr>
      <w:r>
        <w:rPr>
          <w:b/>
        </w:rPr>
        <w:t xml:space="preserve">Inputs: </w:t>
      </w:r>
      <w:r>
        <w:t>Breech, low fluid, abnormal heartbeat; no maternal medical factors; ML LOW.</w:t>
      </w:r>
    </w:p>
    <w:p>
      <w:pPr>
        <w:ind w:left="216"/>
      </w:pPr>
      <w:r>
        <w:rPr>
          <w:b/>
        </w:rPr>
        <w:t xml:space="preserve">Expected processing: </w:t>
      </w:r>
      <w:r>
        <w:t>PRES, AF, and FH rules activate. Final HIGH. Cardiac warning appears first, followed by fluid and presentation. One merged urgent obstetric recommendation is shown.</w:t>
      </w:r>
    </w:p>
    <w:p>
      <w:pPr>
        <w:keepNext/>
      </w:pPr>
      <w:r>
        <w:rPr>
          <w:b/>
          <w:color w:val="17365D"/>
        </w:rPr>
        <w:t>Case 10 - Completed referral</w:t>
      </w:r>
    </w:p>
    <w:p>
      <w:pPr>
        <w:ind w:left="216"/>
      </w:pPr>
      <w:r>
        <w:rPr>
          <w:b/>
        </w:rPr>
        <w:t xml:space="preserve">Inputs: </w:t>
      </w:r>
      <w:r>
        <w:t>Previous cesarean and anemia; hospital referral marked Completed with documented birth plan.</w:t>
      </w:r>
    </w:p>
    <w:p>
      <w:pPr>
        <w:ind w:left="216"/>
      </w:pPr>
      <w:r>
        <w:rPr>
          <w:b/>
        </w:rPr>
        <w:t xml:space="preserve">Expected processing: </w:t>
      </w:r>
      <w:r>
        <w:t>The historical assessment remains HIGH because referral completion does not erase the factors. The interface displays referral completion and the approved plan rather than suggesting unresolved referral.</w:t>
      </w:r>
    </w:p>
    <w:p>
      <w:pPr>
        <w:pStyle w:val="Heading1"/>
      </w:pPr>
      <w:r>
        <w:t>Appendix E. User-Interface and Audit Requirements</w:t>
      </w:r>
    </w:p>
    <w:tbl>
      <w:tblPr>
        <w:tblStyle w:val="TableGrid"/>
        <w:tblW w:type="auto" w:w="0"/>
        <w:jc w:val="center"/>
        <w:tblLook w:firstColumn="1" w:firstRow="1" w:lastColumn="0" w:lastRow="0" w:noHBand="0" w:noVBand="1" w:val="04A0"/>
      </w:tblPr>
      <w:tblGrid>
        <w:gridCol w:w="3427"/>
        <w:gridCol w:w="3427"/>
        <w:gridCol w:w="3427"/>
      </w:tblGrid>
      <w:tr>
        <w:trPr>
          <w:tblHeader w:val="true"/>
          <w:cantSplit/>
        </w:trPr>
        <w:tc>
          <w:tcPr>
            <w:tcW w:type="dxa" w:w="2088"/>
            <w:vAlign w:val="center"/>
            <w:tcMar>
              <w:top w:w="55" w:type="dxa"/>
              <w:bottom w:w="55" w:type="dxa"/>
              <w:start w:w="65" w:type="dxa"/>
              <w:end w:w="65" w:type="dxa"/>
            </w:tcMar>
            <w:shd w:fill="17365D"/>
          </w:tcPr>
          <w:p>
            <w:pPr>
              <w:pStyle w:val="TableHeader"/>
            </w:pPr>
            <w:r/>
            <w:r>
              <w:rPr>
                <w:b/>
                <w:color w:val="FFFFFF"/>
              </w:rPr>
              <w:t>UI/audit element</w:t>
            </w:r>
          </w:p>
        </w:tc>
        <w:tc>
          <w:tcPr>
            <w:tcW w:type="dxa" w:w="5040"/>
            <w:vAlign w:val="center"/>
            <w:tcMar>
              <w:top w:w="55" w:type="dxa"/>
              <w:bottom w:w="55" w:type="dxa"/>
              <w:start w:w="65" w:type="dxa"/>
              <w:end w:w="65" w:type="dxa"/>
            </w:tcMar>
            <w:shd w:fill="17365D"/>
          </w:tcPr>
          <w:p>
            <w:pPr>
              <w:pStyle w:val="TableHeader"/>
            </w:pPr>
            <w:r/>
            <w:r>
              <w:rPr>
                <w:b/>
                <w:color w:val="FFFFFF"/>
              </w:rPr>
              <w:t>Requirement</w:t>
            </w:r>
          </w:p>
        </w:tc>
        <w:tc>
          <w:tcPr>
            <w:tcW w:type="dxa" w:w="4104"/>
            <w:vAlign w:val="center"/>
            <w:tcMar>
              <w:top w:w="55" w:type="dxa"/>
              <w:bottom w:w="55" w:type="dxa"/>
              <w:start w:w="65" w:type="dxa"/>
              <w:end w:w="65" w:type="dxa"/>
            </w:tcMar>
            <w:shd w:fill="17365D"/>
          </w:tcPr>
          <w:p>
            <w:pPr>
              <w:pStyle w:val="TableHeader"/>
            </w:pPr>
            <w:r/>
            <w:r>
              <w:rPr>
                <w:b/>
                <w:color w:val="FFFFFF"/>
              </w:rPr>
              <w:t>Safety purpose</w:t>
            </w:r>
          </w:p>
        </w:tc>
      </w:tr>
      <w:tr>
        <w:trPr>
          <w:cantSplit/>
        </w:trPr>
        <w:tc>
          <w:tcPr>
            <w:tcW w:type="dxa" w:w="2088"/>
            <w:vAlign w:val="center"/>
            <w:tcMar>
              <w:top w:w="55" w:type="dxa"/>
              <w:bottom w:w="55" w:type="dxa"/>
              <w:start w:w="65" w:type="dxa"/>
              <w:end w:w="65" w:type="dxa"/>
            </w:tcMar>
          </w:tcPr>
          <w:p>
            <w:pPr>
              <w:pStyle w:val="TableText"/>
            </w:pPr>
            <w:r/>
            <w:r>
              <w:rPr>
                <w:b w:val="0"/>
              </w:rPr>
              <w:t>Risk banner</w:t>
            </w:r>
          </w:p>
        </w:tc>
        <w:tc>
          <w:tcPr>
            <w:tcW w:type="dxa" w:w="5040"/>
            <w:vAlign w:val="center"/>
            <w:tcMar>
              <w:top w:w="55" w:type="dxa"/>
              <w:bottom w:w="55" w:type="dxa"/>
              <w:start w:w="65" w:type="dxa"/>
              <w:end w:w="65" w:type="dxa"/>
            </w:tcMar>
          </w:tcPr>
          <w:p>
            <w:pPr>
              <w:pStyle w:val="TableText"/>
            </w:pPr>
            <w:r/>
            <w:r>
              <w:rPr>
                <w:b w:val="0"/>
              </w:rPr>
              <w:t>Show HIGH plus urgency word when applicable; do not create unapproved risk classes.</w:t>
            </w:r>
          </w:p>
        </w:tc>
        <w:tc>
          <w:tcPr>
            <w:tcW w:type="dxa" w:w="4104"/>
            <w:vAlign w:val="center"/>
            <w:tcMar>
              <w:top w:w="55" w:type="dxa"/>
              <w:bottom w:w="55" w:type="dxa"/>
              <w:start w:w="65" w:type="dxa"/>
              <w:end w:w="65" w:type="dxa"/>
            </w:tcMar>
          </w:tcPr>
          <w:p>
            <w:pPr>
              <w:pStyle w:val="TableText"/>
            </w:pPr>
            <w:r/>
            <w:r>
              <w:rPr>
                <w:b w:val="0"/>
              </w:rPr>
              <w:t>Separates category from action priority.</w:t>
            </w:r>
          </w:p>
        </w:tc>
      </w:tr>
      <w:tr>
        <w:trPr>
          <w:cantSplit/>
        </w:trPr>
        <w:tc>
          <w:tcPr>
            <w:tcW w:type="dxa" w:w="2088"/>
            <w:vAlign w:val="center"/>
            <w:tcMar>
              <w:top w:w="55" w:type="dxa"/>
              <w:bottom w:w="55" w:type="dxa"/>
              <w:start w:w="65" w:type="dxa"/>
              <w:end w:w="65" w:type="dxa"/>
            </w:tcMar>
            <w:shd w:fill="EDF4FA"/>
          </w:tcPr>
          <w:p>
            <w:pPr>
              <w:pStyle w:val="TableText"/>
            </w:pPr>
            <w:r/>
            <w:r>
              <w:rPr>
                <w:b w:val="0"/>
              </w:rPr>
              <w:t>Reason list</w:t>
            </w:r>
          </w:p>
        </w:tc>
        <w:tc>
          <w:tcPr>
            <w:tcW w:type="dxa" w:w="5040"/>
            <w:vAlign w:val="center"/>
            <w:tcMar>
              <w:top w:w="55" w:type="dxa"/>
              <w:bottom w:w="55" w:type="dxa"/>
              <w:start w:w="65" w:type="dxa"/>
              <w:end w:w="65" w:type="dxa"/>
            </w:tcMar>
            <w:shd w:fill="EDF4FA"/>
          </w:tcPr>
          <w:p>
            <w:pPr>
              <w:pStyle w:val="TableText"/>
            </w:pPr>
            <w:r/>
            <w:r>
              <w:rPr>
                <w:b w:val="0"/>
              </w:rPr>
              <w:t>One row per active rule with source value and date.</w:t>
            </w:r>
          </w:p>
        </w:tc>
        <w:tc>
          <w:tcPr>
            <w:tcW w:type="dxa" w:w="4104"/>
            <w:vAlign w:val="center"/>
            <w:tcMar>
              <w:top w:w="55" w:type="dxa"/>
              <w:bottom w:w="55" w:type="dxa"/>
              <w:start w:w="65" w:type="dxa"/>
              <w:end w:w="65" w:type="dxa"/>
            </w:tcMar>
            <w:shd w:fill="EDF4FA"/>
          </w:tcPr>
          <w:p>
            <w:pPr>
              <w:pStyle w:val="TableText"/>
            </w:pPr>
            <w:r/>
            <w:r>
              <w:rPr>
                <w:b w:val="0"/>
              </w:rPr>
              <w:t>Makes combined decisions traceable.</w:t>
            </w:r>
          </w:p>
        </w:tc>
      </w:tr>
      <w:tr>
        <w:trPr>
          <w:cantSplit/>
        </w:trPr>
        <w:tc>
          <w:tcPr>
            <w:tcW w:type="dxa" w:w="2088"/>
            <w:vAlign w:val="center"/>
            <w:tcMar>
              <w:top w:w="55" w:type="dxa"/>
              <w:bottom w:w="55" w:type="dxa"/>
              <w:start w:w="65" w:type="dxa"/>
              <w:end w:w="65" w:type="dxa"/>
            </w:tcMar>
          </w:tcPr>
          <w:p>
            <w:pPr>
              <w:pStyle w:val="TableText"/>
            </w:pPr>
            <w:r/>
            <w:r>
              <w:rPr>
                <w:b w:val="0"/>
              </w:rPr>
              <w:t>Interaction summary</w:t>
            </w:r>
          </w:p>
        </w:tc>
        <w:tc>
          <w:tcPr>
            <w:tcW w:type="dxa" w:w="5040"/>
            <w:vAlign w:val="center"/>
            <w:tcMar>
              <w:top w:w="55" w:type="dxa"/>
              <w:bottom w:w="55" w:type="dxa"/>
              <w:start w:w="65" w:type="dxa"/>
              <w:end w:w="65" w:type="dxa"/>
            </w:tcMar>
          </w:tcPr>
          <w:p>
            <w:pPr>
              <w:pStyle w:val="TableText"/>
            </w:pPr>
            <w:r/>
            <w:r>
              <w:rPr>
                <w:b w:val="0"/>
              </w:rPr>
              <w:t>Show only approved, plain-language interaction messages.</w:t>
            </w:r>
          </w:p>
        </w:tc>
        <w:tc>
          <w:tcPr>
            <w:tcW w:type="dxa" w:w="4104"/>
            <w:vAlign w:val="center"/>
            <w:tcMar>
              <w:top w:w="55" w:type="dxa"/>
              <w:bottom w:w="55" w:type="dxa"/>
              <w:start w:w="65" w:type="dxa"/>
              <w:end w:w="65" w:type="dxa"/>
            </w:tcMar>
          </w:tcPr>
          <w:p>
            <w:pPr>
              <w:pStyle w:val="TableText"/>
            </w:pPr>
            <w:r/>
            <w:r>
              <w:rPr>
                <w:b w:val="0"/>
              </w:rPr>
              <w:t>Prevents invented clinical claims.</w:t>
            </w:r>
          </w:p>
        </w:tc>
      </w:tr>
      <w:tr>
        <w:trPr>
          <w:cantSplit/>
        </w:trPr>
        <w:tc>
          <w:tcPr>
            <w:tcW w:type="dxa" w:w="2088"/>
            <w:vAlign w:val="center"/>
            <w:tcMar>
              <w:top w:w="55" w:type="dxa"/>
              <w:bottom w:w="55" w:type="dxa"/>
              <w:start w:w="65" w:type="dxa"/>
              <w:end w:w="65" w:type="dxa"/>
            </w:tcMar>
            <w:shd w:fill="EDF4FA"/>
          </w:tcPr>
          <w:p>
            <w:pPr>
              <w:pStyle w:val="TableText"/>
            </w:pPr>
            <w:r/>
            <w:r>
              <w:rPr>
                <w:b w:val="0"/>
              </w:rPr>
              <w:t>Data-gap panel</w:t>
            </w:r>
          </w:p>
        </w:tc>
        <w:tc>
          <w:tcPr>
            <w:tcW w:type="dxa" w:w="5040"/>
            <w:vAlign w:val="center"/>
            <w:tcMar>
              <w:top w:w="55" w:type="dxa"/>
              <w:bottom w:w="55" w:type="dxa"/>
              <w:start w:w="65" w:type="dxa"/>
              <w:end w:w="65" w:type="dxa"/>
            </w:tcMar>
            <w:shd w:fill="EDF4FA"/>
          </w:tcPr>
          <w:p>
            <w:pPr>
              <w:pStyle w:val="TableText"/>
            </w:pPr>
            <w:r/>
            <w:r>
              <w:rPr>
                <w:b w:val="0"/>
              </w:rPr>
              <w:t>List missing records, invalid ML, stale reports, and unverified values separately.</w:t>
            </w:r>
          </w:p>
        </w:tc>
        <w:tc>
          <w:tcPr>
            <w:tcW w:type="dxa" w:w="4104"/>
            <w:vAlign w:val="center"/>
            <w:tcMar>
              <w:top w:w="55" w:type="dxa"/>
              <w:bottom w:w="55" w:type="dxa"/>
              <w:start w:w="65" w:type="dxa"/>
              <w:end w:w="65" w:type="dxa"/>
            </w:tcMar>
            <w:shd w:fill="EDF4FA"/>
          </w:tcPr>
          <w:p>
            <w:pPr>
              <w:pStyle w:val="TableText"/>
            </w:pPr>
            <w:r/>
            <w:r>
              <w:rPr>
                <w:b w:val="0"/>
              </w:rPr>
              <w:t>Prevents HIGH from appearing fully complete when data remain missing.</w:t>
            </w:r>
          </w:p>
        </w:tc>
      </w:tr>
      <w:tr>
        <w:trPr>
          <w:cantSplit/>
        </w:trPr>
        <w:tc>
          <w:tcPr>
            <w:tcW w:type="dxa" w:w="2088"/>
            <w:vAlign w:val="center"/>
            <w:tcMar>
              <w:top w:w="55" w:type="dxa"/>
              <w:bottom w:w="55" w:type="dxa"/>
              <w:start w:w="65" w:type="dxa"/>
              <w:end w:w="65" w:type="dxa"/>
            </w:tcMar>
          </w:tcPr>
          <w:p>
            <w:pPr>
              <w:pStyle w:val="TableText"/>
            </w:pPr>
            <w:r/>
            <w:r>
              <w:rPr>
                <w:b w:val="0"/>
              </w:rPr>
              <w:t>Recommendation card</w:t>
            </w:r>
          </w:p>
        </w:tc>
        <w:tc>
          <w:tcPr>
            <w:tcW w:type="dxa" w:w="5040"/>
            <w:vAlign w:val="center"/>
            <w:tcMar>
              <w:top w:w="55" w:type="dxa"/>
              <w:bottom w:w="55" w:type="dxa"/>
              <w:start w:w="65" w:type="dxa"/>
              <w:end w:w="65" w:type="dxa"/>
            </w:tcMar>
          </w:tcPr>
          <w:p>
            <w:pPr>
              <w:pStyle w:val="TableText"/>
            </w:pPr>
            <w:r/>
            <w:r>
              <w:rPr>
                <w:b w:val="0"/>
              </w:rPr>
              <w:t>One merged action plan ordered by urgency.</w:t>
            </w:r>
          </w:p>
        </w:tc>
        <w:tc>
          <w:tcPr>
            <w:tcW w:type="dxa" w:w="4104"/>
            <w:vAlign w:val="center"/>
            <w:tcMar>
              <w:top w:w="55" w:type="dxa"/>
              <w:bottom w:w="55" w:type="dxa"/>
              <w:start w:w="65" w:type="dxa"/>
              <w:end w:w="65" w:type="dxa"/>
            </w:tcMar>
          </w:tcPr>
          <w:p>
            <w:pPr>
              <w:pStyle w:val="TableText"/>
            </w:pPr>
            <w:r/>
            <w:r>
              <w:rPr>
                <w:b w:val="0"/>
              </w:rPr>
              <w:t>Avoids repetitive or contradictory instructions.</w:t>
            </w:r>
          </w:p>
        </w:tc>
      </w:tr>
      <w:tr>
        <w:trPr>
          <w:cantSplit/>
        </w:trPr>
        <w:tc>
          <w:tcPr>
            <w:tcW w:type="dxa" w:w="2088"/>
            <w:vAlign w:val="center"/>
            <w:tcMar>
              <w:top w:w="55" w:type="dxa"/>
              <w:bottom w:w="55" w:type="dxa"/>
              <w:start w:w="65" w:type="dxa"/>
              <w:end w:w="65" w:type="dxa"/>
            </w:tcMar>
            <w:shd w:fill="EDF4FA"/>
          </w:tcPr>
          <w:p>
            <w:pPr>
              <w:pStyle w:val="TableText"/>
            </w:pPr>
            <w:r/>
            <w:r>
              <w:rPr>
                <w:b w:val="0"/>
              </w:rPr>
              <w:t>Limitation statement</w:t>
            </w:r>
          </w:p>
        </w:tc>
        <w:tc>
          <w:tcPr>
            <w:tcW w:type="dxa" w:w="5040"/>
            <w:vAlign w:val="center"/>
            <w:tcMar>
              <w:top w:w="55" w:type="dxa"/>
              <w:bottom w:w="55" w:type="dxa"/>
              <w:start w:w="65" w:type="dxa"/>
              <w:end w:w="65" w:type="dxa"/>
            </w:tcMar>
            <w:shd w:fill="EDF4FA"/>
          </w:tcPr>
          <w:p>
            <w:pPr>
              <w:pStyle w:val="TableText"/>
            </w:pPr>
            <w:r/>
            <w:r>
              <w:rPr>
                <w:b w:val="0"/>
              </w:rPr>
              <w:t>State diagnoses, treatments, and delivery decisions the system did not make.</w:t>
            </w:r>
          </w:p>
        </w:tc>
        <w:tc>
          <w:tcPr>
            <w:tcW w:type="dxa" w:w="4104"/>
            <w:vAlign w:val="center"/>
            <w:tcMar>
              <w:top w:w="55" w:type="dxa"/>
              <w:bottom w:w="55" w:type="dxa"/>
              <w:start w:w="65" w:type="dxa"/>
              <w:end w:w="65" w:type="dxa"/>
            </w:tcMar>
            <w:shd w:fill="EDF4FA"/>
          </w:tcPr>
          <w:p>
            <w:pPr>
              <w:pStyle w:val="TableText"/>
            </w:pPr>
            <w:r/>
            <w:r>
              <w:rPr>
                <w:b w:val="0"/>
              </w:rPr>
              <w:t>Reduces automation bias.</w:t>
            </w:r>
          </w:p>
        </w:tc>
      </w:tr>
      <w:tr>
        <w:trPr>
          <w:cantSplit/>
        </w:trPr>
        <w:tc>
          <w:tcPr>
            <w:tcW w:type="dxa" w:w="2088"/>
            <w:vAlign w:val="center"/>
            <w:tcMar>
              <w:top w:w="55" w:type="dxa"/>
              <w:bottom w:w="55" w:type="dxa"/>
              <w:start w:w="65" w:type="dxa"/>
              <w:end w:w="65" w:type="dxa"/>
            </w:tcMar>
          </w:tcPr>
          <w:p>
            <w:pPr>
              <w:pStyle w:val="TableText"/>
            </w:pPr>
            <w:r/>
            <w:r>
              <w:rPr>
                <w:b w:val="0"/>
              </w:rPr>
              <w:t>Referral status</w:t>
            </w:r>
          </w:p>
        </w:tc>
        <w:tc>
          <w:tcPr>
            <w:tcW w:type="dxa" w:w="5040"/>
            <w:vAlign w:val="center"/>
            <w:tcMar>
              <w:top w:w="55" w:type="dxa"/>
              <w:bottom w:w="55" w:type="dxa"/>
              <w:start w:w="65" w:type="dxa"/>
              <w:end w:w="65" w:type="dxa"/>
            </w:tcMar>
          </w:tcPr>
          <w:p>
            <w:pPr>
              <w:pStyle w:val="TableText"/>
            </w:pPr>
            <w:r/>
            <w:r>
              <w:rPr>
                <w:b w:val="0"/>
              </w:rPr>
              <w:t>Pending, accepted, completed, declined, unsuccessful, or cancelled with date and facility.</w:t>
            </w:r>
          </w:p>
        </w:tc>
        <w:tc>
          <w:tcPr>
            <w:tcW w:type="dxa" w:w="4104"/>
            <w:vAlign w:val="center"/>
            <w:tcMar>
              <w:top w:w="55" w:type="dxa"/>
              <w:bottom w:w="55" w:type="dxa"/>
              <w:start w:w="65" w:type="dxa"/>
              <w:end w:w="65" w:type="dxa"/>
            </w:tcMar>
          </w:tcPr>
          <w:p>
            <w:pPr>
              <w:pStyle w:val="TableText"/>
            </w:pPr>
            <w:r/>
            <w:r>
              <w:rPr>
                <w:b w:val="0"/>
              </w:rPr>
              <w:t>Prevents referral creation from being mistaken for completed care.</w:t>
            </w:r>
          </w:p>
        </w:tc>
      </w:tr>
      <w:tr>
        <w:trPr>
          <w:cantSplit/>
        </w:trPr>
        <w:tc>
          <w:tcPr>
            <w:tcW w:type="dxa" w:w="2088"/>
            <w:vAlign w:val="center"/>
            <w:tcMar>
              <w:top w:w="55" w:type="dxa"/>
              <w:bottom w:w="55" w:type="dxa"/>
              <w:start w:w="65" w:type="dxa"/>
              <w:end w:w="65" w:type="dxa"/>
            </w:tcMar>
            <w:shd w:fill="EDF4FA"/>
          </w:tcPr>
          <w:p>
            <w:pPr>
              <w:pStyle w:val="TableText"/>
            </w:pPr>
            <w:r/>
            <w:r>
              <w:rPr>
                <w:b w:val="0"/>
              </w:rPr>
              <w:t>Audit record</w:t>
            </w:r>
          </w:p>
        </w:tc>
        <w:tc>
          <w:tcPr>
            <w:tcW w:type="dxa" w:w="5040"/>
            <w:vAlign w:val="center"/>
            <w:tcMar>
              <w:top w:w="55" w:type="dxa"/>
              <w:bottom w:w="55" w:type="dxa"/>
              <w:start w:w="65" w:type="dxa"/>
              <w:end w:w="65" w:type="dxa"/>
            </w:tcMar>
            <w:shd w:fill="EDF4FA"/>
          </w:tcPr>
          <w:p>
            <w:pPr>
              <w:pStyle w:val="TableText"/>
            </w:pPr>
            <w:r/>
            <w:r>
              <w:rPr>
                <w:b w:val="0"/>
              </w:rPr>
              <w:t>Inputs, normalized values, rule IDs, interaction IDs, urgency, ML status, output, user, timestamp, and versions.</w:t>
            </w:r>
          </w:p>
        </w:tc>
        <w:tc>
          <w:tcPr>
            <w:tcW w:type="dxa" w:w="4104"/>
            <w:vAlign w:val="center"/>
            <w:tcMar>
              <w:top w:w="55" w:type="dxa"/>
              <w:bottom w:w="55" w:type="dxa"/>
              <w:start w:w="65" w:type="dxa"/>
              <w:end w:w="65" w:type="dxa"/>
            </w:tcMar>
            <w:shd w:fill="EDF4FA"/>
          </w:tcPr>
          <w:p>
            <w:pPr>
              <w:pStyle w:val="TableText"/>
            </w:pPr>
            <w:r/>
            <w:r>
              <w:rPr>
                <w:b w:val="0"/>
              </w:rPr>
              <w:t>Supports clinical review and debugging.</w:t>
            </w:r>
          </w:p>
        </w:tc>
      </w:tr>
      <w:tr>
        <w:trPr>
          <w:cantSplit/>
        </w:trPr>
        <w:tc>
          <w:tcPr>
            <w:tcW w:type="dxa" w:w="2088"/>
            <w:vAlign w:val="center"/>
            <w:tcMar>
              <w:top w:w="55" w:type="dxa"/>
              <w:bottom w:w="55" w:type="dxa"/>
              <w:start w:w="65" w:type="dxa"/>
              <w:end w:w="65" w:type="dxa"/>
            </w:tcMar>
          </w:tcPr>
          <w:p>
            <w:pPr>
              <w:pStyle w:val="TableText"/>
            </w:pPr>
            <w:r/>
            <w:r>
              <w:rPr>
                <w:b w:val="0"/>
              </w:rPr>
              <w:t>Change history</w:t>
            </w:r>
          </w:p>
        </w:tc>
        <w:tc>
          <w:tcPr>
            <w:tcW w:type="dxa" w:w="5040"/>
            <w:vAlign w:val="center"/>
            <w:tcMar>
              <w:top w:w="55" w:type="dxa"/>
              <w:bottom w:w="55" w:type="dxa"/>
              <w:start w:w="65" w:type="dxa"/>
              <w:end w:w="65" w:type="dxa"/>
            </w:tcMar>
          </w:tcPr>
          <w:p>
            <w:pPr>
              <w:pStyle w:val="TableText"/>
            </w:pPr>
            <w:r/>
            <w:r>
              <w:rPr>
                <w:b w:val="0"/>
              </w:rPr>
              <w:t>Old/new values and reason for correction.</w:t>
            </w:r>
          </w:p>
        </w:tc>
        <w:tc>
          <w:tcPr>
            <w:tcW w:type="dxa" w:w="4104"/>
            <w:vAlign w:val="center"/>
            <w:tcMar>
              <w:top w:w="55" w:type="dxa"/>
              <w:bottom w:w="55" w:type="dxa"/>
              <w:start w:w="65" w:type="dxa"/>
              <w:end w:w="65" w:type="dxa"/>
            </w:tcMar>
          </w:tcPr>
          <w:p>
            <w:pPr>
              <w:pStyle w:val="TableText"/>
            </w:pPr>
            <w:r/>
            <w:r>
              <w:rPr>
                <w:b w:val="0"/>
              </w:rPr>
              <w:t>Detects silent data manipulation.</w:t>
            </w:r>
          </w:p>
        </w:tc>
      </w:tr>
      <w:tr>
        <w:trPr>
          <w:cantSplit/>
        </w:trPr>
        <w:tc>
          <w:tcPr>
            <w:tcW w:type="dxa" w:w="2088"/>
            <w:vAlign w:val="center"/>
            <w:tcMar>
              <w:top w:w="55" w:type="dxa"/>
              <w:bottom w:w="55" w:type="dxa"/>
              <w:start w:w="65" w:type="dxa"/>
              <w:end w:w="65" w:type="dxa"/>
            </w:tcMar>
            <w:shd w:fill="EDF4FA"/>
          </w:tcPr>
          <w:p>
            <w:pPr>
              <w:pStyle w:val="TableText"/>
            </w:pPr>
            <w:r/>
            <w:r>
              <w:rPr>
                <w:b w:val="0"/>
              </w:rPr>
              <w:t>Delivered history</w:t>
            </w:r>
          </w:p>
        </w:tc>
        <w:tc>
          <w:tcPr>
            <w:tcW w:type="dxa" w:w="5040"/>
            <w:vAlign w:val="center"/>
            <w:tcMar>
              <w:top w:w="55" w:type="dxa"/>
              <w:bottom w:w="55" w:type="dxa"/>
              <w:start w:w="65" w:type="dxa"/>
              <w:end w:w="65" w:type="dxa"/>
            </w:tcMar>
            <w:shd w:fill="EDF4FA"/>
          </w:tcPr>
          <w:p>
            <w:pPr>
              <w:pStyle w:val="TableText"/>
            </w:pPr>
            <w:r/>
            <w:r>
              <w:rPr>
                <w:b w:val="0"/>
              </w:rPr>
              <w:t>Read-only result and original interaction explanation.</w:t>
            </w:r>
          </w:p>
        </w:tc>
        <w:tc>
          <w:tcPr>
            <w:tcW w:type="dxa" w:w="4104"/>
            <w:vAlign w:val="center"/>
            <w:tcMar>
              <w:top w:w="55" w:type="dxa"/>
              <w:bottom w:w="55" w:type="dxa"/>
              <w:start w:w="65" w:type="dxa"/>
              <w:end w:w="65" w:type="dxa"/>
            </w:tcMar>
            <w:shd w:fill="EDF4FA"/>
          </w:tcPr>
          <w:p>
            <w:pPr>
              <w:pStyle w:val="TableText"/>
            </w:pPr>
            <w:r/>
            <w:r>
              <w:rPr>
                <w:b w:val="0"/>
              </w:rPr>
              <w:t>Preserves historical integrity.</w:t>
            </w:r>
          </w:p>
        </w:tc>
      </w:tr>
      <w:tr>
        <w:trPr>
          <w:cantSplit/>
        </w:trPr>
        <w:tc>
          <w:tcPr>
            <w:tcW w:type="dxa" w:w="2088"/>
            <w:vAlign w:val="center"/>
            <w:tcMar>
              <w:top w:w="55" w:type="dxa"/>
              <w:bottom w:w="55" w:type="dxa"/>
              <w:start w:w="65" w:type="dxa"/>
              <w:end w:w="65" w:type="dxa"/>
            </w:tcMar>
          </w:tcPr>
          <w:p>
            <w:pPr>
              <w:pStyle w:val="TableText"/>
            </w:pPr>
            <w:r/>
            <w:r>
              <w:rPr>
                <w:b w:val="0"/>
              </w:rPr>
              <w:t>New pregnancy</w:t>
            </w:r>
          </w:p>
        </w:tc>
        <w:tc>
          <w:tcPr>
            <w:tcW w:type="dxa" w:w="5040"/>
            <w:vAlign w:val="center"/>
            <w:tcMar>
              <w:top w:w="55" w:type="dxa"/>
              <w:bottom w:w="55" w:type="dxa"/>
              <w:start w:w="65" w:type="dxa"/>
              <w:end w:w="65" w:type="dxa"/>
            </w:tcMar>
          </w:tcPr>
          <w:p>
            <w:pPr>
              <w:pStyle w:val="TableText"/>
            </w:pPr>
            <w:r/>
            <w:r>
              <w:rPr>
                <w:b w:val="0"/>
              </w:rPr>
              <w:t>New current records with verified obstetric history linkage.</w:t>
            </w:r>
          </w:p>
        </w:tc>
        <w:tc>
          <w:tcPr>
            <w:tcW w:type="dxa" w:w="4104"/>
            <w:vAlign w:val="center"/>
            <w:tcMar>
              <w:top w:w="55" w:type="dxa"/>
              <w:bottom w:w="55" w:type="dxa"/>
              <w:start w:w="65" w:type="dxa"/>
              <w:end w:w="65" w:type="dxa"/>
            </w:tcMar>
          </w:tcPr>
          <w:p>
            <w:pPr>
              <w:pStyle w:val="TableText"/>
            </w:pPr>
            <w:r/>
            <w:r>
              <w:rPr>
                <w:b w:val="0"/>
              </w:rPr>
              <w:t>Prevents accidental carry-over of current findings.</w:t>
            </w:r>
          </w:p>
        </w:tc>
      </w:tr>
      <w:tr>
        <w:trPr>
          <w:cantSplit/>
        </w:trPr>
        <w:tc>
          <w:tcPr>
            <w:tcW w:type="dxa" w:w="2088"/>
            <w:vAlign w:val="center"/>
            <w:tcMar>
              <w:top w:w="55" w:type="dxa"/>
              <w:bottom w:w="55" w:type="dxa"/>
              <w:start w:w="65" w:type="dxa"/>
              <w:end w:w="65" w:type="dxa"/>
            </w:tcMar>
            <w:shd w:fill="EDF4FA"/>
          </w:tcPr>
          <w:p>
            <w:pPr>
              <w:pStyle w:val="TableText"/>
            </w:pPr>
            <w:r/>
            <w:r>
              <w:rPr>
                <w:b w:val="0"/>
              </w:rPr>
              <w:t>Accessibility</w:t>
            </w:r>
          </w:p>
        </w:tc>
        <w:tc>
          <w:tcPr>
            <w:tcW w:type="dxa" w:w="5040"/>
            <w:vAlign w:val="center"/>
            <w:tcMar>
              <w:top w:w="55" w:type="dxa"/>
              <w:bottom w:w="55" w:type="dxa"/>
              <w:start w:w="65" w:type="dxa"/>
              <w:end w:w="65" w:type="dxa"/>
            </w:tcMar>
            <w:shd w:fill="EDF4FA"/>
          </w:tcPr>
          <w:p>
            <w:pPr>
              <w:pStyle w:val="TableText"/>
            </w:pPr>
            <w:r/>
            <w:r>
              <w:rPr>
                <w:b w:val="0"/>
              </w:rPr>
              <w:t>Text labels must not rely only on color; urgent content must be keyboard and screen-reader accessible.</w:t>
            </w:r>
          </w:p>
        </w:tc>
        <w:tc>
          <w:tcPr>
            <w:tcW w:type="dxa" w:w="4104"/>
            <w:vAlign w:val="center"/>
            <w:tcMar>
              <w:top w:w="55" w:type="dxa"/>
              <w:bottom w:w="55" w:type="dxa"/>
              <w:start w:w="65" w:type="dxa"/>
              <w:end w:w="65" w:type="dxa"/>
            </w:tcMar>
            <w:shd w:fill="EDF4FA"/>
          </w:tcPr>
          <w:p>
            <w:pPr>
              <w:pStyle w:val="TableText"/>
            </w:pPr>
            <w:r/>
            <w:r>
              <w:rPr>
                <w:b w:val="0"/>
              </w:rPr>
              <w:t>Supports safe use by all staff.</w:t>
            </w:r>
          </w:p>
        </w:tc>
      </w:tr>
    </w:tbl>
    <w:p>
      <w:pPr>
        <w:spacing w:after="20"/>
      </w:pPr>
    </w:p>
    <w:tbl>
      <w:tblPr>
        <w:tblW w:type="auto" w:w="0"/>
        <w:tblLook w:firstColumn="1" w:firstRow="1" w:lastColumn="0" w:lastRow="0" w:noHBand="0" w:noVBand="1" w:val="04A0"/>
      </w:tblPr>
      <w:tblGrid>
        <w:gridCol w:w="10282"/>
      </w:tblGrid>
      <w:tr>
        <w:tc>
          <w:tcPr>
            <w:tcW w:type="dxa" w:w="10282"/>
            <w:shd w:fill="E2F0D9"/>
            <w:tcBorders>
              <w:top w:val="single" w:sz="8" w:color="548235"/>
              <w:left w:val="single" w:sz="8" w:color="548235"/>
              <w:bottom w:val="single" w:sz="8" w:color="548235"/>
              <w:right w:val="single" w:sz="8" w:color="548235"/>
            </w:tcBorders>
            <w:tcMar>
              <w:top w:w="95" w:type="dxa"/>
              <w:bottom w:w="95" w:type="dxa"/>
              <w:start w:w="105" w:type="dxa"/>
              <w:end w:w="105" w:type="dxa"/>
            </w:tcMar>
          </w:tcPr>
          <w:p>
            <w:pPr>
              <w:pStyle w:val="Callout"/>
            </w:pPr>
            <w:r/>
            <w:r>
              <w:rPr>
                <w:b/>
                <w:color w:val="548235"/>
              </w:rPr>
              <w:t>Release gate</w:t>
              <w:br/>
            </w:r>
            <w:r>
              <w:t>Part 8 should be considered implemented only when every priority rule and interaction in the deployed application has a matching automated test, visible explanation, audit entry, and clinician-approved recommendation.</w:t>
            </w:r>
          </w:p>
        </w:tc>
      </w:tr>
    </w:tbl>
    <w:p>
      <w:pPr>
        <w:spacing w:after="20"/>
      </w:pPr>
    </w:p>
    <w:sectPr w:rsidR="00FC693F" w:rsidRPr="0006063C" w:rsidSect="00034616">
      <w:headerReference w:type="default" r:id="rId9"/>
      <w:footerReference w:type="default" r:id="rId10"/>
      <w:pgSz w:w="12240" w:h="15840"/>
      <w:pgMar w:top="893" w:right="979" w:bottom="893" w:left="979" w:header="403" w:footer="403"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Arial" w:hAnsi="Arial"/>
        <w:color w:val="666666"/>
        <w:sz w:val="14"/>
      </w:rPr>
      <w:t>Part 8 - Interaction Matrix Between Risk Factors | Explainable maternity CDSS</w:t>
    </w:r>
  </w:p>
  <w:p>
    <w:pPr>
      <w:jc w:val="center"/>
    </w:pPr>
    <w:r>
      <w:rPr>
        <w:sz w:val="14"/>
      </w:rPr>
      <w:t xml:space="preserve">Page </w:t>
      <w:fldChar w:fldCharType="begin"/>
      <w:instrText xml:space="preserve">PAGE</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Arial" w:hAnsi="Arial"/>
        <w:color w:val="666666"/>
        <w:sz w:val="14"/>
      </w:rPr>
      <w:t>DOCUMENT 4 | CLINICAL EVIDENCE SPECIFICATION</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90" w:line="254" w:lineRule="auto"/>
    </w:pPr>
    <w:rPr>
      <w:rFonts w:ascii="Arial" w:hAnsi="Arial"/>
      <w:sz w:val="18"/>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140" w:after="70"/>
      <w:outlineLvl w:val="0"/>
    </w:pPr>
    <w:rPr>
      <w:rFonts w:asciiTheme="majorHAnsi" w:eastAsiaTheme="majorEastAsia" w:hAnsiTheme="majorHAnsi" w:cstheme="majorBidi" w:ascii="Arial" w:hAnsi="Arial"/>
      <w:b/>
      <w:bCs/>
      <w:color w:val="17365D"/>
      <w:sz w:val="29"/>
      <w:szCs w:val="28"/>
    </w:rPr>
  </w:style>
  <w:style w:type="paragraph" w:styleId="Heading2">
    <w:name w:val="heading 2"/>
    <w:basedOn w:val="Normal"/>
    <w:next w:val="Normal"/>
    <w:link w:val="Heading2Char"/>
    <w:uiPriority w:val="9"/>
    <w:unhideWhenUsed/>
    <w:qFormat/>
    <w:rsid w:val="00FC693F"/>
    <w:pPr>
      <w:keepNext/>
      <w:keepLines/>
      <w:spacing w:before="140" w:after="70"/>
      <w:outlineLvl w:val="1"/>
    </w:pPr>
    <w:rPr>
      <w:rFonts w:asciiTheme="majorHAnsi" w:eastAsiaTheme="majorEastAsia" w:hAnsiTheme="majorHAnsi" w:cstheme="majorBidi" w:ascii="Arial" w:hAnsi="Arial"/>
      <w:b/>
      <w:bCs/>
      <w:color w:val="2F75B5"/>
      <w:sz w:val="23"/>
      <w:szCs w:val="26"/>
    </w:rPr>
  </w:style>
  <w:style w:type="paragraph" w:styleId="Heading3">
    <w:name w:val="heading 3"/>
    <w:basedOn w:val="Normal"/>
    <w:next w:val="Normal"/>
    <w:link w:val="Heading3Char"/>
    <w:uiPriority w:val="9"/>
    <w:unhideWhenUsed/>
    <w:qFormat/>
    <w:rsid w:val="00FC693F"/>
    <w:pPr>
      <w:keepNext/>
      <w:keepLines/>
      <w:spacing w:before="140" w:after="70"/>
      <w:outlineLvl w:val="2"/>
    </w:pPr>
    <w:rPr>
      <w:rFonts w:asciiTheme="majorHAnsi" w:eastAsiaTheme="majorEastAsia" w:hAnsiTheme="majorHAnsi" w:cstheme="majorBidi" w:ascii="Arial" w:hAnsi="Arial"/>
      <w:b/>
      <w:bCs/>
      <w:color w:val="1F1F1F"/>
      <w:sz w:val="20"/>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pBdr>
        <w:bottom w:val="single" w:sz="8" w:space="4" w:color="4F81BD" w:themeColor="accent1"/>
      </w:pBdr>
      <w:spacing w:after="70" w:line="240" w:lineRule="auto" w:before="140"/>
      <w:contextualSpacing/>
    </w:pPr>
    <w:rPr>
      <w:rFonts w:asciiTheme="majorHAnsi" w:eastAsiaTheme="majorEastAsia" w:hAnsiTheme="majorHAnsi" w:cstheme="majorBidi" w:ascii="Arial" w:hAnsi="Arial"/>
      <w:b/>
      <w:color w:val="17365D"/>
      <w:spacing w:val="5"/>
      <w:kern w:val="28"/>
      <w:sz w:val="4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keepNext/>
      <w:numPr>
        <w:ilvl w:val="1"/>
      </w:numPr>
      <w:spacing w:before="140" w:after="70"/>
    </w:pPr>
    <w:rPr>
      <w:rFonts w:asciiTheme="majorHAnsi" w:eastAsiaTheme="majorEastAsia" w:hAnsiTheme="majorHAnsi" w:cstheme="majorBidi" w:ascii="Arial" w:hAnsi="Arial"/>
      <w:b/>
      <w:i/>
      <w:iCs/>
      <w:color w:val="666666"/>
      <w:spacing w:val="15"/>
      <w:sz w:val="23"/>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allout">
    <w:name w:val="Callout"/>
    <w:pPr>
      <w:spacing w:after="30" w:line="240" w:lineRule="auto"/>
    </w:pPr>
    <w:rPr>
      <w:rFonts w:ascii="Arial" w:hAnsi="Arial"/>
      <w:b w:val="0"/>
      <w:color w:val="1F1F1F"/>
      <w:sz w:val="18"/>
    </w:rPr>
  </w:style>
  <w:style w:type="paragraph" w:customStyle="1" w:styleId="TableText">
    <w:name w:val="Table Text"/>
    <w:pPr>
      <w:spacing w:after="30" w:line="240" w:lineRule="auto"/>
    </w:pPr>
    <w:rPr>
      <w:rFonts w:ascii="Arial" w:hAnsi="Arial"/>
      <w:b w:val="0"/>
      <w:color w:val="1F1F1F"/>
      <w:sz w:val="15"/>
    </w:rPr>
  </w:style>
  <w:style w:type="paragraph" w:customStyle="1" w:styleId="TableHeader">
    <w:name w:val="Table Header"/>
    <w:pPr>
      <w:spacing w:after="30" w:line="240" w:lineRule="auto"/>
    </w:pPr>
    <w:rPr>
      <w:rFonts w:ascii="Arial" w:hAnsi="Arial"/>
      <w:b/>
      <w:color w:val="FFFFFF"/>
      <w:sz w:val="15"/>
    </w:rPr>
  </w:style>
  <w:style w:type="paragraph" w:customStyle="1" w:styleId="Reference">
    <w:name w:val="Reference"/>
    <w:pPr>
      <w:spacing w:after="30" w:line="240" w:lineRule="auto"/>
    </w:pPr>
    <w:rPr>
      <w:rFonts w:ascii="Arial" w:hAnsi="Arial"/>
      <w:b w:val="0"/>
      <w:color w:val="1F1F1F"/>
      <w:sz w:val="15"/>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hyperlink" Target="https://www.acog.org/clinical/clinical-guidance/obstetric-care-consensus/articles/2022/08/pregnancy-at-age-35-years-or-older" TargetMode="External"/><Relationship Id="rId12" Type="http://schemas.openxmlformats.org/officeDocument/2006/relationships/hyperlink" Target="https://www.acog.org/clinical/clinical-guidance/practice-advisory/articles/2021/12/low-dose-aspirin-use-for-the-prevention-of-preeclampsia-and-related-morbidity-and-mortality" TargetMode="External"/><Relationship Id="rId13" Type="http://schemas.openxmlformats.org/officeDocument/2006/relationships/hyperlink" Target="https://www.acog.org/clinical/clinical-guidance/committee-opinion/articles/2018/07/low-dose-aspirin-use-during-pregnancy" TargetMode="External"/><Relationship Id="rId14" Type="http://schemas.openxmlformats.org/officeDocument/2006/relationships/hyperlink" Target="https://www.nice.org.uk/guidance/ng133/chapter/recommendations" TargetMode="External"/><Relationship Id="rId15" Type="http://schemas.openxmlformats.org/officeDocument/2006/relationships/hyperlink" Target="https://www.nice.org.uk/guidance/NG3/chapter/recommendations" TargetMode="External"/><Relationship Id="rId16" Type="http://schemas.openxmlformats.org/officeDocument/2006/relationships/hyperlink" Target="https://www.acog.org/clinical/clinical-guidance/obstetric-care-consensus/articles/2018/12/placenta-accreta-spectrum" TargetMode="External"/><Relationship Id="rId17" Type="http://schemas.openxmlformats.org/officeDocument/2006/relationships/hyperlink" Target="https://www.who.int/publications/i/item/9789240104105" TargetMode="External"/><Relationship Id="rId18" Type="http://schemas.openxmlformats.org/officeDocument/2006/relationships/hyperlink" Target="https://www.who.int/news-room/fact-sheets/detail/anaemia" TargetMode="External"/><Relationship Id="rId19" Type="http://schemas.openxmlformats.org/officeDocument/2006/relationships/hyperlink" Target="https://www.who.int/publications/i/item/9789241549912/" TargetMode="External"/><Relationship Id="rId20" Type="http://schemas.openxmlformats.org/officeDocument/2006/relationships/hyperlink" Target="https://www.who.int/publications/i/item/9789240117044" TargetMode="External"/><Relationship Id="rId21" Type="http://schemas.openxmlformats.org/officeDocument/2006/relationships/hyperlink" Target="https://www.who.int/publications/i/item/9789241550437" TargetMode="External"/><Relationship Id="rId22" Type="http://schemas.openxmlformats.org/officeDocument/2006/relationships/hyperlink" Target="https://www.isuog.org/resource/isuog-practice-guidelines-performance-of-third-trimester-obstetric.html" TargetMode="External"/><Relationship Id="rId23" Type="http://schemas.openxmlformats.org/officeDocument/2006/relationships/hyperlink" Target="https://www.nice.org.uk/guidance/ng192/chapter/recommendations" TargetMode="External"/><Relationship Id="rId24" Type="http://schemas.openxmlformats.org/officeDocument/2006/relationships/hyperlink" Target="https://www.rcog.org.uk/guidance/browse-all-guidance/green-top-guidelines/recurrent-miscarriage-green-top-guideline-no-17/" TargetMode="External"/><Relationship Id="rId25" Type="http://schemas.openxmlformats.org/officeDocument/2006/relationships/hyperlink" Target="https://elibrary.judiciary.gov.ph/thebookshelf/showdocs/10/52132"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Document 4 Part 8 - Interaction Matrix Between Risk Factors</dc:title>
  <dc:subject>Combined-risk clinical evidence specification for an explainable maternity CDSS</dc:subject>
  <dc:creator>Capstone Research Team</dc:creator>
  <cp:keywords>CDSS, maternity, interaction matrix, combined risk, explainability, lying-in clinic</cp:keywords>
  <dc:description>generated by python-docx</dc:description>
  <cp:lastModifiedBy/>
  <cp:revision>1</cp:revision>
  <dcterms:created xsi:type="dcterms:W3CDTF">2013-12-23T23:15:00Z</dcterms:created>
  <dcterms:modified xsi:type="dcterms:W3CDTF">2013-12-23T23:15:00Z</dcterms:modified>
  <cp:category/>
</cp:coreProperties>
</file>