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DOCUMENT 1</w:t>
      </w:r>
    </w:p>
    <w:p>
      <w:pPr>
        <w:pStyle w:val="Title"/>
        <w:jc w:val="center"/>
      </w:pPr>
      <w:r>
        <w:t>Clinical Knowledge Base</w:t>
      </w:r>
    </w:p>
    <w:p>
      <w:pPr>
        <w:pStyle w:val="Title"/>
        <w:jc w:val="center"/>
      </w:pPr>
      <w:r>
        <w:t>Part 12</w:t>
      </w:r>
    </w:p>
    <w:p>
      <w:pPr>
        <w:pStyle w:val="Subtitle"/>
        <w:jc w:val="center"/>
      </w:pPr>
      <w:r>
        <w:t>Birth Preparedness, Final Evidence Synthesis, Knowledge Integration, and Transition to the Clinical Decision Support Decision Engine</w:t>
      </w:r>
    </w:p>
    <w:p>
      <w:pPr>
        <w:jc w:val="center"/>
      </w:pPr>
      <w:r>
        <w:t>Evidence-to-architecture specification for an explainable, referral-oriented maternity CDSS in a Philippine lying-in clinic</w:t>
      </w:r>
    </w:p>
    <w:p>
      <w:pPr>
        <w:jc w:val="center"/>
      </w:pPr>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60"/>
            </w:pPr>
            <w:r>
              <w:rPr>
                <w:rFonts w:ascii="Aptos" w:hAnsi="Aptos"/>
                <w:sz w:val="16"/>
              </w:rPr>
            </w:r>
            <w:r>
              <w:rPr>
                <w:rFonts w:ascii="Aptos" w:hAnsi="Aptos"/>
                <w:b/>
                <w:color w:val="17365D"/>
                <w:sz w:val="20"/>
              </w:rPr>
              <w:t>CLINICAL SAFETY STATEMENT</w:t>
            </w:r>
          </w:p>
          <w:p>
            <w:pPr>
              <w:spacing w:after="0" w:line="252" w:lineRule="auto"/>
            </w:pPr>
            <w:r>
              <w:rPr>
                <w:rFonts w:ascii="Aptos" w:hAnsi="Aptos"/>
                <w:sz w:val="16"/>
              </w:rPr>
              <w:t>This document defines a knowledge architecture for clinical decision support. It does not diagnose disease, predict labour outcome, prescribe medication, determine mode of birth, declare eligibility for lying-in delivery, or replace qualified clinical judgment. Emergency findings must activate the clinic's approved emergency and referral procedures without waiting for completion of routine software workflows.</w:t>
            </w:r>
          </w:p>
        </w:tc>
      </w:tr>
    </w:tbl>
    <w:p>
      <w:pPr>
        <w:spacing w:after="0"/>
      </w:pPr>
    </w:p>
    <w:p>
      <w:pPr>
        <w:jc w:val="center"/>
      </w:pPr>
      <w:r>
        <w:t>Prepared for the Web-Based Maternity Management System</w:t>
      </w:r>
    </w:p>
    <w:p>
      <w:pPr>
        <w:jc w:val="center"/>
      </w:pPr>
      <w:r>
        <w:t>Evidence reviewed through 19 July 2026</w:t>
      </w:r>
    </w:p>
    <w:p>
      <w:pPr>
        <w:jc w:val="center"/>
      </w:pPr>
      <w:r>
        <w:t>Version 1.0 | Architectural completion of Document 1</w:t>
      </w:r>
    </w:p>
    <w:p>
      <w:r>
        <w:br w:type="page"/>
      </w:r>
    </w:p>
    <w:p>
      <w:pPr>
        <w:pStyle w:val="Heading1"/>
      </w:pPr>
      <w:r>
        <w:t>Document Status</w:t>
      </w:r>
    </w:p>
    <w:p>
      <w:r>
        <w:t>Part 12 completes Document 1 - Clinical Knowledge Base. Parts 1-11 evaluated individual clinical domains; Part 12 integrates those domains into a single, computable and auditable knowledge architecture. It is the formal hand-off from evidence synthesis to Document 2 - Clinical Decision Support Decision Engine. It does not implement executable rules. Instead, it defines the inputs, relationships, precedence, confidence, outputs, data structures, and governance requirements that the future engine must satisfy.</w:t>
      </w:r>
    </w:p>
    <w:p>
      <w:r>
        <w:t>The chapter also completes the birth-preparedness pathway identified in Document 0. Birth Preparedness and Complication Readiness (BPCR) is represented as a planning and access-to-care domain, not as a diagnosis or a proxy for biological risk. A patient can have clinically reassuring findings but poor emergency readiness; conversely, a patient can have excellent preparedness and still require urgent referral because preparedness never neutralizes an abnormal finding.</w:t>
      </w:r>
    </w:p>
    <w:p>
      <w:pPr>
        <w:pStyle w:val="Heading1"/>
      </w:pPr>
      <w:r>
        <w:t>Executive Clinical Decision</w:t>
      </w:r>
    </w:p>
    <w:tbl>
      <w:tblPr>
        <w:tblStyle w:val="TableGrid"/>
        <w:tblW w:type="auto" w:w="0"/>
        <w:jc w:val="center"/>
        <w:tblLook w:firstColumn="1" w:firstRow="1" w:lastColumn="0" w:lastRow="0" w:noHBand="0" w:noVBand="1" w:val="04A0"/>
      </w:tblPr>
      <w:tblGrid>
        <w:gridCol w:w="10166"/>
      </w:tblGrid>
      <w:tr>
        <w:trPr>
          <w:cantSplit/>
        </w:trPr>
        <w:tc>
          <w:tcPr>
            <w:tcW w:type="dxa" w:w="10166"/>
            <w:shd w:fill="D9EAF7"/>
            <w:tcMar>
              <w:top w:w="110" w:type="dxa"/>
              <w:start w:w="130" w:type="dxa"/>
              <w:bottom w:w="110" w:type="dxa"/>
              <w:end w:w="130" w:type="dxa"/>
            </w:tcMar>
          </w:tcPr>
          <w:p>
            <w:pPr>
              <w:spacing w:after="60"/>
            </w:pPr>
            <w:r>
              <w:rPr>
                <w:rFonts w:ascii="Aptos" w:hAnsi="Aptos"/>
                <w:sz w:val="16"/>
              </w:rPr>
            </w:r>
            <w:r>
              <w:rPr>
                <w:rFonts w:ascii="Aptos" w:hAnsi="Aptos"/>
                <w:b/>
                <w:color w:val="17365D"/>
                <w:sz w:val="20"/>
              </w:rPr>
              <w:t>CORE ARCHITECTURAL DECISION</w:t>
            </w:r>
          </w:p>
          <w:p>
            <w:pPr>
              <w:spacing w:after="0" w:line="252" w:lineRule="auto"/>
            </w:pPr>
            <w:r>
              <w:rPr>
                <w:rFonts w:ascii="Aptos" w:hAnsi="Aptos"/>
                <w:sz w:val="16"/>
              </w:rPr>
              <w:t>The future CDSS must not collapse the pregnancy into one unsupported HIGH/LOW score. It must operate as a layered decision system that first checks emergency overrides, then evaluates data quality and confidence, then applies domain-specific evidence rules, then resolves interactions and conflicts, and finally produces an explainable action recommendation with referral and follow-up requirements.</w:t>
            </w:r>
          </w:p>
        </w:tc>
      </w:tr>
    </w:tbl>
    <w:p>
      <w:pPr>
        <w:spacing w:after="0"/>
      </w:pPr>
    </w:p>
    <w:p>
      <w:pPr>
        <w:pStyle w:val="ListBullet"/>
      </w:pPr>
      <w:r>
        <w:t>Birth preparedness is a continuously updated readiness plan. Missing transport, referral destination, communication, finances, support, or supplies should generate targeted planning actions; it must not be mislabeled as disease or used to predict labour outcome.</w:t>
      </w:r>
    </w:p>
    <w:p>
      <w:pPr>
        <w:pStyle w:val="ListBullet"/>
      </w:pPr>
      <w:r>
        <w:t>Current emergency findings have absolute precedence over historical factors, routine monitoring pathways, preparedness completeness, and any future aggregate index.</w:t>
      </w:r>
    </w:p>
    <w:p>
      <w:pPr>
        <w:pStyle w:val="ListBullet"/>
      </w:pPr>
      <w:r>
        <w:t>Measured observations, validated laboratory values, and documented ultrasound report findings may support higher-confidence rules when the required context, date, unit, source, and quality metadata are present.</w:t>
      </w:r>
    </w:p>
    <w:p>
      <w:pPr>
        <w:pStyle w:val="ListBullet"/>
      </w:pPr>
      <w:r>
        <w:t>Patient-reported history and symptoms remain clinically important but require explicit provenance. Lower evidentiary confidence must not be interpreted as lower urgency; a severe reported symptom can still trigger emergency evaluation.</w:t>
      </w:r>
    </w:p>
    <w:p>
      <w:pPr>
        <w:pStyle w:val="ListBullet"/>
      </w:pPr>
      <w:r>
        <w:t>Missing or contradictory data must produce uncertainty, verification, or incomplete-assessment outputs. The engine must never convert absence of documentation into a normal result.</w:t>
      </w:r>
    </w:p>
    <w:p>
      <w:pPr>
        <w:pStyle w:val="ListBullet"/>
      </w:pPr>
      <w:r>
        <w:t>Every output must expose the trigger, evidence, clinical reasoning, action, limitation, follow-up, and documentation requirement.</w:t>
      </w:r>
    </w:p>
    <w:p>
      <w:pPr>
        <w:pStyle w:val="ListBullet"/>
      </w:pPr>
      <w:r>
        <w:t>Referral is a managed workflow with destination, urgency, acceptance, transport, handover, refusal/waiver, completion, and outcome. A referral recommendation is not resolved merely because it was displayed.</w:t>
      </w:r>
    </w:p>
    <w:p>
      <w:pPr>
        <w:pStyle w:val="ListBullet"/>
      </w:pPr>
      <w:r>
        <w:t>Guideline disagreement must be stored as versioned rule metadata. The software must apply only the locally approved standard and must identify that standard in the explanation.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8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6"/>
              </w:rPr>
              <w:t>Decision layer</w:t>
            </w:r>
          </w:p>
        </w:tc>
        <w:tc>
          <w:tcPr>
            <w:tcW w:type="dxa" w:w="3816"/>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6"/>
              </w:rPr>
              <w:t>Primary question</w:t>
            </w:r>
          </w:p>
        </w:tc>
        <w:tc>
          <w:tcPr>
            <w:tcW w:type="dxa" w:w="48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6"/>
              </w:rPr>
              <w:t>CDSS output</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Emergency override</w:t>
            </w:r>
          </w:p>
        </w:tc>
        <w:tc>
          <w:tcPr>
            <w:tcW w:type="dxa" w:w="381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Is there a time-critical maternal or fetal warning pattern?</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Immediate emergency action or urgent same-day transfer; routine scoring is bypassed.</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Data adequacy and confidence</w:t>
            </w:r>
          </w:p>
        </w:tc>
        <w:tc>
          <w:tcPr>
            <w:tcW w:type="dxa" w:w="381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Are the relevant data current, interpretable, and attributable?</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Valid, uncertain, conflicting, outdated, or incomplete evidence state.</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Domain pathways</w:t>
            </w:r>
          </w:p>
        </w:tc>
        <w:tc>
          <w:tcPr>
            <w:tcW w:type="dxa" w:w="381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What does each evidence domain support?</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Monitoring, verification, planned review, referral planning, same-day assessment, or emergency action.</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Interaction resolution</w:t>
            </w:r>
          </w:p>
        </w:tc>
        <w:tc>
          <w:tcPr>
            <w:tcW w:type="dxa" w:w="381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Do combined findings change urgency or required facility capability?</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Escalated action with a transparent interaction explanation.</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Birth preparedness</w:t>
            </w:r>
          </w:p>
        </w:tc>
        <w:tc>
          <w:tcPr>
            <w:tcW w:type="dxa" w:w="381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Can the patient reach and use the planned level of care?</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Counselling, gap closure, contingency planning, and referral-logistics actions.</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Recommendation and follow-up</w:t>
            </w:r>
          </w:p>
        </w:tc>
        <w:tc>
          <w:tcPr>
            <w:tcW w:type="dxa" w:w="381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What should occur next and how will completion be verified?</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Action statement, timeframe, responsible person, referral status, safety net, and follow-up task.</w:t>
            </w:r>
          </w:p>
        </w:tc>
      </w:tr>
    </w:tbl>
    <w:p>
      <w:pPr>
        <w:spacing w:after="0"/>
      </w:pPr>
    </w:p>
    <w:p>
      <w:pPr>
        <w:pStyle w:val="Heading1"/>
      </w:pPr>
      <w:r>
        <w:t>1. Purpose and Scope</w:t>
      </w:r>
    </w:p>
    <w:p>
      <w:r>
        <w:t>Part 12 answers the system-level question: how should the evidence from maternal age, medical history, obstetric history, vital signs, laboratory results, gestational dating, fetal observations, ultrasound reports, warning symptoms, and birth preparedness be assembled into a unified knowledge model for a Philippine lying-in clinic? The answer must preserve the clinical meaning and limits of each source while producing computable relationships suitable for later implementation.</w:t>
      </w:r>
    </w:p>
    <w:p>
      <w:pPr>
        <w:pStyle w:val="Heading2"/>
      </w:pPr>
      <w:r>
        <w:t>1.1 Objectives</w:t>
      </w:r>
    </w:p>
    <w:p>
      <w:pPr>
        <w:pStyle w:val="ListNumber"/>
      </w:pPr>
      <w:r>
        <w:t>Define BPCR as a structured, revisable readiness pathway that supports safe access to care and emergency referral.</w:t>
      </w:r>
    </w:p>
    <w:p>
      <w:pPr>
        <w:pStyle w:val="ListNumber"/>
      </w:pPr>
      <w:r>
        <w:t>Integrate Parts 1-11 into one master clinical knowledge architecture without replacing their detailed evidence statements.</w:t>
      </w:r>
    </w:p>
    <w:p>
      <w:pPr>
        <w:pStyle w:val="ListNumber"/>
      </w:pPr>
      <w:r>
        <w:t>Define cross-factor interactions and precedence for the future decision engine.</w:t>
      </w:r>
    </w:p>
    <w:p>
      <w:pPr>
        <w:pStyle w:val="ListNumber"/>
      </w:pPr>
      <w:r>
        <w:t>Establish a unified recommendation grammar and explainability contract.</w:t>
      </w:r>
    </w:p>
    <w:p>
      <w:pPr>
        <w:pStyle w:val="ListNumber"/>
      </w:pPr>
      <w:r>
        <w:t>Produce a consolidated Laravel-ready database blueprint that preserves raw evidence, interpretation, provenance, confidence, action, and audit history.</w:t>
      </w:r>
    </w:p>
    <w:p>
      <w:pPr>
        <w:pStyle w:val="ListNumber"/>
      </w:pPr>
      <w:r>
        <w:t>Define evidence confidence, missing-data behavior, conflict handling, referral workflow, emergency override, rule versioning, and validation requirements.</w:t>
      </w:r>
    </w:p>
    <w:p>
      <w:pPr>
        <w:pStyle w:val="ListNumber"/>
      </w:pPr>
      <w:r>
        <w:t>Create the architectural hand-off to Document 2 without prematurely coding the engine.</w:t>
      </w:r>
    </w:p>
    <w:p>
      <w:pPr>
        <w:pStyle w:val="Heading2"/>
      </w:pPr>
      <w:r>
        <w:t>1.2 Scope boundary</w:t>
      </w:r>
    </w:p>
    <w:p>
      <w:r>
        <w:t>This chapter defines architecture, not clinical authority. It does not create new thresholds beyond those established and versioned in Parts 1-11. It does not infer diagnoses from combinations, calculate an unvalidated maternal risk probability, determine whether labour will be uncomplicated, select treatment, or authorize delivery in the lying-in clinic. Facility eligibility and final clinical decisions remain clinician-led and must conform to current Department of Health, local government, licensing, supervising-physician, and receiving-facility requirements.</w:t>
      </w:r>
    </w:p>
    <w:p>
      <w:pPr>
        <w:pStyle w:val="Heading2"/>
      </w:pPr>
      <w:r>
        <w:t>1.3 Clinical questions</w:t>
      </w:r>
    </w:p>
    <w:p>
      <w:pPr>
        <w:pStyle w:val="ListNumber"/>
      </w:pPr>
      <w:r>
        <w:t>Which BPCR elements should be collected, when should they be reviewed, and what action should follow a gap?</w:t>
      </w:r>
    </w:p>
    <w:p>
      <w:pPr>
        <w:pStyle w:val="ListNumber"/>
      </w:pPr>
      <w:r>
        <w:t>How should emergency signs override non-urgent rules and future scores?</w:t>
      </w:r>
    </w:p>
    <w:p>
      <w:pPr>
        <w:pStyle w:val="ListNumber"/>
      </w:pPr>
      <w:r>
        <w:t>How should historical factors modify interpretation without becoming automatic diagnoses?</w:t>
      </w:r>
    </w:p>
    <w:p>
      <w:pPr>
        <w:pStyle w:val="ListNumber"/>
      </w:pPr>
      <w:r>
        <w:t>How should gestational age control the interpretation of time-dependent findings?</w:t>
      </w:r>
    </w:p>
    <w:p>
      <w:pPr>
        <w:pStyle w:val="ListNumber"/>
      </w:pPr>
      <w:r>
        <w:t>How should the engine distinguish raw evidence, clinician interpretation, and software-generated recommendation?</w:t>
      </w:r>
    </w:p>
    <w:p>
      <w:pPr>
        <w:pStyle w:val="ListNumber"/>
      </w:pPr>
      <w:r>
        <w:t>How should conflicting guidelines, contradictory records, outdated measurements, and uncertain provenance be handled?</w:t>
      </w:r>
    </w:p>
    <w:p>
      <w:pPr>
        <w:pStyle w:val="ListNumber"/>
      </w:pPr>
      <w:r>
        <w:t>How should recommendations connect to referrals, follow-up tasks, patient communication, refusal documentation, and audit logs?</w:t>
      </w:r>
    </w:p>
    <w:p>
      <w:pPr>
        <w:pStyle w:val="Heading1"/>
      </w:pPr>
      <w:r>
        <w:t>2. Birth Preparedness and Complication Readiness</w:t>
      </w:r>
    </w:p>
    <w:p>
      <w:r>
        <w:t>WHO places education on birth preparedness and complication readiness within antenatal care throughout pregnancy and emphasizes more detailed birth and emergency planning in later pregnancy. WHO patient guidance describes a written plan covering the intended facility, transport, expected expenses, health-worker contacts, support persons and companion of choice, and supplies. For the CDSS, these recommendations translate into a structured readiness record that is reviewed repeatedly and linked to referral logistics. The system evaluates whether a plan exists, whether its elements are actionable, and whether gaps require counselling or escalation. It does not predict labour outcome or certify that a planned site is clinically appropriate.</w:t>
      </w:r>
    </w:p>
    <w:p>
      <w:pPr>
        <w:pStyle w:val="Heading2"/>
      </w:pPr>
      <w:r>
        <w:t>2.1 BPCR safety principle</w:t>
      </w:r>
    </w:p>
    <w:tbl>
      <w:tblPr>
        <w:tblStyle w:val="TableGrid"/>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60"/>
            </w:pPr>
            <w:r>
              <w:rPr>
                <w:rFonts w:ascii="Aptos" w:hAnsi="Aptos"/>
                <w:sz w:val="16"/>
              </w:rPr>
            </w:r>
            <w:r>
              <w:rPr>
                <w:rFonts w:ascii="Aptos" w:hAnsi="Aptos"/>
                <w:b/>
                <w:color w:val="BF9000"/>
                <w:sz w:val="20"/>
              </w:rPr>
              <w:t>INTERPRETATION RULE</w:t>
            </w:r>
          </w:p>
          <w:p>
            <w:pPr>
              <w:spacing w:after="0" w:line="252" w:lineRule="auto"/>
            </w:pPr>
            <w:r>
              <w:rPr>
                <w:rFonts w:ascii="Aptos" w:hAnsi="Aptos"/>
                <w:sz w:val="16"/>
              </w:rPr>
              <w:t>Preparedness is an access and response capability. It modifies whether a recommended action can be completed safely and promptly; it does not reduce the biological urgency of a clinical finding. A complete plan cannot downgrade an emergency. An incomplete plan cannot, by itself, diagnose a high-risk pregnancy.</w:t>
            </w:r>
          </w:p>
        </w:tc>
      </w:tr>
    </w:tbl>
    <w:p>
      <w:pPr>
        <w:spacing w:after="0"/>
      </w:pPr>
    </w:p>
    <w:p>
      <w:pPr>
        <w:pStyle w:val="Heading2"/>
      </w:pPr>
      <w:r>
        <w:t>2.2 Required BPCR domains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72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BPCR domain</w:t>
            </w:r>
          </w:p>
        </w:tc>
        <w:tc>
          <w:tcPr>
            <w:tcW w:type="dxa" w:w="316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Minimum structured content</w:t>
            </w:r>
          </w:p>
        </w:tc>
        <w:tc>
          <w:tcPr>
            <w:tcW w:type="dxa" w:w="324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CDSS interpretation</w:t>
            </w:r>
          </w:p>
        </w:tc>
        <w:tc>
          <w:tcPr>
            <w:tcW w:type="dxa" w:w="288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Permitted action</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Delivery facility planning</w:t>
            </w:r>
          </w:p>
        </w:tc>
        <w:tc>
          <w:tcPr>
            <w:tcW w:type="dxa" w:w="31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Intended facility; facility type; address/contact; clinician confirmation; date reviewed; capability relevant to current plan.</w:t>
            </w:r>
          </w:p>
        </w:tc>
        <w:tc>
          <w:tcPr>
            <w:tcW w:type="dxa" w:w="324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A named facility is not sufficient unless it can provide the required level of care and the plan is confirmed.</w:t>
            </w:r>
          </w:p>
        </w:tc>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Prompt confirmation, counselling, or higher-level facility planning. Never declare lying-in eligibility autonomously.</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Emergency transportation</w:t>
            </w:r>
          </w:p>
        </w:tc>
        <w:tc>
          <w:tcPr>
            <w:tcW w:type="dxa" w:w="31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Primary transport; driver/contact; availability day/night; travel time; backup transport; accessibility constraints.</w:t>
            </w:r>
          </w:p>
        </w:tc>
        <w:tc>
          <w:tcPr>
            <w:tcW w:type="dxa" w:w="324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Readiness depends on an actionable primary and contingency route.</w:t>
            </w:r>
          </w:p>
        </w:tc>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Create transport gap task; verify backup; escalate logistics when urgent referral is likely.</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Communication plan</w:t>
            </w:r>
          </w:p>
        </w:tc>
        <w:tc>
          <w:tcPr>
            <w:tcW w:type="dxa" w:w="31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Patient and household contacts; clinic number; receiving-facility number; emergency number; charging/load/network constraints.</w:t>
            </w:r>
          </w:p>
        </w:tc>
        <w:tc>
          <w:tcPr>
            <w:tcW w:type="dxa" w:w="324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Communication failure can delay recognition, referral, and handover.</w:t>
            </w:r>
          </w:p>
        </w:tc>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Provide written contacts; verify reachable numbers; document preferred communication method.</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Birth companion and support</w:t>
            </w:r>
          </w:p>
        </w:tc>
        <w:tc>
          <w:tcPr>
            <w:tcW w:type="dxa" w:w="31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Companion of choice; backup person; availability; consent; safeguarding or privacy constraints.</w:t>
            </w:r>
          </w:p>
        </w:tc>
        <w:tc>
          <w:tcPr>
            <w:tcW w:type="dxa" w:w="324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Support is person-centred and preference-sensitive; lack of companion is not a clinical diagnosis.</w:t>
            </w:r>
          </w:p>
        </w:tc>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Counselling and alternative support planning; do not force a companion.</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Financial preparedness</w:t>
            </w:r>
          </w:p>
        </w:tc>
        <w:tc>
          <w:tcPr>
            <w:tcW w:type="dxa" w:w="31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Expected transport/facility costs; PhilHealth or other coverage; available funds; emergency reserve; identified support.</w:t>
            </w:r>
          </w:p>
        </w:tc>
        <w:tc>
          <w:tcPr>
            <w:tcW w:type="dxa" w:w="324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Financial barriers may prevent completion of a clinically indicated referral.</w:t>
            </w:r>
          </w:p>
        </w:tc>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Social or administrative support action; document barrier; never change clinical urgency because payment is uncertain.</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Referral hospital</w:t>
            </w:r>
          </w:p>
        </w:tc>
        <w:tc>
          <w:tcPr>
            <w:tcW w:type="dxa" w:w="31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Primary receiving hospital; backup facility; reason for selection; capability; contact; acceptance pathway; route.</w:t>
            </w:r>
          </w:p>
        </w:tc>
        <w:tc>
          <w:tcPr>
            <w:tcW w:type="dxa" w:w="324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A referral destination must match the anticipated need and local network.</w:t>
            </w:r>
          </w:p>
        </w:tc>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Verify destination and handover process; update when clinical status changes.</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Emergency contingency planning</w:t>
            </w:r>
          </w:p>
        </w:tc>
        <w:tc>
          <w:tcPr>
            <w:tcW w:type="dxa" w:w="31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What to do for bleeding, seizure, severe pain, breathing difficulty, fluid loss, reduced movement, labour signs, or transport failure.</w:t>
            </w:r>
          </w:p>
        </w:tc>
        <w:tc>
          <w:tcPr>
            <w:tcW w:type="dxa" w:w="324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Contingency instructions convert danger-sign education into an actionable plan.</w:t>
            </w:r>
          </w:p>
        </w:tc>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Provide safety-net instructions in understandable language and document teach-back or acknowledgement.</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Essential supplies</w:t>
            </w:r>
          </w:p>
        </w:tc>
        <w:tc>
          <w:tcPr>
            <w:tcW w:type="dxa" w:w="31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Maternal identification/records, medicines currently prescribed, clean clothing/cloths, newborn items, hygiene supplies, and facility-specific requirements.</w:t>
            </w:r>
          </w:p>
        </w:tc>
        <w:tc>
          <w:tcPr>
            <w:tcW w:type="dxa" w:w="324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Supplies support readiness but must not delay emergency transfer.</w:t>
            </w:r>
          </w:p>
        </w:tc>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Checklist and reminder; explicitly state that emergency departure takes priority over packing.</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Dependent-care and household arrangements</w:t>
            </w:r>
          </w:p>
        </w:tc>
        <w:tc>
          <w:tcPr>
            <w:tcW w:type="dxa" w:w="31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Childcare, elder care, work, home access, animal care, and decision-maker arrangements where relevant.</w:t>
            </w:r>
          </w:p>
        </w:tc>
        <w:tc>
          <w:tcPr>
            <w:tcW w:type="dxa" w:w="324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Household responsibilities can create preventable delay.</w:t>
            </w:r>
          </w:p>
        </w:tc>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Planning support; document unresolved barrier.</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Blood donor or blood access information</w:t>
            </w:r>
          </w:p>
        </w:tc>
        <w:tc>
          <w:tcPr>
            <w:tcW w:type="dxa" w:w="31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Only where required by local protocol; record hospital blood-service plan rather than assuring availability.</w:t>
            </w:r>
          </w:p>
        </w:tc>
        <w:tc>
          <w:tcPr>
            <w:tcW w:type="dxa" w:w="324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The CDSS must not imply that a named donor guarantees blood availability or substitutes for hospital capability.</w:t>
            </w:r>
          </w:p>
        </w:tc>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Follow approved local policy; document referral-facility transfusion capability for relevant pathways.</w:t>
            </w:r>
          </w:p>
        </w:tc>
      </w:tr>
    </w:tbl>
    <w:p>
      <w:pPr>
        <w:spacing w:after="0"/>
      </w:pPr>
    </w:p>
    <w:p>
      <w:pPr>
        <w:pStyle w:val="Heading2"/>
      </w:pPr>
      <w:r>
        <w:t>2.3 Readiness status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80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Status</w:t>
            </w:r>
          </w:p>
        </w:tc>
        <w:tc>
          <w:tcPr>
            <w:tcW w:type="dxa" w:w="432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Definition</w:t>
            </w:r>
          </w:p>
        </w:tc>
        <w:tc>
          <w:tcPr>
            <w:tcW w:type="dxa" w:w="48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CDSS behavior</w:t>
            </w:r>
          </w:p>
        </w:tc>
      </w:tr>
      <w:tr>
        <w:trPr>
          <w:cantSplit/>
          <w:cantSplit/>
        </w:trPr>
        <w:tc>
          <w:tcPr>
            <w:tcW w:type="dxa" w:w="180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COMPLETE AND VERIFIED</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All locally required elements are present, current, and confirmed as actionable.</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Continue periodic review; reassess when clinical findings, residence, facility plan, or gestational stage changes.</w:t>
            </w:r>
          </w:p>
        </w:tc>
      </w:tr>
      <w:tr>
        <w:trPr>
          <w:cantSplit/>
          <w:cantSplit/>
        </w:trPr>
        <w:tc>
          <w:tcPr>
            <w:tcW w:type="dxa" w:w="180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PARTIALLY COMPLETE</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 plan exists but one or more non-critical elements are missing or unverified.</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Generate specific gap-closure tasks; do not use a generic negative label.</w:t>
            </w:r>
          </w:p>
        </w:tc>
      </w:tr>
      <w:tr>
        <w:trPr>
          <w:cantSplit/>
          <w:cantSplit/>
        </w:trPr>
        <w:tc>
          <w:tcPr>
            <w:tcW w:type="dxa" w:w="180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CRITICAL GAP</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 missing element could materially delay a foreseeable urgent referral, such as no transport, no reachable contact, or no appropriate referral destination.</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Escalate counselling and logistics planning; alert clinician when the gap interacts with a known clinical concern.</w:t>
            </w:r>
          </w:p>
        </w:tc>
      </w:tr>
      <w:tr>
        <w:trPr>
          <w:cantSplit/>
          <w:cantSplit/>
        </w:trPr>
        <w:tc>
          <w:tcPr>
            <w:tcW w:type="dxa" w:w="180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NOT ASSESSED</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No current BPCR assessment exists.</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Mark preparedness unknown and create an assessment task; do not assume absence of readiness.</w:t>
            </w:r>
          </w:p>
        </w:tc>
      </w:tr>
      <w:tr>
        <w:trPr>
          <w:cantSplit/>
          <w:cantSplit/>
        </w:trPr>
        <w:tc>
          <w:tcPr>
            <w:tcW w:type="dxa" w:w="180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DECLINED / UNABLE TO COMPLETE</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The patient declines an element or cannot resolve it because of resources, access, safety, or social circumstances.</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Record reason respectfully; offer alternatives; preserve clinical recommendation and document unresolved barrier.</w:t>
            </w:r>
          </w:p>
        </w:tc>
      </w:tr>
      <w:tr>
        <w:trPr>
          <w:cantSplit/>
          <w:cantSplit/>
        </w:trPr>
        <w:tc>
          <w:tcPr>
            <w:tcW w:type="dxa" w:w="180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OUTDATED</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The plan was completed previously but may no longer apply.</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Require review after address, contact, facility, clinical status, or pregnancy episode changes.</w:t>
            </w:r>
          </w:p>
        </w:tc>
      </w:tr>
    </w:tbl>
    <w:p>
      <w:pPr>
        <w:spacing w:after="0"/>
      </w:pPr>
    </w:p>
    <w:p>
      <w:pPr>
        <w:pStyle w:val="Heading2"/>
      </w:pPr>
      <w:r>
        <w:t>2.4 Timing and review</w:t>
      </w:r>
    </w:p>
    <w:p>
      <w:r>
        <w:t>The BPCR record should be initiated early enough to identify access barriers, reviewed throughout antenatal care, and given a formal completeness review in the third trimester. Event-driven review is equally important. A new referral recommendation, previous cesarean plan, abnormal presentation, severe anemia, diabetes requiring specialist care, uncertain gestational dating, recurrent warning symptoms, relocation, or change in transport availability must reopen the plan. The database therefore requires both an overall status and versioned element-level observations with review dates.</w:t>
      </w:r>
    </w:p>
    <w:p>
      <w:pPr>
        <w:pStyle w:val="Heading2"/>
      </w:pPr>
      <w:r>
        <w:t>2.5 BPCR interactions with clinical pathways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8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Clinical context</w:t>
            </w:r>
          </w:p>
        </w:tc>
        <w:tc>
          <w:tcPr>
            <w:tcW w:type="dxa" w:w="3816"/>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Preparedness interaction</w:t>
            </w:r>
          </w:p>
        </w:tc>
        <w:tc>
          <w:tcPr>
            <w:tcW w:type="dxa" w:w="496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Resulting CDSS behavior</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No current clinical concern</w:t>
            </w:r>
          </w:p>
        </w:tc>
        <w:tc>
          <w:tcPr>
            <w:tcW w:type="dxa" w:w="381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Readiness gaps remain relevant to safe access but do not create a disease label.</w:t>
            </w:r>
          </w:p>
        </w:tc>
        <w:tc>
          <w:tcPr>
            <w:tcW w:type="dxa" w:w="49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Counselling, reminders, and routine gap closure.</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Planned specialist or hospital birth</w:t>
            </w:r>
          </w:p>
        </w:tc>
        <w:tc>
          <w:tcPr>
            <w:tcW w:type="dxa" w:w="381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Facility, transport, communication, finance, and companion plans must support the documented clinical plan.</w:t>
            </w:r>
          </w:p>
        </w:tc>
        <w:tc>
          <w:tcPr>
            <w:tcW w:type="dxa" w:w="49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Expedited planning and verification; unresolved critical gaps remain visible.</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Urgent same-day referral</w:t>
            </w:r>
          </w:p>
        </w:tc>
        <w:tc>
          <w:tcPr>
            <w:tcW w:type="dxa" w:w="381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Transport and receiving-facility contacts become operational tasks, not merely counselling items.</w:t>
            </w:r>
          </w:p>
        </w:tc>
        <w:tc>
          <w:tcPr>
            <w:tcW w:type="dxa" w:w="49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Activate referral workflow; record departure, acceptance, handover, and barriers.</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Emergency transfer</w:t>
            </w:r>
          </w:p>
        </w:tc>
        <w:tc>
          <w:tcPr>
            <w:tcW w:type="dxa" w:w="381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Packing, finance completion, and routine documentation cannot delay transfer.</w:t>
            </w:r>
          </w:p>
        </w:tc>
        <w:tc>
          <w:tcPr>
            <w:tcW w:type="dxa" w:w="49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Emergency override; use available plan data and complete documentation after immediate actions.</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Referral refusal</w:t>
            </w:r>
          </w:p>
        </w:tc>
        <w:tc>
          <w:tcPr>
            <w:tcW w:type="dxa" w:w="381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Preparedness status does not close the referral.</w:t>
            </w:r>
          </w:p>
        </w:tc>
        <w:tc>
          <w:tcPr>
            <w:tcW w:type="dxa" w:w="49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Record informed discussion, reason, safety-net instructions, clinician response, witness/waiver per policy, and ongoing unresolved recommendation.</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Change in recommended facility</w:t>
            </w:r>
          </w:p>
        </w:tc>
        <w:tc>
          <w:tcPr>
            <w:tcW w:type="dxa" w:w="381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Previous “complete” status may become invalid.</w:t>
            </w:r>
          </w:p>
        </w:tc>
        <w:tc>
          <w:tcPr>
            <w:tcW w:type="dxa" w:w="49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Reassess distance, transport, finances, contacts, and backup plan for the new destination.</w:t>
            </w:r>
          </w:p>
        </w:tc>
      </w:tr>
    </w:tbl>
    <w:p>
      <w:pPr>
        <w:spacing w:after="0"/>
      </w:pPr>
    </w:p>
    <w:p>
      <w:pPr>
        <w:pStyle w:val="Heading1"/>
      </w:pPr>
      <w:r>
        <w:t>3. Master Clinical Knowledge Architecture</w:t>
      </w:r>
    </w:p>
    <w:p>
      <w:r>
        <w:t>The knowledge architecture is a directed, layered model rather than a flat checklist. Every evidence item enters with provenance, date, pregnancy episode, data quality, and confidence. Domain pathways interpret only the questions they are authorized to address. A coordination layer then resolves temporal relationships, interactions, and urgency. Referral and recommendation services convert the clinical interpretation into an actionable workflow, while the emergency override remains independent and dominant.</w:t>
      </w:r>
    </w:p>
    <w:p>
      <w:pPr>
        <w:pStyle w:val="Heading2"/>
      </w:pPr>
      <w:r>
        <w:t>3.1 Architectural sequence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6"/>
              </w:rPr>
              <w:t>Layer</w:t>
            </w:r>
          </w:p>
        </w:tc>
        <w:tc>
          <w:tcPr>
            <w:tcW w:type="dxa" w:w="820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6"/>
              </w:rPr>
              <w:t>CDSS translation</w:t>
            </w:r>
          </w:p>
        </w:tc>
      </w:tr>
      <w:tr>
        <w:trPr>
          <w:cantSplit/>
          <w:cantSplit/>
        </w:trPr>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1. Pregnancy episode and identity boundary</w:t>
            </w:r>
          </w:p>
        </w:tc>
        <w:tc>
          <w:tcPr>
            <w:tcW w:type="dxa" w:w="820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Confirm that all evidence belongs to the current pregnancy episode. Prevent results from a previous pregnancy from silently entering current logic.</w:t>
            </w:r>
          </w:p>
        </w:tc>
      </w:tr>
      <w:tr>
        <w:trPr>
          <w:cantSplit/>
          <w:cantSplit/>
        </w:trPr>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2. Gestational-age context</w:t>
            </w:r>
          </w:p>
        </w:tc>
        <w:tc>
          <w:tcPr>
            <w:tcW w:type="dxa" w:w="820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Use the accepted best obstetric estimate, source, and confidence to interpret time-dependent findings. Uncertain dating propagates uncertainty rather than being treated as normal.</w:t>
            </w:r>
          </w:p>
        </w:tc>
      </w:tr>
      <w:tr>
        <w:trPr>
          <w:cantSplit/>
          <w:cantSplit/>
        </w:trPr>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3. Emergency screening</w:t>
            </w:r>
          </w:p>
        </w:tc>
        <w:tc>
          <w:tcPr>
            <w:tcW w:type="dxa" w:w="820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Evaluate current maternal warning symptoms, severe vital-sign patterns, major bleeding, seizure, altered consciousness, serious respiratory/cardiac symptoms, absent/reduced fetal movement concerns, and other defined overrides.</w:t>
            </w:r>
          </w:p>
        </w:tc>
      </w:tr>
      <w:tr>
        <w:trPr>
          <w:cantSplit/>
          <w:cantSplit/>
        </w:trPr>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4. Data-quality and confidence assessment</w:t>
            </w:r>
          </w:p>
        </w:tc>
        <w:tc>
          <w:tcPr>
            <w:tcW w:type="dxa" w:w="820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Validate units, source, recency, technique, completeness, duplication, contradictions, and clinician confirmation.</w:t>
            </w:r>
          </w:p>
        </w:tc>
      </w:tr>
      <w:tr>
        <w:trPr>
          <w:cantSplit/>
          <w:cantSplit/>
        </w:trPr>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5. Domain reasoning</w:t>
            </w:r>
          </w:p>
        </w:tc>
        <w:tc>
          <w:tcPr>
            <w:tcW w:type="dxa" w:w="820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Run age, medical-history, obstetric-history, blood-pressure, diabetes, anemia, fetal-observation, ultrasound-report, and BPCR pathways independently.</w:t>
            </w:r>
          </w:p>
        </w:tc>
      </w:tr>
      <w:tr>
        <w:trPr>
          <w:cantSplit/>
          <w:cantSplit/>
        </w:trPr>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6. Interaction resolution</w:t>
            </w:r>
          </w:p>
        </w:tc>
        <w:tc>
          <w:tcPr>
            <w:tcW w:type="dxa" w:w="820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Combine only evidence-supported interactions. Do not infer a new diagnosis merely because multiple factors coexist.</w:t>
            </w:r>
          </w:p>
        </w:tc>
      </w:tr>
      <w:tr>
        <w:trPr>
          <w:cantSplit/>
          <w:cantSplit/>
        </w:trPr>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7. Facility-capability assessment</w:t>
            </w:r>
          </w:p>
        </w:tc>
        <w:tc>
          <w:tcPr>
            <w:tcW w:type="dxa" w:w="820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Determine whether the recommended assessment or birth plan exceeds the lying-in clinic's approved capability.</w:t>
            </w:r>
          </w:p>
        </w:tc>
      </w:tr>
      <w:tr>
        <w:trPr>
          <w:cantSplit/>
          <w:cantSplit/>
        </w:trPr>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8. Referral and recommendation generation</w:t>
            </w:r>
          </w:p>
        </w:tc>
        <w:tc>
          <w:tcPr>
            <w:tcW w:type="dxa" w:w="820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Select the action class, timeframe, destination requirements, follow-up, safety-net instructions, and documentation tasks.</w:t>
            </w:r>
          </w:p>
        </w:tc>
      </w:tr>
      <w:tr>
        <w:trPr>
          <w:cantSplit/>
          <w:cantSplit/>
        </w:trPr>
        <w:tc>
          <w:tcPr>
            <w:tcW w:type="dxa" w:w="288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9. Explainability and clinician review</w:t>
            </w:r>
          </w:p>
        </w:tc>
        <w:tc>
          <w:tcPr>
            <w:tcW w:type="dxa" w:w="820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6"/>
              </w:rPr>
              <w:t>Display the complete reasoning chain and allow the clinician to accept, modify, defer, override, or reject with a documented rationale.</w:t>
            </w:r>
          </w:p>
        </w:tc>
      </w:tr>
      <w:tr>
        <w:trPr>
          <w:cantSplit/>
          <w:cantSplit/>
        </w:trPr>
        <w:tc>
          <w:tcPr>
            <w:tcW w:type="dxa" w:w="288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10. Audit and learning</w:t>
            </w:r>
          </w:p>
        </w:tc>
        <w:tc>
          <w:tcPr>
            <w:tcW w:type="dxa" w:w="820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6"/>
              </w:rPr>
              <w:t>Store input snapshots, rule versions, generated outputs, clinician action, referral completion, and outcome for validation and governance.</w:t>
            </w:r>
          </w:p>
        </w:tc>
      </w:tr>
    </w:tbl>
    <w:p>
      <w:pPr>
        <w:spacing w:after="0"/>
      </w:pPr>
    </w:p>
    <w:p>
      <w:pPr>
        <w:pStyle w:val="Heading2"/>
      </w:pPr>
      <w:r>
        <w:t>3.2 Domain roles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94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Domain</w:t>
            </w:r>
          </w:p>
        </w:tc>
        <w:tc>
          <w:tcPr>
            <w:tcW w:type="dxa" w:w="48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Primary role in the architecture</w:t>
            </w:r>
          </w:p>
        </w:tc>
        <w:tc>
          <w:tcPr>
            <w:tcW w:type="dxa" w:w="439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What it must not do alone</w:t>
            </w:r>
          </w:p>
        </w:tc>
      </w:tr>
      <w:tr>
        <w:trPr>
          <w:cantSplit/>
          <w:cantSplit/>
        </w:trPr>
        <w:tc>
          <w:tcPr>
            <w:tcW w:type="dxa" w:w="19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Maternal age</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Contextual modifier for care planning, comorbidity review, safeguarding, and specialist planning.</w:t>
            </w:r>
          </w:p>
        </w:tc>
        <w:tc>
          <w:tcPr>
            <w:tcW w:type="dxa" w:w="43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Produce an emergency or mode-of-birth decision solely from age.</w:t>
            </w:r>
          </w:p>
        </w:tc>
      </w:tr>
      <w:tr>
        <w:trPr>
          <w:cantSplit/>
          <w:cantSplit/>
        </w:trPr>
        <w:tc>
          <w:tcPr>
            <w:tcW w:type="dxa" w:w="19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Medical history</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Identify known conditions, medication concerns, prior diagnoses, and need for qualified review.</w:t>
            </w:r>
          </w:p>
        </w:tc>
        <w:tc>
          <w:tcPr>
            <w:tcW w:type="dxa" w:w="43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Convert an unverified checkbox into a confirmed diagnosis.</w:t>
            </w:r>
          </w:p>
        </w:tc>
      </w:tr>
      <w:tr>
        <w:trPr>
          <w:cantSplit/>
          <w:cantSplit/>
        </w:trPr>
        <w:tc>
          <w:tcPr>
            <w:tcW w:type="dxa" w:w="19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Obstetric history</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Represent gravida/para, previous outcomes, cesarean history, spacing, and event-specific pathways.</w:t>
            </w:r>
          </w:p>
        </w:tc>
        <w:tc>
          <w:tcPr>
            <w:tcW w:type="dxa" w:w="43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Treat parity or miscarriage count as a universal automatic HIGH rule.</w:t>
            </w:r>
          </w:p>
        </w:tc>
      </w:tr>
      <w:tr>
        <w:trPr>
          <w:cantSplit/>
          <w:cantSplit/>
        </w:trPr>
        <w:tc>
          <w:tcPr>
            <w:tcW w:type="dxa" w:w="19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Gestational age</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Provide the temporal reference for interpretation, scheduling, fetal assessment, symptoms, and birth planning.</w:t>
            </w:r>
          </w:p>
        </w:tc>
        <w:tc>
          <w:tcPr>
            <w:tcW w:type="dxa" w:w="43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Silently re-date the pregnancy or treat uncertain dating as a diagnosis.</w:t>
            </w:r>
          </w:p>
        </w:tc>
      </w:tr>
      <w:tr>
        <w:trPr>
          <w:cantSplit/>
          <w:cantSplit/>
        </w:trPr>
        <w:tc>
          <w:tcPr>
            <w:tcW w:type="dxa" w:w="19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Vital signs</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Provide current objective observations and trends, with measurement-quality checks.</w:t>
            </w:r>
          </w:p>
        </w:tc>
        <w:tc>
          <w:tcPr>
            <w:tcW w:type="dxa" w:w="43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Diagnose hypertensive disorders from one unverified reading.</w:t>
            </w:r>
          </w:p>
        </w:tc>
      </w:tr>
      <w:tr>
        <w:trPr>
          <w:cantSplit/>
          <w:cantSplit/>
        </w:trPr>
        <w:tc>
          <w:tcPr>
            <w:tcW w:type="dxa" w:w="19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Laboratory findings</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Provide objective results under named standards, with units, date, source, and reference context.</w:t>
            </w:r>
          </w:p>
        </w:tc>
        <w:tc>
          <w:tcPr>
            <w:tcW w:type="dxa" w:w="43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Infer disease cause, prescribe, or treat missing results as normal.</w:t>
            </w:r>
          </w:p>
        </w:tc>
      </w:tr>
      <w:tr>
        <w:trPr>
          <w:cantSplit/>
          <w:cantSplit/>
        </w:trPr>
        <w:tc>
          <w:tcPr>
            <w:tcW w:type="dxa" w:w="19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Fetal observations</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Support detection of concern through FHR presence/rate, movement concerns, and SFH trend.</w:t>
            </w:r>
          </w:p>
        </w:tc>
        <w:tc>
          <w:tcPr>
            <w:tcW w:type="dxa" w:w="43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Diagnose fetal distress, death, growth restriction, or macrosomia.</w:t>
            </w:r>
          </w:p>
        </w:tc>
      </w:tr>
      <w:tr>
        <w:trPr>
          <w:cantSplit/>
          <w:cantSplit/>
        </w:trPr>
        <w:tc>
          <w:tcPr>
            <w:tcW w:type="dxa" w:w="19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Ultrasound findings</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Store report-level observations and clinician interpretations from an external qualified service.</w:t>
            </w:r>
          </w:p>
        </w:tc>
        <w:tc>
          <w:tcPr>
            <w:tcW w:type="dxa" w:w="43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Interpret images, calculate biometry, or autonomously determine management.</w:t>
            </w:r>
          </w:p>
        </w:tc>
      </w:tr>
      <w:tr>
        <w:trPr>
          <w:cantSplit/>
          <w:cantSplit/>
        </w:trPr>
        <w:tc>
          <w:tcPr>
            <w:tcW w:type="dxa" w:w="19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Warning symptoms</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Drive response classification and emergency override using severity, associated findings, and stability.</w:t>
            </w:r>
          </w:p>
        </w:tc>
        <w:tc>
          <w:tcPr>
            <w:tcW w:type="dxa" w:w="43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Diagnose the cause of a symptom.</w:t>
            </w:r>
          </w:p>
        </w:tc>
      </w:tr>
      <w:tr>
        <w:trPr>
          <w:cantSplit/>
          <w:cantSplit/>
        </w:trPr>
        <w:tc>
          <w:tcPr>
            <w:tcW w:type="dxa" w:w="19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Birth preparedness</w:t>
            </w:r>
          </w:p>
        </w:tc>
        <w:tc>
          <w:tcPr>
            <w:tcW w:type="dxa" w:w="48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Assess access, logistics, and complication readiness.</w:t>
            </w:r>
          </w:p>
        </w:tc>
        <w:tc>
          <w:tcPr>
            <w:tcW w:type="dxa" w:w="43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Predict labour or offset clinical urgency.</w:t>
            </w:r>
          </w:p>
        </w:tc>
      </w:tr>
      <w:tr>
        <w:trPr>
          <w:cantSplit/>
          <w:cantSplit/>
        </w:trPr>
        <w:tc>
          <w:tcPr>
            <w:tcW w:type="dxa" w:w="19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Referral</w:t>
            </w:r>
          </w:p>
        </w:tc>
        <w:tc>
          <w:tcPr>
            <w:tcW w:type="dxa" w:w="48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Operationalize transfer of care and verify completion.</w:t>
            </w:r>
          </w:p>
        </w:tc>
        <w:tc>
          <w:tcPr>
            <w:tcW w:type="dxa" w:w="43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Act as primary clinical evidence or mark a concern resolved merely because a referral was created.</w:t>
            </w:r>
          </w:p>
        </w:tc>
      </w:tr>
    </w:tbl>
    <w:p>
      <w:pPr>
        <w:spacing w:after="0"/>
      </w:pPr>
    </w:p>
    <w:p>
      <w:pPr>
        <w:pStyle w:val="Heading2"/>
      </w:pPr>
      <w:r>
        <w:t>3.3 Master information flow</w:t>
      </w:r>
    </w:p>
    <w:tbl>
      <w:tblPr>
        <w:tblStyle w:val="TableGrid"/>
        <w:tblW w:type="auto" w:w="0"/>
        <w:jc w:val="center"/>
        <w:tblLook w:firstColumn="1" w:firstRow="1" w:lastColumn="0" w:lastRow="0" w:noHBand="0" w:noVBand="1" w:val="04A0"/>
      </w:tblPr>
      <w:tblGrid>
        <w:gridCol w:w="10166"/>
      </w:tblGrid>
      <w:tr>
        <w:trPr>
          <w:cantSplit/>
        </w:trPr>
        <w:tc>
          <w:tcPr>
            <w:tcW w:type="dxa" w:w="10166"/>
            <w:shd w:fill="D9EAF7"/>
            <w:tcMar>
              <w:top w:w="110" w:type="dxa"/>
              <w:start w:w="130" w:type="dxa"/>
              <w:bottom w:w="110" w:type="dxa"/>
              <w:end w:w="130" w:type="dxa"/>
            </w:tcMar>
          </w:tcPr>
          <w:p>
            <w:pPr>
              <w:spacing w:after="60"/>
            </w:pPr>
            <w:r>
              <w:rPr>
                <w:rFonts w:ascii="Aptos" w:hAnsi="Aptos"/>
                <w:sz w:val="16"/>
              </w:rPr>
            </w:r>
            <w:r>
              <w:rPr>
                <w:rFonts w:ascii="Aptos" w:hAnsi="Aptos"/>
                <w:b/>
                <w:color w:val="17365D"/>
                <w:sz w:val="20"/>
              </w:rPr>
              <w:t>MASTER FLOW</w:t>
            </w:r>
          </w:p>
          <w:p>
            <w:pPr>
              <w:spacing w:after="0" w:line="252" w:lineRule="auto"/>
            </w:pPr>
            <w:r>
              <w:rPr>
                <w:rFonts w:ascii="Aptos" w:hAnsi="Aptos"/>
                <w:sz w:val="16"/>
              </w:rPr>
              <w:t>Maternal age -&gt; medical history -&gt; obstetric history -&gt; gestational-age context -&gt; vital signs -&gt; laboratory findings -&gt; fetal observations -&gt; ultrasound report findings -&gt; warning symptoms -&gt; birth preparedness -&gt; facility-capability check -&gt; referral -&gt; recommendation -&gt; emergency override precedence -&gt; follow-up and audit.</w:t>
            </w:r>
          </w:p>
        </w:tc>
      </w:tr>
    </w:tbl>
    <w:p>
      <w:pPr>
        <w:spacing w:after="0"/>
      </w:pPr>
    </w:p>
    <w:p>
      <w:r>
        <w:t>This sequence is conceptual, not a rigid screen order. Emergency screening must remain available at every point. The user interface may collect data in the clinic's natural workflow, but the engine must normalize all inputs into the same internal knowledge model before issuing a recommendation.</w:t>
      </w:r>
    </w:p>
    <w:p>
      <w:pPr>
        <w:pStyle w:val="Heading1"/>
      </w:pPr>
      <w:r>
        <w:t>4. Master Clinical Interaction Matrix</w:t>
      </w:r>
    </w:p>
    <w:p>
      <w:r>
        <w:t>The matrix below defines the interaction questions that Document 2 must operationalize. It does not create new diagnostic rules. Each row states how one factor changes the interpretation, urgency, confidence, or operational response of another factor.</w:t>
      </w:r>
    </w:p>
    <w:p>
      <w:pPr>
        <w:sectPr>
          <w:headerReference w:type="default" r:id="rId9"/>
          <w:footerReference w:type="default" r:id="rId10"/>
          <w:pgSz w:w="12240" w:h="15840"/>
          <w:pgMar w:top="936" w:right="1037" w:bottom="936" w:left="1037"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cantSplit/>
        </w:trPr>
        <w:tc>
          <w:tcPr>
            <w:tcW w:type="dxa" w:w="223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3"/>
              </w:rPr>
              <w:t>Factor A</w:t>
            </w:r>
          </w:p>
        </w:tc>
        <w:tc>
          <w:tcPr>
            <w:tcW w:type="dxa" w:w="259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3"/>
              </w:rPr>
              <w:t>Factor B</w:t>
            </w:r>
          </w:p>
        </w:tc>
        <w:tc>
          <w:tcPr>
            <w:tcW w:type="dxa" w:w="655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3"/>
              </w:rPr>
              <w:t>Interaction meaning for the CDSS</w:t>
            </w:r>
          </w:p>
        </w:tc>
        <w:tc>
          <w:tcPr>
            <w:tcW w:type="dxa" w:w="352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3"/>
              </w:rPr>
              <w:t>Action consequence</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Maternal age</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Parity / obstetric history</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Adolescent or older age changes the relevance of first pregnancy, comorbidity, prior outcomes, and support needs.</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Contextual review; no age-only emergency.</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Maternal age</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Diabetes / hypertension / anemia</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Age may increase prior probability or complexity but objective findings and confirmed diagnoses determine action.</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Enhanced assessment or specialist planning when combined.</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Medical history</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Current symptoms</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 known cardiac, respiratory, renal, neurologic, endocrine, or thrombotic condition can make a symptom more urgent.</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Escalate response based on condition-specific risk and stability.</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Medical history</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Medication status</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Medication name, indication, prescriber, adherence, and pregnancy review affect safety.</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Prompt qualified medication review; never stop or prescribe autonomously.</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Obstetric history</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Current bleeding or pain</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Previous ectopic, molar pregnancy, loss, abruption, or cesarean scar changes differential concern.</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Urgent assessment pathway; current instability overrides history scoring.</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Previous cesarean</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Placental location / presentation / labour signs</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Scar plus placenta previa/low-lying placenta, abnormal presentation, bleeding, pain, or labour creates higher-level facility needs.</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Specialist/hospital pathway; emergency transfer for acute warning signs.</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Gravida/para</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Age / anemia / prior PPH</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Grand multiparity is meaningful mainly through associated age, anemia, hemorrhage, placental, and current findings.</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Review trigger, not automatic emergency.</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Gestational age</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Blood pressure</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Timing before or after 20 weeks changes clinical interpretation, but threshold findings still require verification and action.</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Display timing and history; do not diagnose pre-eclampsia automatically.</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Gestational age</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Anemia</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Trimester determines the cutoff under some standards and proximity to birth affects urgency and planning.</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Apply selected standard/version; elevate review near birth where supported.</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Gestational age</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Fetal heart / movement / SFH</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Detectability, expected movement discussion, measurement eligibility, and trend interpretation depend on GA.</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Suppress unsupported interpretation; expose dating uncertainty.</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Gestational age</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Ultrasound</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Early ultrasound supports dating; later ultrasound is less precise for redating and findings are interpreted in temporal context.</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Preserve accepted EDD; require clinician-authorized re-dating.</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Blood pressure</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Headache / visual change / epigastric pain / dyspnea / seizure</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Symptoms can make even incomplete or not-yet-confirmed BP data urgent.</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Emergency or same-day override; no reassurance from a lower score.</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Blood pressure</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Fetal growth / movement concerns</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Hypertension-related placental risk increases the significance of fetal concern.</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Prompt hospital/obstetric assessment according to current findings.</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Diabetes</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Fetal growth / fluid / presentation</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Confirmed diabetes and report-level ultrasound findings may alter monitoring and birth-facility planning.</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Specialist review; no autonomous diagnosis of macrosomia or delivery decision.</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Diabetes</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Vomiting / ketones / altered consciousness</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Possible metabolic emergency.</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Immediate emergency pathway; bypass routine score.</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Anemia</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Bleeding / dyspnea / chest pain / syncope</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Reduced reserve plus active bleeding or compromise substantially increases urgency.</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Emergency transfer; do not wait for repeat haemoglobin.</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Anemia</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Previous PPH / near-term birth plan</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Historical hemorrhage and proximity to delivery strengthen the need for facility and blood-service planning.</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Prompt qualified facility review and BPCR verification.</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Fetal movement</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FHR observation</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A heard rate must not dismiss maternal concern about reduced movement.</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Formal same-day assessment according to gestation and pathway.</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SFH trend</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Dating confidence / multiple pregnancy / fibroids / obesity</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Measurement reliability and interpretation depend on eligibility and context.</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Mark unreliable or refer for ultrasound review; never diagnose size disorder.</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Ultrasound presentation</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Gestational age</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Non-cephalic presentation earlier in pregnancy may change; persistence near term has different planning implications.</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Gestation-aware review and referral planning; no autonomous mode-of-birth decision.</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Ultrasound fluid / placenta / growth observations</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Symptoms / history / hypertension / diabetes</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The same report finding has greater urgency when combined with bleeding, pain, abnormal BP, reduced movement, diabetes, or prior scar.</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Interaction-based referral with source and date shown.</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Warning symptoms</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All historical and measured domains</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Current warning signs can dominate otherwise reassuring data.</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Emergency precedence; routine assessment cannot suppress.</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Birth preparedness</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Referral recommendation</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Preparedness determines whether the recommended action is operationally feasible.</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Activate transport, communication, destination, and financial-support tasks.</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Birth preparedness</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Emergency override</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Incomplete plan may increase delay but cannot postpone action.</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Use available contingency information; leave immediately under protocol.</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Referral status</w:t>
            </w:r>
          </w:p>
        </w:tc>
        <w:tc>
          <w:tcPr>
            <w:tcW w:type="dxa" w:w="259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Clinical recommendation</w:t>
            </w:r>
          </w:p>
        </w:tc>
        <w:tc>
          <w:tcPr>
            <w:tcW w:type="dxa" w:w="65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Pending, refused, cancelled, or incomplete referral means the concern may remain unresolved.</w:t>
            </w:r>
          </w:p>
        </w:tc>
        <w:tc>
          <w:tcPr>
            <w:tcW w:type="dxa" w:w="35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3"/>
              </w:rPr>
              <w:t>Continue safety net, re-contact, and escalation according to policy.</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Missing/contradictory data</w:t>
            </w:r>
          </w:p>
        </w:tc>
        <w:tc>
          <w:tcPr>
            <w:tcW w:type="dxa" w:w="259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All domains</w:t>
            </w:r>
          </w:p>
        </w:tc>
        <w:tc>
          <w:tcPr>
            <w:tcW w:type="dxa" w:w="65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Uncertainty may prevent classification but must not suppress an emergency symptom or severe measured finding.</w:t>
            </w:r>
          </w:p>
        </w:tc>
        <w:tc>
          <w:tcPr>
            <w:tcW w:type="dxa" w:w="35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3"/>
              </w:rPr>
              <w:t>Verification/incomplete output plus independent urgent pathway where indicated.</w:t>
            </w:r>
          </w:p>
        </w:tc>
      </w:tr>
    </w:tbl>
    <w:p>
      <w:pPr>
        <w:spacing w:after="0"/>
      </w:pPr>
    </w:p>
    <w:p>
      <w:pPr>
        <w:sectPr>
          <w:pgSz w:w="15840" w:h="12240" w:orient="landscape"/>
          <w:pgMar w:top="792" w:right="792" w:bottom="792" w:left="792" w:header="720" w:footer="720" w:gutter="0"/>
          <w:cols w:space="720"/>
          <w:docGrid w:linePitch="360"/>
        </w:sectPr>
      </w:pPr>
    </w:p>
    <w:p>
      <w:pPr>
        <w:pStyle w:val="Heading2"/>
      </w:pPr>
      <w:r>
        <w:t>4.1 Interaction rules</w:t>
      </w:r>
    </w:p>
    <w:p>
      <w:pPr>
        <w:pStyle w:val="ListBullet"/>
      </w:pPr>
      <w:r>
        <w:t>Interactions may increase urgency, change facility capability, or reduce confidence; they must not be used to invent an unsupported diagnosis.</w:t>
      </w:r>
    </w:p>
    <w:p>
      <w:pPr>
        <w:pStyle w:val="ListBullet"/>
      </w:pPr>
      <w:r>
        <w:t>Each interaction rule must identify the contributing evidence items separately. The explanation must not hide multiple inputs behind a single label.</w:t>
      </w:r>
    </w:p>
    <w:p>
      <w:pPr>
        <w:pStyle w:val="ListBullet"/>
      </w:pPr>
      <w:r>
        <w:t>Temporal alignment is mandatory. A historical result, current symptom, and ultrasound report can interact only when their dates and pregnancy episode are known and clinically relevant.</w:t>
      </w:r>
    </w:p>
    <w:p>
      <w:pPr>
        <w:pStyle w:val="ListBullet"/>
      </w:pPr>
      <w:r>
        <w:t>A stronger current finding may supersede a weaker historical factor. The engine must retain the historical factor in the explanation without allowing it to obscure the immediate trigger.</w:t>
      </w:r>
    </w:p>
    <w:p>
      <w:pPr>
        <w:pStyle w:val="ListBullet"/>
      </w:pPr>
      <w:r>
        <w:t>When interaction evidence is suggestive but not sufficient for a deterministic rule, the engine should recommend qualified review rather than calculate a false probability.</w:t>
      </w:r>
    </w:p>
    <w:p>
      <w:pPr>
        <w:pStyle w:val="ListBullet"/>
      </w:pPr>
      <w:r>
        <w:t>Interaction rules must be testable independently from domain rules and must have their own version, source, rationale, and validation cases.</w:t>
      </w:r>
    </w:p>
    <w:p>
      <w:pPr>
        <w:pStyle w:val="Heading1"/>
      </w:pPr>
      <w:r>
        <w:t>5. Unified Recommendation Framework</w:t>
      </w:r>
    </w:p>
    <w:p>
      <w:r>
        <w:t>A recommendation is a structured clinical-support object, not a sentence assembled from a risk label. Every recommendation must contain seven mandatory components so that the midwife, receiving clinician, auditor, and researcher can reconstruct the reasoning.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72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Component</w:t>
            </w:r>
          </w:p>
        </w:tc>
        <w:tc>
          <w:tcPr>
            <w:tcW w:type="dxa" w:w="4536"/>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Required content</w:t>
            </w:r>
          </w:p>
        </w:tc>
        <w:tc>
          <w:tcPr>
            <w:tcW w:type="dxa" w:w="475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Example of safe expression</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Trigger</w:t>
            </w:r>
          </w:p>
        </w:tc>
        <w:tc>
          <w:tcPr>
            <w:tcW w:type="dxa" w:w="453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The exact observation, history, symptom, interaction, missing-data condition, or preparedness gap that activated the rule.</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“Blood pressure recorded at 162/112 mmHg” rather than “high risk.”</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Evidence</w:t>
            </w:r>
          </w:p>
        </w:tc>
        <w:tc>
          <w:tcPr>
            <w:tcW w:type="dxa" w:w="453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Source, date/time, units, method, guideline/rule version, and supporting or conflicting findings.</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“Clinic reading, repeated using validated technique; WHO/NICE/ACOG severe-range pathway version X.”</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Clinical reasoning</w:t>
            </w:r>
          </w:p>
        </w:tc>
        <w:tc>
          <w:tcPr>
            <w:tcW w:type="dxa" w:w="453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The limited clinical meaning supported by evidence and why action is required.</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“This is a severe-range blood-pressure finding that can be time-critical; the CDSS is not diagnosing pre-eclampsia.”</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Recommendation</w:t>
            </w:r>
          </w:p>
        </w:tc>
        <w:tc>
          <w:tcPr>
            <w:tcW w:type="dxa" w:w="453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Action class, timeframe, destination/capability requirement, and responsible role.</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“Activate emergency transfer under clinic protocol and contact the receiving hospital now.”</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Limitation</w:t>
            </w:r>
          </w:p>
        </w:tc>
        <w:tc>
          <w:tcPr>
            <w:tcW w:type="dxa" w:w="453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What the system cannot determine and what remains clinician-led.</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“The system cannot determine diagnosis, medication, or timing/mode of birth.”</w:t>
            </w:r>
          </w:p>
        </w:tc>
      </w:tr>
      <w:tr>
        <w:trPr>
          <w:cantSplit/>
          <w:cantSplit/>
        </w:trPr>
        <w:tc>
          <w:tcPr>
            <w:tcW w:type="dxa" w:w="17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Follow-up</w:t>
            </w:r>
          </w:p>
        </w:tc>
        <w:tc>
          <w:tcPr>
            <w:tcW w:type="dxa" w:w="453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Verification, repeat observation, referral completion, safety-net, and next review.</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“Record departure, receiving-facility acceptance, handover, and outcome.”</w:t>
            </w:r>
          </w:p>
        </w:tc>
      </w:tr>
      <w:tr>
        <w:trPr>
          <w:cantSplit/>
          <w:cantSplit/>
        </w:trPr>
        <w:tc>
          <w:tcPr>
            <w:tcW w:type="dxa" w:w="17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Documentation</w:t>
            </w:r>
          </w:p>
        </w:tc>
        <w:tc>
          <w:tcPr>
            <w:tcW w:type="dxa" w:w="453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Required fields and audit events, including patient preference or refusal.</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“Store input snapshot, rule version, clinician response, and referral status.”</w:t>
            </w:r>
          </w:p>
        </w:tc>
      </w:tr>
    </w:tbl>
    <w:p>
      <w:pPr>
        <w:spacing w:after="0"/>
      </w:pPr>
    </w:p>
    <w:p>
      <w:pPr>
        <w:pStyle w:val="Heading2"/>
      </w:pPr>
      <w:r>
        <w:t>5.1 Action classes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376"/>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Action class</w:t>
            </w:r>
          </w:p>
        </w:tc>
        <w:tc>
          <w:tcPr>
            <w:tcW w:type="dxa" w:w="388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Operational meaning</w:t>
            </w:r>
          </w:p>
        </w:tc>
        <w:tc>
          <w:tcPr>
            <w:tcW w:type="dxa" w:w="475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Minimum system behavior</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EMERGENCY TRANSFER</w:t>
            </w:r>
          </w:p>
        </w:tc>
        <w:tc>
          <w:tcPr>
            <w:tcW w:type="dxa" w:w="38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Potentially life-threatening or rapidly deteriorating maternal/fetal concern.</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Interrupt ordinary workflow; show concise emergency actions; create referral/handover record; preserve later documentation tasks.</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URGENT SAME-DAY ASSESSMENT</w:t>
            </w:r>
          </w:p>
        </w:tc>
        <w:tc>
          <w:tcPr>
            <w:tcW w:type="dxa" w:w="38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Prompt hospital or qualified obstetric/medical evaluation is required, but current instability is not established.</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Time-bound referral, receiving-facility contact, transport plan, and same-day completion tracking.</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EXPEDITED CLINICAL REVIEW</w:t>
            </w:r>
          </w:p>
        </w:tc>
        <w:tc>
          <w:tcPr>
            <w:tcW w:type="dxa" w:w="38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Important condition, history, trend, uncertainty, or planning issue requires review sooner than routine care.</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Create dated task and referral/consultation plan; prevent silent closure.</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ENHANCED MONITORING / VERIFICATION</w:t>
            </w:r>
          </w:p>
        </w:tc>
        <w:tc>
          <w:tcPr>
            <w:tcW w:type="dxa" w:w="38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Repeat measurement, confirm source, obtain missing test, or closer review is supported.</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Specify what must be repeated/verified, when, and by whom.</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ROUTINE DOCUMENT AND MONITOR</w:t>
            </w:r>
          </w:p>
        </w:tc>
        <w:tc>
          <w:tcPr>
            <w:tcW w:type="dxa" w:w="38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No evidence-supported escalation is identified from current valid data.</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Continue standard ANC; display that this is not a declaration of global low risk.</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BIRTH-PREPAREDNESS ACTION</w:t>
            </w:r>
          </w:p>
        </w:tc>
        <w:tc>
          <w:tcPr>
            <w:tcW w:type="dxa" w:w="38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 logistical or access gap requires counselling or resolution.</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Create element-specific task; do not label as biological risk.</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ASSESSMENT INCOMPLETE / UNCERTAIN</w:t>
            </w:r>
          </w:p>
        </w:tc>
        <w:tc>
          <w:tcPr>
            <w:tcW w:type="dxa" w:w="38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Required information is missing, outdated, contradictory, or uninterpretable.</w:t>
            </w:r>
          </w:p>
        </w:tc>
        <w:tc>
          <w:tcPr>
            <w:tcW w:type="dxa" w:w="475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Identify missing evidence and recommended verification; still run emergency screening.</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NO AUTOMATED RECOMMENDATION</w:t>
            </w:r>
          </w:p>
        </w:tc>
        <w:tc>
          <w:tcPr>
            <w:tcW w:type="dxa" w:w="38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The issue requires clinician interpretation beyond approved rules.</w:t>
            </w:r>
          </w:p>
        </w:tc>
        <w:tc>
          <w:tcPr>
            <w:tcW w:type="dxa" w:w="475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Present evidence summary and request qualified review without fabricating an answer.</w:t>
            </w:r>
          </w:p>
        </w:tc>
      </w:tr>
    </w:tbl>
    <w:p>
      <w:pPr>
        <w:spacing w:after="0"/>
      </w:pPr>
    </w:p>
    <w:p>
      <w:pPr>
        <w:pStyle w:val="Heading2"/>
      </w:pPr>
      <w:r>
        <w:t>5.2 Recommendation precedence</w:t>
      </w:r>
    </w:p>
    <w:p>
      <w:pPr>
        <w:pStyle w:val="ListNumber"/>
      </w:pPr>
      <w:r>
        <w:t>Emergency transfer overrides every non-emergency output.</w:t>
      </w:r>
    </w:p>
    <w:p>
      <w:pPr>
        <w:pStyle w:val="ListNumber"/>
      </w:pPr>
      <w:r>
        <w:t>Urgent same-day assessment overrides expedited, enhanced-monitoring, routine, and preparedness-only outputs.</w:t>
      </w:r>
    </w:p>
    <w:p>
      <w:pPr>
        <w:pStyle w:val="ListNumber"/>
      </w:pPr>
      <w:r>
        <w:t>A preparedness gap may be displayed concurrently with a clinical action because it affects completion, but it cannot downgrade or delay the clinical action.</w:t>
      </w:r>
    </w:p>
    <w:p>
      <w:pPr>
        <w:pStyle w:val="ListNumber"/>
      </w:pPr>
      <w:r>
        <w:t>An incomplete-assessment status may coexist with an emergency trigger. Missing data prevents false reassurance but does not prevent response to a severe finding.</w:t>
      </w:r>
    </w:p>
    <w:p>
      <w:pPr>
        <w:pStyle w:val="ListNumber"/>
      </w:pPr>
      <w:r>
        <w:t>When multiple non-emergency recommendations apply, the engine should present one primary action and grouped supporting actions rather than multiple competing banners.</w:t>
      </w:r>
    </w:p>
    <w:p>
      <w:pPr>
        <w:pStyle w:val="ListNumber"/>
      </w:pPr>
      <w:r>
        <w:t>Clinician override changes the action record, not the historical fact that the system generated a recommendation. Both must remain auditable.</w:t>
      </w:r>
    </w:p>
    <w:p>
      <w:pPr>
        <w:pStyle w:val="Heading2"/>
      </w:pPr>
      <w:r>
        <w:t>5.3 Explainable output template</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60"/>
            </w:pPr>
            <w:r>
              <w:rPr>
                <w:rFonts w:ascii="Aptos" w:hAnsi="Aptos"/>
                <w:sz w:val="16"/>
              </w:rPr>
            </w:r>
            <w:r>
              <w:rPr>
                <w:rFonts w:ascii="Aptos" w:hAnsi="Aptos"/>
                <w:b/>
                <w:color w:val="17365D"/>
                <w:sz w:val="20"/>
              </w:rPr>
              <w:t>DISPLAY TEMPLATE</w:t>
            </w:r>
          </w:p>
          <w:p>
            <w:pPr>
              <w:spacing w:after="0" w:line="252" w:lineRule="auto"/>
            </w:pPr>
            <w:r>
              <w:rPr>
                <w:rFonts w:ascii="Aptos" w:hAnsi="Aptos"/>
                <w:sz w:val="16"/>
              </w:rPr>
              <w:t>Trigger: [specific evidence]. Evidence: [source/date/unit/quality/rule version]. Reasoning: [limited evidence-supported interpretation]. Recommended action: [action and timeframe]. Limitation: [what the CDSS cannot determine]. Follow-up: [verification/referral/safety net]. Documentation: [required record and clinician response].</w:t>
            </w:r>
          </w:p>
        </w:tc>
      </w:tr>
    </w:tbl>
    <w:p>
      <w:pPr>
        <w:spacing w:after="0"/>
      </w:pPr>
    </w:p>
    <w:p>
      <w:pPr>
        <w:pStyle w:val="Heading1"/>
      </w:pPr>
      <w:r>
        <w:t>6. Final Database Blueprint</w:t>
      </w:r>
    </w:p>
    <w:p>
      <w:r>
        <w:t>The final database design must separate source observations from interpretation and action. Existing domain tables can remain as workflow-facing records, but the CDSS requires normalized supporting tables so that raw values, provenance, confidence, rule outputs, referrals, and audit history are not overwritten. All clinical tables must include pregnancy_episode_id or an equivalent immutable relationship to prevent cross-pregnancy contamination.</w:t>
      </w:r>
    </w:p>
    <w:p>
      <w:pPr>
        <w:pStyle w:val="Heading2"/>
      </w:pPr>
      <w:r>
        <w:t>6.1 Core identity and episode tables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44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Table</w:t>
            </w:r>
          </w:p>
        </w:tc>
        <w:tc>
          <w:tcPr>
            <w:tcW w:type="dxa" w:w="331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Purpose</w:t>
            </w:r>
          </w:p>
        </w:tc>
        <w:tc>
          <w:tcPr>
            <w:tcW w:type="dxa" w:w="532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Critical fields</w:t>
            </w:r>
          </w:p>
        </w:tc>
      </w:tr>
      <w:tr>
        <w:trPr>
          <w:cantSplit/>
          <w:cantSplit/>
        </w:trPr>
        <w:tc>
          <w:tcPr>
            <w:tcW w:type="dxa" w:w="244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patients</w:t>
            </w:r>
          </w:p>
        </w:tc>
        <w:tc>
          <w:tcPr>
            <w:tcW w:type="dxa" w:w="331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Stable patient identity and demographic information.</w:t>
            </w:r>
          </w:p>
        </w:tc>
        <w:tc>
          <w:tcPr>
            <w:tcW w:type="dxa" w:w="53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id, identifiers, name, birthdate, contacts, address, consent/privacy fields; age should be calculated for the relevant date.</w:t>
            </w:r>
          </w:p>
        </w:tc>
      </w:tr>
      <w:tr>
        <w:trPr>
          <w:cantSplit/>
          <w:cantSplit/>
        </w:trPr>
        <w:tc>
          <w:tcPr>
            <w:tcW w:type="dxa" w:w="244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pregnancy_episodes</w:t>
            </w:r>
          </w:p>
        </w:tc>
        <w:tc>
          <w:tcPr>
            <w:tcW w:type="dxa" w:w="331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One immutable record per pregnancy.</w:t>
            </w:r>
          </w:p>
        </w:tc>
        <w:tc>
          <w:tcPr>
            <w:tcW w:type="dxa" w:w="53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id, patient_id, status, pregnancy_start/confirmation, accepted_edd, dating_source, dating_confidence, delivery/outcome linkage, created/closed dates.</w:t>
            </w:r>
          </w:p>
        </w:tc>
      </w:tr>
      <w:tr>
        <w:trPr>
          <w:cantSplit/>
          <w:cantSplit/>
        </w:trPr>
        <w:tc>
          <w:tcPr>
            <w:tcW w:type="dxa" w:w="244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pregnancy_dating_evidence</w:t>
            </w:r>
          </w:p>
        </w:tc>
        <w:tc>
          <w:tcPr>
            <w:tcW w:type="dxa" w:w="331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Preserve each LMP, ultrasound, ART, or clinician dating source.</w:t>
            </w:r>
          </w:p>
        </w:tc>
        <w:tc>
          <w:tcPr>
            <w:tcW w:type="dxa" w:w="532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episode_id, source_type, source_date, GA/EDD, reliability fields, report reference, entered_by, superseded status.</w:t>
            </w:r>
          </w:p>
        </w:tc>
      </w:tr>
      <w:tr>
        <w:trPr>
          <w:cantSplit/>
          <w:cantSplit/>
        </w:trPr>
        <w:tc>
          <w:tcPr>
            <w:tcW w:type="dxa" w:w="244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pregnancy_dating_decisions</w:t>
            </w:r>
          </w:p>
        </w:tc>
        <w:tc>
          <w:tcPr>
            <w:tcW w:type="dxa" w:w="331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Audit the accepted best obstetric estimate and any re-dating.</w:t>
            </w:r>
          </w:p>
        </w:tc>
        <w:tc>
          <w:tcPr>
            <w:tcW w:type="dxa" w:w="532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episode_id, accepted_edd, basis, confidence, clinician_authorizer, rationale, rule/policy version, effective date.</w:t>
            </w:r>
          </w:p>
        </w:tc>
      </w:tr>
    </w:tbl>
    <w:p>
      <w:pPr>
        <w:spacing w:after="0"/>
      </w:pPr>
    </w:p>
    <w:p>
      <w:pPr>
        <w:pStyle w:val="Heading2"/>
      </w:pPr>
      <w:r>
        <w:t>6.2 Clinical source tables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Table</w:t>
            </w:r>
          </w:p>
        </w:tc>
        <w:tc>
          <w:tcPr>
            <w:tcW w:type="dxa" w:w="806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Required design additions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prenatal_visits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episode_id; encounter date/time; gestational age snapshot; clinician; facility; visit status; structured links to observations rather than duplicated clinical facts.</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vital_sign_observations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type; raw and normalized value; unit; method/device; position/technique; repeat sequence; date/time; observer; validity; symptoms present; superseded flag.</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medical_conditions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condition code/name; status suspected/confirmed/patient-reported/resolved; onset; source; confirming clinician; treatment/provider; last review; pregnancy relevance.</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medication_records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name; indication; dose/route as documented; prescriber; start/stop; adherence; pregnancy review status; source. The CDSS records but does not prescribe.</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obstetric_history_events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event type; pregnancy number; date; gestational age; outcome; plurality; birth mode; complications; infant outcome; source; verification status.</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cesarean_history_details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event link; operative date; indication; uterine incision documented/unknown; complications; records available; VBAC history; clinician interpretation.</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laboratory_results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test code; raw value; raw unit; normalized value/unit; specimen date; laboratory/source; reference range; standard/version; validity; report attachment.</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anemia_assessments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haemoglobin result link; trimester/GA; standard/version; software classification; clinician interpretation; symptoms/bleeding context; follow-up plan.</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diabetes_records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risk, screening, diagnostic result, confirmed diagnosis, treatment status, control interpretation, ketones/symptoms, care team, source and dates separated.</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fetal_heart_observations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heard/not heard/uncertain; approximate rate; method; duration; gestational age; observer; maternal pulse differentiated; quality; action.</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fetal_movement_concerns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patient wording; usual pattern; change; onset; last movement; GA; associated symptoms; prior episodes; advice/action; assessment outcome.</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fundal_height_observations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cm; GA; singleton eligibility; technique; bladder/status; observer; chart/trend reference; reliability; reason not measured; action.</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ultrasound_reports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external report date/facility/sonographer or clinician; GA by report; presentation; placenta; fluid; fetal number; biometry summary; anomalies as reported; attachment; no image interpretation by CDSS.</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symptom_episodes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standard symptom code plus patient wording; onset; severity; trajectory; associated findings; objective observations; stability; action and outcome.</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social_and_safeguarding_assessments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only approved, necessary fields with privacy controls, consent, access restrictions, and clinician-led response; never broad risk scoring.</w:t>
            </w:r>
          </w:p>
        </w:tc>
      </w:tr>
    </w:tbl>
    <w:p>
      <w:pPr>
        <w:spacing w:after="0"/>
      </w:pPr>
    </w:p>
    <w:p>
      <w:pPr>
        <w:pStyle w:val="Heading2"/>
      </w:pPr>
      <w:r>
        <w:t>6.3 BPCR and referral tables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Table</w:t>
            </w:r>
          </w:p>
        </w:tc>
        <w:tc>
          <w:tcPr>
            <w:tcW w:type="dxa" w:w="806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Purpose and key fields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birth_preparedness_plans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episode_id; plan status; initiated/reviewed dates; overall readiness; clinician reviewer; patient preferences; next review date.</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birth_preparedness_items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plan_id; domain code; value/status; verification method/date; responsible person; barrier; alternative; due date; resolved date; history preserved.</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facilities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name; type; address; contacts; verified capabilities; operating hours; referral-network status; last verification. Capability data require governance and periodic review.</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transport_plans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primary/backup transport; contacts; availability; estimated travel time; constraints; verification date.</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communication_plans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patient/household/clinic/receiving-facility contacts; preferred method; availability; confidentiality constraints.</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referrals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episode_id; triggering recommendation; urgency; reason codes; destination; requested/accepted/departed/arrived/completed timestamps; handover; outcome; status.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referral_events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append-only lifecycle history for creation, contact attempts, acceptance, transport, transfer, completion, cancellation, refusal, and follow-up.</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referral_refusals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recommendation explained; risks/limitations discussed; patient reason; alternatives; safety-net; clinician/witness; waiver reference; time; follow-up. Refusal does not mark concern resolved.</w:t>
            </w:r>
          </w:p>
        </w:tc>
      </w:tr>
    </w:tbl>
    <w:p>
      <w:pPr>
        <w:spacing w:after="0"/>
      </w:pPr>
    </w:p>
    <w:p>
      <w:pPr>
        <w:pStyle w:val="Heading2"/>
      </w:pPr>
      <w:r>
        <w:t>6.4 Knowledge and decision tables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Table</w:t>
            </w:r>
          </w:p>
        </w:tc>
        <w:tc>
          <w:tcPr>
            <w:tcW w:type="dxa" w:w="806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Purpose and key fields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clinical_rules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rule_id; human-readable name; domain; version; status draft/approved/retired; source references; logic specification; action class; owner; effective dates.</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rule_conditions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structured condition groups, operators, required data, units, temporal windows, confidence requirements, and exclusions.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rule_interactions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factor A/B, interaction type, precedence, output modifier, supporting evidence, limitations, version.</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guideline_standards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organization, document, edition/date, jurisdiction, parameter set, differences from alternatives, local approval status.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decision_runs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episode/encounter; input snapshot hash; engine version; start/end; completeness; emergency result; primary recommendation; user who initiated.</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decision_evidence</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decision_run_id; source record; raw display; normalized value; confidence; recency; quality; role trigger/support/conflict/exclusion.</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decision_outputs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action class; urgency; explanation components; destination capability; follow-up; limitations; validity period.</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clinician_responses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accepted/modified/deferred/overridden/rejected; selected action; rationale; clinician; date/time; escalation and review.</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follow_up_tasks</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task type; due date; responsible role; related output/referral; completion; result; overdue escalation.</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audit_logs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append-only actor, action, timestamp, before/after or event payload, entity, rule/engine version, device/session context as appropriate.</w:t>
            </w:r>
          </w:p>
        </w:tc>
      </w:tr>
    </w:tbl>
    <w:p>
      <w:pPr>
        <w:spacing w:after="0"/>
      </w:pPr>
    </w:p>
    <w:p>
      <w:pPr>
        <w:pStyle w:val="Heading2"/>
      </w:pPr>
      <w:r>
        <w:t>6.5 Data integrity constraints</w:t>
      </w:r>
    </w:p>
    <w:p>
      <w:pPr>
        <w:pStyle w:val="ListBullet"/>
      </w:pPr>
      <w:r>
        <w:t>Every clinical observation must belong to exactly one pregnancy episode and, where applicable, one encounter.</w:t>
      </w:r>
    </w:p>
    <w:p>
      <w:pPr>
        <w:pStyle w:val="ListBullet"/>
      </w:pPr>
      <w:r>
        <w:t>Raw source values must be preserved even when normalized values are calculated for logic.</w:t>
      </w:r>
    </w:p>
    <w:p>
      <w:pPr>
        <w:pStyle w:val="ListBullet"/>
      </w:pPr>
      <w:r>
        <w:t>Units, dates, source, method, and validity cannot be optional when a value is used in a threshold rule.</w:t>
      </w:r>
    </w:p>
    <w:p>
      <w:pPr>
        <w:pStyle w:val="ListBullet"/>
      </w:pPr>
      <w:r>
        <w:t>Software-generated classifications and clinician-confirmed diagnoses must be stored in different fields or tables.</w:t>
      </w:r>
    </w:p>
    <w:p>
      <w:pPr>
        <w:pStyle w:val="ListBullet"/>
      </w:pPr>
      <w:r>
        <w:t>No rule output may overwrite the clinical source record that produced it.</w:t>
      </w:r>
    </w:p>
    <w:p>
      <w:pPr>
        <w:pStyle w:val="ListBullet"/>
      </w:pPr>
      <w:r>
        <w:t>Deletions of clinical, referral, decision, and audit records should be restricted; corrections should be versioned or superseded.</w:t>
      </w:r>
    </w:p>
    <w:p>
      <w:pPr>
        <w:pStyle w:val="ListBullet"/>
      </w:pPr>
      <w:r>
        <w:t>Attachments and external reports require integrity, access control, and provenance metadata.</w:t>
      </w:r>
    </w:p>
    <w:p>
      <w:pPr>
        <w:pStyle w:val="ListBullet"/>
      </w:pPr>
      <w:r>
        <w:t>Rules and facility-capability records require effective dates so historical decisions can be reproduced.</w:t>
      </w:r>
    </w:p>
    <w:p>
      <w:pPr>
        <w:pStyle w:val="Heading1"/>
      </w:pPr>
      <w:r>
        <w:t>7. Evidence Confidence Framework</w:t>
      </w:r>
    </w:p>
    <w:p>
      <w:r>
        <w:t>Confidence describes how securely the system can use a particular evidence item for a defined purpose. It is not a measure of symptom seriousness and must never be used to downgrade a severe complaint. Confidence is multidimensional: source reliability, measurement quality, recency, completeness, internal consistency, temporal relevance, and clinician confirmation all contribute.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Confidence level</w:t>
            </w:r>
          </w:p>
        </w:tc>
        <w:tc>
          <w:tcPr>
            <w:tcW w:type="dxa" w:w="374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Typical evidence</w:t>
            </w:r>
          </w:p>
        </w:tc>
        <w:tc>
          <w:tcPr>
            <w:tcW w:type="dxa" w:w="396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Permitted engine use</w:t>
            </w:r>
          </w:p>
        </w:tc>
        <w:tc>
          <w:tcPr>
            <w:tcW w:type="dxa" w:w="396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Required caution</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HIGHEST</w:t>
            </w:r>
          </w:p>
        </w:tc>
        <w:tc>
          <w:tcPr>
            <w:tcW w:type="dxa" w:w="37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Valid measured observations; laboratory results with units/date/source; signed ultrasound report findings; confirmed diagnoses or operative records.</w:t>
            </w:r>
          </w:p>
        </w:tc>
        <w:tc>
          <w:tcPr>
            <w:tcW w:type="dxa" w:w="39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Deterministic rule evaluation when all contextual requirements are satisfied.</w:t>
            </w:r>
          </w:p>
        </w:tc>
        <w:tc>
          <w:tcPr>
            <w:tcW w:type="dxa" w:w="39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Still check recency, pregnancy episode, measurement quality, and conflicts.</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MODERATE</w:t>
            </w:r>
          </w:p>
        </w:tc>
        <w:tc>
          <w:tcPr>
            <w:tcW w:type="dxa" w:w="37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Clinician or trained-midwife observation; structured examination finding; clinician synthesis with documented basis.</w:t>
            </w:r>
          </w:p>
        </w:tc>
        <w:tc>
          <w:tcPr>
            <w:tcW w:type="dxa" w:w="39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Support rules and interaction interpretation; may require confirmation for high-consequence decisions.</w:t>
            </w:r>
          </w:p>
        </w:tc>
        <w:tc>
          <w:tcPr>
            <w:tcW w:type="dxa" w:w="39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Observer, method, scope, and date must be visible.</w:t>
            </w:r>
          </w:p>
        </w:tc>
      </w:tr>
      <w:tr>
        <w:trPr>
          <w:cantSplit/>
          <w:cantSplit/>
        </w:trPr>
        <w:tc>
          <w:tcPr>
            <w:tcW w:type="dxa" w:w="208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LOWER</w:t>
            </w:r>
          </w:p>
        </w:tc>
        <w:tc>
          <w:tcPr>
            <w:tcW w:type="dxa" w:w="374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Patient-reported history, symptoms, medication use, prior outcomes, or external diagnosis without records.</w:t>
            </w:r>
          </w:p>
        </w:tc>
        <w:tc>
          <w:tcPr>
            <w:tcW w:type="dxa" w:w="39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Trigger symptom response, verification, records request, or precautionary referral where clinically warranted.</w:t>
            </w:r>
          </w:p>
        </w:tc>
        <w:tc>
          <w:tcPr>
            <w:tcW w:type="dxa" w:w="39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Do not convert unverified history into a confirmed diagnosis. Severe symptoms can remain urgent despite lower provenance confidence.</w:t>
            </w:r>
          </w:p>
        </w:tc>
      </w:tr>
      <w:tr>
        <w:trPr>
          <w:cantSplit/>
          <w:cantSplit/>
        </w:trPr>
        <w:tc>
          <w:tcPr>
            <w:tcW w:type="dxa" w:w="208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LOWEST / UNCERTAIN</w:t>
            </w:r>
          </w:p>
        </w:tc>
        <w:tc>
          <w:tcPr>
            <w:tcW w:type="dxa" w:w="374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Missing, contradictory, outdated, illegible, unitless, duplicated, or unknown-pregnancy data.</w:t>
            </w:r>
          </w:p>
        </w:tc>
        <w:tc>
          <w:tcPr>
            <w:tcW w:type="dxa" w:w="39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Generate incomplete/verification output; exclude from unsupported calculations.</w:t>
            </w:r>
          </w:p>
        </w:tc>
        <w:tc>
          <w:tcPr>
            <w:tcW w:type="dxa" w:w="39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Do not treat as negative or normal. Emergency evidence from another source remains active.</w:t>
            </w:r>
          </w:p>
        </w:tc>
      </w:tr>
    </w:tbl>
    <w:p>
      <w:pPr>
        <w:spacing w:after="0"/>
      </w:pPr>
    </w:p>
    <w:p>
      <w:pPr>
        <w:pStyle w:val="Heading2"/>
      </w:pPr>
      <w:r>
        <w:t>7.1 Confidence dimensions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Dimension</w:t>
            </w:r>
          </w:p>
        </w:tc>
        <w:tc>
          <w:tcPr>
            <w:tcW w:type="dxa" w:w="871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Questions the engine must evaluate</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Provenance</w:t>
            </w:r>
          </w:p>
        </w:tc>
        <w:tc>
          <w:tcPr>
            <w:tcW w:type="dxa" w:w="871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Who reported or measured the item? Is the source a patient, midwife, clinician, laboratory, imaging service, imported record, or software calculation?</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Measurement quality</w:t>
            </w:r>
          </w:p>
        </w:tc>
        <w:tc>
          <w:tcPr>
            <w:tcW w:type="dxa" w:w="871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Were the method, device, technique, unit, and repeat requirements adequate for the rule?</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Recency</w:t>
            </w:r>
          </w:p>
        </w:tc>
        <w:tc>
          <w:tcPr>
            <w:tcW w:type="dxa" w:w="871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Is the result current enough for the decision and clinical domain?</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Temporal relevance</w:t>
            </w:r>
          </w:p>
        </w:tc>
        <w:tc>
          <w:tcPr>
            <w:tcW w:type="dxa" w:w="871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Does the finding belong to the current episode and relevant gestational period?</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Completeness</w:t>
            </w:r>
          </w:p>
        </w:tc>
        <w:tc>
          <w:tcPr>
            <w:tcW w:type="dxa" w:w="871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Are all required contextual fields present?</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Consistency</w:t>
            </w:r>
          </w:p>
        </w:tc>
        <w:tc>
          <w:tcPr>
            <w:tcW w:type="dxa" w:w="871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Does the item conflict with another source, trend, or accepted estimate?</w:t>
            </w:r>
          </w:p>
        </w:tc>
      </w:tr>
      <w:tr>
        <w:trPr>
          <w:cantSplit/>
          <w:cantSplit/>
        </w:trPr>
        <w:tc>
          <w:tcPr>
            <w:tcW w:type="dxa" w:w="237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Confirmation</w:t>
            </w:r>
          </w:p>
        </w:tc>
        <w:tc>
          <w:tcPr>
            <w:tcW w:type="dxa" w:w="871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Has a qualified clinician confirmed the diagnosis, interpretation, re-dating, or plan when required?</w:t>
            </w:r>
          </w:p>
        </w:tc>
      </w:tr>
      <w:tr>
        <w:trPr>
          <w:cantSplit/>
          <w:cantSplit/>
        </w:trPr>
        <w:tc>
          <w:tcPr>
            <w:tcW w:type="dxa" w:w="237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Applicability</w:t>
            </w:r>
          </w:p>
        </w:tc>
        <w:tc>
          <w:tcPr>
            <w:tcW w:type="dxa" w:w="871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Does the selected guideline standard apply to this setting and has it been locally approved?</w:t>
            </w:r>
          </w:p>
        </w:tc>
      </w:tr>
    </w:tbl>
    <w:p>
      <w:pPr>
        <w:spacing w:after="0"/>
      </w:pPr>
    </w:p>
    <w:p>
      <w:pPr>
        <w:pStyle w:val="Heading2"/>
      </w:pPr>
      <w:r>
        <w:t>7.2 Confidence use rules</w:t>
      </w:r>
    </w:p>
    <w:p>
      <w:pPr>
        <w:pStyle w:val="ListBullet"/>
      </w:pPr>
      <w:r>
        <w:t>The engine should attach confidence to each evidence item, not only to the final recommendation.</w:t>
      </w:r>
    </w:p>
    <w:p>
      <w:pPr>
        <w:pStyle w:val="ListBullet"/>
      </w:pPr>
      <w:r>
        <w:t>A high-confidence normal observation cannot cancel a high-urgency symptom pathway unless the guideline explicitly permits that conclusion.</w:t>
      </w:r>
    </w:p>
    <w:p>
      <w:pPr>
        <w:pStyle w:val="ListBullet"/>
      </w:pPr>
      <w:r>
        <w:t>Conflicting high-confidence sources require clinician review and a conflict explanation; the engine must not silently choose the most convenient value.</w:t>
      </w:r>
    </w:p>
    <w:p>
      <w:pPr>
        <w:pStyle w:val="ListBullet"/>
      </w:pPr>
      <w:r>
        <w:t>Lower-confidence patient reports can justify urgent assessment because referral may be the safest response to uncertainty; confidence and urgency are separate axes.</w:t>
      </w:r>
    </w:p>
    <w:p>
      <w:pPr>
        <w:pStyle w:val="ListBullet"/>
      </w:pPr>
      <w:r>
        <w:t>Missing data should reduce classification certainty and create a task, but mandatory form completion must never delay emergency care.</w:t>
      </w:r>
    </w:p>
    <w:p>
      <w:pPr>
        <w:pStyle w:val="ListBullet"/>
      </w:pPr>
      <w:r>
        <w:t>The final output should display both action urgency and evidence confidence so users do not confuse the two.</w:t>
      </w:r>
    </w:p>
    <w:p>
      <w:pPr>
        <w:pStyle w:val="Heading1"/>
      </w:pPr>
      <w:r>
        <w:t>8. Unified Clinical Knowledge Model</w:t>
      </w:r>
    </w:p>
    <w:p>
      <w:r>
        <w:t>The complete knowledge base can be represented as eight linked object types. This model becomes the input specification for Document 2.</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Object type</w:t>
            </w:r>
          </w:p>
        </w:tc>
        <w:tc>
          <w:tcPr>
            <w:tcW w:type="dxa" w:w="432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Definition</w:t>
            </w:r>
          </w:p>
        </w:tc>
        <w:tc>
          <w:tcPr>
            <w:tcW w:type="dxa" w:w="446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Examples</w:t>
            </w:r>
          </w:p>
        </w:tc>
      </w:tr>
      <w:tr>
        <w:trPr>
          <w:cantSplit/>
          <w:cantSplit/>
        </w:trPr>
        <w:tc>
          <w:tcPr>
            <w:tcW w:type="dxa" w:w="21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Evidence object</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 raw or reported clinical, historical, laboratory, imaging, symptom, or preparedness datum with provenance and time.</w:t>
            </w:r>
          </w:p>
        </w:tc>
        <w:tc>
          <w:tcPr>
            <w:tcW w:type="dxa" w:w="44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BP reading, haemoglobin result, previous cesarean event, reduced movement report, transport availability.</w:t>
            </w:r>
          </w:p>
        </w:tc>
      </w:tr>
      <w:tr>
        <w:trPr>
          <w:cantSplit/>
          <w:cantSplit/>
        </w:trPr>
        <w:tc>
          <w:tcPr>
            <w:tcW w:type="dxa" w:w="21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Context object</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Information required to interpret evidence.</w:t>
            </w:r>
          </w:p>
        </w:tc>
        <w:tc>
          <w:tcPr>
            <w:tcW w:type="dxa" w:w="44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Pregnancy episode, gestational age, facility capability, guideline standard, prior trend.</w:t>
            </w:r>
          </w:p>
        </w:tc>
      </w:tr>
      <w:tr>
        <w:trPr>
          <w:cantSplit/>
          <w:cantSplit/>
        </w:trPr>
        <w:tc>
          <w:tcPr>
            <w:tcW w:type="dxa" w:w="21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Quality/confidence object</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Assessment of validity, completeness, recency, consistency, and source.</w:t>
            </w:r>
          </w:p>
        </w:tc>
        <w:tc>
          <w:tcPr>
            <w:tcW w:type="dxa" w:w="44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Validated repeat BP; patient-reported diabetes; unknown ultrasound date.</w:t>
            </w:r>
          </w:p>
        </w:tc>
      </w:tr>
      <w:tr>
        <w:trPr>
          <w:cantSplit/>
          <w:cantSplit/>
        </w:trPr>
        <w:tc>
          <w:tcPr>
            <w:tcW w:type="dxa" w:w="21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Clinical concept object</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 limited knowledge-base interpretation, not necessarily a diagnosis.</w:t>
            </w:r>
          </w:p>
        </w:tc>
        <w:tc>
          <w:tcPr>
            <w:tcW w:type="dxa" w:w="44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Severe-range BP finding; anemia under WHO 2024; non-cephalic presentation as reported; critical transport gap.</w:t>
            </w:r>
          </w:p>
        </w:tc>
      </w:tr>
      <w:tr>
        <w:trPr>
          <w:cantSplit/>
          <w:cantSplit/>
        </w:trPr>
        <w:tc>
          <w:tcPr>
            <w:tcW w:type="dxa" w:w="21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Rule object</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Versioned mapping from evidence and context to a concept or action.</w:t>
            </w:r>
          </w:p>
        </w:tc>
        <w:tc>
          <w:tcPr>
            <w:tcW w:type="dxa" w:w="44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Emergency severe-BP rule; missing-Hb verification rule; referral-facility planning rule.</w:t>
            </w:r>
          </w:p>
        </w:tc>
      </w:tr>
      <w:tr>
        <w:trPr>
          <w:cantSplit/>
          <w:cantSplit/>
        </w:trPr>
        <w:tc>
          <w:tcPr>
            <w:tcW w:type="dxa" w:w="21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Interaction object</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Evidence-supported relationship that changes urgency, confidence, or facility requirement.</w:t>
            </w:r>
          </w:p>
        </w:tc>
        <w:tc>
          <w:tcPr>
            <w:tcW w:type="dxa" w:w="44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Previous scar + placenta previa; anemia + bleeding; hypertension + reduced movement.</w:t>
            </w:r>
          </w:p>
        </w:tc>
      </w:tr>
      <w:tr>
        <w:trPr>
          <w:cantSplit/>
          <w:cantSplit/>
        </w:trPr>
        <w:tc>
          <w:tcPr>
            <w:tcW w:type="dxa" w:w="216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Recommendation object</w:t>
            </w:r>
          </w:p>
        </w:tc>
        <w:tc>
          <w:tcPr>
            <w:tcW w:type="dxa" w:w="43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Structured action with explanation, limitation, follow-up, and documentation.</w:t>
            </w:r>
          </w:p>
        </w:tc>
        <w:tc>
          <w:tcPr>
            <w:tcW w:type="dxa" w:w="44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Urgent same-day hospital assessment with transport activation.</w:t>
            </w:r>
          </w:p>
        </w:tc>
      </w:tr>
      <w:tr>
        <w:trPr>
          <w:cantSplit/>
          <w:cantSplit/>
        </w:trPr>
        <w:tc>
          <w:tcPr>
            <w:tcW w:type="dxa" w:w="216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Governance object</w:t>
            </w:r>
          </w:p>
        </w:tc>
        <w:tc>
          <w:tcPr>
            <w:tcW w:type="dxa" w:w="43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Approval, version, audit, clinician response, validation, and retirement metadata.</w:t>
            </w:r>
          </w:p>
        </w:tc>
        <w:tc>
          <w:tcPr>
            <w:tcW w:type="dxa" w:w="44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Rule owner, source edition, effective date, override rationale, test results.</w:t>
            </w:r>
          </w:p>
        </w:tc>
      </w:tr>
    </w:tbl>
    <w:p>
      <w:pPr>
        <w:spacing w:after="0"/>
      </w:pPr>
    </w:p>
    <w:p>
      <w:pPr>
        <w:pStyle w:val="Heading2"/>
      </w:pPr>
      <w:r>
        <w:t>8.1 Knowledge-base invariants</w:t>
      </w:r>
    </w:p>
    <w:p>
      <w:pPr>
        <w:pStyle w:val="ListNumber"/>
      </w:pPr>
      <w:r>
        <w:t>No evidence object is interpreted outside its pregnancy episode and relevant time context.</w:t>
      </w:r>
    </w:p>
    <w:p>
      <w:pPr>
        <w:pStyle w:val="ListNumber"/>
      </w:pPr>
      <w:r>
        <w:t>No diagnosis is created unless the source record explicitly documents a qualified diagnosis and the engine is authorized to use that status.</w:t>
      </w:r>
    </w:p>
    <w:p>
      <w:pPr>
        <w:pStyle w:val="ListNumber"/>
      </w:pPr>
      <w:r>
        <w:t>No medication, procedure, mode-of-birth, or delivery-site decision is autonomously prescribed.</w:t>
      </w:r>
    </w:p>
    <w:p>
      <w:pPr>
        <w:pStyle w:val="ListNumber"/>
      </w:pPr>
      <w:r>
        <w:t>No missing value is converted to normal, absent, or false.</w:t>
      </w:r>
    </w:p>
    <w:p>
      <w:pPr>
        <w:pStyle w:val="ListNumber"/>
      </w:pPr>
      <w:r>
        <w:t>No emergency finding is suppressed by a score, preparedness status, incomplete record, or clinician-facing workflow requirement.</w:t>
      </w:r>
    </w:p>
    <w:p>
      <w:pPr>
        <w:pStyle w:val="ListNumber"/>
      </w:pPr>
      <w:r>
        <w:t>No rule is active without a version, source, owner, approval state, effective date, and validation cases.</w:t>
      </w:r>
    </w:p>
    <w:p>
      <w:pPr>
        <w:pStyle w:val="ListNumber"/>
      </w:pPr>
      <w:r>
        <w:t>No recommendation is complete without explainability, limitation, follow-up, and documentation requirements.</w:t>
      </w:r>
    </w:p>
    <w:p>
      <w:pPr>
        <w:pStyle w:val="ListNumber"/>
      </w:pPr>
      <w:r>
        <w:t>No referral recommendation is considered resolved without an explicit lifecycle status and outcome or documented refusal.</w:t>
      </w:r>
    </w:p>
    <w:p>
      <w:pPr>
        <w:pStyle w:val="Heading2"/>
      </w:pPr>
      <w:r>
        <w:t>8.2 Minimum decision-engine input contract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232"/>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Input group</w:t>
            </w:r>
          </w:p>
        </w:tc>
        <w:tc>
          <w:tcPr>
            <w:tcW w:type="dxa" w:w="8856"/>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Minimum contract</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Episode</w:t>
            </w:r>
          </w:p>
        </w:tc>
        <w:tc>
          <w:tcPr>
            <w:tcW w:type="dxa" w:w="885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patient_id, pregnancy_episode_id, episode status, current encounter/time, accepted EDD/GA and confidence.</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Clinical evidence</w:t>
            </w:r>
          </w:p>
        </w:tc>
        <w:tc>
          <w:tcPr>
            <w:tcW w:type="dxa" w:w="885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Structured observations with source record IDs, raw values, normalized values where approved, units, date/time, method, provenance, and validity.</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History</w:t>
            </w:r>
          </w:p>
        </w:tc>
        <w:tc>
          <w:tcPr>
            <w:tcW w:type="dxa" w:w="885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Event-specific obstetric and medical history with verification status and current relevance.</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Symptoms</w:t>
            </w:r>
          </w:p>
        </w:tc>
        <w:tc>
          <w:tcPr>
            <w:tcW w:type="dxa" w:w="885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Current symptom episodes with severity, trajectory, associated findings, stability, and patient wording.</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Imaging/laboratory</w:t>
            </w:r>
          </w:p>
        </w:tc>
        <w:tc>
          <w:tcPr>
            <w:tcW w:type="dxa" w:w="885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External report/result metadata, source, date, units, named standard, and clinician interpretation where required.</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Preparedness</w:t>
            </w:r>
          </w:p>
        </w:tc>
        <w:tc>
          <w:tcPr>
            <w:tcW w:type="dxa" w:w="885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Current BPCR plan, element statuses, critical gaps, destination, transport, communication, and review date.</w:t>
            </w:r>
          </w:p>
        </w:tc>
      </w:tr>
      <w:tr>
        <w:trPr>
          <w:cantSplit/>
          <w:cantSplit/>
        </w:trPr>
        <w:tc>
          <w:tcPr>
            <w:tcW w:type="dxa" w:w="2232"/>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Facility context</w:t>
            </w:r>
          </w:p>
        </w:tc>
        <w:tc>
          <w:tcPr>
            <w:tcW w:type="dxa" w:w="8856"/>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Clinic capability and referral-facility capability, network status, contact and transfer procedure version.</w:t>
            </w:r>
          </w:p>
        </w:tc>
      </w:tr>
      <w:tr>
        <w:trPr>
          <w:cantSplit/>
          <w:cantSplit/>
        </w:trPr>
        <w:tc>
          <w:tcPr>
            <w:tcW w:type="dxa" w:w="2232"/>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Knowledge metadata</w:t>
            </w:r>
          </w:p>
        </w:tc>
        <w:tc>
          <w:tcPr>
            <w:tcW w:type="dxa" w:w="8856"/>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Active rule set, guideline standard, local approval, engine version, and effective date.</w:t>
            </w:r>
          </w:p>
        </w:tc>
      </w:tr>
    </w:tbl>
    <w:p>
      <w:pPr>
        <w:spacing w:after="0"/>
      </w:pPr>
    </w:p>
    <w:p>
      <w:pPr>
        <w:pStyle w:val="Heading1"/>
      </w:pPr>
      <w:r>
        <w:t>9. Validation Framework for the Integrated Knowledge Base</w:t>
      </w:r>
    </w:p>
    <w:p>
      <w:r>
        <w:t>Validation must test more than whether a threshold fires. The integrated model must be examined for clinical safety, software correctness, explainability, workflow feasibility, and equity. Validation should occur before implementation, during pilot use, and after every material rule or workflow change.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520"/>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Validation layer</w:t>
            </w:r>
          </w:p>
        </w:tc>
        <w:tc>
          <w:tcPr>
            <w:tcW w:type="dxa" w:w="8568"/>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5"/>
              </w:rPr>
              <w:t>Required evidence</w:t>
            </w:r>
          </w:p>
        </w:tc>
      </w:tr>
      <w:tr>
        <w:trPr>
          <w:cantSplit/>
          <w:cantSplit/>
        </w:trPr>
        <w:tc>
          <w:tcPr>
            <w:tcW w:type="dxa" w:w="25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Clinical content validation</w:t>
            </w:r>
          </w:p>
        </w:tc>
        <w:tc>
          <w:tcPr>
            <w:tcW w:type="dxa" w:w="85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Qualified obstetric/maternal-health review of each rule, interaction, action class, limitation, and referral destination against current guidance and local policy.</w:t>
            </w:r>
          </w:p>
        </w:tc>
      </w:tr>
      <w:tr>
        <w:trPr>
          <w:cantSplit/>
          <w:cantSplit/>
        </w:trPr>
        <w:tc>
          <w:tcPr>
            <w:tcW w:type="dxa" w:w="25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Data validation</w:t>
            </w:r>
          </w:p>
        </w:tc>
        <w:tc>
          <w:tcPr>
            <w:tcW w:type="dxa" w:w="85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Tests for units, dates, episode boundaries, missing values, impossible values, duplicate records, conflicting sources, and stale facility data.</w:t>
            </w:r>
          </w:p>
        </w:tc>
      </w:tr>
      <w:tr>
        <w:trPr>
          <w:cantSplit/>
          <w:cantSplit/>
        </w:trPr>
        <w:tc>
          <w:tcPr>
            <w:tcW w:type="dxa" w:w="25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Rule verification</w:t>
            </w:r>
          </w:p>
        </w:tc>
        <w:tc>
          <w:tcPr>
            <w:tcW w:type="dxa" w:w="85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Boundary and truth-table tests showing exactly when each rule activates, does not activate, or is excluded.</w:t>
            </w:r>
          </w:p>
        </w:tc>
      </w:tr>
      <w:tr>
        <w:trPr>
          <w:cantSplit/>
          <w:cantSplit/>
        </w:trPr>
        <w:tc>
          <w:tcPr>
            <w:tcW w:type="dxa" w:w="25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Interaction testing</w:t>
            </w:r>
          </w:p>
        </w:tc>
        <w:tc>
          <w:tcPr>
            <w:tcW w:type="dxa" w:w="85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Scenarios where two or more domains coexist, including evidence that should escalate, remain independent, or create uncertainty.</w:t>
            </w:r>
          </w:p>
        </w:tc>
      </w:tr>
      <w:tr>
        <w:trPr>
          <w:cantSplit/>
          <w:cantSplit/>
        </w:trPr>
        <w:tc>
          <w:tcPr>
            <w:tcW w:type="dxa" w:w="25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Emergency safety testing</w:t>
            </w:r>
          </w:p>
        </w:tc>
        <w:tc>
          <w:tcPr>
            <w:tcW w:type="dxa" w:w="85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Demonstrate that emergency findings always override routine, incomplete, or score-based outputs and cannot be blocked by form validation.</w:t>
            </w:r>
          </w:p>
        </w:tc>
      </w:tr>
      <w:tr>
        <w:trPr>
          <w:cantSplit/>
          <w:cantSplit/>
        </w:trPr>
        <w:tc>
          <w:tcPr>
            <w:tcW w:type="dxa" w:w="25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Explainability review</w:t>
            </w:r>
          </w:p>
        </w:tc>
        <w:tc>
          <w:tcPr>
            <w:tcW w:type="dxa" w:w="85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Midwives and clinical reviewers can identify trigger, evidence, reasoning, limitation, and next action without reading code.</w:t>
            </w:r>
          </w:p>
        </w:tc>
      </w:tr>
      <w:tr>
        <w:trPr>
          <w:cantSplit/>
          <w:cantSplit/>
        </w:trPr>
        <w:tc>
          <w:tcPr>
            <w:tcW w:type="dxa" w:w="25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Workflow usability</w:t>
            </w:r>
          </w:p>
        </w:tc>
        <w:tc>
          <w:tcPr>
            <w:tcW w:type="dxa" w:w="85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Referral, transport, facility contact, follow-up, refusal, and audit tasks fit actual clinic operations and do not create dangerous delay.</w:t>
            </w:r>
          </w:p>
        </w:tc>
      </w:tr>
      <w:tr>
        <w:trPr>
          <w:cantSplit/>
          <w:cantSplit/>
        </w:trPr>
        <w:tc>
          <w:tcPr>
            <w:tcW w:type="dxa" w:w="25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Equity and bias review</w:t>
            </w:r>
          </w:p>
        </w:tc>
        <w:tc>
          <w:tcPr>
            <w:tcW w:type="dxa" w:w="85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Age, parity, socioeconomic status, PhilHealth, residence, or preparedness barriers do not create unsupported clinical labels or denial of care.</w:t>
            </w:r>
          </w:p>
        </w:tc>
      </w:tr>
      <w:tr>
        <w:trPr>
          <w:cantSplit/>
          <w:cantSplit/>
        </w:trPr>
        <w:tc>
          <w:tcPr>
            <w:tcW w:type="dxa" w:w="2520"/>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Prospective monitoring</w:t>
            </w:r>
          </w:p>
        </w:tc>
        <w:tc>
          <w:tcPr>
            <w:tcW w:type="dxa" w:w="8568"/>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5"/>
              </w:rPr>
              <w:t>Review under-triage, over-referral, alert fatigue, ignored recommendations, referral completion, and adverse near-miss cases.</w:t>
            </w:r>
          </w:p>
        </w:tc>
      </w:tr>
      <w:tr>
        <w:trPr>
          <w:cantSplit/>
          <w:cantSplit/>
        </w:trPr>
        <w:tc>
          <w:tcPr>
            <w:tcW w:type="dxa" w:w="2520"/>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Governance validation</w:t>
            </w:r>
          </w:p>
        </w:tc>
        <w:tc>
          <w:tcPr>
            <w:tcW w:type="dxa" w:w="8568"/>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5"/>
              </w:rPr>
              <w:t>Rule approval, version migration, rollback, facility-capability updates, access control, privacy, and audit reconstruction are tested.</w:t>
            </w:r>
          </w:p>
        </w:tc>
      </w:tr>
    </w:tbl>
    <w:p>
      <w:pPr>
        <w:spacing w:after="0"/>
      </w:pPr>
    </w:p>
    <w:p>
      <w:pPr>
        <w:pStyle w:val="Heading2"/>
      </w:pPr>
      <w:r>
        <w:t>9.1 Mandatory integrated test scenarios</w:t>
      </w:r>
    </w:p>
    <w:p>
      <w:pPr>
        <w:pStyle w:val="ListBullet"/>
      </w:pPr>
      <w:r>
        <w:t>Severe-range BP with missing laboratory data: emergency action must fire while assessment completeness remains visible.</w:t>
      </w:r>
    </w:p>
    <w:p>
      <w:pPr>
        <w:pStyle w:val="ListBullet"/>
      </w:pPr>
      <w:r>
        <w:t>Patient-reported reduced fetal movement with a recently heard fetal heart rate: concern pathway must not be dismissed.</w:t>
      </w:r>
    </w:p>
    <w:p>
      <w:pPr>
        <w:pStyle w:val="ListBullet"/>
      </w:pPr>
      <w:r>
        <w:t>Previous cesarean with low-lying placenta as reported and no hospital birth plan: specialist referral and preparedness gap must both appear.</w:t>
      </w:r>
    </w:p>
    <w:p>
      <w:pPr>
        <w:pStyle w:val="ListBullet"/>
      </w:pPr>
      <w:r>
        <w:t>Moderate/severe anemia near term with no transport plan: clinical urgency and logistics actions must remain separate but linked.</w:t>
      </w:r>
    </w:p>
    <w:p>
      <w:pPr>
        <w:pStyle w:val="ListBullet"/>
      </w:pPr>
      <w:r>
        <w:t>Normal current observations with unverified history of diabetes: verification/screening pathway, not confirmed-disease logic.</w:t>
      </w:r>
    </w:p>
    <w:p>
      <w:pPr>
        <w:pStyle w:val="ListBullet"/>
      </w:pPr>
      <w:r>
        <w:t>Conflicting EDD sources: accepted best estimate remains stable until authorized re-dating; time-dependent rules disclose uncertainty.</w:t>
      </w:r>
    </w:p>
    <w:p>
      <w:pPr>
        <w:pStyle w:val="ListBullet"/>
      </w:pPr>
      <w:r>
        <w:t>BPCR complete but active major bleeding: emergency transfer overrides preparedness status.</w:t>
      </w:r>
    </w:p>
    <w:p>
      <w:pPr>
        <w:pStyle w:val="ListBullet"/>
      </w:pPr>
      <w:r>
        <w:t>Referral recommended but refused: recommendation remains unresolved and safety-net/refusal documentation is required.</w:t>
      </w:r>
    </w:p>
    <w:p>
      <w:pPr>
        <w:pStyle w:val="ListBullet"/>
      </w:pPr>
      <w:r>
        <w:t>Old ultrasound from a previous pregnancy attached to the current patient: episode boundary prevents use.</w:t>
      </w:r>
    </w:p>
    <w:p>
      <w:pPr>
        <w:pStyle w:val="ListBullet"/>
      </w:pPr>
      <w:r>
        <w:t>No clinical concerns but missing transport and referral destination: preparedness counselling only, not a HIGH clinical label.</w:t>
      </w:r>
    </w:p>
    <w:p>
      <w:pPr>
        <w:pStyle w:val="Heading1"/>
      </w:pPr>
      <w:r>
        <w:t>10. Implementation Notes</w:t>
      </w:r>
    </w:p>
    <w:p>
      <w:r>
        <w:t>Implementation should proceed incrementally. The first production-safe release should favor a small number of high-confidence, high-consequence pathways with explicit emergency precedence rather than an extensive opaque risk index. Domain rules should be implemented and clinically validated before interaction rules. Recommendation text must be generated from structured components, not uncontrolled free text. Rule evaluation should be deterministic and reproducible for the same input snapshot and rule version.</w:t>
      </w:r>
    </w:p>
    <w:p>
      <w:pPr>
        <w:pStyle w:val="Heading2"/>
      </w:pPr>
      <w:r>
        <w:t>10.1 Laravel-oriented architecture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Component</w:t>
            </w:r>
          </w:p>
        </w:tc>
        <w:tc>
          <w:tcPr>
            <w:tcW w:type="dxa" w:w="8064"/>
            <w:vAlign w:val="center"/>
            <w:tcMar>
              <w:top w:w="70" w:type="dxa"/>
              <w:start w:w="80" w:type="dxa"/>
              <w:bottom w:w="70" w:type="dxa"/>
              <w:end w:w="80" w:type="dxa"/>
            </w:tcMar>
            <w:shd w:fill="17365D"/>
          </w:tcPr>
          <w:p>
            <w:pPr>
              <w:spacing w:after="0" w:line="240" w:lineRule="auto"/>
            </w:pPr>
            <w:r>
              <w:rPr>
                <w:rFonts w:ascii="Aptos" w:hAnsi="Aptos"/>
                <w:sz w:val="16"/>
              </w:rPr>
            </w:r>
            <w:r>
              <w:rPr>
                <w:rFonts w:ascii="Aptos" w:hAnsi="Aptos"/>
                <w:b/>
                <w:color w:val="FFFFFF"/>
                <w:sz w:val="14"/>
              </w:rPr>
              <w:t>Responsibility</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EvidenceNormalizer service</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Reads domain models, validates units and dates, preserves raw values, and produces typed evidence objects.</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DataQuality service</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Assigns validity, recency, completeness, contradiction, and confidence states.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EmergencyOverride service</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Runs first and independently; returns dominant emergency actions and required referral workflow.</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DomainRule services</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Separate services for age, history, BP, diabetes, anemia, dating, fetal observations, ultrasound reports, symptoms, and BPCR.</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InteractionResolver service</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Applies only approved cross-domain interaction rules and records contributing evidence.</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RecommendationEngine service</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Selects primary action, groups secondary actions, and constructs the seven-component recommendation object.</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ReferralEngine service</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Creates and tracks referral lifecycle, receiving facility, transport, handover, refusal, and outcome.</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ExplainabilityBuilder service</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Produces clinician-facing and audit-facing explanations from structured evidence and rule metadata.</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RuleRepository</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Loads only approved and effective rule versions; supports rollback and historical reproduction.</w:t>
            </w:r>
          </w:p>
        </w:tc>
      </w:tr>
      <w:tr>
        <w:trPr>
          <w:cantSplit/>
          <w:cantSplit/>
        </w:trPr>
        <w:tc>
          <w:tcPr>
            <w:tcW w:type="dxa" w:w="302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DecisionAudit service</w:t>
            </w:r>
          </w:p>
        </w:tc>
        <w:tc>
          <w:tcPr>
            <w:tcW w:type="dxa" w:w="8064"/>
            <w:vAlign w:val="center"/>
            <w:tcMar>
              <w:top w:w="70" w:type="dxa"/>
              <w:start w:w="80" w:type="dxa"/>
              <w:bottom w:w="70" w:type="dxa"/>
              <w:end w:w="80" w:type="dxa"/>
            </w:tcMar>
            <w:shd w:fill="F4F6F7"/>
          </w:tcPr>
          <w:p>
            <w:pPr>
              <w:spacing w:after="0" w:line="240" w:lineRule="auto"/>
            </w:pPr>
            <w:r>
              <w:rPr>
                <w:rFonts w:ascii="Aptos" w:hAnsi="Aptos"/>
                <w:sz w:val="16"/>
              </w:rPr>
            </w:r>
            <w:r>
              <w:rPr>
                <w:rFonts w:ascii="Aptos" w:hAnsi="Aptos"/>
                <w:b w:val="0"/>
                <w:sz w:val="14"/>
              </w:rPr>
              <w:t>Stores input snapshot, rule evaluations, outputs, clinician response, and follow-up events.</w:t>
            </w:r>
          </w:p>
        </w:tc>
      </w:tr>
      <w:tr>
        <w:trPr>
          <w:cantSplit/>
          <w:cantSplit/>
        </w:trPr>
        <w:tc>
          <w:tcPr>
            <w:tcW w:type="dxa" w:w="302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Background task scheduler</w:t>
            </w:r>
          </w:p>
        </w:tc>
        <w:tc>
          <w:tcPr>
            <w:tcW w:type="dxa" w:w="8064"/>
            <w:vAlign w:val="center"/>
            <w:tcMar>
              <w:top w:w="70" w:type="dxa"/>
              <w:start w:w="80" w:type="dxa"/>
              <w:bottom w:w="70" w:type="dxa"/>
              <w:end w:w="80" w:type="dxa"/>
            </w:tcMar>
          </w:tcPr>
          <w:p>
            <w:pPr>
              <w:spacing w:after="0" w:line="240" w:lineRule="auto"/>
            </w:pPr>
            <w:r>
              <w:rPr>
                <w:rFonts w:ascii="Aptos" w:hAnsi="Aptos"/>
                <w:sz w:val="16"/>
              </w:rPr>
            </w:r>
            <w:r>
              <w:rPr>
                <w:rFonts w:ascii="Aptos" w:hAnsi="Aptos"/>
                <w:b w:val="0"/>
                <w:sz w:val="14"/>
              </w:rPr>
              <w:t>Creates reminders for repeat tests, plan review, referral follow-up, and overdue tasks; never delays immediate alerts.</w:t>
            </w:r>
          </w:p>
        </w:tc>
      </w:tr>
    </w:tbl>
    <w:p>
      <w:pPr>
        <w:spacing w:after="0"/>
      </w:pPr>
    </w:p>
    <w:p>
      <w:pPr>
        <w:pStyle w:val="Heading2"/>
      </w:pPr>
      <w:r>
        <w:t>10.2 Interface safety</w:t>
      </w:r>
    </w:p>
    <w:p>
      <w:pPr>
        <w:pStyle w:val="ListBullet"/>
      </w:pPr>
      <w:r>
        <w:t>Place emergency findings and actions above routine completeness messages.</w:t>
      </w:r>
    </w:p>
    <w:p>
      <w:pPr>
        <w:pStyle w:val="ListBullet"/>
      </w:pPr>
      <w:r>
        <w:t>Display the source date and provenance beside every finding used in reasoning.</w:t>
      </w:r>
    </w:p>
    <w:p>
      <w:pPr>
        <w:pStyle w:val="ListBullet"/>
      </w:pPr>
      <w:r>
        <w:t>Use action-oriented labels rather than unsupported global risk labels.</w:t>
      </w:r>
    </w:p>
    <w:p>
      <w:pPr>
        <w:pStyle w:val="ListBullet"/>
      </w:pPr>
      <w:r>
        <w:t>Keep “patient-reported,” “clinician-observed,” “laboratory-confirmed,” and “ultrasound report states” visually distinct.</w:t>
      </w:r>
    </w:p>
    <w:p>
      <w:pPr>
        <w:pStyle w:val="ListBullet"/>
      </w:pPr>
      <w:r>
        <w:t>Require an override rationale for high-consequence recommendations while allowing emergency workflow to proceed immediately.</w:t>
      </w:r>
    </w:p>
    <w:p>
      <w:pPr>
        <w:pStyle w:val="ListBullet"/>
      </w:pPr>
      <w:r>
        <w:t>Do not force completion of long forms before referral creation or emergency documentation.</w:t>
      </w:r>
    </w:p>
    <w:p>
      <w:pPr>
        <w:pStyle w:val="ListBullet"/>
      </w:pPr>
      <w:r>
        <w:t>Show unresolved referral and critical BPCR gaps on the pregnancy summary until explicitly resolved or superseded.</w:t>
      </w:r>
    </w:p>
    <w:p>
      <w:pPr>
        <w:pStyle w:val="ListBullet"/>
      </w:pPr>
      <w:r>
        <w:t>Provide print/export handover summaries containing only necessary, current, and attributable information.</w:t>
      </w:r>
    </w:p>
    <w:p>
      <w:pPr>
        <w:pStyle w:val="Heading1"/>
      </w:pPr>
      <w:r>
        <w:t>11. Transition to Document 2 - Clinical Decision Support Decision Engine</w:t>
      </w:r>
    </w:p>
    <w:p>
      <w:r>
        <w:t>Document 2 will convert this knowledge architecture into an executable decision-engine specification. It must not reopen the clinical evidence review unless a rule cannot be traced to Document 1 or a newer authoritative guideline requires revision. The engine specification should treat Part 12 as its input contract and governance boundary.</w:t>
      </w:r>
    </w:p>
    <w:p>
      <w:pPr>
        <w:pStyle w:val="Heading2"/>
      </w:pPr>
      <w:r>
        <w:t>11.1 Rule engine</w:t>
      </w:r>
    </w:p>
    <w:p>
      <w:r>
        <w:t>The rule engine will evaluate versioned conditions against normalized evidence objects. It must support logical groups, temporal windows, units, exclusions, required confidence, rule precedence, and explicit “not evaluable” states. It should return every matched and excluded rule with a reason, not only the final output.</w:t>
      </w:r>
    </w:p>
    <w:p>
      <w:pPr>
        <w:pStyle w:val="Heading2"/>
      </w:pPr>
      <w:r>
        <w:t>11.2 Explainability engine</w:t>
      </w:r>
    </w:p>
    <w:p>
      <w:r>
        <w:t>The explainability engine will transform decision evidence into the seven mandatory components: trigger, evidence, clinical reasoning, recommendation, limitation, follow-up, and documentation. Explanations must be generated from structured rule metadata and source records so that language remains consistent, auditable, and testable.</w:t>
      </w:r>
    </w:p>
    <w:p>
      <w:pPr>
        <w:pStyle w:val="Heading2"/>
      </w:pPr>
      <w:r>
        <w:t>11.3 Recommendation engine</w:t>
      </w:r>
    </w:p>
    <w:p>
      <w:r>
        <w:t>The recommendation engine will resolve multiple rule outputs into one primary action and ordered secondary actions. It must preserve all contributing evidence, avoid contradictory instructions, separate clinical action from preparedness tasks, and specify timeframe, responsible role, referral capability, and completion criteria.</w:t>
      </w:r>
    </w:p>
    <w:p>
      <w:pPr>
        <w:pStyle w:val="Heading2"/>
      </w:pPr>
      <w:r>
        <w:t>11.4 Emergency override</w:t>
      </w:r>
    </w:p>
    <w:p>
      <w:r>
        <w:t>The emergency override will be an independent, first-pass safety mechanism. It must not depend on aggregate completeness, ML output, risk index, or routine recommendation ranking. It must remain available during every workflow and should create a minimal referral/handover record immediately, with nonessential fields completed later.</w:t>
      </w:r>
    </w:p>
    <w:p>
      <w:pPr>
        <w:pStyle w:val="Heading2"/>
      </w:pPr>
      <w:r>
        <w:t>11.5 Referral engine</w:t>
      </w:r>
    </w:p>
    <w:p>
      <w:r>
        <w:t>The referral engine will connect recommendation to operational transfer of care. It must manage urgency, destination capability, facility contact, acceptance, transport, departure, arrival, handover, refusal, cancellation, completion, and outcome. It must preserve unresolved referrals and must never mark clinical concern resolved solely because a referral record exists.</w:t>
      </w:r>
    </w:p>
    <w:p>
      <w:pPr>
        <w:pStyle w:val="Heading2"/>
      </w:pPr>
      <w:r>
        <w:t>11.6 Confidence handling</w:t>
      </w:r>
    </w:p>
    <w:p>
      <w:r>
        <w:t>Document 2 will define a computable confidence schema using provenance, quality, recency, completeness, consistency, confirmation, and applicability. Confidence will determine whether a rule can make a deterministic statement, requires verification, or must defer to clinician review. It will not be used as a substitute for urgency.</w:t>
      </w:r>
    </w:p>
    <w:p>
      <w:pPr>
        <w:pStyle w:val="Heading2"/>
      </w:pPr>
      <w:r>
        <w:t>11.7 Conflict resolution</w:t>
      </w:r>
    </w:p>
    <w:p>
      <w:r>
        <w:t>Conflict resolution must address contradictory observations, competing guideline standards, repeated measurements, source hierarchy, accepted gestational dating, and clinician-confirmed interpretations. The engine must preserve disagreement and show which locally approved standard was applied. Unresolved high-consequence conflicts require qualified review.</w:t>
      </w:r>
    </w:p>
    <w:p>
      <w:pPr>
        <w:pStyle w:val="Heading2"/>
      </w:pPr>
      <w:r>
        <w:t>11.8 Audit logging</w:t>
      </w:r>
    </w:p>
    <w:p>
      <w:r>
        <w:t>Every decision run must be reproducible. The audit record will include the input snapshot, evidence provenance, active rule and guideline versions, matched and excluded rules, generated recommendation, user actions, clinician override, referral events, follow-up, and later corrections. Audit logs support safety review and research but must comply with privacy and access-control requirements.</w:t>
      </w:r>
    </w:p>
    <w:p>
      <w:pPr>
        <w:pStyle w:val="Heading2"/>
      </w:pPr>
      <w:r>
        <w:t>11.9 Rule versioning</w:t>
      </w:r>
    </w:p>
    <w:p>
      <w:r>
        <w:t>Rules require lifecycle states: draft, clinical review, approved, active, superseded, retired, and emergency-disabled where necessary. A new version must not rewrite historical decisions. Each version must state its source, rationale, parameter changes, expected impact, validation cases, approvers, effective date, and rollback plan.</w:t>
      </w:r>
    </w:p>
    <w:p>
      <w:pPr>
        <w:pStyle w:val="Heading2"/>
      </w:pPr>
      <w:r>
        <w:t>11.10 Document 2 deliverables</w:t>
      </w:r>
    </w:p>
    <w:p>
      <w:pPr>
        <w:pStyle w:val="ListNumber"/>
      </w:pPr>
      <w:r>
        <w:t>Formal decision-engine processing sequence and state model.</w:t>
      </w:r>
    </w:p>
    <w:p>
      <w:pPr>
        <w:pStyle w:val="ListNumber"/>
      </w:pPr>
      <w:r>
        <w:t>Rule schema, condition syntax, temporal logic, and unit handling.</w:t>
      </w:r>
    </w:p>
    <w:p>
      <w:pPr>
        <w:pStyle w:val="ListNumber"/>
      </w:pPr>
      <w:r>
        <w:t>Emergency override catalogue and precedence model.</w:t>
      </w:r>
    </w:p>
    <w:p>
      <w:pPr>
        <w:pStyle w:val="ListNumber"/>
      </w:pPr>
      <w:r>
        <w:t>Domain rule catalogue derived from Parts 1-11.</w:t>
      </w:r>
    </w:p>
    <w:p>
      <w:pPr>
        <w:pStyle w:val="ListNumber"/>
      </w:pPr>
      <w:r>
        <w:t>Interaction resolver specification derived from the master matrix.</w:t>
      </w:r>
    </w:p>
    <w:p>
      <w:pPr>
        <w:pStyle w:val="ListNumber"/>
      </w:pPr>
      <w:r>
        <w:t>Confidence and missing-data computation model.</w:t>
      </w:r>
    </w:p>
    <w:p>
      <w:pPr>
        <w:pStyle w:val="ListNumber"/>
      </w:pPr>
      <w:r>
        <w:t>Conflict-resolution policy.</w:t>
      </w:r>
    </w:p>
    <w:p>
      <w:pPr>
        <w:pStyle w:val="ListNumber"/>
      </w:pPr>
      <w:r>
        <w:t>Recommendation composition and referral integration interfaces.</w:t>
      </w:r>
    </w:p>
    <w:p>
      <w:pPr>
        <w:pStyle w:val="ListNumber"/>
      </w:pPr>
      <w:r>
        <w:t>Explainability payload specification.</w:t>
      </w:r>
    </w:p>
    <w:p>
      <w:pPr>
        <w:pStyle w:val="ListNumber"/>
      </w:pPr>
      <w:r>
        <w:t>Audit, rule-versioning, validation, and deployment governance.</w:t>
      </w:r>
    </w:p>
    <w:p>
      <w:pPr>
        <w:pStyle w:val="Heading1"/>
      </w:pPr>
      <w:r>
        <w:t>12. Final Clinical Knowledge Decision</w:t>
      </w:r>
    </w:p>
    <w:tbl>
      <w:tblPr>
        <w:tblStyle w:val="TableGrid"/>
        <w:tblW w:type="auto" w:w="0"/>
        <w:jc w:val="center"/>
        <w:tblLook w:firstColumn="1" w:firstRow="1" w:lastColumn="0" w:lastRow="0" w:noHBand="0" w:noVBand="1" w:val="04A0"/>
      </w:tblPr>
      <w:tblGrid>
        <w:gridCol w:w="10166"/>
      </w:tblGrid>
      <w:tr>
        <w:trPr>
          <w:cantSplit/>
        </w:trPr>
        <w:tc>
          <w:tcPr>
            <w:tcW w:type="dxa" w:w="10166"/>
            <w:shd w:fill="D9EAD3"/>
            <w:tcMar>
              <w:top w:w="110" w:type="dxa"/>
              <w:start w:w="130" w:type="dxa"/>
              <w:bottom w:w="110" w:type="dxa"/>
              <w:end w:w="130" w:type="dxa"/>
            </w:tcMar>
          </w:tcPr>
          <w:p>
            <w:pPr>
              <w:spacing w:after="60"/>
            </w:pPr>
            <w:r>
              <w:rPr>
                <w:rFonts w:ascii="Aptos" w:hAnsi="Aptos"/>
                <w:sz w:val="16"/>
              </w:rPr>
            </w:r>
            <w:r>
              <w:rPr>
                <w:rFonts w:ascii="Aptos" w:hAnsi="Aptos"/>
                <w:b/>
                <w:color w:val="548235"/>
                <w:sz w:val="20"/>
              </w:rPr>
              <w:t>DOCUMENT 1 COMPLETION DECISION</w:t>
            </w:r>
          </w:p>
          <w:p>
            <w:pPr>
              <w:spacing w:after="0" w:line="252" w:lineRule="auto"/>
            </w:pPr>
            <w:r>
              <w:rPr>
                <w:rFonts w:ascii="Aptos" w:hAnsi="Aptos"/>
                <w:sz w:val="16"/>
              </w:rPr>
              <w:t>The Clinical Knowledge Base supports a transparent, pathway-based, referral-oriented CDSS. The future system must reason from attributable evidence, respect gestational and temporal context, preserve guideline differences, distinguish confidence from urgency, and make emergency action dominant. Birth preparedness is integrated as readiness for safe access and referral, not as a biological risk score. Document 2 may now define the decision engine, provided it does not exceed these clinical and architectural boundaries.</w:t>
            </w:r>
          </w:p>
        </w:tc>
      </w:tr>
    </w:tbl>
    <w:p>
      <w:pPr>
        <w:spacing w:after="0"/>
      </w:pPr>
    </w:p>
    <w:p>
      <w:pPr>
        <w:pStyle w:val="Heading1"/>
      </w:pPr>
      <w:r>
        <w:t>References</w:t>
      </w:r>
    </w:p>
    <w:p>
      <w:pPr>
        <w:pStyle w:val="ListNumber"/>
        <w:ind w:left="288" w:hanging="288"/>
      </w:pPr>
      <w:r>
        <w:t>American College of Obstetricians and Gynecologists. (2017, reaffirmed). Methods for estimating the due date. Committee Opinion No. 700.</w:t>
      </w:r>
    </w:p>
    <w:p>
      <w:pPr>
        <w:pStyle w:val="ListNumber"/>
        <w:ind w:left="288" w:hanging="288"/>
      </w:pPr>
      <w:r>
        <w:t>American College of Obstetricians and Gynecologists. (2021, reaffirmed 2024). Anemia in pregnancy. Practice Bulletin No. 233. Obstetrics &amp; Gynecology, 138(2), e55-e64.</w:t>
      </w:r>
    </w:p>
    <w:p>
      <w:pPr>
        <w:pStyle w:val="ListNumber"/>
        <w:ind w:left="288" w:hanging="288"/>
      </w:pPr>
      <w:r>
        <w:t>American College of Obstetricians and Gynecologists. (2021). Indications for outpatient antenatal fetal surveillance. Committee Opinion No. 828.</w:t>
      </w:r>
    </w:p>
    <w:p>
      <w:pPr>
        <w:pStyle w:val="ListNumber"/>
        <w:ind w:left="288" w:hanging="288"/>
      </w:pPr>
      <w:r>
        <w:t>American College of Obstetricians and Gynecologists. Guidance on gestational diabetes, hypertensive disorders, pregnancy loss, and urgent maternal warning signs, as cited and bounded in Parts 2, 3, 6, 8, 9, and 11.</w:t>
      </w:r>
    </w:p>
    <w:p>
      <w:pPr>
        <w:pStyle w:val="ListNumber"/>
        <w:ind w:left="288" w:hanging="288"/>
      </w:pPr>
      <w:r>
        <w:t>International Federation of Gynecology and Obstetrics. (2025). FIGO good practice recommendations on anemia in pregnancy to reduce the incidence and impact of postpartum hemorrhage. International Journal of Gynecology &amp; Obstetrics, 171(3), 993-1007.</w:t>
      </w:r>
    </w:p>
    <w:p>
      <w:pPr>
        <w:pStyle w:val="ListNumber"/>
        <w:ind w:left="288" w:hanging="288"/>
      </w:pPr>
      <w:r>
        <w:t>International Federation of Gynecology and Obstetrics. Good-practice recommendations concerning vaginal birth after cesarean and referral-capable birth settings, as reviewed in Part 5.</w:t>
      </w:r>
    </w:p>
    <w:p>
      <w:pPr>
        <w:pStyle w:val="ListNumber"/>
        <w:ind w:left="288" w:hanging="288"/>
      </w:pPr>
      <w:r>
        <w:t>National Institute for Health and Care Excellence. (2021, updated). Antenatal care. NICE Guideline NG201.</w:t>
      </w:r>
    </w:p>
    <w:p>
      <w:pPr>
        <w:pStyle w:val="ListNumber"/>
        <w:ind w:left="288" w:hanging="288"/>
      </w:pPr>
      <w:r>
        <w:t>National Institute for Health and Care Excellence. (2019, updated). Hypertension in pregnancy: diagnosis and management. NICE Guideline NG133.</w:t>
      </w:r>
    </w:p>
    <w:p>
      <w:pPr>
        <w:pStyle w:val="ListNumber"/>
        <w:ind w:left="288" w:hanging="288"/>
      </w:pPr>
      <w:r>
        <w:t>National Institute for Health and Care Excellence. (2015, updated). Diabetes in pregnancy: management from preconception to the postnatal period. NICE Guideline NG3.</w:t>
      </w:r>
    </w:p>
    <w:p>
      <w:pPr>
        <w:pStyle w:val="ListNumber"/>
        <w:ind w:left="288" w:hanging="288"/>
      </w:pPr>
      <w:r>
        <w:t>National Institute for Health and Care Excellence. (2019, updated). Ectopic pregnancy and miscarriage: diagnosis and initial management. NICE Guideline NG126.</w:t>
      </w:r>
    </w:p>
    <w:p>
      <w:pPr>
        <w:pStyle w:val="ListNumber"/>
        <w:ind w:left="288" w:hanging="288"/>
      </w:pPr>
      <w:r>
        <w:t>Republic of the Philippines. (2012). Republic Act No. 10354: Responsible Parenthood and Reproductive Health Act of 2012.</w:t>
      </w:r>
    </w:p>
    <w:p>
      <w:pPr>
        <w:pStyle w:val="ListNumber"/>
        <w:ind w:left="288" w:hanging="288"/>
      </w:pPr>
      <w:r>
        <w:t>Republic of the Philippines. (2018). Republic Act No. 11148: Kalusugan at Nutrisyon ng Mag-Nanay Act.</w:t>
      </w:r>
    </w:p>
    <w:p>
      <w:pPr>
        <w:pStyle w:val="ListNumber"/>
        <w:ind w:left="288" w:hanging="288"/>
      </w:pPr>
      <w:r>
        <w:t>Royal College of Obstetricians and Gynaecologists. Green-top guidelines on recurrent miscarriage, reduced fetal movements, fetal growth restriction, and birth after previous cesarean, as reviewed in Parts 5, 6, and 9.</w:t>
      </w:r>
    </w:p>
    <w:p>
      <w:pPr>
        <w:pStyle w:val="ListNumber"/>
        <w:ind w:left="288" w:hanging="288"/>
      </w:pPr>
      <w:r>
        <w:t>World Health Organization. (2015). Pregnancy, childbirth, postpartum and newborn care: A guide for essential practice (3rd ed.).</w:t>
      </w:r>
    </w:p>
    <w:p>
      <w:pPr>
        <w:pStyle w:val="ListNumber"/>
        <w:ind w:left="288" w:hanging="288"/>
      </w:pPr>
      <w:r>
        <w:t>World Health Organization. (2016). WHO recommendations on antenatal care for a positive pregnancy experience.</w:t>
      </w:r>
    </w:p>
    <w:p>
      <w:pPr>
        <w:pStyle w:val="ListNumber"/>
        <w:ind w:left="288" w:hanging="288"/>
      </w:pPr>
      <w:r>
        <w:t>World Health Organization. (2017). Managing complications in pregnancy and childbirth: A guide for midwives and doctors (2nd ed.).</w:t>
      </w:r>
    </w:p>
    <w:p>
      <w:pPr>
        <w:pStyle w:val="ListNumber"/>
        <w:ind w:left="288" w:hanging="288"/>
      </w:pPr>
      <w:r>
        <w:t>World Health Organization. (2022). Making plans for childbirth when pregnant: Birth preparedness and complication readiness guidance.</w:t>
      </w:r>
    </w:p>
    <w:p>
      <w:pPr>
        <w:pStyle w:val="ListNumber"/>
        <w:ind w:left="288" w:hanging="288"/>
      </w:pPr>
      <w:r>
        <w:t>World Health Organization. (2022). WHO antenatal care recommendations: maternal and fetal assessment update - imaging ultrasound before 24 weeks of pregnancy.</w:t>
      </w:r>
    </w:p>
    <w:p>
      <w:pPr>
        <w:pStyle w:val="ListNumber"/>
        <w:ind w:left="288" w:hanging="288"/>
      </w:pPr>
      <w:r>
        <w:t>World Health Organization. (2024). Guideline on haemoglobin cutoffs to define anaemia in individuals and populations.</w:t>
      </w:r>
    </w:p>
    <w:p>
      <w:pPr>
        <w:pStyle w:val="ListNumber"/>
        <w:ind w:left="288" w:hanging="288"/>
      </w:pPr>
      <w:r>
        <w:t>World Health Organization. (2025). WHO guideline on care for women with diabetes during pregnancy.</w:t>
      </w:r>
    </w:p>
    <w:p>
      <w:pPr>
        <w:pStyle w:val="ListNumber"/>
        <w:ind w:left="288" w:hanging="288"/>
      </w:pPr>
      <w:r>
        <w:t>World Health Organization. Digital Adaptation Kit for Antenatal Care: Operational requirements for implementing WHO recommendations in digital systems.</w:t>
      </w:r>
    </w:p>
    <w:p>
      <w:pPr>
        <w:pStyle w:val="ListNumber"/>
        <w:ind w:left="288" w:hanging="288"/>
      </w:pPr>
      <w:r>
        <w:t>World Health Organization. Maternal, newborn, child and adolescent health e-handbook: antenatal-care interventions, including education on birth preparedness and complication readiness throughout pregnancy and birth/emergency preparedness counselling in the third trimester.</w:t>
      </w:r>
    </w:p>
    <w:p>
      <w:pPr>
        <w:pStyle w:val="ListNumber"/>
        <w:ind w:left="288" w:hanging="288"/>
      </w:pPr>
      <w:r>
        <w:t>World Health Organization, United Nations Population Fund, and UNICEF. Maternal and newborn referral, emergency obstetric care, respectful maternity care, and skilled birth-attendance principles cited across Document 1.</w:t>
      </w:r>
    </w:p>
    <w:p>
      <w:pPr>
        <w:pStyle w:val="ListNumber"/>
        <w:ind w:left="288" w:hanging="288"/>
      </w:pPr>
      <w:r>
        <w:t>Philippine Department of Health and relevant local government/facility policies. Current licensing, referral-network, maternal-care, emergency transport, and facility-capability requirements must be verified locally before deployment.</w:t>
      </w:r>
    </w:p>
    <w:p>
      <w:pPr>
        <w:pStyle w:val="Heading2"/>
      </w:pPr>
      <w:r>
        <w:t>Reference Integrity and Local Validation Note</w:t>
      </w:r>
    </w:p>
    <w:p>
      <w:r>
        <w:t>This chapter uses BPCR and digital-architecture principles from WHO and preserves the evidence and guideline differences established in Parts 1-11. It does not infer inaccessible or unverified Philippine clinical thresholds. Before live deployment, every rule, action timeframe, facility capability, referral destination, emergency procedure, and user-facing recommendation must be reviewed by a qualified maternal-health professional and aligned with the current Department of Health, local government, licensing, supervising-physician, and receiving-facility requirements. A source update after the research cut-off requires formal rule review and versioning rather than silent replacement.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Web-Based Maternity Management System CDSS  |  Final evidence synthesis and knowledge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Clinical Knowledge Base | Document 1 - Part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2E75B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RuleText">
    <w:name w:val="Rule Text"/>
    <w:pPr>
      <w:spacing w:after="4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Clinical Knowledge Base Part 12</dc:title>
  <dc:subject>Birth Preparedness, Final Evidence Synthesis, Knowledge Integration, and Transition to the Clinical Decision Support Decision Engine</dc:subject>
  <dc:creator>Web-Based Maternity Management System Capstone Research Team</dc:creator>
  <cp:keywords>CDSS, maternity, birth preparedness, BPCR, Philippine lying-in clinic, explainability, referral</cp:keywords>
  <dc:description>Research-grade knowledge architecture. Clinical validation required before deployment.</dc:description>
  <cp:lastModifiedBy/>
  <cp:revision>1</cp:revision>
  <dcterms:created xsi:type="dcterms:W3CDTF">2013-12-23T23:15:00Z</dcterms:created>
  <dcterms:modified xsi:type="dcterms:W3CDTF">2013-12-23T23:15:00Z</dcterms:modified>
  <cp:category/>
</cp:coreProperties>
</file>