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sz w:val="34"/>
        </w:rPr>
        <w:t>DOCUMENT 1</w:t>
      </w:r>
    </w:p>
    <w:p>
      <w:pPr>
        <w:jc w:val="center"/>
      </w:pPr>
      <w:r>
        <w:rPr>
          <w:b/>
          <w:sz w:val="48"/>
        </w:rPr>
        <w:t>Clinical Knowledge Base</w:t>
      </w:r>
    </w:p>
    <w:p>
      <w:pPr>
        <w:jc w:val="center"/>
      </w:pPr>
      <w:r>
        <w:rPr>
          <w:sz w:val="28"/>
        </w:rPr>
        <w:t>Part 2: Blood Pressure and Hypertensive Disorders in Pregnancy</w:t>
      </w:r>
    </w:p>
    <w:p>
      <w:r>
        <w:br/>
      </w:r>
    </w:p>
    <w:p>
      <w:pPr>
        <w:jc w:val="center"/>
      </w:pPr>
      <w:r>
        <w:rPr>
          <w:sz w:val="24"/>
        </w:rPr>
        <w:t>Web-Based Maternity Management System</w:t>
        <w:br/>
        <w:t>Clinical Decision Support System Design</w:t>
      </w:r>
    </w:p>
    <w:p>
      <w:r>
        <w:br/>
        <w:br/>
      </w:r>
    </w:p>
    <w:p>
      <w:pPr>
        <w:jc w:val="center"/>
      </w:pPr>
      <w:r>
        <w:rPr>
          <w:sz w:val="20"/>
        </w:rPr>
        <w:t>Version 1.0 | July 2026</w:t>
      </w:r>
    </w:p>
    <w:p>
      <w:r>
        <w:br/>
      </w:r>
    </w:p>
    <w:tbl>
      <w:tblPr>
        <w:tblStyle w:val="TableGrid"/>
        <w:tblW w:type="auto" w:w="0"/>
        <w:tblLook w:firstColumn="1" w:firstRow="1" w:lastColumn="0" w:lastRow="0" w:noHBand="0" w:noVBand="1" w:val="04A0"/>
      </w:tblPr>
      <w:tblGrid>
        <w:gridCol w:w="9878"/>
      </w:tblGrid>
      <w:tr>
        <w:tc>
          <w:tcPr>
            <w:tcW w:type="dxa" w:w="9878"/>
            <w:shd w:fill="FCE4D6"/>
          </w:tcPr>
          <w:p>
            <w:pPr>
              <w:jc w:val="center"/>
            </w:pPr>
            <w:r>
              <w:rPr>
                <w:b/>
                <w:sz w:val="19"/>
              </w:rPr>
              <w:t>Clinical safety statement: This paper defines referral-support logic, not a diagnostic or medication-prescribing system. Severe or symptomatic hypertension can be time-critical. The midwife must follow current emergency, referral, and standing-order protocols.</w:t>
            </w:r>
          </w:p>
        </w:tc>
      </w:tr>
    </w:tbl>
    <w:p/>
    <w:p>
      <w:r>
        <w:br w:type="page"/>
      </w:r>
    </w:p>
    <w:p>
      <w:pPr>
        <w:pStyle w:val="Heading1"/>
      </w:pPr>
      <w:r>
        <w:t>Document Status and Relationship to Part 1</w:t>
      </w:r>
    </w:p>
    <w:p>
      <w:r>
        <w:t>Part 1 established the evidence method and completed maternal age. Part 2 applies the same method to blood pressure and hypertensive disorders. This factor is treated separately because blood pressure can be an urgent finding, measurement error can materially change the recommendation, and diagnosis of gestational hypertension or pre-eclampsia requires information beyond a single database value.</w:t>
      </w:r>
    </w:p>
    <w:p>
      <w:r>
        <w:t>The software must distinguish four different activities: (1) recording a blood-pressure observation, (2) checking measurement quality, (3) identifying a referral threshold or warning pattern, and (4) making a medical diagnosis. The future CDSS may perform the first three as decision support. It must not claim to perform the fourth.</w:t>
      </w:r>
    </w:p>
    <w:p>
      <w:pPr>
        <w:pStyle w:val="Heading1"/>
      </w:pPr>
      <w:r>
        <w:t>Executive Decision</w:t>
      </w:r>
    </w:p>
    <w:p>
      <w:r>
        <w:t>Blood pressure should be a core, high-priority factor in the CDSS. It should not be reduced to a permanent HIGH/LOW label. The engine should use a time-sensitive pathway that validates the measurement, considers gestational age and history, checks for severe-range values and warning symptoms, and produces a graded action: repeat/verify, prompt clinical review, recommend same-day referral, or activate an emergency pathway.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04"/>
            <w:shd w:fill="D9EAF7"/>
          </w:tcPr>
          <w:p>
            <w:pPr>
              <w:pStyle w:val="TableText"/>
            </w:pPr>
            <w:r>
              <w:rPr>
                <w:b/>
              </w:rPr>
              <w:t>Recorded finding</w:t>
            </w:r>
          </w:p>
        </w:tc>
        <w:tc>
          <w:tcPr>
            <w:tcW w:type="dxa" w:w="4464"/>
            <w:shd w:fill="D9EAF7"/>
          </w:tcPr>
          <w:p>
            <w:pPr>
              <w:pStyle w:val="TableText"/>
            </w:pPr>
            <w:r>
              <w:rPr>
                <w:b/>
              </w:rPr>
              <w:t>CDSS interpretation</w:t>
            </w:r>
          </w:p>
        </w:tc>
        <w:tc>
          <w:tcPr>
            <w:tcW w:type="dxa" w:w="4320"/>
            <w:shd w:fill="D9EAF7"/>
          </w:tcPr>
          <w:p>
            <w:pPr>
              <w:pStyle w:val="TableText"/>
            </w:pPr>
            <w:r>
              <w:rPr>
                <w:b/>
              </w:rPr>
              <w:t>Minimum referral-support action</w:t>
            </w:r>
          </w:p>
        </w:tc>
      </w:tr>
      <w:tr>
        <w:tc>
          <w:tcPr>
            <w:tcW w:type="dxa" w:w="2304"/>
            <w:vAlign w:val="top"/>
          </w:tcPr>
          <w:p>
            <w:pPr>
              <w:pStyle w:val="TableText"/>
            </w:pPr>
            <w:r>
              <w:t>Below 140 systolic and below 90 diastolic</w:t>
            </w:r>
          </w:p>
        </w:tc>
        <w:tc>
          <w:tcPr>
            <w:tcW w:type="dxa" w:w="4464"/>
            <w:vAlign w:val="top"/>
          </w:tcPr>
          <w:p>
            <w:pPr>
              <w:pStyle w:val="TableText"/>
            </w:pPr>
            <w:r>
              <w:t>No hypertension threshold is met by this reading. This does not establish that the pregnancy is low risk.</w:t>
            </w:r>
          </w:p>
        </w:tc>
        <w:tc>
          <w:tcPr>
            <w:tcW w:type="dxa" w:w="4320"/>
            <w:vAlign w:val="top"/>
          </w:tcPr>
          <w:p>
            <w:pPr>
              <w:pStyle w:val="TableText"/>
            </w:pPr>
            <w:r>
              <w:t>Continue routine assessment; check symptoms and other factors.</w:t>
            </w:r>
          </w:p>
        </w:tc>
      </w:tr>
      <w:tr>
        <w:tc>
          <w:tcPr>
            <w:tcW w:type="dxa" w:w="2304"/>
            <w:vAlign w:val="top"/>
          </w:tcPr>
          <w:p>
            <w:pPr>
              <w:pStyle w:val="TableText"/>
            </w:pPr>
            <w:r>
              <w:t>140-159 systolic and/or 90-109 diastolic</w:t>
            </w:r>
          </w:p>
        </w:tc>
        <w:tc>
          <w:tcPr>
            <w:tcW w:type="dxa" w:w="4464"/>
            <w:vAlign w:val="top"/>
          </w:tcPr>
          <w:p>
            <w:pPr>
              <w:pStyle w:val="TableText"/>
            </w:pPr>
            <w:r>
              <w:t>Hypertension-range reading requiring confirmation and assessment. Timing, history, symptoms, proteinuria and laboratory/fetal assessment determine classification.</w:t>
            </w:r>
          </w:p>
        </w:tc>
        <w:tc>
          <w:tcPr>
            <w:tcW w:type="dxa" w:w="4320"/>
            <w:vAlign w:val="top"/>
          </w:tcPr>
          <w:p>
            <w:pPr>
              <w:pStyle w:val="TableText"/>
            </w:pPr>
            <w:r>
              <w:t>Repeat correctly and arrange prompt qualified assessment; do not diagnose from one unverified reading.</w:t>
            </w:r>
          </w:p>
        </w:tc>
      </w:tr>
      <w:tr>
        <w:tc>
          <w:tcPr>
            <w:tcW w:type="dxa" w:w="2304"/>
            <w:vAlign w:val="top"/>
          </w:tcPr>
          <w:p>
            <w:pPr>
              <w:pStyle w:val="TableText"/>
            </w:pPr>
            <w:r>
              <w:t>160 systolic or higher and/or 110 diastolic or higher</w:t>
            </w:r>
          </w:p>
        </w:tc>
        <w:tc>
          <w:tcPr>
            <w:tcW w:type="dxa" w:w="4464"/>
            <w:vAlign w:val="top"/>
          </w:tcPr>
          <w:p>
            <w:pPr>
              <w:pStyle w:val="TableText"/>
            </w:pPr>
            <w:r>
              <w:t>Severe-range blood pressure. Guidelines treat persistent severe hypertension as requiring immediate treatment in an appropriate facility.</w:t>
            </w:r>
          </w:p>
        </w:tc>
        <w:tc>
          <w:tcPr>
            <w:tcW w:type="dxa" w:w="4320"/>
            <w:vAlign w:val="top"/>
          </w:tcPr>
          <w:p>
            <w:pPr>
              <w:pStyle w:val="TableText"/>
            </w:pPr>
            <w:r>
              <w:t>Urgent repeat/confirmation without delaying transfer; activate emergency or same-day hospital pathway under clinic protocol.</w:t>
            </w:r>
          </w:p>
        </w:tc>
      </w:tr>
      <w:tr>
        <w:tc>
          <w:tcPr>
            <w:tcW w:type="dxa" w:w="2304"/>
            <w:vAlign w:val="top"/>
          </w:tcPr>
          <w:p>
            <w:pPr>
              <w:pStyle w:val="TableText"/>
            </w:pPr>
            <w:r>
              <w:t>Any BP plus severe headache, visual disturbance, upper abdominal/epigastric pain, dyspnoea/chest symptoms, seizure, altered consciousness or other serious concern</w:t>
            </w:r>
          </w:p>
        </w:tc>
        <w:tc>
          <w:tcPr>
            <w:tcW w:type="dxa" w:w="4464"/>
            <w:vAlign w:val="top"/>
          </w:tcPr>
          <w:p>
            <w:pPr>
              <w:pStyle w:val="TableText"/>
            </w:pPr>
            <w:r>
              <w:t>Possible severe maternal complication. Symptoms can change urgency even when the recorded BP is incomplete or not severe.</w:t>
            </w:r>
          </w:p>
        </w:tc>
        <w:tc>
          <w:tcPr>
            <w:tcW w:type="dxa" w:w="4320"/>
            <w:vAlign w:val="top"/>
          </w:tcPr>
          <w:p>
            <w:pPr>
              <w:pStyle w:val="TableText"/>
            </w:pPr>
            <w:r>
              <w:t>Immediate clinical assessment and urgent referral/emergency pathway; never allow a “normal” score to suppress the warning.</w:t>
            </w:r>
          </w:p>
        </w:tc>
      </w:tr>
    </w:tbl>
    <w:p/>
    <w:p>
      <w:pPr>
        <w:pStyle w:val="Heading1"/>
      </w:pPr>
      <w:r>
        <w:t>1. Clinical Question and Scope</w:t>
      </w:r>
    </w:p>
    <w:p>
      <w:pPr>
        <w:pStyle w:val="Heading2"/>
      </w:pPr>
      <w:r>
        <w:t>1.1 Clinical Question</w:t>
      </w:r>
    </w:p>
    <w:p>
      <w:r>
        <w:t>How should blood pressure, hypertensive history, gestational timing, warning symptoms, and related findings be represented in a Clinical Decision Support System for a Philippine lying-in clinic so that the system supports safe monitoring and referral without diagnosing or prescribing?</w:t>
      </w:r>
    </w:p>
    <w:p>
      <w:pPr>
        <w:pStyle w:val="Heading2"/>
      </w:pPr>
      <w:r>
        <w:t>1.2 Included Topics</w:t>
      </w:r>
    </w:p>
    <w:p>
      <w:pPr>
        <w:pStyle w:val="ListBullet"/>
      </w:pPr>
      <w:r>
        <w:t>Accurate clinic blood-pressure measurement and repeat measurement.</w:t>
      </w:r>
    </w:p>
    <w:p>
      <w:pPr>
        <w:pStyle w:val="ListBullet"/>
      </w:pPr>
      <w:r>
        <w:t>Hypertension-range and severe-range readings.</w:t>
      </w:r>
    </w:p>
    <w:p>
      <w:pPr>
        <w:pStyle w:val="ListBullet"/>
      </w:pPr>
      <w:r>
        <w:t>Chronic hypertension, gestational hypertension, pre-eclampsia, and eclampsia as clinical concepts.</w:t>
      </w:r>
    </w:p>
    <w:p>
      <w:pPr>
        <w:pStyle w:val="ListBullet"/>
      </w:pPr>
      <w:r>
        <w:t>Gestational age and the importance of onset before or after 20 weeks.</w:t>
      </w:r>
    </w:p>
    <w:p>
      <w:pPr>
        <w:pStyle w:val="ListBullet"/>
      </w:pPr>
      <w:r>
        <w:t>Warning symptoms and signs that increase urgency.</w:t>
      </w:r>
    </w:p>
    <w:p>
      <w:pPr>
        <w:pStyle w:val="ListBullet"/>
      </w:pPr>
      <w:r>
        <w:t>Proteinuria and laboratory/fetal findings as external or future structured data.</w:t>
      </w:r>
    </w:p>
    <w:p>
      <w:pPr>
        <w:pStyle w:val="ListBullet"/>
      </w:pPr>
      <w:r>
        <w:t>Referral-support categories suitable for a lying-in clinic.</w:t>
      </w:r>
    </w:p>
    <w:p>
      <w:pPr>
        <w:pStyle w:val="ListBullet"/>
      </w:pPr>
      <w:r>
        <w:t>Database and explainability requirements.</w:t>
      </w:r>
    </w:p>
    <w:p>
      <w:pPr>
        <w:pStyle w:val="ListBullet"/>
      </w:pPr>
      <w:r>
        <w:t>Postpartum hypertension as a safety boundary, although the present prenatal module may not yet support it fully.</w:t>
      </w:r>
    </w:p>
    <w:p>
      <w:pPr>
        <w:pStyle w:val="Heading2"/>
      </w:pPr>
      <w:r>
        <w:t>1.3 Excluded from Automated Authority</w:t>
      </w:r>
    </w:p>
    <w:p>
      <w:pPr>
        <w:pStyle w:val="ListBullet"/>
      </w:pPr>
      <w:r>
        <w:t>Starting, stopping, selecting, or dosing antihypertensive medication.</w:t>
      </w:r>
    </w:p>
    <w:p>
      <w:pPr>
        <w:pStyle w:val="ListBullet"/>
      </w:pPr>
      <w:r>
        <w:t>Administering magnesium sulfate or any emergency medicine unless covered by authorized protocol and qualified clinical governance.</w:t>
      </w:r>
    </w:p>
    <w:p>
      <w:pPr>
        <w:pStyle w:val="ListBullet"/>
      </w:pPr>
      <w:r>
        <w:t>Diagnosing pre-eclampsia, eclampsia, HELLP syndrome, chronic hypertension, or gestational hypertension.</w:t>
      </w:r>
    </w:p>
    <w:p>
      <w:pPr>
        <w:pStyle w:val="ListBullet"/>
      </w:pPr>
      <w:r>
        <w:t>Choosing timing or mode of birth.</w:t>
      </w:r>
    </w:p>
    <w:p>
      <w:pPr>
        <w:pStyle w:val="ListBullet"/>
      </w:pPr>
      <w:r>
        <w:t>Declaring that a patient is safe for lying-in delivery based only on a current BP value.</w:t>
      </w:r>
    </w:p>
    <w:p>
      <w:pPr>
        <w:pStyle w:val="Heading1"/>
      </w:pPr>
      <w:r>
        <w:t>2. Clinical Concepts and Definitions</w:t>
      </w:r>
    </w:p>
    <w:p>
      <w:r>
        <w:t>The following concepts are necessary for knowledge engineering. They should not all become editable checkbox fields because several require confirmation, longitudinal records, laboratory results, or specialist judgment.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9EAF7"/>
          </w:tcPr>
          <w:p>
            <w:pPr>
              <w:pStyle w:val="TableText"/>
            </w:pPr>
            <w:r>
              <w:rPr>
                <w:b/>
              </w:rPr>
              <w:t>Concept</w:t>
            </w:r>
          </w:p>
        </w:tc>
        <w:tc>
          <w:tcPr>
            <w:tcW w:type="dxa" w:w="4608"/>
            <w:shd w:fill="D9EAF7"/>
          </w:tcPr>
          <w:p>
            <w:pPr>
              <w:pStyle w:val="TableText"/>
            </w:pPr>
            <w:r>
              <w:rPr>
                <w:b/>
              </w:rPr>
              <w:t>Evidence-informed meaning</w:t>
            </w:r>
          </w:p>
        </w:tc>
        <w:tc>
          <w:tcPr>
            <w:tcW w:type="dxa" w:w="4320"/>
            <w:shd w:fill="D9EAF7"/>
          </w:tcPr>
          <w:p>
            <w:pPr>
              <w:pStyle w:val="TableText"/>
            </w:pPr>
            <w:r>
              <w:rPr>
                <w:b/>
              </w:rPr>
              <w:t>CDSS treatment</w:t>
            </w:r>
          </w:p>
        </w:tc>
      </w:tr>
      <w:tr>
        <w:tc>
          <w:tcPr>
            <w:tcW w:type="dxa" w:w="2160"/>
            <w:vAlign w:val="top"/>
          </w:tcPr>
          <w:p>
            <w:pPr>
              <w:pStyle w:val="TableText"/>
            </w:pPr>
            <w:r>
              <w:t>Hypertension-range BP</w:t>
            </w:r>
          </w:p>
        </w:tc>
        <w:tc>
          <w:tcPr>
            <w:tcW w:type="dxa" w:w="4608"/>
            <w:vAlign w:val="top"/>
          </w:tcPr>
          <w:p>
            <w:pPr>
              <w:pStyle w:val="TableText"/>
            </w:pPr>
            <w:r>
              <w:t>Systolic 140 mmHg or higher and/or diastolic 90 mmHg or higher is used by major pregnancy guidelines as a hypertension threshold.</w:t>
            </w:r>
          </w:p>
        </w:tc>
        <w:tc>
          <w:tcPr>
            <w:tcW w:type="dxa" w:w="4320"/>
            <w:vAlign w:val="top"/>
          </w:tcPr>
          <w:p>
            <w:pPr>
              <w:pStyle w:val="TableText"/>
            </w:pPr>
            <w:r>
              <w:t>Treat as a finding requiring verification and assessment, not automatically as a diagnosis.</w:t>
            </w:r>
          </w:p>
        </w:tc>
      </w:tr>
      <w:tr>
        <w:tc>
          <w:tcPr>
            <w:tcW w:type="dxa" w:w="2160"/>
            <w:vAlign w:val="top"/>
          </w:tcPr>
          <w:p>
            <w:pPr>
              <w:pStyle w:val="TableText"/>
            </w:pPr>
            <w:r>
              <w:t>Severe hypertension</w:t>
            </w:r>
          </w:p>
        </w:tc>
        <w:tc>
          <w:tcPr>
            <w:tcW w:type="dxa" w:w="4608"/>
            <w:vAlign w:val="top"/>
          </w:tcPr>
          <w:p>
            <w:pPr>
              <w:pStyle w:val="TableText"/>
            </w:pPr>
            <w:r>
              <w:t>NICE defines severe hypertension as systolic above 160 or diastolic above 110; ACOG uses 160 systolic or 110 diastolic and emphasizes persistent acute-onset severe values.</w:t>
            </w:r>
          </w:p>
        </w:tc>
        <w:tc>
          <w:tcPr>
            <w:tcW w:type="dxa" w:w="4320"/>
            <w:vAlign w:val="top"/>
          </w:tcPr>
          <w:p>
            <w:pPr>
              <w:pStyle w:val="TableText"/>
            </w:pPr>
            <w:r>
              <w:t>Urgent override after immediate verification according to emergency workflow; do not wait for a total risk score.</w:t>
            </w:r>
          </w:p>
        </w:tc>
      </w:tr>
      <w:tr>
        <w:tc>
          <w:tcPr>
            <w:tcW w:type="dxa" w:w="2160"/>
            <w:vAlign w:val="top"/>
          </w:tcPr>
          <w:p>
            <w:pPr>
              <w:pStyle w:val="TableText"/>
            </w:pPr>
            <w:r>
              <w:t>Chronic hypertension</w:t>
            </w:r>
          </w:p>
        </w:tc>
        <w:tc>
          <w:tcPr>
            <w:tcW w:type="dxa" w:w="4608"/>
            <w:vAlign w:val="top"/>
          </w:tcPr>
          <w:p>
            <w:pPr>
              <w:pStyle w:val="TableText"/>
            </w:pPr>
            <w:r>
              <w:t>Hypertension known before pregnancy or present early in pregnancy; exact diagnostic confirmation belongs to a qualified clinician.</w:t>
            </w:r>
          </w:p>
        </w:tc>
        <w:tc>
          <w:tcPr>
            <w:tcW w:type="dxa" w:w="4320"/>
            <w:vAlign w:val="top"/>
          </w:tcPr>
          <w:p>
            <w:pPr>
              <w:pStyle w:val="TableText"/>
            </w:pPr>
            <w:r>
              <w:t>Use documented history/diagnosis and early readings to prompt medical review and ongoing referral planning.</w:t>
            </w:r>
          </w:p>
        </w:tc>
      </w:tr>
      <w:tr>
        <w:tc>
          <w:tcPr>
            <w:tcW w:type="dxa" w:w="2160"/>
            <w:vAlign w:val="top"/>
          </w:tcPr>
          <w:p>
            <w:pPr>
              <w:pStyle w:val="TableText"/>
            </w:pPr>
            <w:r>
              <w:t>Gestational hypertension</w:t>
            </w:r>
          </w:p>
        </w:tc>
        <w:tc>
          <w:tcPr>
            <w:tcW w:type="dxa" w:w="4608"/>
            <w:vAlign w:val="top"/>
          </w:tcPr>
          <w:p>
            <w:pPr>
              <w:pStyle w:val="TableText"/>
            </w:pPr>
            <w:r>
              <w:t>New hypertension after 20 weeks in a patient previously normotensive, without the full diagnostic features of pre-eclampsia.</w:t>
            </w:r>
          </w:p>
        </w:tc>
        <w:tc>
          <w:tcPr>
            <w:tcW w:type="dxa" w:w="4320"/>
            <w:vAlign w:val="top"/>
          </w:tcPr>
          <w:p>
            <w:pPr>
              <w:pStyle w:val="TableText"/>
            </w:pPr>
            <w:r>
              <w:t>System may state “new hypertension-range reading after 20 weeks”; it must not finalize the diagnosis.</w:t>
            </w:r>
          </w:p>
        </w:tc>
      </w:tr>
      <w:tr>
        <w:tc>
          <w:tcPr>
            <w:tcW w:type="dxa" w:w="2160"/>
            <w:vAlign w:val="top"/>
          </w:tcPr>
          <w:p>
            <w:pPr>
              <w:pStyle w:val="TableText"/>
            </w:pPr>
            <w:r>
              <w:t>Pre-eclampsia</w:t>
            </w:r>
          </w:p>
        </w:tc>
        <w:tc>
          <w:tcPr>
            <w:tcW w:type="dxa" w:w="4608"/>
            <w:vAlign w:val="top"/>
          </w:tcPr>
          <w:p>
            <w:pPr>
              <w:pStyle w:val="TableText"/>
            </w:pPr>
            <w:r>
              <w:t>A pregnancy-specific hypertensive disorder after 20 weeks that may involve proteinuria or maternal organ/uteroplacental dysfunction.</w:t>
            </w:r>
          </w:p>
        </w:tc>
        <w:tc>
          <w:tcPr>
            <w:tcW w:type="dxa" w:w="4320"/>
            <w:vAlign w:val="top"/>
          </w:tcPr>
          <w:p>
            <w:pPr>
              <w:pStyle w:val="TableText"/>
            </w:pPr>
            <w:r>
              <w:t>System may identify “features concerning for pre-eclampsia” and recommend referral; diagnosis remains clinical.</w:t>
            </w:r>
          </w:p>
        </w:tc>
      </w:tr>
      <w:tr>
        <w:tc>
          <w:tcPr>
            <w:tcW w:type="dxa" w:w="2160"/>
            <w:vAlign w:val="top"/>
          </w:tcPr>
          <w:p>
            <w:pPr>
              <w:pStyle w:val="TableText"/>
            </w:pPr>
            <w:r>
              <w:t>Eclampsia</w:t>
            </w:r>
          </w:p>
        </w:tc>
        <w:tc>
          <w:tcPr>
            <w:tcW w:type="dxa" w:w="4608"/>
            <w:vAlign w:val="top"/>
          </w:tcPr>
          <w:p>
            <w:pPr>
              <w:pStyle w:val="TableText"/>
            </w:pPr>
            <w:r>
              <w:t>Seizure associated with hypertensive disease of pregnancy after other causes are considered.</w:t>
            </w:r>
          </w:p>
        </w:tc>
        <w:tc>
          <w:tcPr>
            <w:tcW w:type="dxa" w:w="4320"/>
            <w:vAlign w:val="top"/>
          </w:tcPr>
          <w:p>
            <w:pPr>
              <w:pStyle w:val="TableText"/>
            </w:pPr>
            <w:r>
              <w:t>Emergency override. The application should display emergency instructions configured by the clinic, not request completion of ordinary forms.</w:t>
            </w:r>
          </w:p>
        </w:tc>
      </w:tr>
      <w:tr>
        <w:tc>
          <w:tcPr>
            <w:tcW w:type="dxa" w:w="2160"/>
            <w:vAlign w:val="top"/>
          </w:tcPr>
          <w:p>
            <w:pPr>
              <w:pStyle w:val="TableText"/>
            </w:pPr>
            <w:r>
              <w:t>Postpartum pre-eclampsia/hypertension</w:t>
            </w:r>
          </w:p>
        </w:tc>
        <w:tc>
          <w:tcPr>
            <w:tcW w:type="dxa" w:w="4608"/>
            <w:vAlign w:val="top"/>
          </w:tcPr>
          <w:p>
            <w:pPr>
              <w:pStyle w:val="TableText"/>
            </w:pPr>
            <w:r>
              <w:t>Hypertensive disease can occur or worsen after birth.</w:t>
            </w:r>
          </w:p>
        </w:tc>
        <w:tc>
          <w:tcPr>
            <w:tcW w:type="dxa" w:w="4320"/>
            <w:vAlign w:val="top"/>
          </w:tcPr>
          <w:p>
            <w:pPr>
              <w:pStyle w:val="TableText"/>
            </w:pPr>
            <w:r>
              <w:t>Future postpartum module must include BP and warning-symptom pathways; delivered status must not disable emergency documentation/referral.</w:t>
            </w:r>
          </w:p>
        </w:tc>
      </w:tr>
    </w:tbl>
    <w:p/>
    <w:p>
      <w:pPr>
        <w:pStyle w:val="Heading1"/>
      </w:pPr>
      <w:r>
        <w:t>3. Why This Factor Matters</w:t>
      </w:r>
    </w:p>
    <w:p>
      <w:r>
        <w:t>WHO identifies hypertensive disorders of pregnancy as a major cause of severe morbidity, disability, and maternal death, accounting for roughly 14% of maternal deaths in the guidance used for this review. WHO’s 2025 pre-eclampsia summary describes risks including eclampsia, organ injury, placental abruption, preterm birth, fetal growth restriction, and maternal or fetal death. Early detection and timely management are therefore central to antenatal safety.</w:t>
      </w:r>
    </w:p>
    <w:p>
      <w:r>
        <w:t>Blood pressure is also unusually sensitive to data quality. A wrong cuff size, unvalidated device, poor positioning, lack of rest, or transcription error can move a reading across a referral threshold. A safe CDSS must treat measurement quality as part of clinical logic rather than assuming every entered number is equally reliable.</w:t>
      </w:r>
    </w:p>
    <w:p>
      <w:pPr>
        <w:pStyle w:val="Heading1"/>
      </w:pPr>
      <w:r>
        <w:t>4. Guideline and Evidence Review</w:t>
      </w:r>
    </w:p>
    <w:p>
      <w:pPr>
        <w:pStyle w:val="Heading2"/>
      </w:pPr>
      <w:r>
        <w:t>4.1 World Health Organization</w:t>
      </w:r>
    </w:p>
    <w:p>
      <w:r>
        <w:t>WHO recommends blood-pressure measurement during each antenatal-care contact as an important quality-of-care indicator for early detection of hypertension. Its severe- and non-severe-hypertension guidance is written for professionals including midwives and emphasizes that hypertensive disorders are a major maternal and perinatal safety concern.</w:t>
      </w:r>
    </w:p>
    <w:p>
      <w:r>
        <w:t>WHO recommends drug treatment for severe hypertension in pregnancy. This is not a medication rule for the application; it establishes that severe hypertension is time-critical and must lead to care in a setting able to assess and treat it. WHO’s 2025 Digital Adaptation Kit for self-monitoring of blood pressure during pregnancy is particularly relevant to this capstone because it translates clinical recommendations into digital data dictionaries, decision-support logic, and functional requirements. It supports the principle that digital tools must connect BP data to follow-up care rather than merely display numbers.</w:t>
      </w:r>
    </w:p>
    <w:p>
      <w:r>
        <w:t>WHO’s current pre-eclampsia information identifies hypertension at or after 20 weeks, proteinuria, severe headache, visual disturbance, and upper abdominal pain as important diagnostic or warning features. The CDSS should therefore treat these as separate structured findings and should never require proteinuria to be present before recommending urgent assessment when severe BP or severe symptoms exist.</w:t>
      </w:r>
    </w:p>
    <w:p>
      <w:pPr>
        <w:pStyle w:val="Heading2"/>
      </w:pPr>
      <w:r>
        <w:t>4.2 NICE Guideline NG133</w:t>
      </w:r>
    </w:p>
    <w:p>
      <w:r>
        <w:t>NICE provides the clearest operational separation between hypertension and severe hypertension. For gestational hypertension, it recommends full assessment in secondary care by a professional trained in hypertensive disorders of pregnancy. Its management tables distinguish hypertension from severe hypertension and call for admission and frequent measurement in severe cases. NICE defines severe hypertension as blood pressure over 160 systolic or over 110 diastolic.</w:t>
      </w:r>
    </w:p>
    <w:p>
      <w:r>
        <w:t>NICE advises pregnant patients to seek professional help immediately for symptoms of pre-eclampsia, including severe headache, visual problems, and severe pain below the ribs. It also requires maternal laboratory and fetal assessment in hypertensive conditions. For the lying-in system, this means BP is only the entry point: the CDSS should route the patient toward a facility capable of urine, blood, fetal, and specialist assessment when indicated.</w:t>
      </w:r>
    </w:p>
    <w:p>
      <w:pPr>
        <w:pStyle w:val="Heading2"/>
      </w:pPr>
      <w:r>
        <w:t>4.3 ACOG</w:t>
      </w:r>
    </w:p>
    <w:p>
      <w:r>
        <w:t>ACOG Practice Bulletin No. 222 defines gestational hypertension using 140/90 or higher after 20 weeks in a previously normotensive patient and recognizes 160/110 or higher as severe-range blood pressure. ACOG educational and clinical materials emphasize confirmation of a high reading and urgent treatment of persistent acute-onset severe hypertension. The reviewed ACOG material describes persistence for 15 minutes or more as an acute severe-hypertension trigger for prompt treatment.</w:t>
      </w:r>
    </w:p>
    <w:p>
      <w:r>
        <w:t>ACOG also recognizes that pre-eclampsia can have severe features without relying solely on proteinuria; severe headache, visual symptoms, upper abdominal pain, pulmonary edema, kidney/liver dysfunction, thrombocytopenia, and severe-range BP are examples. The CDSS should therefore avoid the unsafe rule “no protein = no pre-eclampsia concern.”</w:t>
      </w:r>
    </w:p>
    <w:p>
      <w:r>
        <w:t>For chronic hypertension, ACOG’s CHAP-related advisory recommends a 140/90 treatment threshold for initiation or titration by clinicians. The application must not convert this treatment threshold into a self-executing medication instruction. Its legitimate use is to reinforce that a patient with documented chronic hypertension and sustained readings at or above this level requires medical management outside a simple routine-risk label.</w:t>
      </w:r>
    </w:p>
    <w:p>
      <w:pPr>
        <w:pStyle w:val="Heading2"/>
      </w:pPr>
      <w:r>
        <w:t>4.4 ISSHP 2021 International Recommendations</w:t>
      </w:r>
    </w:p>
    <w:p>
      <w:r>
        <w:t>The International Society for the Study of Hypertension in Pregnancy recommends standardized technique: seated position with feet flat, appropriate cuff size, both arms initially, and a device validated for pregnancy and pre-eclampsia. These recommendations directly support database fields for measurement position, cuff size/arm circumference, arm used, device, and repeat reading.</w:t>
      </w:r>
    </w:p>
    <w:p>
      <w:r>
        <w:t>ISSHP also supports classification and management protocols that recognize white-coat and masked hypertension, reinforcing that an isolated clinic value may not describe the patient’s usual BP. The system may support home or repeat readings, but it must not average away a severe clinic reading before clinical assessment.</w:t>
      </w:r>
    </w:p>
    <w:p>
      <w:pPr>
        <w:pStyle w:val="Heading2"/>
      </w:pPr>
      <w:r>
        <w:t>4.5 Philippine Legal and Service Context</w:t>
      </w:r>
    </w:p>
    <w:p>
      <w:r>
        <w:t>The Philippine Midwifery Act of 1992 defines midwifery around supervision and care during pregnancy, labor and puerperium and management of normal deliveries, while also recognizing emergency-related skills under specified training and physician-order conditions. This supports a conservative CDSS boundary: the software should help identify pregnancies that may no longer fit normal-care pathways and support timely escalation rather than expanding the scope of the lying-in clinic.</w:t>
      </w:r>
    </w:p>
    <w:p>
      <w:r>
        <w:t>Republic Act No. 11148 requires regular antenatal care and proper referral of high-risk pregnancies. However, this research did not verify a single current Philippine DOH publication that can be safely encoded as a complete national BP-referral algorithm for every private lying-in clinic. Therefore, the exact contact numbers, destination facility, transport process, standing orders, and stabilization responsibilities must be supplied and approved by the partner clinic and its clinical governance.</w:t>
      </w:r>
    </w:p>
    <w:p>
      <w:pPr>
        <w:pStyle w:val="Heading1"/>
      </w:pPr>
      <w:r>
        <w:t>5. Blood-Pressure Measurement Quality</w:t>
      </w:r>
    </w:p>
    <w:p>
      <w:pPr>
        <w:pStyle w:val="Heading2"/>
      </w:pPr>
      <w:r>
        <w:t>5.1 Principle</w:t>
      </w:r>
    </w:p>
    <w:p>
      <w:r>
        <w:t>A threshold rule is only as safe as the measurement. The database should not store only “120/80” as an unqualified string. It should preserve the components and enough context to determine whether the reading is credible.</w:t>
      </w:r>
    </w:p>
    <w:p>
      <w:pPr>
        <w:pStyle w:val="Heading2"/>
      </w:pPr>
      <w:r>
        <w:t>5.2 Minimum Measurement Procedure for System Workflow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08"/>
            <w:shd w:fill="D9EAF7"/>
          </w:tcPr>
          <w:p>
            <w:pPr>
              <w:pStyle w:val="TableText"/>
            </w:pPr>
            <w:r>
              <w:rPr>
                <w:b/>
              </w:rPr>
              <w:t>Step</w:t>
            </w:r>
          </w:p>
        </w:tc>
        <w:tc>
          <w:tcPr>
            <w:tcW w:type="dxa" w:w="4608"/>
            <w:shd w:fill="D9EAF7"/>
          </w:tcPr>
          <w:p>
            <w:pPr>
              <w:pStyle w:val="TableText"/>
            </w:pPr>
            <w:r>
              <w:rPr>
                <w:b/>
              </w:rPr>
              <w:t>Required workflow behavior</w:t>
            </w:r>
          </w:p>
        </w:tc>
        <w:tc>
          <w:tcPr>
            <w:tcW w:type="dxa" w:w="4320"/>
            <w:shd w:fill="D9EAF7"/>
          </w:tcPr>
          <w:p>
            <w:pPr>
              <w:pStyle w:val="TableText"/>
            </w:pPr>
            <w:r>
              <w:rPr>
                <w:b/>
              </w:rPr>
              <w:t>Reason</w:t>
            </w:r>
          </w:p>
        </w:tc>
      </w:tr>
      <w:tr>
        <w:tc>
          <w:tcPr>
            <w:tcW w:type="dxa" w:w="1008"/>
            <w:vAlign w:val="top"/>
          </w:tcPr>
          <w:p>
            <w:pPr>
              <w:pStyle w:val="TableText"/>
            </w:pPr>
            <w:r>
              <w:t>1. Confirm device</w:t>
            </w:r>
          </w:p>
        </w:tc>
        <w:tc>
          <w:tcPr>
            <w:tcW w:type="dxa" w:w="4608"/>
            <w:vAlign w:val="top"/>
          </w:tcPr>
          <w:p>
            <w:pPr>
              <w:pStyle w:val="TableText"/>
            </w:pPr>
            <w:r>
              <w:t>Use a maintained device validated for pregnancy/pre-eclampsia when possible; record device or approved device ID.</w:t>
            </w:r>
          </w:p>
        </w:tc>
        <w:tc>
          <w:tcPr>
            <w:tcW w:type="dxa" w:w="4320"/>
            <w:vAlign w:val="top"/>
          </w:tcPr>
          <w:p>
            <w:pPr>
              <w:pStyle w:val="TableText"/>
            </w:pPr>
            <w:r>
              <w:t>Pregnancy validation and calibration affect accuracy.</w:t>
            </w:r>
          </w:p>
        </w:tc>
      </w:tr>
      <w:tr>
        <w:tc>
          <w:tcPr>
            <w:tcW w:type="dxa" w:w="1008"/>
            <w:vAlign w:val="top"/>
          </w:tcPr>
          <w:p>
            <w:pPr>
              <w:pStyle w:val="TableText"/>
            </w:pPr>
            <w:r>
              <w:t>2. Select cuff</w:t>
            </w:r>
          </w:p>
        </w:tc>
        <w:tc>
          <w:tcPr>
            <w:tcW w:type="dxa" w:w="4608"/>
            <w:vAlign w:val="top"/>
          </w:tcPr>
          <w:p>
            <w:pPr>
              <w:pStyle w:val="TableText"/>
            </w:pPr>
            <w:r>
              <w:t>Use cuff matched to arm circumference; ISSHP specifies a large cuff when mid-upper-arm circumference is 33 cm or more.</w:t>
            </w:r>
          </w:p>
        </w:tc>
        <w:tc>
          <w:tcPr>
            <w:tcW w:type="dxa" w:w="4320"/>
            <w:vAlign w:val="top"/>
          </w:tcPr>
          <w:p>
            <w:pPr>
              <w:pStyle w:val="TableText"/>
            </w:pPr>
            <w:r>
              <w:t>A cuff that is too small can overestimate BP; a cuff that is too large can underestimate it.</w:t>
            </w:r>
          </w:p>
        </w:tc>
      </w:tr>
      <w:tr>
        <w:tc>
          <w:tcPr>
            <w:tcW w:type="dxa" w:w="1008"/>
            <w:vAlign w:val="top"/>
          </w:tcPr>
          <w:p>
            <w:pPr>
              <w:pStyle w:val="TableText"/>
            </w:pPr>
            <w:r>
              <w:t>3. Position patient</w:t>
            </w:r>
          </w:p>
        </w:tc>
        <w:tc>
          <w:tcPr>
            <w:tcW w:type="dxa" w:w="4608"/>
            <w:vAlign w:val="top"/>
          </w:tcPr>
          <w:p>
            <w:pPr>
              <w:pStyle w:val="TableText"/>
            </w:pPr>
            <w:r>
              <w:t>Seated, back supported where feasible, feet flat, legs uncrossed, arm supported at heart level; avoid measurement during active movement.</w:t>
            </w:r>
          </w:p>
        </w:tc>
        <w:tc>
          <w:tcPr>
            <w:tcW w:type="dxa" w:w="4320"/>
            <w:vAlign w:val="top"/>
          </w:tcPr>
          <w:p>
            <w:pPr>
              <w:pStyle w:val="TableText"/>
            </w:pPr>
            <w:r>
              <w:t>Standardization reduces avoidable measurement variation.</w:t>
            </w:r>
          </w:p>
        </w:tc>
      </w:tr>
      <w:tr>
        <w:tc>
          <w:tcPr>
            <w:tcW w:type="dxa" w:w="1008"/>
            <w:vAlign w:val="top"/>
          </w:tcPr>
          <w:p>
            <w:pPr>
              <w:pStyle w:val="TableText"/>
            </w:pPr>
            <w:r>
              <w:t>4. Rest and context</w:t>
            </w:r>
          </w:p>
        </w:tc>
        <w:tc>
          <w:tcPr>
            <w:tcW w:type="dxa" w:w="4608"/>
            <w:vAlign w:val="top"/>
          </w:tcPr>
          <w:p>
            <w:pPr>
              <w:pStyle w:val="TableText"/>
            </w:pPr>
            <w:r>
              <w:t>Record whether the patient had sufficient rest and whether pain, distress, recent exertion or an emergency situation affected the reading.</w:t>
            </w:r>
          </w:p>
        </w:tc>
        <w:tc>
          <w:tcPr>
            <w:tcW w:type="dxa" w:w="4320"/>
            <w:vAlign w:val="top"/>
          </w:tcPr>
          <w:p>
            <w:pPr>
              <w:pStyle w:val="TableText"/>
            </w:pPr>
            <w:r>
              <w:t>Context assists interpretation without dismissing a dangerous value.</w:t>
            </w:r>
          </w:p>
        </w:tc>
      </w:tr>
      <w:tr>
        <w:tc>
          <w:tcPr>
            <w:tcW w:type="dxa" w:w="1008"/>
            <w:vAlign w:val="top"/>
          </w:tcPr>
          <w:p>
            <w:pPr>
              <w:pStyle w:val="TableText"/>
            </w:pPr>
            <w:r>
              <w:t>5. Record components</w:t>
            </w:r>
          </w:p>
        </w:tc>
        <w:tc>
          <w:tcPr>
            <w:tcW w:type="dxa" w:w="4608"/>
            <w:vAlign w:val="top"/>
          </w:tcPr>
          <w:p>
            <w:pPr>
              <w:pStyle w:val="TableText"/>
            </w:pPr>
            <w:r>
              <w:t>Store systolic and diastolic separately, with date/time, arm, position, operator and device.</w:t>
            </w:r>
          </w:p>
        </w:tc>
        <w:tc>
          <w:tcPr>
            <w:tcW w:type="dxa" w:w="4320"/>
            <w:vAlign w:val="top"/>
          </w:tcPr>
          <w:p>
            <w:pPr>
              <w:pStyle w:val="TableText"/>
            </w:pPr>
            <w:r>
              <w:t>Supports validation, trends, audit, and explainability.</w:t>
            </w:r>
          </w:p>
        </w:tc>
      </w:tr>
      <w:tr>
        <w:tc>
          <w:tcPr>
            <w:tcW w:type="dxa" w:w="1008"/>
            <w:vAlign w:val="top"/>
          </w:tcPr>
          <w:p>
            <w:pPr>
              <w:pStyle w:val="TableText"/>
            </w:pPr>
            <w:r>
              <w:t>6. Repeat when indicated</w:t>
            </w:r>
          </w:p>
        </w:tc>
        <w:tc>
          <w:tcPr>
            <w:tcW w:type="dxa" w:w="4608"/>
            <w:vAlign w:val="top"/>
          </w:tcPr>
          <w:p>
            <w:pPr>
              <w:pStyle w:val="TableText"/>
            </w:pPr>
            <w:r>
              <w:t>For a non-severe high reading, repeat correctly after an appropriate interval under clinic protocol. For severe BP, repeat promptly without delaying emergency action.</w:t>
            </w:r>
          </w:p>
        </w:tc>
        <w:tc>
          <w:tcPr>
            <w:tcW w:type="dxa" w:w="4320"/>
            <w:vAlign w:val="top"/>
          </w:tcPr>
          <w:p>
            <w:pPr>
              <w:pStyle w:val="TableText"/>
            </w:pPr>
            <w:r>
              <w:t>A single reading can be erroneous, while persistent severe hypertension is time-critical.</w:t>
            </w:r>
          </w:p>
        </w:tc>
      </w:tr>
      <w:tr>
        <w:tc>
          <w:tcPr>
            <w:tcW w:type="dxa" w:w="1008"/>
            <w:vAlign w:val="top"/>
          </w:tcPr>
          <w:p>
            <w:pPr>
              <w:pStyle w:val="TableText"/>
            </w:pPr>
            <w:r>
              <w:t>7. Assess symptoms</w:t>
            </w:r>
          </w:p>
        </w:tc>
        <w:tc>
          <w:tcPr>
            <w:tcW w:type="dxa" w:w="4608"/>
            <w:vAlign w:val="top"/>
          </w:tcPr>
          <w:p>
            <w:pPr>
              <w:pStyle w:val="TableText"/>
            </w:pPr>
            <w:r>
              <w:t>Ask about severe headache, visual symptoms, upper abdominal/epigastric pain, breathing difficulty/chest symptoms, seizure, altered consciousness and other serious concerns.</w:t>
            </w:r>
          </w:p>
        </w:tc>
        <w:tc>
          <w:tcPr>
            <w:tcW w:type="dxa" w:w="4320"/>
            <w:vAlign w:val="top"/>
          </w:tcPr>
          <w:p>
            <w:pPr>
              <w:pStyle w:val="TableText"/>
            </w:pPr>
            <w:r>
              <w:t>Symptoms may indicate severe disease and alter urgency.</w:t>
            </w:r>
          </w:p>
        </w:tc>
      </w:tr>
      <w:tr>
        <w:tc>
          <w:tcPr>
            <w:tcW w:type="dxa" w:w="1008"/>
            <w:vAlign w:val="top"/>
          </w:tcPr>
          <w:p>
            <w:pPr>
              <w:pStyle w:val="TableText"/>
            </w:pPr>
            <w:r>
              <w:t>8. Escalate</w:t>
            </w:r>
          </w:p>
        </w:tc>
        <w:tc>
          <w:tcPr>
            <w:tcW w:type="dxa" w:w="4608"/>
            <w:vAlign w:val="top"/>
          </w:tcPr>
          <w:p>
            <w:pPr>
              <w:pStyle w:val="TableText"/>
            </w:pPr>
            <w:r>
              <w:t>Apply the highest-priority rule before any total score is calculated.</w:t>
            </w:r>
          </w:p>
        </w:tc>
        <w:tc>
          <w:tcPr>
            <w:tcW w:type="dxa" w:w="4320"/>
            <w:vAlign w:val="top"/>
          </w:tcPr>
          <w:p>
            <w:pPr>
              <w:pStyle w:val="TableText"/>
            </w:pPr>
            <w:r>
              <w:t>Urgent findings must not be diluted by low-risk factors.</w:t>
            </w:r>
          </w:p>
        </w:tc>
      </w:tr>
    </w:tbl>
    <w:p/>
    <w:p>
      <w:pPr>
        <w:pStyle w:val="Heading2"/>
      </w:pPr>
      <w:r>
        <w:t>5.3 Data Validation Rules</w:t>
      </w:r>
    </w:p>
    <w:p>
      <w:pPr>
        <w:pStyle w:val="ListBullet"/>
      </w:pPr>
      <w:r>
        <w:t>Systolic and diastolic must be numeric integer values with plausible configurable bounds.</w:t>
      </w:r>
    </w:p>
    <w:p>
      <w:pPr>
        <w:pStyle w:val="ListBullet"/>
      </w:pPr>
      <w:r>
        <w:t>Systolic should ordinarily exceed diastolic; an impossible or reversed pair must be rejected or require correction.</w:t>
      </w:r>
    </w:p>
    <w:p>
      <w:pPr>
        <w:pStyle w:val="ListBullet"/>
      </w:pPr>
      <w:r>
        <w:t>A value such as 14/9 must not be silently interpreted as 140/90.</w:t>
      </w:r>
    </w:p>
    <w:p>
      <w:pPr>
        <w:pStyle w:val="ListBullet"/>
      </w:pPr>
      <w:r>
        <w:t>The system must store units as mmHg and must not allow a free-text unit.</w:t>
      </w:r>
    </w:p>
    <w:p>
      <w:pPr>
        <w:pStyle w:val="ListBullet"/>
      </w:pPr>
      <w:r>
        <w:t>The original value, corrected value, correcting user, reason, and time should be auditable.</w:t>
      </w:r>
    </w:p>
    <w:p>
      <w:pPr>
        <w:pStyle w:val="ListBullet"/>
      </w:pPr>
      <w:r>
        <w:t>A repeat measurement must be a new observation linked to the original; it must not overwrite the first value.</w:t>
      </w:r>
    </w:p>
    <w:p>
      <w:pPr>
        <w:pStyle w:val="ListBullet"/>
      </w:pPr>
      <w:r>
        <w:t>The system should show the trend and exact times rather than only the latest category.</w:t>
      </w:r>
    </w:p>
    <w:p>
      <w:pPr>
        <w:pStyle w:val="ListBullet"/>
      </w:pPr>
      <w:r>
        <w:t>The software must not automatically discard an outlier merely because it differs from previous readings.</w:t>
      </w:r>
    </w:p>
    <w:p>
      <w:pPr>
        <w:pStyle w:val="Heading1"/>
      </w:pPr>
      <w:r>
        <w:t>6. Diagnostic Boundaries</w:t>
      </w:r>
    </w:p>
    <w:p>
      <w:pPr>
        <w:pStyle w:val="Heading2"/>
      </w:pPr>
      <w:r>
        <w:t>6.1 One Reading Is a Finding, Not a Complete Diagnosis</w:t>
      </w:r>
    </w:p>
    <w:p>
      <w:r>
        <w:t>A single properly obtained BP at or above 140/90 is clinically important, but diagnosis normally depends on timing, confirmation, history, and additional findings. The CDSS should say “hypertension-range reading” or “severe-range reading,” not “the patient has gestational hypertension” unless a qualified clinician has entered a confirmed diagnosis.</w:t>
      </w:r>
    </w:p>
    <w:p>
      <w:pPr>
        <w:pStyle w:val="Heading2"/>
      </w:pPr>
      <w:r>
        <w:t>6.2 Gestational Timing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448"/>
            <w:shd w:fill="D9EAF7"/>
          </w:tcPr>
          <w:p>
            <w:pPr>
              <w:pStyle w:val="TableText"/>
            </w:pPr>
            <w:r>
              <w:rPr>
                <w:b/>
              </w:rPr>
              <w:t>Timing or history</w:t>
            </w:r>
          </w:p>
        </w:tc>
        <w:tc>
          <w:tcPr>
            <w:tcW w:type="dxa" w:w="4320"/>
            <w:shd w:fill="D9EAF7"/>
          </w:tcPr>
          <w:p>
            <w:pPr>
              <w:pStyle w:val="TableText"/>
            </w:pPr>
            <w:r>
              <w:rPr>
                <w:b/>
              </w:rPr>
              <w:t>Possible clinical interpretation</w:t>
            </w:r>
          </w:p>
        </w:tc>
        <w:tc>
          <w:tcPr>
            <w:tcW w:type="dxa" w:w="4464"/>
            <w:shd w:fill="D9EAF7"/>
          </w:tcPr>
          <w:p>
            <w:pPr>
              <w:pStyle w:val="TableText"/>
            </w:pPr>
            <w:r>
              <w:rPr>
                <w:b/>
              </w:rPr>
              <w:t>Safe CDSS wording</w:t>
            </w:r>
          </w:p>
        </w:tc>
      </w:tr>
      <w:tr>
        <w:tc>
          <w:tcPr>
            <w:tcW w:type="dxa" w:w="2448"/>
            <w:vAlign w:val="top"/>
          </w:tcPr>
          <w:p>
            <w:pPr>
              <w:pStyle w:val="TableText"/>
            </w:pPr>
            <w:r>
              <w:t>Documented hypertension before pregnancy</w:t>
            </w:r>
          </w:p>
        </w:tc>
        <w:tc>
          <w:tcPr>
            <w:tcW w:type="dxa" w:w="4320"/>
            <w:vAlign w:val="top"/>
          </w:tcPr>
          <w:p>
            <w:pPr>
              <w:pStyle w:val="TableText"/>
            </w:pPr>
            <w:r>
              <w:t>May represent chronic hypertension.</w:t>
            </w:r>
          </w:p>
        </w:tc>
        <w:tc>
          <w:tcPr>
            <w:tcW w:type="dxa" w:w="4464"/>
            <w:vAlign w:val="top"/>
          </w:tcPr>
          <w:p>
            <w:pPr>
              <w:pStyle w:val="TableText"/>
            </w:pPr>
            <w:r>
              <w:t>“Documented pre-existing hypertension; medical review and pregnancy management plan required.”</w:t>
            </w:r>
          </w:p>
        </w:tc>
      </w:tr>
      <w:tr>
        <w:tc>
          <w:tcPr>
            <w:tcW w:type="dxa" w:w="2448"/>
            <w:vAlign w:val="top"/>
          </w:tcPr>
          <w:p>
            <w:pPr>
              <w:pStyle w:val="TableText"/>
            </w:pPr>
            <w:r>
              <w:t>Hypertension detected before 20 weeks</w:t>
            </w:r>
          </w:p>
        </w:tc>
        <w:tc>
          <w:tcPr>
            <w:tcW w:type="dxa" w:w="4320"/>
            <w:vAlign w:val="top"/>
          </w:tcPr>
          <w:p>
            <w:pPr>
              <w:pStyle w:val="TableText"/>
            </w:pPr>
            <w:r>
              <w:t>Often suggests chronic hypertension, but confirmation and differential assessment are needed.</w:t>
            </w:r>
          </w:p>
        </w:tc>
        <w:tc>
          <w:tcPr>
            <w:tcW w:type="dxa" w:w="4464"/>
            <w:vAlign w:val="top"/>
          </w:tcPr>
          <w:p>
            <w:pPr>
              <w:pStyle w:val="TableText"/>
            </w:pPr>
            <w:r>
              <w:t>“Hypertension-range reading before 20 weeks; assess for pre-existing hypertension and refer for medical evaluation.”</w:t>
            </w:r>
          </w:p>
        </w:tc>
      </w:tr>
      <w:tr>
        <w:tc>
          <w:tcPr>
            <w:tcW w:type="dxa" w:w="2448"/>
            <w:vAlign w:val="top"/>
          </w:tcPr>
          <w:p>
            <w:pPr>
              <w:pStyle w:val="TableText"/>
            </w:pPr>
            <w:r>
              <w:t>New hypertension at or after 20 weeks</w:t>
            </w:r>
          </w:p>
        </w:tc>
        <w:tc>
          <w:tcPr>
            <w:tcW w:type="dxa" w:w="4320"/>
            <w:vAlign w:val="top"/>
          </w:tcPr>
          <w:p>
            <w:pPr>
              <w:pStyle w:val="TableText"/>
            </w:pPr>
            <w:r>
              <w:t>May represent gestational hypertension or pre-eclampsia depending on other findings.</w:t>
            </w:r>
          </w:p>
        </w:tc>
        <w:tc>
          <w:tcPr>
            <w:tcW w:type="dxa" w:w="4464"/>
            <w:vAlign w:val="top"/>
          </w:tcPr>
          <w:p>
            <w:pPr>
              <w:pStyle w:val="TableText"/>
            </w:pPr>
            <w:r>
              <w:t>“New hypertension-range reading after 20 weeks; evaluate for hypertensive disorder of pregnancy.”</w:t>
            </w:r>
          </w:p>
        </w:tc>
      </w:tr>
      <w:tr>
        <w:tc>
          <w:tcPr>
            <w:tcW w:type="dxa" w:w="2448"/>
            <w:vAlign w:val="top"/>
          </w:tcPr>
          <w:p>
            <w:pPr>
              <w:pStyle w:val="TableText"/>
            </w:pPr>
            <w:r>
              <w:t>Hypertension after delivery</w:t>
            </w:r>
          </w:p>
        </w:tc>
        <w:tc>
          <w:tcPr>
            <w:tcW w:type="dxa" w:w="4320"/>
            <w:vAlign w:val="top"/>
          </w:tcPr>
          <w:p>
            <w:pPr>
              <w:pStyle w:val="TableText"/>
            </w:pPr>
            <w:r>
              <w:t>May represent persistent or postpartum hypertensive disease.</w:t>
            </w:r>
          </w:p>
        </w:tc>
        <w:tc>
          <w:tcPr>
            <w:tcW w:type="dxa" w:w="4464"/>
            <w:vAlign w:val="top"/>
          </w:tcPr>
          <w:p>
            <w:pPr>
              <w:pStyle w:val="TableText"/>
            </w:pPr>
            <w:r>
              <w:t>“Postpartum hypertension-range reading; urgentity depends on BP and symptoms. Follow postpartum emergency pathway.”</w:t>
            </w:r>
          </w:p>
        </w:tc>
      </w:tr>
    </w:tbl>
    <w:p/>
    <w:p>
      <w:pPr>
        <w:pStyle w:val="Heading2"/>
      </w:pPr>
      <w:r>
        <w:t>6.3 Proteinuria and Laboratory Findings</w:t>
      </w:r>
    </w:p>
    <w:p>
      <w:r>
        <w:t>Proteinuria can support assessment for pre-eclampsia, but the absence of a recorded urine result must not produce reassurance. Severe features can be present without documented proteinuria. A lying-in clinic may not have platelet count, liver enzymes, creatinine, quantitative urine protein, placental growth factor testing, ultrasound Doppler, or cardiotocography. When these are required, the CDSS should recommend referral for complete assessment rather than calculate them as zero or “normal.”</w:t>
      </w:r>
    </w:p>
    <w:p>
      <w:pPr>
        <w:pStyle w:val="Heading1"/>
      </w:pPr>
      <w:r>
        <w:t>7. Proposed Referral-Support Levels</w:t>
      </w:r>
    </w:p>
    <w:tbl>
      <w:tblPr>
        <w:tblStyle w:val="TableGrid"/>
        <w:tblW w:type="auto" w:w="0"/>
        <w:tblLook w:firstColumn="1" w:firstRow="1" w:lastColumn="0" w:lastRow="0" w:noHBand="0" w:noVBand="1" w:val="04A0"/>
      </w:tblPr>
      <w:tblGrid>
        <w:gridCol w:w="9878"/>
      </w:tblGrid>
      <w:tr>
        <w:tc>
          <w:tcPr>
            <w:tcW w:type="dxa" w:w="9878"/>
            <w:shd w:fill="E2F0D9"/>
          </w:tcPr>
          <w:p>
            <w:pPr>
              <w:jc w:val="center"/>
            </w:pPr>
            <w:r>
              <w:rPr>
                <w:b/>
                <w:sz w:val="19"/>
              </w:rPr>
              <w:t>These levels are software action categories, not medical diagnoses. The clinic must map them to its written emergency and referral policy.</w:t>
            </w:r>
          </w:p>
        </w:tc>
      </w:tr>
    </w:tbl>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D9EAF7"/>
          </w:tcPr>
          <w:p>
            <w:pPr>
              <w:pStyle w:val="TableText"/>
            </w:pPr>
            <w:r>
              <w:rPr>
                <w:b/>
              </w:rPr>
              <w:t>Level</w:t>
            </w:r>
          </w:p>
        </w:tc>
        <w:tc>
          <w:tcPr>
            <w:tcW w:type="dxa" w:w="4608"/>
            <w:shd w:fill="D9EAF7"/>
          </w:tcPr>
          <w:p>
            <w:pPr>
              <w:pStyle w:val="TableText"/>
            </w:pPr>
            <w:r>
              <w:rPr>
                <w:b/>
              </w:rPr>
              <w:t>Trigger examples</w:t>
            </w:r>
          </w:p>
        </w:tc>
        <w:tc>
          <w:tcPr>
            <w:tcW w:type="dxa" w:w="4752"/>
            <w:shd w:fill="D9EAF7"/>
          </w:tcPr>
          <w:p>
            <w:pPr>
              <w:pStyle w:val="TableText"/>
            </w:pPr>
            <w:r>
              <w:rPr>
                <w:b/>
              </w:rPr>
              <w:t>System output and action</w:t>
            </w:r>
          </w:p>
        </w:tc>
      </w:tr>
      <w:tr>
        <w:tc>
          <w:tcPr>
            <w:tcW w:type="dxa" w:w="1728"/>
            <w:vAlign w:val="top"/>
          </w:tcPr>
          <w:p>
            <w:pPr>
              <w:pStyle w:val="TableText"/>
            </w:pPr>
            <w:r>
              <w:t>BP-0: No BP escalation</w:t>
            </w:r>
          </w:p>
        </w:tc>
        <w:tc>
          <w:tcPr>
            <w:tcW w:type="dxa" w:w="4608"/>
            <w:vAlign w:val="top"/>
          </w:tcPr>
          <w:p>
            <w:pPr>
              <w:pStyle w:val="TableText"/>
            </w:pPr>
            <w:r>
              <w:t>Reading below 140/90, no hypertensive history and no warning symptom.</w:t>
            </w:r>
          </w:p>
        </w:tc>
        <w:tc>
          <w:tcPr>
            <w:tcW w:type="dxa" w:w="4752"/>
            <w:vAlign w:val="top"/>
          </w:tcPr>
          <w:p>
            <w:pPr>
              <w:pStyle w:val="TableText"/>
            </w:pPr>
            <w:r>
              <w:t>No BP-specific escalation. Continue complete antenatal assessment. Do not label the pregnancy low risk from BP alone.</w:t>
            </w:r>
          </w:p>
        </w:tc>
      </w:tr>
      <w:tr>
        <w:tc>
          <w:tcPr>
            <w:tcW w:type="dxa" w:w="1728"/>
            <w:vAlign w:val="top"/>
          </w:tcPr>
          <w:p>
            <w:pPr>
              <w:pStyle w:val="TableText"/>
            </w:pPr>
            <w:r>
              <w:t>BP-1: Measurement verification</w:t>
            </w:r>
          </w:p>
        </w:tc>
        <w:tc>
          <w:tcPr>
            <w:tcW w:type="dxa" w:w="4608"/>
            <w:vAlign w:val="top"/>
          </w:tcPr>
          <w:p>
            <w:pPr>
              <w:pStyle w:val="TableText"/>
            </w:pPr>
            <w:r>
              <w:t>Implausible value, missing diastolic/systolic, wrong cuff/unknown technique, or isolated non-severe high reading needing repeat.</w:t>
            </w:r>
          </w:p>
        </w:tc>
        <w:tc>
          <w:tcPr>
            <w:tcW w:type="dxa" w:w="4752"/>
            <w:vAlign w:val="top"/>
          </w:tcPr>
          <w:p>
            <w:pPr>
              <w:pStyle w:val="TableText"/>
            </w:pPr>
            <w:r>
              <w:t>Correct technique and repeat. Display that assessment is incomplete until verified.</w:t>
            </w:r>
          </w:p>
        </w:tc>
      </w:tr>
      <w:tr>
        <w:tc>
          <w:tcPr>
            <w:tcW w:type="dxa" w:w="1728"/>
            <w:vAlign w:val="top"/>
          </w:tcPr>
          <w:p>
            <w:pPr>
              <w:pStyle w:val="TableText"/>
            </w:pPr>
            <w:r>
              <w:t>BP-2: Prompt clinical review</w:t>
            </w:r>
          </w:p>
        </w:tc>
        <w:tc>
          <w:tcPr>
            <w:tcW w:type="dxa" w:w="4608"/>
            <w:vAlign w:val="top"/>
          </w:tcPr>
          <w:p>
            <w:pPr>
              <w:pStyle w:val="TableText"/>
            </w:pPr>
            <w:r>
              <w:t>Verified or repeated 140-159 systolic and/or 90-109 diastolic, documented chronic hypertension, or concerning trend without severe symptoms.</w:t>
            </w:r>
          </w:p>
        </w:tc>
        <w:tc>
          <w:tcPr>
            <w:tcW w:type="dxa" w:w="4752"/>
            <w:vAlign w:val="top"/>
          </w:tcPr>
          <w:p>
            <w:pPr>
              <w:pStyle w:val="TableText"/>
            </w:pPr>
            <w:r>
              <w:t>Prompt qualified review and referral/secondary assessment according to timing and clinic protocol. Do not wait for the next routine appointment unless authorized by protocol.</w:t>
            </w:r>
          </w:p>
        </w:tc>
      </w:tr>
      <w:tr>
        <w:tc>
          <w:tcPr>
            <w:tcW w:type="dxa" w:w="1728"/>
            <w:vAlign w:val="top"/>
          </w:tcPr>
          <w:p>
            <w:pPr>
              <w:pStyle w:val="TableText"/>
            </w:pPr>
            <w:r>
              <w:t>BP-3: Same-day urgent referral</w:t>
            </w:r>
          </w:p>
        </w:tc>
        <w:tc>
          <w:tcPr>
            <w:tcW w:type="dxa" w:w="4608"/>
            <w:vAlign w:val="top"/>
          </w:tcPr>
          <w:p>
            <w:pPr>
              <w:pStyle w:val="TableText"/>
            </w:pPr>
            <w:r>
              <w:t>Persistent hypertension-range BP with symptoms, new hypertension after 20 weeks with concern for pre-eclampsia, or documented disease with worsening findings.</w:t>
            </w:r>
          </w:p>
        </w:tc>
        <w:tc>
          <w:tcPr>
            <w:tcW w:type="dxa" w:w="4752"/>
            <w:vAlign w:val="top"/>
          </w:tcPr>
          <w:p>
            <w:pPr>
              <w:pStyle w:val="TableText"/>
            </w:pPr>
            <w:r>
              <w:t>Arrange same-day assessment in an appropriate facility; document symptoms, repeats, gestational age and handover.</w:t>
            </w:r>
          </w:p>
        </w:tc>
      </w:tr>
      <w:tr>
        <w:tc>
          <w:tcPr>
            <w:tcW w:type="dxa" w:w="1728"/>
            <w:vAlign w:val="top"/>
          </w:tcPr>
          <w:p>
            <w:pPr>
              <w:pStyle w:val="TableText"/>
            </w:pPr>
            <w:r>
              <w:t>BP-4: Emergency pathway</w:t>
            </w:r>
          </w:p>
        </w:tc>
        <w:tc>
          <w:tcPr>
            <w:tcW w:type="dxa" w:w="4608"/>
            <w:vAlign w:val="top"/>
          </w:tcPr>
          <w:p>
            <w:pPr>
              <w:pStyle w:val="TableText"/>
            </w:pPr>
            <w:r>
              <w:t>Severe-range BP (160 systolic or 110 diastolic or higher) that is persistent/confirmed, seizure, altered consciousness, severe neurologic/visual symptoms, respiratory compromise, severe upper abdominal pain, or clinical instability.</w:t>
            </w:r>
          </w:p>
        </w:tc>
        <w:tc>
          <w:tcPr>
            <w:tcW w:type="dxa" w:w="4752"/>
            <w:vAlign w:val="top"/>
          </w:tcPr>
          <w:p>
            <w:pPr>
              <w:pStyle w:val="TableText"/>
            </w:pPr>
            <w:r>
              <w:t>Immediate emergency response and transfer under clinic protocol. Do not delay for completion of missing forms, risk score, ultrasound or birth plan.</w:t>
            </w:r>
          </w:p>
        </w:tc>
      </w:tr>
    </w:tbl>
    <w:p/>
    <w:p>
      <w:pPr>
        <w:pStyle w:val="Heading1"/>
      </w:pPr>
      <w:r>
        <w:t>8. Proposed Knowledge Rules</w:t>
      </w:r>
    </w:p>
    <w:p>
      <w:r>
        <w:t>The rules below are a transparent starting design. They require clinical approval and local pathway mapping before implementation.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152"/>
            <w:shd w:fill="D9EAF7"/>
          </w:tcPr>
          <w:p>
            <w:pPr>
              <w:pStyle w:val="TableText"/>
            </w:pPr>
            <w:r>
              <w:rPr>
                <w:b/>
              </w:rPr>
              <w:t>Rule ID</w:t>
            </w:r>
          </w:p>
        </w:tc>
        <w:tc>
          <w:tcPr>
            <w:tcW w:type="dxa" w:w="3456"/>
            <w:shd w:fill="D9EAF7"/>
          </w:tcPr>
          <w:p>
            <w:pPr>
              <w:pStyle w:val="TableText"/>
            </w:pPr>
            <w:r>
              <w:rPr>
                <w:b/>
              </w:rPr>
              <w:t>Condition</w:t>
            </w:r>
          </w:p>
        </w:tc>
        <w:tc>
          <w:tcPr>
            <w:tcW w:type="dxa" w:w="1728"/>
            <w:shd w:fill="D9EAF7"/>
          </w:tcPr>
          <w:p>
            <w:pPr>
              <w:pStyle w:val="TableText"/>
            </w:pPr>
            <w:r>
              <w:rPr>
                <w:b/>
              </w:rPr>
              <w:t>Priority</w:t>
            </w:r>
          </w:p>
        </w:tc>
        <w:tc>
          <w:tcPr>
            <w:tcW w:type="dxa" w:w="4608"/>
            <w:shd w:fill="D9EAF7"/>
          </w:tcPr>
          <w:p>
            <w:pPr>
              <w:pStyle w:val="TableText"/>
            </w:pPr>
            <w:r>
              <w:rPr>
                <w:b/>
              </w:rPr>
              <w:t>Decision-support behavior</w:t>
            </w:r>
          </w:p>
        </w:tc>
      </w:tr>
      <w:tr>
        <w:tc>
          <w:tcPr>
            <w:tcW w:type="dxa" w:w="1152"/>
            <w:vAlign w:val="top"/>
          </w:tcPr>
          <w:p>
            <w:pPr>
              <w:pStyle w:val="TableText"/>
            </w:pPr>
            <w:r>
              <w:t>BP-DQ1</w:t>
            </w:r>
          </w:p>
        </w:tc>
        <w:tc>
          <w:tcPr>
            <w:tcW w:type="dxa" w:w="3456"/>
            <w:vAlign w:val="top"/>
          </w:tcPr>
          <w:p>
            <w:pPr>
              <w:pStyle w:val="TableText"/>
            </w:pPr>
            <w:r>
              <w:t>Systolic or diastolic missing, nonnumeric, reversed, or outside configured plausible limits.</w:t>
            </w:r>
          </w:p>
        </w:tc>
        <w:tc>
          <w:tcPr>
            <w:tcW w:type="dxa" w:w="1728"/>
            <w:vAlign w:val="top"/>
          </w:tcPr>
          <w:p>
            <w:pPr>
              <w:pStyle w:val="TableText"/>
            </w:pPr>
            <w:r>
              <w:t>Data quality</w:t>
            </w:r>
          </w:p>
        </w:tc>
        <w:tc>
          <w:tcPr>
            <w:tcW w:type="dxa" w:w="4608"/>
            <w:vAlign w:val="top"/>
          </w:tcPr>
          <w:p>
            <w:pPr>
              <w:pStyle w:val="TableText"/>
            </w:pPr>
            <w:r>
              <w:t>Reject or flag observation; require correction. Never infer a category.</w:t>
            </w:r>
          </w:p>
        </w:tc>
      </w:tr>
      <w:tr>
        <w:tc>
          <w:tcPr>
            <w:tcW w:type="dxa" w:w="1152"/>
            <w:vAlign w:val="top"/>
          </w:tcPr>
          <w:p>
            <w:pPr>
              <w:pStyle w:val="TableText"/>
            </w:pPr>
            <w:r>
              <w:t>BP-DQ2</w:t>
            </w:r>
          </w:p>
        </w:tc>
        <w:tc>
          <w:tcPr>
            <w:tcW w:type="dxa" w:w="3456"/>
            <w:vAlign w:val="top"/>
          </w:tcPr>
          <w:p>
            <w:pPr>
              <w:pStyle w:val="TableText"/>
            </w:pPr>
            <w:r>
              <w:t>Measurement technique/device/cuff information is insufficient and BP is 140/90 or higher.</w:t>
            </w:r>
          </w:p>
        </w:tc>
        <w:tc>
          <w:tcPr>
            <w:tcW w:type="dxa" w:w="1728"/>
            <w:vAlign w:val="top"/>
          </w:tcPr>
          <w:p>
            <w:pPr>
              <w:pStyle w:val="TableText"/>
            </w:pPr>
            <w:r>
              <w:t>Data quality + safety</w:t>
            </w:r>
          </w:p>
        </w:tc>
        <w:tc>
          <w:tcPr>
            <w:tcW w:type="dxa" w:w="4608"/>
            <w:vAlign w:val="top"/>
          </w:tcPr>
          <w:p>
            <w:pPr>
              <w:pStyle w:val="TableText"/>
            </w:pPr>
            <w:r>
              <w:t>Prompt immediate correct repeat. Preserve original observation.</w:t>
            </w:r>
          </w:p>
        </w:tc>
      </w:tr>
      <w:tr>
        <w:tc>
          <w:tcPr>
            <w:tcW w:type="dxa" w:w="1152"/>
            <w:vAlign w:val="top"/>
          </w:tcPr>
          <w:p>
            <w:pPr>
              <w:pStyle w:val="TableText"/>
            </w:pPr>
            <w:r>
              <w:t>BP-U1</w:t>
            </w:r>
          </w:p>
        </w:tc>
        <w:tc>
          <w:tcPr>
            <w:tcW w:type="dxa" w:w="3456"/>
            <w:vAlign w:val="top"/>
          </w:tcPr>
          <w:p>
            <w:pPr>
              <w:pStyle w:val="TableText"/>
            </w:pPr>
            <w:r>
              <w:t>Systolic 160 or higher OR diastolic 110 or higher.</w:t>
            </w:r>
          </w:p>
        </w:tc>
        <w:tc>
          <w:tcPr>
            <w:tcW w:type="dxa" w:w="1728"/>
            <w:vAlign w:val="top"/>
          </w:tcPr>
          <w:p>
            <w:pPr>
              <w:pStyle w:val="TableText"/>
            </w:pPr>
            <w:r>
              <w:t>Potential emergency</w:t>
            </w:r>
          </w:p>
        </w:tc>
        <w:tc>
          <w:tcPr>
            <w:tcW w:type="dxa" w:w="4608"/>
            <w:vAlign w:val="top"/>
          </w:tcPr>
          <w:p>
            <w:pPr>
              <w:pStyle w:val="TableText"/>
            </w:pPr>
            <w:r>
              <w:t>Show severe-range alert. Prompt immediate repeat/confirmation while initiating emergency pathway; local protocol determines transfer and stabilization.</w:t>
            </w:r>
          </w:p>
        </w:tc>
      </w:tr>
      <w:tr>
        <w:tc>
          <w:tcPr>
            <w:tcW w:type="dxa" w:w="1152"/>
            <w:vAlign w:val="top"/>
          </w:tcPr>
          <w:p>
            <w:pPr>
              <w:pStyle w:val="TableText"/>
            </w:pPr>
            <w:r>
              <w:t>BP-U2</w:t>
            </w:r>
          </w:p>
        </w:tc>
        <w:tc>
          <w:tcPr>
            <w:tcW w:type="dxa" w:w="3456"/>
            <w:vAlign w:val="top"/>
          </w:tcPr>
          <w:p>
            <w:pPr>
              <w:pStyle w:val="TableText"/>
            </w:pPr>
            <w:r>
              <w:t>Seizure, altered consciousness, severe breathing difficulty, collapse, or other clinical instability, regardless of BP.</w:t>
            </w:r>
          </w:p>
        </w:tc>
        <w:tc>
          <w:tcPr>
            <w:tcW w:type="dxa" w:w="1728"/>
            <w:vAlign w:val="top"/>
          </w:tcPr>
          <w:p>
            <w:pPr>
              <w:pStyle w:val="TableText"/>
            </w:pPr>
            <w:r>
              <w:t>Emergency</w:t>
            </w:r>
          </w:p>
        </w:tc>
        <w:tc>
          <w:tcPr>
            <w:tcW w:type="dxa" w:w="4608"/>
            <w:vAlign w:val="top"/>
          </w:tcPr>
          <w:p>
            <w:pPr>
              <w:pStyle w:val="TableText"/>
            </w:pPr>
            <w:r>
              <w:t>Emergency pathway; BP value must not lower priority.</w:t>
            </w:r>
          </w:p>
        </w:tc>
      </w:tr>
      <w:tr>
        <w:tc>
          <w:tcPr>
            <w:tcW w:type="dxa" w:w="1152"/>
            <w:vAlign w:val="top"/>
          </w:tcPr>
          <w:p>
            <w:pPr>
              <w:pStyle w:val="TableText"/>
            </w:pPr>
            <w:r>
              <w:t>BP-U3</w:t>
            </w:r>
          </w:p>
        </w:tc>
        <w:tc>
          <w:tcPr>
            <w:tcW w:type="dxa" w:w="3456"/>
            <w:vAlign w:val="top"/>
          </w:tcPr>
          <w:p>
            <w:pPr>
              <w:pStyle w:val="TableText"/>
            </w:pPr>
            <w:r>
              <w:t>Severe persistent headache, visual disturbance, severe upper abdominal/epigastric pain, or serious respiratory/chest symptoms with hypertension-range BP or suspected pregnancy hypertensive disorder.</w:t>
            </w:r>
          </w:p>
        </w:tc>
        <w:tc>
          <w:tcPr>
            <w:tcW w:type="dxa" w:w="1728"/>
            <w:vAlign w:val="top"/>
          </w:tcPr>
          <w:p>
            <w:pPr>
              <w:pStyle w:val="TableText"/>
            </w:pPr>
            <w:r>
              <w:t>Urgent/emergency</w:t>
            </w:r>
          </w:p>
        </w:tc>
        <w:tc>
          <w:tcPr>
            <w:tcW w:type="dxa" w:w="4608"/>
            <w:vAlign w:val="top"/>
          </w:tcPr>
          <w:p>
            <w:pPr>
              <w:pStyle w:val="TableText"/>
            </w:pPr>
            <w:r>
              <w:t>Urgent same-day or emergency referral according to severity and local protocol.</w:t>
            </w:r>
          </w:p>
        </w:tc>
      </w:tr>
      <w:tr>
        <w:tc>
          <w:tcPr>
            <w:tcW w:type="dxa" w:w="1152"/>
            <w:vAlign w:val="top"/>
          </w:tcPr>
          <w:p>
            <w:pPr>
              <w:pStyle w:val="TableText"/>
            </w:pPr>
            <w:r>
              <w:t>BP-R1</w:t>
            </w:r>
          </w:p>
        </w:tc>
        <w:tc>
          <w:tcPr>
            <w:tcW w:type="dxa" w:w="3456"/>
            <w:vAlign w:val="top"/>
          </w:tcPr>
          <w:p>
            <w:pPr>
              <w:pStyle w:val="TableText"/>
            </w:pPr>
            <w:r>
              <w:t>Verified/repeated systolic 140-159 OR diastolic 90-109.</w:t>
            </w:r>
          </w:p>
        </w:tc>
        <w:tc>
          <w:tcPr>
            <w:tcW w:type="dxa" w:w="1728"/>
            <w:vAlign w:val="top"/>
          </w:tcPr>
          <w:p>
            <w:pPr>
              <w:pStyle w:val="TableText"/>
            </w:pPr>
            <w:r>
              <w:t>Referral assessment</w:t>
            </w:r>
          </w:p>
        </w:tc>
        <w:tc>
          <w:tcPr>
            <w:tcW w:type="dxa" w:w="4608"/>
            <w:vAlign w:val="top"/>
          </w:tcPr>
          <w:p>
            <w:pPr>
              <w:pStyle w:val="TableText"/>
            </w:pPr>
            <w:r>
              <w:t>Prompt qualified assessment. Use gestational age, prior BP, history, symptoms and available tests; do not diagnose from the rule.</w:t>
            </w:r>
          </w:p>
        </w:tc>
      </w:tr>
      <w:tr>
        <w:tc>
          <w:tcPr>
            <w:tcW w:type="dxa" w:w="1152"/>
            <w:vAlign w:val="top"/>
          </w:tcPr>
          <w:p>
            <w:pPr>
              <w:pStyle w:val="TableText"/>
            </w:pPr>
            <w:r>
              <w:t>BP-R2</w:t>
            </w:r>
          </w:p>
        </w:tc>
        <w:tc>
          <w:tcPr>
            <w:tcW w:type="dxa" w:w="3456"/>
            <w:vAlign w:val="top"/>
          </w:tcPr>
          <w:p>
            <w:pPr>
              <w:pStyle w:val="TableText"/>
            </w:pPr>
            <w:r>
              <w:t>Documented chronic hypertension, even if current BP is below 140/90.</w:t>
            </w:r>
          </w:p>
        </w:tc>
        <w:tc>
          <w:tcPr>
            <w:tcW w:type="dxa" w:w="1728"/>
            <w:vAlign w:val="top"/>
          </w:tcPr>
          <w:p>
            <w:pPr>
              <w:pStyle w:val="TableText"/>
            </w:pPr>
            <w:r>
              <w:t>Care planning</w:t>
            </w:r>
          </w:p>
        </w:tc>
        <w:tc>
          <w:tcPr>
            <w:tcW w:type="dxa" w:w="4608"/>
            <w:vAlign w:val="top"/>
          </w:tcPr>
          <w:p>
            <w:pPr>
              <w:pStyle w:val="TableText"/>
            </w:pPr>
            <w:r>
              <w:t>Require a documented medical management and referral plan; current normal BP does not erase history.</w:t>
            </w:r>
          </w:p>
        </w:tc>
      </w:tr>
      <w:tr>
        <w:tc>
          <w:tcPr>
            <w:tcW w:type="dxa" w:w="1152"/>
            <w:vAlign w:val="top"/>
          </w:tcPr>
          <w:p>
            <w:pPr>
              <w:pStyle w:val="TableText"/>
            </w:pPr>
            <w:r>
              <w:t>BP-R3</w:t>
            </w:r>
          </w:p>
        </w:tc>
        <w:tc>
          <w:tcPr>
            <w:tcW w:type="dxa" w:w="3456"/>
            <w:vAlign w:val="top"/>
          </w:tcPr>
          <w:p>
            <w:pPr>
              <w:pStyle w:val="TableText"/>
            </w:pPr>
            <w:r>
              <w:t>New hypertension-range reading at or after 20 weeks.</w:t>
            </w:r>
          </w:p>
        </w:tc>
        <w:tc>
          <w:tcPr>
            <w:tcW w:type="dxa" w:w="1728"/>
            <w:vAlign w:val="top"/>
          </w:tcPr>
          <w:p>
            <w:pPr>
              <w:pStyle w:val="TableText"/>
            </w:pPr>
            <w:r>
              <w:t>Referral assessment</w:t>
            </w:r>
          </w:p>
        </w:tc>
        <w:tc>
          <w:tcPr>
            <w:tcW w:type="dxa" w:w="4608"/>
            <w:vAlign w:val="top"/>
          </w:tcPr>
          <w:p>
            <w:pPr>
              <w:pStyle w:val="TableText"/>
            </w:pPr>
            <w:r>
              <w:t>State concern for hypertensive disorder of pregnancy and recommend appropriate secondary assessment.</w:t>
            </w:r>
          </w:p>
        </w:tc>
      </w:tr>
      <w:tr>
        <w:tc>
          <w:tcPr>
            <w:tcW w:type="dxa" w:w="1152"/>
            <w:vAlign w:val="top"/>
          </w:tcPr>
          <w:p>
            <w:pPr>
              <w:pStyle w:val="TableText"/>
            </w:pPr>
            <w:r>
              <w:t>BP-R4</w:t>
            </w:r>
          </w:p>
        </w:tc>
        <w:tc>
          <w:tcPr>
            <w:tcW w:type="dxa" w:w="3456"/>
            <w:vAlign w:val="top"/>
          </w:tcPr>
          <w:p>
            <w:pPr>
              <w:pStyle w:val="TableText"/>
            </w:pPr>
            <w:r>
              <w:t>Hypertension-range reading before 20 weeks with no prior diagnosis.</w:t>
            </w:r>
          </w:p>
        </w:tc>
        <w:tc>
          <w:tcPr>
            <w:tcW w:type="dxa" w:w="1728"/>
            <w:vAlign w:val="top"/>
          </w:tcPr>
          <w:p>
            <w:pPr>
              <w:pStyle w:val="TableText"/>
            </w:pPr>
            <w:r>
              <w:t>Referral assessment</w:t>
            </w:r>
          </w:p>
        </w:tc>
        <w:tc>
          <w:tcPr>
            <w:tcW w:type="dxa" w:w="4608"/>
            <w:vAlign w:val="top"/>
          </w:tcPr>
          <w:p>
            <w:pPr>
              <w:pStyle w:val="TableText"/>
            </w:pPr>
            <w:r>
              <w:t>Recommend evaluation for pre-existing/chronic hypertension and other causes.</w:t>
            </w:r>
          </w:p>
        </w:tc>
      </w:tr>
      <w:tr>
        <w:tc>
          <w:tcPr>
            <w:tcW w:type="dxa" w:w="1152"/>
            <w:vAlign w:val="top"/>
          </w:tcPr>
          <w:p>
            <w:pPr>
              <w:pStyle w:val="TableText"/>
            </w:pPr>
            <w:r>
              <w:t>BP-I1</w:t>
            </w:r>
          </w:p>
        </w:tc>
        <w:tc>
          <w:tcPr>
            <w:tcW w:type="dxa" w:w="3456"/>
            <w:vAlign w:val="top"/>
          </w:tcPr>
          <w:p>
            <w:pPr>
              <w:pStyle w:val="TableText"/>
            </w:pPr>
            <w:r>
              <w:t>Hypertension plus age 40+, diabetes, kidney disease, previous pre-eclampsia, multiple pregnancy, or other major factor.</w:t>
            </w:r>
          </w:p>
        </w:tc>
        <w:tc>
          <w:tcPr>
            <w:tcW w:type="dxa" w:w="1728"/>
            <w:vAlign w:val="top"/>
          </w:tcPr>
          <w:p>
            <w:pPr>
              <w:pStyle w:val="TableText"/>
            </w:pPr>
            <w:r>
              <w:t>Interaction</w:t>
            </w:r>
          </w:p>
        </w:tc>
        <w:tc>
          <w:tcPr>
            <w:tcW w:type="dxa" w:w="4608"/>
            <w:vAlign w:val="top"/>
          </w:tcPr>
          <w:p>
            <w:pPr>
              <w:pStyle w:val="TableText"/>
            </w:pPr>
            <w:r>
              <w:t>Strengthen referral explanation and care-planning priority; do not invent an arbitrary interaction score.</w:t>
            </w:r>
          </w:p>
        </w:tc>
      </w:tr>
      <w:tr>
        <w:tc>
          <w:tcPr>
            <w:tcW w:type="dxa" w:w="1152"/>
            <w:vAlign w:val="top"/>
          </w:tcPr>
          <w:p>
            <w:pPr>
              <w:pStyle w:val="TableText"/>
            </w:pPr>
            <w:r>
              <w:t>BP-N1</w:t>
            </w:r>
          </w:p>
        </w:tc>
        <w:tc>
          <w:tcPr>
            <w:tcW w:type="dxa" w:w="3456"/>
            <w:vAlign w:val="top"/>
          </w:tcPr>
          <w:p>
            <w:pPr>
              <w:pStyle w:val="TableText"/>
            </w:pPr>
            <w:r>
              <w:t>BP below 140/90 but severe warning symptoms present.</w:t>
            </w:r>
          </w:p>
        </w:tc>
        <w:tc>
          <w:tcPr>
            <w:tcW w:type="dxa" w:w="1728"/>
            <w:vAlign w:val="top"/>
          </w:tcPr>
          <w:p>
            <w:pPr>
              <w:pStyle w:val="TableText"/>
            </w:pPr>
            <w:r>
              <w:t>Symptom override</w:t>
            </w:r>
          </w:p>
        </w:tc>
        <w:tc>
          <w:tcPr>
            <w:tcW w:type="dxa" w:w="4608"/>
            <w:vAlign w:val="top"/>
          </w:tcPr>
          <w:p>
            <w:pPr>
              <w:pStyle w:val="TableText"/>
            </w:pPr>
            <w:r>
              <w:t>Do not classify as low risk. Apply symptom-specific urgent rule.</w:t>
            </w:r>
          </w:p>
        </w:tc>
      </w:tr>
      <w:tr>
        <w:tc>
          <w:tcPr>
            <w:tcW w:type="dxa" w:w="1152"/>
            <w:vAlign w:val="top"/>
          </w:tcPr>
          <w:p>
            <w:pPr>
              <w:pStyle w:val="TableText"/>
            </w:pPr>
            <w:r>
              <w:t>BP-N2</w:t>
            </w:r>
          </w:p>
        </w:tc>
        <w:tc>
          <w:tcPr>
            <w:tcW w:type="dxa" w:w="3456"/>
            <w:vAlign w:val="top"/>
          </w:tcPr>
          <w:p>
            <w:pPr>
              <w:pStyle w:val="TableText"/>
            </w:pPr>
            <w:r>
              <w:t>BP below 140/90 and no warning features.</w:t>
            </w:r>
          </w:p>
        </w:tc>
        <w:tc>
          <w:tcPr>
            <w:tcW w:type="dxa" w:w="1728"/>
            <w:vAlign w:val="top"/>
          </w:tcPr>
          <w:p>
            <w:pPr>
              <w:pStyle w:val="TableText"/>
            </w:pPr>
            <w:r>
              <w:t>No BP escalation</w:t>
            </w:r>
          </w:p>
        </w:tc>
        <w:tc>
          <w:tcPr>
            <w:tcW w:type="dxa" w:w="4608"/>
            <w:vAlign w:val="top"/>
          </w:tcPr>
          <w:p>
            <w:pPr>
              <w:pStyle w:val="TableText"/>
            </w:pPr>
            <w:r>
              <w:t>Continue full assessment; display only “no BP threshold met in this reading.”</w:t>
            </w:r>
          </w:p>
        </w:tc>
      </w:tr>
    </w:tbl>
    <w:p/>
    <w:p>
      <w:pPr>
        <w:pStyle w:val="Heading1"/>
      </w:pPr>
      <w:r>
        <w:t>9. Interaction Analysis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tcPr>
          <w:p>
            <w:pPr>
              <w:pStyle w:val="TableText"/>
            </w:pPr>
            <w:r>
              <w:rPr>
                <w:b/>
              </w:rPr>
              <w:t>Combination</w:t>
            </w:r>
          </w:p>
        </w:tc>
        <w:tc>
          <w:tcPr>
            <w:tcW w:type="dxa" w:w="4032"/>
            <w:shd w:fill="D9EAF7"/>
          </w:tcPr>
          <w:p>
            <w:pPr>
              <w:pStyle w:val="TableText"/>
            </w:pPr>
            <w:r>
              <w:rPr>
                <w:b/>
              </w:rPr>
              <w:t>Why it matters</w:t>
            </w:r>
          </w:p>
        </w:tc>
        <w:tc>
          <w:tcPr>
            <w:tcW w:type="dxa" w:w="4032"/>
            <w:shd w:fill="D9EAF7"/>
          </w:tcPr>
          <w:p>
            <w:pPr>
              <w:pStyle w:val="TableText"/>
            </w:pPr>
            <w:r>
              <w:rPr>
                <w:b/>
              </w:rPr>
              <w:t>CDSS implication</w:t>
            </w:r>
          </w:p>
        </w:tc>
      </w:tr>
      <w:tr>
        <w:tc>
          <w:tcPr>
            <w:tcW w:type="dxa" w:w="2880"/>
            <w:vAlign w:val="top"/>
          </w:tcPr>
          <w:p>
            <w:pPr>
              <w:pStyle w:val="TableText"/>
            </w:pPr>
            <w:r>
              <w:t>Hypertension + gestational age 20 weeks or more</w:t>
            </w:r>
          </w:p>
        </w:tc>
        <w:tc>
          <w:tcPr>
            <w:tcW w:type="dxa" w:w="4032"/>
            <w:vAlign w:val="top"/>
          </w:tcPr>
          <w:p>
            <w:pPr>
              <w:pStyle w:val="TableText"/>
            </w:pPr>
            <w:r>
              <w:t>Raises concern for gestational hypertension or pre-eclampsia, depending on other findings.</w:t>
            </w:r>
          </w:p>
        </w:tc>
        <w:tc>
          <w:tcPr>
            <w:tcW w:type="dxa" w:w="4032"/>
            <w:vAlign w:val="top"/>
          </w:tcPr>
          <w:p>
            <w:pPr>
              <w:pStyle w:val="TableText"/>
            </w:pPr>
            <w:r>
              <w:t>Prompt secondary assessment and search for severe features; do not diagnose automatically.</w:t>
            </w:r>
          </w:p>
        </w:tc>
      </w:tr>
      <w:tr>
        <w:tc>
          <w:tcPr>
            <w:tcW w:type="dxa" w:w="2880"/>
            <w:vAlign w:val="top"/>
          </w:tcPr>
          <w:p>
            <w:pPr>
              <w:pStyle w:val="TableText"/>
            </w:pPr>
            <w:r>
              <w:t>Hypertension + severe headache or visual disturbance</w:t>
            </w:r>
          </w:p>
        </w:tc>
        <w:tc>
          <w:tcPr>
            <w:tcW w:type="dxa" w:w="4032"/>
            <w:vAlign w:val="top"/>
          </w:tcPr>
          <w:p>
            <w:pPr>
              <w:pStyle w:val="TableText"/>
            </w:pPr>
            <w:r>
              <w:t>Neurologic symptoms are warning features in major guidelines.</w:t>
            </w:r>
          </w:p>
        </w:tc>
        <w:tc>
          <w:tcPr>
            <w:tcW w:type="dxa" w:w="4032"/>
            <w:vAlign w:val="top"/>
          </w:tcPr>
          <w:p>
            <w:pPr>
              <w:pStyle w:val="TableText"/>
            </w:pPr>
            <w:r>
              <w:t>Urgent escalation; symptom and BP details must be included in handover.</w:t>
            </w:r>
          </w:p>
        </w:tc>
      </w:tr>
      <w:tr>
        <w:tc>
          <w:tcPr>
            <w:tcW w:type="dxa" w:w="2880"/>
            <w:vAlign w:val="top"/>
          </w:tcPr>
          <w:p>
            <w:pPr>
              <w:pStyle w:val="TableText"/>
            </w:pPr>
            <w:r>
              <w:t>Hypertension + upper abdominal/epigastric pain</w:t>
            </w:r>
          </w:p>
        </w:tc>
        <w:tc>
          <w:tcPr>
            <w:tcW w:type="dxa" w:w="4032"/>
            <w:vAlign w:val="top"/>
          </w:tcPr>
          <w:p>
            <w:pPr>
              <w:pStyle w:val="TableText"/>
            </w:pPr>
            <w:r>
              <w:t>May indicate severe maternal involvement.</w:t>
            </w:r>
          </w:p>
        </w:tc>
        <w:tc>
          <w:tcPr>
            <w:tcW w:type="dxa" w:w="4032"/>
            <w:vAlign w:val="top"/>
          </w:tcPr>
          <w:p>
            <w:pPr>
              <w:pStyle w:val="TableText"/>
            </w:pPr>
            <w:r>
              <w:t>Urgent escalation; do not treat as ordinary gastric discomfort without clinical assessment.</w:t>
            </w:r>
          </w:p>
        </w:tc>
      </w:tr>
      <w:tr>
        <w:tc>
          <w:tcPr>
            <w:tcW w:type="dxa" w:w="2880"/>
            <w:vAlign w:val="top"/>
          </w:tcPr>
          <w:p>
            <w:pPr>
              <w:pStyle w:val="TableText"/>
            </w:pPr>
            <w:r>
              <w:t>Hypertension + dyspnoea/chest symptoms</w:t>
            </w:r>
          </w:p>
        </w:tc>
        <w:tc>
          <w:tcPr>
            <w:tcW w:type="dxa" w:w="4032"/>
            <w:vAlign w:val="top"/>
          </w:tcPr>
          <w:p>
            <w:pPr>
              <w:pStyle w:val="TableText"/>
            </w:pPr>
            <w:r>
              <w:t>May indicate pulmonary or cardiovascular complication.</w:t>
            </w:r>
          </w:p>
        </w:tc>
        <w:tc>
          <w:tcPr>
            <w:tcW w:type="dxa" w:w="4032"/>
            <w:vAlign w:val="top"/>
          </w:tcPr>
          <w:p>
            <w:pPr>
              <w:pStyle w:val="TableText"/>
            </w:pPr>
            <w:r>
              <w:t>Emergency or urgent assessment based on clinical stability.</w:t>
            </w:r>
          </w:p>
        </w:tc>
      </w:tr>
      <w:tr>
        <w:tc>
          <w:tcPr>
            <w:tcW w:type="dxa" w:w="2880"/>
            <w:vAlign w:val="top"/>
          </w:tcPr>
          <w:p>
            <w:pPr>
              <w:pStyle w:val="TableText"/>
            </w:pPr>
            <w:r>
              <w:t>Hypertension + proteinuria</w:t>
            </w:r>
          </w:p>
        </w:tc>
        <w:tc>
          <w:tcPr>
            <w:tcW w:type="dxa" w:w="4032"/>
            <w:vAlign w:val="top"/>
          </w:tcPr>
          <w:p>
            <w:pPr>
              <w:pStyle w:val="TableText"/>
            </w:pPr>
            <w:r>
              <w:t>Supports concern for pre-eclampsia after 20 weeks, but diagnosis requires clinical assessment.</w:t>
            </w:r>
          </w:p>
        </w:tc>
        <w:tc>
          <w:tcPr>
            <w:tcW w:type="dxa" w:w="4032"/>
            <w:vAlign w:val="top"/>
          </w:tcPr>
          <w:p>
            <w:pPr>
              <w:pStyle w:val="TableText"/>
            </w:pPr>
            <w:r>
              <w:t>Recommend appropriate facility assessment; retain exact urine test and method.</w:t>
            </w:r>
          </w:p>
        </w:tc>
      </w:tr>
      <w:tr>
        <w:tc>
          <w:tcPr>
            <w:tcW w:type="dxa" w:w="2880"/>
            <w:vAlign w:val="top"/>
          </w:tcPr>
          <w:p>
            <w:pPr>
              <w:pStyle w:val="TableText"/>
            </w:pPr>
            <w:r>
              <w:t>Hypertension + diabetes or kidney disease</w:t>
            </w:r>
          </w:p>
        </w:tc>
        <w:tc>
          <w:tcPr>
            <w:tcW w:type="dxa" w:w="4032"/>
            <w:vAlign w:val="top"/>
          </w:tcPr>
          <w:p>
            <w:pPr>
              <w:pStyle w:val="TableText"/>
            </w:pPr>
            <w:r>
              <w:t>Pre-existing disease increases risk and complexity.</w:t>
            </w:r>
          </w:p>
        </w:tc>
        <w:tc>
          <w:tcPr>
            <w:tcW w:type="dxa" w:w="4032"/>
            <w:vAlign w:val="top"/>
          </w:tcPr>
          <w:p>
            <w:pPr>
              <w:pStyle w:val="TableText"/>
            </w:pPr>
            <w:r>
              <w:t>Referral planning and closer monitoring; underlying disease rule drives specialist need.</w:t>
            </w:r>
          </w:p>
        </w:tc>
      </w:tr>
      <w:tr>
        <w:tc>
          <w:tcPr>
            <w:tcW w:type="dxa" w:w="2880"/>
            <w:vAlign w:val="top"/>
          </w:tcPr>
          <w:p>
            <w:pPr>
              <w:pStyle w:val="TableText"/>
            </w:pPr>
            <w:r>
              <w:t>Hypertension + age 40 or older</w:t>
            </w:r>
          </w:p>
        </w:tc>
        <w:tc>
          <w:tcPr>
            <w:tcW w:type="dxa" w:w="4032"/>
            <w:vAlign w:val="top"/>
          </w:tcPr>
          <w:p>
            <w:pPr>
              <w:pStyle w:val="TableText"/>
            </w:pPr>
            <w:r>
              <w:t>NICE recognizes age 40+ among factors requiring additional assessment in gestational hypertension.</w:t>
            </w:r>
          </w:p>
        </w:tc>
        <w:tc>
          <w:tcPr>
            <w:tcW w:type="dxa" w:w="4032"/>
            <w:vAlign w:val="top"/>
          </w:tcPr>
          <w:p>
            <w:pPr>
              <w:pStyle w:val="TableText"/>
            </w:pPr>
            <w:r>
              <w:t>Strengthen review/referral priority, without replacing BP urgency thresholds.</w:t>
            </w:r>
          </w:p>
        </w:tc>
      </w:tr>
      <w:tr>
        <w:tc>
          <w:tcPr>
            <w:tcW w:type="dxa" w:w="2880"/>
            <w:vAlign w:val="top"/>
          </w:tcPr>
          <w:p>
            <w:pPr>
              <w:pStyle w:val="TableText"/>
            </w:pPr>
            <w:r>
              <w:t>Hypertension + first pregnancy/nulliparity</w:t>
            </w:r>
          </w:p>
        </w:tc>
        <w:tc>
          <w:tcPr>
            <w:tcW w:type="dxa" w:w="4032"/>
            <w:vAlign w:val="top"/>
          </w:tcPr>
          <w:p>
            <w:pPr>
              <w:pStyle w:val="TableText"/>
            </w:pPr>
            <w:r>
              <w:t>Nulliparity is a recognized pre-eclampsia risk factor.</w:t>
            </w:r>
          </w:p>
        </w:tc>
        <w:tc>
          <w:tcPr>
            <w:tcW w:type="dxa" w:w="4032"/>
            <w:vAlign w:val="top"/>
          </w:tcPr>
          <w:p>
            <w:pPr>
              <w:pStyle w:val="TableText"/>
            </w:pPr>
            <w:r>
              <w:t>Increase assessment concern and explanation; no automatic emergency without current severe findings.</w:t>
            </w:r>
          </w:p>
        </w:tc>
      </w:tr>
      <w:tr>
        <w:tc>
          <w:tcPr>
            <w:tcW w:type="dxa" w:w="2880"/>
            <w:vAlign w:val="top"/>
          </w:tcPr>
          <w:p>
            <w:pPr>
              <w:pStyle w:val="TableText"/>
            </w:pPr>
            <w:r>
              <w:t>Hypertension + reduced fetal movement or abnormal fetal finding</w:t>
            </w:r>
          </w:p>
        </w:tc>
        <w:tc>
          <w:tcPr>
            <w:tcW w:type="dxa" w:w="4032"/>
            <w:vAlign w:val="top"/>
          </w:tcPr>
          <w:p>
            <w:pPr>
              <w:pStyle w:val="TableText"/>
            </w:pPr>
            <w:r>
              <w:t>Raises simultaneous maternal and fetal concern.</w:t>
            </w:r>
          </w:p>
        </w:tc>
        <w:tc>
          <w:tcPr>
            <w:tcW w:type="dxa" w:w="4032"/>
            <w:vAlign w:val="top"/>
          </w:tcPr>
          <w:p>
            <w:pPr>
              <w:pStyle w:val="TableText"/>
            </w:pPr>
            <w:r>
              <w:t>Urgent facility assessment capable of maternal laboratory and fetal evaluation.</w:t>
            </w:r>
          </w:p>
        </w:tc>
      </w:tr>
      <w:tr>
        <w:tc>
          <w:tcPr>
            <w:tcW w:type="dxa" w:w="2880"/>
            <w:vAlign w:val="top"/>
          </w:tcPr>
          <w:p>
            <w:pPr>
              <w:pStyle w:val="TableText"/>
            </w:pPr>
            <w:r>
              <w:t>Hypertension + previous cesarean</w:t>
            </w:r>
          </w:p>
        </w:tc>
        <w:tc>
          <w:tcPr>
            <w:tcW w:type="dxa" w:w="4032"/>
            <w:vAlign w:val="top"/>
          </w:tcPr>
          <w:p>
            <w:pPr>
              <w:pStyle w:val="TableText"/>
            </w:pPr>
            <w:r>
              <w:t>Affects broader obstetric and delivery planning.</w:t>
            </w:r>
          </w:p>
        </w:tc>
        <w:tc>
          <w:tcPr>
            <w:tcW w:type="dxa" w:w="4032"/>
            <w:vAlign w:val="top"/>
          </w:tcPr>
          <w:p>
            <w:pPr>
              <w:pStyle w:val="TableText"/>
            </w:pPr>
            <w:r>
              <w:t>Ensure obstetric review and delivery-facility plan; not a numerical “bonus.”</w:t>
            </w:r>
          </w:p>
        </w:tc>
      </w:tr>
    </w:tbl>
    <w:p/>
    <w:p>
      <w:pPr>
        <w:pStyle w:val="Heading1"/>
      </w:pPr>
      <w:r>
        <w:t>10. Explainable Output Design</w:t>
      </w:r>
    </w:p>
    <w:p>
      <w:pPr>
        <w:pStyle w:val="Heading2"/>
      </w:pPr>
      <w:r>
        <w:t>10.1 Required Message Components</w:t>
      </w:r>
    </w:p>
    <w:p>
      <w:pPr>
        <w:pStyle w:val="ListBullet"/>
      </w:pPr>
      <w:r>
        <w:t>The exact BP and time.</w:t>
      </w:r>
    </w:p>
    <w:p>
      <w:pPr>
        <w:pStyle w:val="ListBullet"/>
      </w:pPr>
      <w:r>
        <w:t>Whether it is an initial or repeat reading.</w:t>
      </w:r>
    </w:p>
    <w:p>
      <w:pPr>
        <w:pStyle w:val="ListBullet"/>
      </w:pPr>
      <w:r>
        <w:t>Measurement-quality limitations, if any.</w:t>
      </w:r>
    </w:p>
    <w:p>
      <w:pPr>
        <w:pStyle w:val="ListBullet"/>
      </w:pPr>
      <w:r>
        <w:t>Gestational age and whether onset appears before or after 20 weeks.</w:t>
      </w:r>
    </w:p>
    <w:p>
      <w:pPr>
        <w:pStyle w:val="ListBullet"/>
      </w:pPr>
      <w:r>
        <w:t>Relevant history, such as chronic hypertension or previous pre-eclampsia.</w:t>
      </w:r>
    </w:p>
    <w:p>
      <w:pPr>
        <w:pStyle w:val="ListBullet"/>
      </w:pPr>
      <w:r>
        <w:t>Warning symptoms and important interacting findings.</w:t>
      </w:r>
    </w:p>
    <w:p>
      <w:pPr>
        <w:pStyle w:val="ListBullet"/>
      </w:pPr>
      <w:r>
        <w:t>Action category and urgency.</w:t>
      </w:r>
    </w:p>
    <w:p>
      <w:pPr>
        <w:pStyle w:val="ListBullet"/>
      </w:pPr>
      <w:r>
        <w:t>Statement that the output is decision support and not a diagnosis.</w:t>
      </w:r>
    </w:p>
    <w:p>
      <w:pPr>
        <w:pStyle w:val="Heading2"/>
      </w:pPr>
      <w:r>
        <w:t>10.2 Acceptable Examples</w:t>
      </w:r>
    </w:p>
    <w:p>
      <w:pPr>
        <w:pStyle w:val="Quote"/>
      </w:pPr>
      <w:r>
        <w:t>A blood pressure of 148/96 mmHg was recorded at 31 weeks. This is a hypertension-range reading and requires correct repeat measurement and qualified assessment for a hypertensive disorder of pregnancy. No diagnosis is made by this system.</w:t>
      </w:r>
    </w:p>
    <w:p>
      <w:pPr>
        <w:pStyle w:val="Quote"/>
      </w:pPr>
      <w:r>
        <w:t>A repeated blood pressure of 164/112 mmHg is in the severe range. Severe hypertension in pregnancy can require immediate treatment in an appropriate facility. Activate the clinic emergency referral pathway and do not delay for completion of routine records.</w:t>
      </w:r>
    </w:p>
    <w:p>
      <w:pPr>
        <w:pStyle w:val="Quote"/>
      </w:pPr>
      <w:r>
        <w:t>The current blood pressure is 132/84 mmHg, which does not meet the 140/90 hypertension threshold. However, severe headache and visual disturbance were recorded. These symptoms require urgent clinical assessment and must not be dismissed because the BP is below the threshold.</w:t>
      </w:r>
    </w:p>
    <w:p>
      <w:pPr>
        <w:pStyle w:val="Heading2"/>
      </w:pPr>
      <w:r>
        <w:t>10.3 Prohibited Examples</w:t>
      </w:r>
    </w:p>
    <w:p>
      <w:pPr>
        <w:pStyle w:val="ListBullet"/>
      </w:pPr>
      <w:r>
        <w:t>“The patient has pre-eclampsia.”</w:t>
      </w:r>
    </w:p>
    <w:p>
      <w:pPr>
        <w:pStyle w:val="ListBullet"/>
      </w:pPr>
      <w:r>
        <w:t>“Give labetalol now” or any automated drug/dose instruction.</w:t>
      </w:r>
    </w:p>
    <w:p>
      <w:pPr>
        <w:pStyle w:val="ListBullet"/>
      </w:pPr>
      <w:r>
        <w:t>“BP is normal, therefore pregnancy is low risk.”</w:t>
      </w:r>
    </w:p>
    <w:p>
      <w:pPr>
        <w:pStyle w:val="ListBullet"/>
      </w:pPr>
      <w:r>
        <w:t>“No proteinuria, therefore no pre-eclampsia.”</w:t>
      </w:r>
    </w:p>
    <w:p>
      <w:pPr>
        <w:pStyle w:val="ListBullet"/>
      </w:pPr>
      <w:r>
        <w:t>“Wait until the next visit” after severe-range BP or serious warning symptoms.</w:t>
      </w:r>
    </w:p>
    <w:p>
      <w:pPr>
        <w:pStyle w:val="ListBullet"/>
      </w:pPr>
      <w:r>
        <w:t>“High risk score: 82%” without a validated prediction model and appropriate validation population.</w:t>
      </w:r>
    </w:p>
    <w:p>
      <w:pPr>
        <w:pStyle w:val="Heading1"/>
      </w:pPr>
      <w:r>
        <w:t>11. Database and Interface Requirements</w:t>
      </w:r>
    </w:p>
    <w:p>
      <w:pPr>
        <w:pStyle w:val="Heading2"/>
      </w:pPr>
      <w:r>
        <w:t>11.1 Minimum Blood-Pressure Observation Fields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tcPr>
          <w:p>
            <w:pPr>
              <w:pStyle w:val="TableText"/>
            </w:pPr>
            <w:r>
              <w:rPr>
                <w:b/>
              </w:rPr>
              <w:t>Field</w:t>
            </w:r>
          </w:p>
        </w:tc>
        <w:tc>
          <w:tcPr>
            <w:tcW w:type="dxa" w:w="3024"/>
            <w:shd w:fill="D9EAF7"/>
          </w:tcPr>
          <w:p>
            <w:pPr>
              <w:pStyle w:val="TableText"/>
            </w:pPr>
            <w:r>
              <w:rPr>
                <w:b/>
              </w:rPr>
              <w:t>Type/example</w:t>
            </w:r>
          </w:p>
        </w:tc>
        <w:tc>
          <w:tcPr>
            <w:tcW w:type="dxa" w:w="5040"/>
            <w:shd w:fill="D9EAF7"/>
          </w:tcPr>
          <w:p>
            <w:pPr>
              <w:pStyle w:val="TableText"/>
            </w:pPr>
            <w:r>
              <w:rPr>
                <w:b/>
              </w:rPr>
              <w:t>Purpose</w:t>
            </w:r>
          </w:p>
        </w:tc>
      </w:tr>
      <w:tr>
        <w:tc>
          <w:tcPr>
            <w:tcW w:type="dxa" w:w="2880"/>
            <w:vAlign w:val="top"/>
          </w:tcPr>
          <w:p>
            <w:pPr>
              <w:pStyle w:val="TableText"/>
            </w:pPr>
            <w:r>
              <w:t>systolic_bp</w:t>
            </w:r>
          </w:p>
        </w:tc>
        <w:tc>
          <w:tcPr>
            <w:tcW w:type="dxa" w:w="3024"/>
            <w:vAlign w:val="top"/>
          </w:tcPr>
          <w:p>
            <w:pPr>
              <w:pStyle w:val="TableText"/>
            </w:pPr>
            <w:r>
              <w:t>Integer, mmHg</w:t>
            </w:r>
          </w:p>
        </w:tc>
        <w:tc>
          <w:tcPr>
            <w:tcW w:type="dxa" w:w="5040"/>
            <w:vAlign w:val="top"/>
          </w:tcPr>
          <w:p>
            <w:pPr>
              <w:pStyle w:val="TableText"/>
            </w:pPr>
            <w:r>
              <w:t>Independent validation and threshold logic.</w:t>
            </w:r>
          </w:p>
        </w:tc>
      </w:tr>
      <w:tr>
        <w:tc>
          <w:tcPr>
            <w:tcW w:type="dxa" w:w="2880"/>
            <w:vAlign w:val="top"/>
          </w:tcPr>
          <w:p>
            <w:pPr>
              <w:pStyle w:val="TableText"/>
            </w:pPr>
            <w:r>
              <w:t>diastolic_bp</w:t>
            </w:r>
          </w:p>
        </w:tc>
        <w:tc>
          <w:tcPr>
            <w:tcW w:type="dxa" w:w="3024"/>
            <w:vAlign w:val="top"/>
          </w:tcPr>
          <w:p>
            <w:pPr>
              <w:pStyle w:val="TableText"/>
            </w:pPr>
            <w:r>
              <w:t>Integer, mmHg</w:t>
            </w:r>
          </w:p>
        </w:tc>
        <w:tc>
          <w:tcPr>
            <w:tcW w:type="dxa" w:w="5040"/>
            <w:vAlign w:val="top"/>
          </w:tcPr>
          <w:p>
            <w:pPr>
              <w:pStyle w:val="TableText"/>
            </w:pPr>
            <w:r>
              <w:t>Independent validation and threshold logic.</w:t>
            </w:r>
          </w:p>
        </w:tc>
      </w:tr>
      <w:tr>
        <w:tc>
          <w:tcPr>
            <w:tcW w:type="dxa" w:w="2880"/>
            <w:vAlign w:val="top"/>
          </w:tcPr>
          <w:p>
            <w:pPr>
              <w:pStyle w:val="TableText"/>
            </w:pPr>
            <w:r>
              <w:t>measured_at</w:t>
            </w:r>
          </w:p>
        </w:tc>
        <w:tc>
          <w:tcPr>
            <w:tcW w:type="dxa" w:w="3024"/>
            <w:vAlign w:val="top"/>
          </w:tcPr>
          <w:p>
            <w:pPr>
              <w:pStyle w:val="TableText"/>
            </w:pPr>
            <w:r>
              <w:t>Date-time</w:t>
            </w:r>
          </w:p>
        </w:tc>
        <w:tc>
          <w:tcPr>
            <w:tcW w:type="dxa" w:w="5040"/>
            <w:vAlign w:val="top"/>
          </w:tcPr>
          <w:p>
            <w:pPr>
              <w:pStyle w:val="TableText"/>
            </w:pPr>
            <w:r>
              <w:t>Sequence, persistence, trend and urgency.</w:t>
            </w:r>
          </w:p>
        </w:tc>
      </w:tr>
      <w:tr>
        <w:tc>
          <w:tcPr>
            <w:tcW w:type="dxa" w:w="2880"/>
            <w:vAlign w:val="top"/>
          </w:tcPr>
          <w:p>
            <w:pPr>
              <w:pStyle w:val="TableText"/>
            </w:pPr>
            <w:r>
              <w:t>gestational_age_at_measurement</w:t>
            </w:r>
          </w:p>
        </w:tc>
        <w:tc>
          <w:tcPr>
            <w:tcW w:type="dxa" w:w="3024"/>
            <w:vAlign w:val="top"/>
          </w:tcPr>
          <w:p>
            <w:pPr>
              <w:pStyle w:val="TableText"/>
            </w:pPr>
            <w:r>
              <w:t>Derived weeks/days plus source</w:t>
            </w:r>
          </w:p>
        </w:tc>
        <w:tc>
          <w:tcPr>
            <w:tcW w:type="dxa" w:w="5040"/>
            <w:vAlign w:val="top"/>
          </w:tcPr>
          <w:p>
            <w:pPr>
              <w:pStyle w:val="TableText"/>
            </w:pPr>
            <w:r>
              <w:t>Links timing to hypertensive classification while preserving dating uncertainty.</w:t>
            </w:r>
          </w:p>
        </w:tc>
      </w:tr>
      <w:tr>
        <w:tc>
          <w:tcPr>
            <w:tcW w:type="dxa" w:w="2880"/>
            <w:vAlign w:val="top"/>
          </w:tcPr>
          <w:p>
            <w:pPr>
              <w:pStyle w:val="TableText"/>
            </w:pPr>
            <w:r>
              <w:t>arm_used</w:t>
            </w:r>
          </w:p>
        </w:tc>
        <w:tc>
          <w:tcPr>
            <w:tcW w:type="dxa" w:w="3024"/>
            <w:vAlign w:val="top"/>
          </w:tcPr>
          <w:p>
            <w:pPr>
              <w:pStyle w:val="TableText"/>
            </w:pPr>
            <w:r>
              <w:t>Left/right/both initially</w:t>
            </w:r>
          </w:p>
        </w:tc>
        <w:tc>
          <w:tcPr>
            <w:tcW w:type="dxa" w:w="5040"/>
            <w:vAlign w:val="top"/>
          </w:tcPr>
          <w:p>
            <w:pPr>
              <w:pStyle w:val="TableText"/>
            </w:pPr>
            <w:r>
              <w:t>Measurement traceability.</w:t>
            </w:r>
          </w:p>
        </w:tc>
      </w:tr>
      <w:tr>
        <w:tc>
          <w:tcPr>
            <w:tcW w:type="dxa" w:w="2880"/>
            <w:vAlign w:val="top"/>
          </w:tcPr>
          <w:p>
            <w:pPr>
              <w:pStyle w:val="TableText"/>
            </w:pPr>
            <w:r>
              <w:t>patient_position</w:t>
            </w:r>
          </w:p>
        </w:tc>
        <w:tc>
          <w:tcPr>
            <w:tcW w:type="dxa" w:w="3024"/>
            <w:vAlign w:val="top"/>
          </w:tcPr>
          <w:p>
            <w:pPr>
              <w:pStyle w:val="TableText"/>
            </w:pPr>
            <w:r>
              <w:t>Seated/other + reason</w:t>
            </w:r>
          </w:p>
        </w:tc>
        <w:tc>
          <w:tcPr>
            <w:tcW w:type="dxa" w:w="5040"/>
            <w:vAlign w:val="top"/>
          </w:tcPr>
          <w:p>
            <w:pPr>
              <w:pStyle w:val="TableText"/>
            </w:pPr>
            <w:r>
              <w:t>Quality assessment.</w:t>
            </w:r>
          </w:p>
        </w:tc>
      </w:tr>
      <w:tr>
        <w:tc>
          <w:tcPr>
            <w:tcW w:type="dxa" w:w="2880"/>
            <w:vAlign w:val="top"/>
          </w:tcPr>
          <w:p>
            <w:pPr>
              <w:pStyle w:val="TableText"/>
            </w:pPr>
            <w:r>
              <w:t>cuff_size or arm_circumference</w:t>
            </w:r>
          </w:p>
        </w:tc>
        <w:tc>
          <w:tcPr>
            <w:tcW w:type="dxa" w:w="3024"/>
            <w:vAlign w:val="top"/>
          </w:tcPr>
          <w:p>
            <w:pPr>
              <w:pStyle w:val="TableText"/>
            </w:pPr>
            <w:r>
              <w:t>Structured</w:t>
            </w:r>
          </w:p>
        </w:tc>
        <w:tc>
          <w:tcPr>
            <w:tcW w:type="dxa" w:w="5040"/>
            <w:vAlign w:val="top"/>
          </w:tcPr>
          <w:p>
            <w:pPr>
              <w:pStyle w:val="TableText"/>
            </w:pPr>
            <w:r>
              <w:t>Prevents one-size cuff assumptions.</w:t>
            </w:r>
          </w:p>
        </w:tc>
      </w:tr>
      <w:tr>
        <w:tc>
          <w:tcPr>
            <w:tcW w:type="dxa" w:w="2880"/>
            <w:vAlign w:val="top"/>
          </w:tcPr>
          <w:p>
            <w:pPr>
              <w:pStyle w:val="TableText"/>
            </w:pPr>
            <w:r>
              <w:t>device_id</w:t>
            </w:r>
          </w:p>
        </w:tc>
        <w:tc>
          <w:tcPr>
            <w:tcW w:type="dxa" w:w="3024"/>
            <w:vAlign w:val="top"/>
          </w:tcPr>
          <w:p>
            <w:pPr>
              <w:pStyle w:val="TableText"/>
            </w:pPr>
            <w:r>
              <w:t>Approved device reference</w:t>
            </w:r>
          </w:p>
        </w:tc>
        <w:tc>
          <w:tcPr>
            <w:tcW w:type="dxa" w:w="5040"/>
            <w:vAlign w:val="top"/>
          </w:tcPr>
          <w:p>
            <w:pPr>
              <w:pStyle w:val="TableText"/>
            </w:pPr>
            <w:r>
              <w:t>Validation, calibration and audit.</w:t>
            </w:r>
          </w:p>
        </w:tc>
      </w:tr>
      <w:tr>
        <w:tc>
          <w:tcPr>
            <w:tcW w:type="dxa" w:w="2880"/>
            <w:vAlign w:val="top"/>
          </w:tcPr>
          <w:p>
            <w:pPr>
              <w:pStyle w:val="TableText"/>
            </w:pPr>
            <w:r>
              <w:t>operator_id</w:t>
            </w:r>
          </w:p>
        </w:tc>
        <w:tc>
          <w:tcPr>
            <w:tcW w:type="dxa" w:w="3024"/>
            <w:vAlign w:val="top"/>
          </w:tcPr>
          <w:p>
            <w:pPr>
              <w:pStyle w:val="TableText"/>
            </w:pPr>
            <w:r>
              <w:t>User reference</w:t>
            </w:r>
          </w:p>
        </w:tc>
        <w:tc>
          <w:tcPr>
            <w:tcW w:type="dxa" w:w="5040"/>
            <w:vAlign w:val="top"/>
          </w:tcPr>
          <w:p>
            <w:pPr>
              <w:pStyle w:val="TableText"/>
            </w:pPr>
            <w:r>
              <w:t>Accountability and training audit.</w:t>
            </w:r>
          </w:p>
        </w:tc>
      </w:tr>
      <w:tr>
        <w:tc>
          <w:tcPr>
            <w:tcW w:type="dxa" w:w="2880"/>
            <w:vAlign w:val="top"/>
          </w:tcPr>
          <w:p>
            <w:pPr>
              <w:pStyle w:val="TableText"/>
            </w:pPr>
            <w:r>
              <w:t>is_repeat_of</w:t>
            </w:r>
          </w:p>
        </w:tc>
        <w:tc>
          <w:tcPr>
            <w:tcW w:type="dxa" w:w="3024"/>
            <w:vAlign w:val="top"/>
          </w:tcPr>
          <w:p>
            <w:pPr>
              <w:pStyle w:val="TableText"/>
            </w:pPr>
            <w:r>
              <w:t>Observation reference</w:t>
            </w:r>
          </w:p>
        </w:tc>
        <w:tc>
          <w:tcPr>
            <w:tcW w:type="dxa" w:w="5040"/>
            <w:vAlign w:val="top"/>
          </w:tcPr>
          <w:p>
            <w:pPr>
              <w:pStyle w:val="TableText"/>
            </w:pPr>
            <w:r>
              <w:t>Links repeat without overwriting original.</w:t>
            </w:r>
          </w:p>
        </w:tc>
      </w:tr>
      <w:tr>
        <w:tc>
          <w:tcPr>
            <w:tcW w:type="dxa" w:w="2880"/>
            <w:vAlign w:val="top"/>
          </w:tcPr>
          <w:p>
            <w:pPr>
              <w:pStyle w:val="TableText"/>
            </w:pPr>
            <w:r>
              <w:t>measurement_quality_status</w:t>
            </w:r>
          </w:p>
        </w:tc>
        <w:tc>
          <w:tcPr>
            <w:tcW w:type="dxa" w:w="3024"/>
            <w:vAlign w:val="top"/>
          </w:tcPr>
          <w:p>
            <w:pPr>
              <w:pStyle w:val="TableText"/>
            </w:pPr>
            <w:r>
              <w:t>Verified/limited/invalid</w:t>
            </w:r>
          </w:p>
        </w:tc>
        <w:tc>
          <w:tcPr>
            <w:tcW w:type="dxa" w:w="5040"/>
            <w:vAlign w:val="top"/>
          </w:tcPr>
          <w:p>
            <w:pPr>
              <w:pStyle w:val="TableText"/>
            </w:pPr>
            <w:r>
              <w:t>Stops invalid data from becoming a clinical rule.</w:t>
            </w:r>
          </w:p>
        </w:tc>
      </w:tr>
      <w:tr>
        <w:tc>
          <w:tcPr>
            <w:tcW w:type="dxa" w:w="2880"/>
            <w:vAlign w:val="top"/>
          </w:tcPr>
          <w:p>
            <w:pPr>
              <w:pStyle w:val="TableText"/>
            </w:pPr>
            <w:r>
              <w:t>symptom_assessment_id</w:t>
            </w:r>
          </w:p>
        </w:tc>
        <w:tc>
          <w:tcPr>
            <w:tcW w:type="dxa" w:w="3024"/>
            <w:vAlign w:val="top"/>
          </w:tcPr>
          <w:p>
            <w:pPr>
              <w:pStyle w:val="TableText"/>
            </w:pPr>
            <w:r>
              <w:t>Linked structured assessment</w:t>
            </w:r>
          </w:p>
        </w:tc>
        <w:tc>
          <w:tcPr>
            <w:tcW w:type="dxa" w:w="5040"/>
            <w:vAlign w:val="top"/>
          </w:tcPr>
          <w:p>
            <w:pPr>
              <w:pStyle w:val="TableText"/>
            </w:pPr>
            <w:r>
              <w:t>Ensures symptom overrides are evaluated.</w:t>
            </w:r>
          </w:p>
        </w:tc>
      </w:tr>
      <w:tr>
        <w:tc>
          <w:tcPr>
            <w:tcW w:type="dxa" w:w="2880"/>
            <w:vAlign w:val="top"/>
          </w:tcPr>
          <w:p>
            <w:pPr>
              <w:pStyle w:val="TableText"/>
            </w:pPr>
            <w:r>
              <w:t>action_taken</w:t>
            </w:r>
          </w:p>
        </w:tc>
        <w:tc>
          <w:tcPr>
            <w:tcW w:type="dxa" w:w="3024"/>
            <w:vAlign w:val="top"/>
          </w:tcPr>
          <w:p>
            <w:pPr>
              <w:pStyle w:val="TableText"/>
            </w:pPr>
            <w:r>
              <w:t>Repeat/review/referral/emergency</w:t>
            </w:r>
          </w:p>
        </w:tc>
        <w:tc>
          <w:tcPr>
            <w:tcW w:type="dxa" w:w="5040"/>
            <w:vAlign w:val="top"/>
          </w:tcPr>
          <w:p>
            <w:pPr>
              <w:pStyle w:val="TableText"/>
            </w:pPr>
            <w:r>
              <w:t>Closes the decision-support loop.</w:t>
            </w:r>
          </w:p>
        </w:tc>
      </w:tr>
      <w:tr>
        <w:tc>
          <w:tcPr>
            <w:tcW w:type="dxa" w:w="2880"/>
            <w:vAlign w:val="top"/>
          </w:tcPr>
          <w:p>
            <w:pPr>
              <w:pStyle w:val="TableText"/>
            </w:pPr>
            <w:r>
              <w:t>referral_status and handover time</w:t>
            </w:r>
          </w:p>
        </w:tc>
        <w:tc>
          <w:tcPr>
            <w:tcW w:type="dxa" w:w="3024"/>
            <w:vAlign w:val="top"/>
          </w:tcPr>
          <w:p>
            <w:pPr>
              <w:pStyle w:val="TableText"/>
            </w:pPr>
            <w:r>
              <w:t>Structured workflow</w:t>
            </w:r>
          </w:p>
        </w:tc>
        <w:tc>
          <w:tcPr>
            <w:tcW w:type="dxa" w:w="5040"/>
            <w:vAlign w:val="top"/>
          </w:tcPr>
          <w:p>
            <w:pPr>
              <w:pStyle w:val="TableText"/>
            </w:pPr>
            <w:r>
              <w:t>Tracks whether the recommendation produced follow-up.</w:t>
            </w:r>
          </w:p>
        </w:tc>
      </w:tr>
    </w:tbl>
    <w:p/>
    <w:p>
      <w:pPr>
        <w:pStyle w:val="Heading2"/>
      </w:pPr>
      <w:r>
        <w:t>11.2 Fields That Should Not Be Simple Booleans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tcPr>
          <w:p>
            <w:pPr>
              <w:pStyle w:val="TableText"/>
            </w:pPr>
            <w:r>
              <w:rPr>
                <w:b/>
              </w:rPr>
              <w:t>Current/simple field</w:t>
            </w:r>
          </w:p>
        </w:tc>
        <w:tc>
          <w:tcPr>
            <w:tcW w:type="dxa" w:w="3744"/>
            <w:shd w:fill="D9EAF7"/>
          </w:tcPr>
          <w:p>
            <w:pPr>
              <w:pStyle w:val="TableText"/>
            </w:pPr>
            <w:r>
              <w:rPr>
                <w:b/>
              </w:rPr>
              <w:t>Problem</w:t>
            </w:r>
          </w:p>
        </w:tc>
        <w:tc>
          <w:tcPr>
            <w:tcW w:type="dxa" w:w="4320"/>
            <w:shd w:fill="D9EAF7"/>
          </w:tcPr>
          <w:p>
            <w:pPr>
              <w:pStyle w:val="TableText"/>
            </w:pPr>
            <w:r>
              <w:rPr>
                <w:b/>
              </w:rPr>
              <w:t>Improved representation</w:t>
            </w:r>
          </w:p>
        </w:tc>
      </w:tr>
      <w:tr>
        <w:tc>
          <w:tcPr>
            <w:tcW w:type="dxa" w:w="2880"/>
            <w:vAlign w:val="top"/>
          </w:tcPr>
          <w:p>
            <w:pPr>
              <w:pStyle w:val="TableText"/>
            </w:pPr>
            <w:r>
              <w:t>hypertension = yes/no</w:t>
            </w:r>
          </w:p>
        </w:tc>
        <w:tc>
          <w:tcPr>
            <w:tcW w:type="dxa" w:w="3744"/>
            <w:vAlign w:val="top"/>
          </w:tcPr>
          <w:p>
            <w:pPr>
              <w:pStyle w:val="TableText"/>
            </w:pPr>
            <w:r>
              <w:t>Does not distinguish history, suspected finding, confirmed diagnosis, timing, treatment or control.</w:t>
            </w:r>
          </w:p>
        </w:tc>
        <w:tc>
          <w:tcPr>
            <w:tcW w:type="dxa" w:w="4320"/>
            <w:vAlign w:val="top"/>
          </w:tcPr>
          <w:p>
            <w:pPr>
              <w:pStyle w:val="TableText"/>
            </w:pPr>
            <w:r>
              <w:t>Separate documented diagnosis, diagnosis source/date, pregnancy timing, current treatment, and BP observations.</w:t>
            </w:r>
          </w:p>
        </w:tc>
      </w:tr>
      <w:tr>
        <w:tc>
          <w:tcPr>
            <w:tcW w:type="dxa" w:w="2880"/>
            <w:vAlign w:val="top"/>
          </w:tcPr>
          <w:p>
            <w:pPr>
              <w:pStyle w:val="TableText"/>
            </w:pPr>
            <w:r>
              <w:t>severe_headache = yes/no</w:t>
            </w:r>
          </w:p>
        </w:tc>
        <w:tc>
          <w:tcPr>
            <w:tcW w:type="dxa" w:w="3744"/>
            <w:vAlign w:val="top"/>
          </w:tcPr>
          <w:p>
            <w:pPr>
              <w:pStyle w:val="TableText"/>
            </w:pPr>
            <w:r>
              <w:t>No onset, severity, persistence, current status or associated symptoms.</w:t>
            </w:r>
          </w:p>
        </w:tc>
        <w:tc>
          <w:tcPr>
            <w:tcW w:type="dxa" w:w="4320"/>
            <w:vAlign w:val="top"/>
          </w:tcPr>
          <w:p>
            <w:pPr>
              <w:pStyle w:val="TableText"/>
            </w:pPr>
            <w:r>
              <w:t>Structured symptom with onset, severity, persistence, current status and action.</w:t>
            </w:r>
          </w:p>
        </w:tc>
      </w:tr>
      <w:tr>
        <w:tc>
          <w:tcPr>
            <w:tcW w:type="dxa" w:w="2880"/>
            <w:vAlign w:val="top"/>
          </w:tcPr>
          <w:p>
            <w:pPr>
              <w:pStyle w:val="TableText"/>
            </w:pPr>
            <w:r>
              <w:t>visual_disturbance = yes/no</w:t>
            </w:r>
          </w:p>
        </w:tc>
        <w:tc>
          <w:tcPr>
            <w:tcW w:type="dxa" w:w="3744"/>
            <w:vAlign w:val="top"/>
          </w:tcPr>
          <w:p>
            <w:pPr>
              <w:pStyle w:val="TableText"/>
            </w:pPr>
            <w:r>
              <w:t>No description or urgency context.</w:t>
            </w:r>
          </w:p>
        </w:tc>
        <w:tc>
          <w:tcPr>
            <w:tcW w:type="dxa" w:w="4320"/>
            <w:vAlign w:val="top"/>
          </w:tcPr>
          <w:p>
            <w:pPr>
              <w:pStyle w:val="TableText"/>
            </w:pPr>
            <w:r>
              <w:t>Structured current symptom and urgent assessment status.</w:t>
            </w:r>
          </w:p>
        </w:tc>
      </w:tr>
      <w:tr>
        <w:tc>
          <w:tcPr>
            <w:tcW w:type="dxa" w:w="2880"/>
            <w:vAlign w:val="top"/>
          </w:tcPr>
          <w:p>
            <w:pPr>
              <w:pStyle w:val="TableText"/>
            </w:pPr>
            <w:r>
              <w:t>proteinuria = yes/no</w:t>
            </w:r>
          </w:p>
        </w:tc>
        <w:tc>
          <w:tcPr>
            <w:tcW w:type="dxa" w:w="3744"/>
            <w:vAlign w:val="top"/>
          </w:tcPr>
          <w:p>
            <w:pPr>
              <w:pStyle w:val="TableText"/>
            </w:pPr>
            <w:r>
              <w:t>Test method, amount, date and reliability are lost.</w:t>
            </w:r>
          </w:p>
        </w:tc>
        <w:tc>
          <w:tcPr>
            <w:tcW w:type="dxa" w:w="4320"/>
            <w:vAlign w:val="top"/>
          </w:tcPr>
          <w:p>
            <w:pPr>
              <w:pStyle w:val="TableText"/>
            </w:pPr>
            <w:r>
              <w:t>Store test type, result, unit/category, time, specimen and source.</w:t>
            </w:r>
          </w:p>
        </w:tc>
      </w:tr>
      <w:tr>
        <w:tc>
          <w:tcPr>
            <w:tcW w:type="dxa" w:w="2880"/>
            <w:vAlign w:val="top"/>
          </w:tcPr>
          <w:p>
            <w:pPr>
              <w:pStyle w:val="TableText"/>
            </w:pPr>
            <w:r>
              <w:t>recommendation text only</w:t>
            </w:r>
          </w:p>
        </w:tc>
        <w:tc>
          <w:tcPr>
            <w:tcW w:type="dxa" w:w="3744"/>
            <w:vAlign w:val="top"/>
          </w:tcPr>
          <w:p>
            <w:pPr>
              <w:pStyle w:val="TableText"/>
            </w:pPr>
            <w:r>
              <w:t>Cannot audit whether referral occurred.</w:t>
            </w:r>
          </w:p>
        </w:tc>
        <w:tc>
          <w:tcPr>
            <w:tcW w:type="dxa" w:w="4320"/>
            <w:vAlign w:val="top"/>
          </w:tcPr>
          <w:p>
            <w:pPr>
              <w:pStyle w:val="TableText"/>
            </w:pPr>
            <w:r>
              <w:t>Structured action category plus narrative explanation and outcome.</w:t>
            </w:r>
          </w:p>
        </w:tc>
      </w:tr>
    </w:tbl>
    <w:p/>
    <w:p>
      <w:pPr>
        <w:pStyle w:val="Heading1"/>
      </w:pPr>
      <w:r>
        <w:t>12. Proposed Workflow</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9EAF7"/>
          </w:tcPr>
          <w:p>
            <w:pPr>
              <w:pStyle w:val="TableText"/>
            </w:pPr>
            <w:r>
              <w:rPr>
                <w:b/>
              </w:rPr>
              <w:t>Stage</w:t>
            </w:r>
          </w:p>
        </w:tc>
        <w:tc>
          <w:tcPr>
            <w:tcW w:type="dxa" w:w="8064"/>
            <w:shd w:fill="D9EAF7"/>
          </w:tcPr>
          <w:p>
            <w:pPr>
              <w:pStyle w:val="TableText"/>
            </w:pPr>
            <w:r>
              <w:rPr>
                <w:b/>
              </w:rPr>
              <w:t>System behavior</w:t>
            </w:r>
          </w:p>
        </w:tc>
      </w:tr>
      <w:tr>
        <w:tc>
          <w:tcPr>
            <w:tcW w:type="dxa" w:w="2880"/>
            <w:vAlign w:val="top"/>
          </w:tcPr>
          <w:p>
            <w:pPr>
              <w:pStyle w:val="TableText"/>
            </w:pPr>
            <w:r>
              <w:t>Registration/booking</w:t>
            </w:r>
          </w:p>
        </w:tc>
        <w:tc>
          <w:tcPr>
            <w:tcW w:type="dxa" w:w="8064"/>
            <w:vAlign w:val="top"/>
          </w:tcPr>
          <w:p>
            <w:pPr>
              <w:pStyle w:val="TableText"/>
            </w:pPr>
            <w:r>
              <w:t>Record verified history of chronic hypertension, prior hypertensive pregnancy, medications, kidney disease, diabetes and prior referral plan.</w:t>
            </w:r>
          </w:p>
        </w:tc>
      </w:tr>
      <w:tr>
        <w:tc>
          <w:tcPr>
            <w:tcW w:type="dxa" w:w="2880"/>
            <w:vAlign w:val="top"/>
          </w:tcPr>
          <w:p>
            <w:pPr>
              <w:pStyle w:val="TableText"/>
            </w:pPr>
            <w:r>
              <w:t>Every prenatal contact</w:t>
            </w:r>
          </w:p>
        </w:tc>
        <w:tc>
          <w:tcPr>
            <w:tcW w:type="dxa" w:w="8064"/>
            <w:vAlign w:val="top"/>
          </w:tcPr>
          <w:p>
            <w:pPr>
              <w:pStyle w:val="TableText"/>
            </w:pPr>
            <w:r>
              <w:t>Require BP observation or explicit reason not measured; WHO quality indicator supports BP at each contact.</w:t>
            </w:r>
          </w:p>
        </w:tc>
      </w:tr>
      <w:tr>
        <w:tc>
          <w:tcPr>
            <w:tcW w:type="dxa" w:w="2880"/>
            <w:vAlign w:val="top"/>
          </w:tcPr>
          <w:p>
            <w:pPr>
              <w:pStyle w:val="TableText"/>
            </w:pPr>
            <w:r>
              <w:t>On data entry</w:t>
            </w:r>
          </w:p>
        </w:tc>
        <w:tc>
          <w:tcPr>
            <w:tcW w:type="dxa" w:w="8064"/>
            <w:vAlign w:val="top"/>
          </w:tcPr>
          <w:p>
            <w:pPr>
              <w:pStyle w:val="TableText"/>
            </w:pPr>
            <w:r>
              <w:t>Validate numbers, units, relationship between systolic and diastolic, device/technique data and gestational timing.</w:t>
            </w:r>
          </w:p>
        </w:tc>
      </w:tr>
      <w:tr>
        <w:tc>
          <w:tcPr>
            <w:tcW w:type="dxa" w:w="2880"/>
            <w:vAlign w:val="top"/>
          </w:tcPr>
          <w:p>
            <w:pPr>
              <w:pStyle w:val="TableText"/>
            </w:pPr>
            <w:r>
              <w:t>Before scoring</w:t>
            </w:r>
          </w:p>
        </w:tc>
        <w:tc>
          <w:tcPr>
            <w:tcW w:type="dxa" w:w="8064"/>
            <w:vAlign w:val="top"/>
          </w:tcPr>
          <w:p>
            <w:pPr>
              <w:pStyle w:val="TableText"/>
            </w:pPr>
            <w:r>
              <w:t>Run emergency and symptom overrides first.</w:t>
            </w:r>
          </w:p>
        </w:tc>
      </w:tr>
      <w:tr>
        <w:tc>
          <w:tcPr>
            <w:tcW w:type="dxa" w:w="2880"/>
            <w:vAlign w:val="top"/>
          </w:tcPr>
          <w:p>
            <w:pPr>
              <w:pStyle w:val="TableText"/>
            </w:pPr>
            <w:r>
              <w:t>If non-severe high reading</w:t>
            </w:r>
          </w:p>
        </w:tc>
        <w:tc>
          <w:tcPr>
            <w:tcW w:type="dxa" w:w="8064"/>
            <w:vAlign w:val="top"/>
          </w:tcPr>
          <w:p>
            <w:pPr>
              <w:pStyle w:val="TableText"/>
            </w:pPr>
            <w:r>
              <w:t>Prompt correct repeat and qualified review; preserve both readings.</w:t>
            </w:r>
          </w:p>
        </w:tc>
      </w:tr>
      <w:tr>
        <w:tc>
          <w:tcPr>
            <w:tcW w:type="dxa" w:w="2880"/>
            <w:vAlign w:val="top"/>
          </w:tcPr>
          <w:p>
            <w:pPr>
              <w:pStyle w:val="TableText"/>
            </w:pPr>
            <w:r>
              <w:t>If severe range or unstable</w:t>
            </w:r>
          </w:p>
        </w:tc>
        <w:tc>
          <w:tcPr>
            <w:tcW w:type="dxa" w:w="8064"/>
            <w:vAlign w:val="top"/>
          </w:tcPr>
          <w:p>
            <w:pPr>
              <w:pStyle w:val="TableText"/>
            </w:pPr>
            <w:r>
              <w:t>Display emergency workflow immediately; allow minimal rapid documentation and later completion.</w:t>
            </w:r>
          </w:p>
        </w:tc>
      </w:tr>
      <w:tr>
        <w:tc>
          <w:tcPr>
            <w:tcW w:type="dxa" w:w="2880"/>
            <w:vAlign w:val="top"/>
          </w:tcPr>
          <w:p>
            <w:pPr>
              <w:pStyle w:val="TableText"/>
            </w:pPr>
            <w:r>
              <w:t>Referral handover</w:t>
            </w:r>
          </w:p>
        </w:tc>
        <w:tc>
          <w:tcPr>
            <w:tcW w:type="dxa" w:w="8064"/>
            <w:vAlign w:val="top"/>
          </w:tcPr>
          <w:p>
            <w:pPr>
              <w:pStyle w:val="TableText"/>
            </w:pPr>
            <w:r>
              <w:t>Generate concise handover: demographics, gestational age, BP sequence/times, symptoms, history, relevant records, action taken and destination.</w:t>
            </w:r>
          </w:p>
        </w:tc>
      </w:tr>
      <w:tr>
        <w:tc>
          <w:tcPr>
            <w:tcW w:type="dxa" w:w="2880"/>
            <w:vAlign w:val="top"/>
          </w:tcPr>
          <w:p>
            <w:pPr>
              <w:pStyle w:val="TableText"/>
            </w:pPr>
            <w:r>
              <w:t>After referral</w:t>
            </w:r>
          </w:p>
        </w:tc>
        <w:tc>
          <w:tcPr>
            <w:tcW w:type="dxa" w:w="8064"/>
            <w:vAlign w:val="top"/>
          </w:tcPr>
          <w:p>
            <w:pPr>
              <w:pStyle w:val="TableText"/>
            </w:pPr>
            <w:r>
              <w:t>Record acceptance/refusal, receiving facility, transport, departure/arrival if known, and follow-up plan. Refusal does not remove the clinical alert.</w:t>
            </w:r>
          </w:p>
        </w:tc>
      </w:tr>
      <w:tr>
        <w:tc>
          <w:tcPr>
            <w:tcW w:type="dxa" w:w="2880"/>
            <w:vAlign w:val="top"/>
          </w:tcPr>
          <w:p>
            <w:pPr>
              <w:pStyle w:val="TableText"/>
            </w:pPr>
            <w:r>
              <w:t>Knowledge maintenance</w:t>
            </w:r>
          </w:p>
        </w:tc>
        <w:tc>
          <w:tcPr>
            <w:tcW w:type="dxa" w:w="8064"/>
            <w:vAlign w:val="top"/>
          </w:tcPr>
          <w:p>
            <w:pPr>
              <w:pStyle w:val="TableText"/>
            </w:pPr>
            <w:r>
              <w:t>Store rule version, source version, clinical approver and effective date.</w:t>
            </w:r>
          </w:p>
        </w:tc>
      </w:tr>
    </w:tbl>
    <w:p/>
    <w:p>
      <w:pPr>
        <w:pStyle w:val="Heading1"/>
      </w:pPr>
      <w:r>
        <w:t>13. Clinical Safety Test Cases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032"/>
            <w:shd w:fill="D9EAF7"/>
          </w:tcPr>
          <w:p>
            <w:pPr>
              <w:pStyle w:val="TableText"/>
            </w:pPr>
            <w:r>
              <w:rPr>
                <w:b/>
              </w:rPr>
              <w:t>Case</w:t>
            </w:r>
          </w:p>
        </w:tc>
        <w:tc>
          <w:tcPr>
            <w:tcW w:type="dxa" w:w="6912"/>
            <w:shd w:fill="D9EAF7"/>
          </w:tcPr>
          <w:p>
            <w:pPr>
              <w:pStyle w:val="TableText"/>
            </w:pPr>
            <w:r>
              <w:rPr>
                <w:b/>
              </w:rPr>
              <w:t>Expected CDSS behavior</w:t>
            </w:r>
          </w:p>
        </w:tc>
      </w:tr>
      <w:tr>
        <w:tc>
          <w:tcPr>
            <w:tcW w:type="dxa" w:w="4032"/>
            <w:vAlign w:val="top"/>
          </w:tcPr>
          <w:p>
            <w:pPr>
              <w:pStyle w:val="TableText"/>
            </w:pPr>
            <w:r>
              <w:t>BP 118/76, no warning symptoms</w:t>
            </w:r>
          </w:p>
        </w:tc>
        <w:tc>
          <w:tcPr>
            <w:tcW w:type="dxa" w:w="6912"/>
            <w:vAlign w:val="top"/>
          </w:tcPr>
          <w:p>
            <w:pPr>
              <w:pStyle w:val="TableText"/>
            </w:pPr>
            <w:r>
              <w:t>No BP escalation; continue full assessment. Do not output LOW based only on BP.</w:t>
            </w:r>
          </w:p>
        </w:tc>
      </w:tr>
      <w:tr>
        <w:tc>
          <w:tcPr>
            <w:tcW w:type="dxa" w:w="4032"/>
            <w:vAlign w:val="top"/>
          </w:tcPr>
          <w:p>
            <w:pPr>
              <w:pStyle w:val="TableText"/>
            </w:pPr>
            <w:r>
              <w:t>Initial BP 146/94, cuff too small</w:t>
            </w:r>
          </w:p>
        </w:tc>
        <w:tc>
          <w:tcPr>
            <w:tcW w:type="dxa" w:w="6912"/>
            <w:vAlign w:val="top"/>
          </w:tcPr>
          <w:p>
            <w:pPr>
              <w:pStyle w:val="TableText"/>
            </w:pPr>
            <w:r>
              <w:t>Measurement-quality alert; correct cuff and repeat. Preserve first reading.</w:t>
            </w:r>
          </w:p>
        </w:tc>
      </w:tr>
      <w:tr>
        <w:tc>
          <w:tcPr>
            <w:tcW w:type="dxa" w:w="4032"/>
            <w:vAlign w:val="top"/>
          </w:tcPr>
          <w:p>
            <w:pPr>
              <w:pStyle w:val="TableText"/>
            </w:pPr>
            <w:r>
              <w:t>BP 148/96 repeated 20 minutes later at 150/98, 30 weeks, asymptomatic</w:t>
            </w:r>
          </w:p>
        </w:tc>
        <w:tc>
          <w:tcPr>
            <w:tcW w:type="dxa" w:w="6912"/>
            <w:vAlign w:val="top"/>
          </w:tcPr>
          <w:p>
            <w:pPr>
              <w:pStyle w:val="TableText"/>
            </w:pPr>
            <w:r>
              <w:t>Prompt same-day qualified/secondary assessment under clinic pathway; state new hypertension-range readings after 20 weeks.</w:t>
            </w:r>
          </w:p>
        </w:tc>
      </w:tr>
      <w:tr>
        <w:tc>
          <w:tcPr>
            <w:tcW w:type="dxa" w:w="4032"/>
            <w:vAlign w:val="top"/>
          </w:tcPr>
          <w:p>
            <w:pPr>
              <w:pStyle w:val="TableText"/>
            </w:pPr>
            <w:r>
              <w:t>BP 162/108 then 164/110 after prompt repeat</w:t>
            </w:r>
          </w:p>
        </w:tc>
        <w:tc>
          <w:tcPr>
            <w:tcW w:type="dxa" w:w="6912"/>
            <w:vAlign w:val="top"/>
          </w:tcPr>
          <w:p>
            <w:pPr>
              <w:pStyle w:val="TableText"/>
            </w:pPr>
            <w:r>
              <w:t>Severe-range emergency alert because either systolic or diastolic threshold is met. Do not wait for urine/lab results.</w:t>
            </w:r>
          </w:p>
        </w:tc>
      </w:tr>
      <w:tr>
        <w:tc>
          <w:tcPr>
            <w:tcW w:type="dxa" w:w="4032"/>
            <w:vAlign w:val="top"/>
          </w:tcPr>
          <w:p>
            <w:pPr>
              <w:pStyle w:val="TableText"/>
            </w:pPr>
            <w:r>
              <w:t>BP 136/86 with severe headache and visual disturbance</w:t>
            </w:r>
          </w:p>
        </w:tc>
        <w:tc>
          <w:tcPr>
            <w:tcW w:type="dxa" w:w="6912"/>
            <w:vAlign w:val="top"/>
          </w:tcPr>
          <w:p>
            <w:pPr>
              <w:pStyle w:val="TableText"/>
            </w:pPr>
            <w:r>
              <w:t>Symptom override; urgent assessment despite BP below 140/90.</w:t>
            </w:r>
          </w:p>
        </w:tc>
      </w:tr>
      <w:tr>
        <w:tc>
          <w:tcPr>
            <w:tcW w:type="dxa" w:w="4032"/>
            <w:vAlign w:val="top"/>
          </w:tcPr>
          <w:p>
            <w:pPr>
              <w:pStyle w:val="TableText"/>
            </w:pPr>
            <w:r>
              <w:t>BP 145/92 at 14 weeks with no known history</w:t>
            </w:r>
          </w:p>
        </w:tc>
        <w:tc>
          <w:tcPr>
            <w:tcW w:type="dxa" w:w="6912"/>
            <w:vAlign w:val="top"/>
          </w:tcPr>
          <w:p>
            <w:pPr>
              <w:pStyle w:val="TableText"/>
            </w:pPr>
            <w:r>
              <w:t>Recommend medical evaluation for possible pre-existing/chronic hypertension; do not call it gestational hypertension.</w:t>
            </w:r>
          </w:p>
        </w:tc>
      </w:tr>
      <w:tr>
        <w:tc>
          <w:tcPr>
            <w:tcW w:type="dxa" w:w="4032"/>
            <w:vAlign w:val="top"/>
          </w:tcPr>
          <w:p>
            <w:pPr>
              <w:pStyle w:val="TableText"/>
            </w:pPr>
            <w:r>
              <w:t>Known chronic hypertension, current BP 132/84</w:t>
            </w:r>
          </w:p>
        </w:tc>
        <w:tc>
          <w:tcPr>
            <w:tcW w:type="dxa" w:w="6912"/>
            <w:vAlign w:val="top"/>
          </w:tcPr>
          <w:p>
            <w:pPr>
              <w:pStyle w:val="TableText"/>
            </w:pPr>
            <w:r>
              <w:t>Maintain chronic-hypertension care-planning flag; current reading does not erase diagnosis.</w:t>
            </w:r>
          </w:p>
        </w:tc>
      </w:tr>
      <w:tr>
        <w:tc>
          <w:tcPr>
            <w:tcW w:type="dxa" w:w="4032"/>
            <w:vAlign w:val="top"/>
          </w:tcPr>
          <w:p>
            <w:pPr>
              <w:pStyle w:val="TableText"/>
            </w:pPr>
            <w:r>
              <w:t>BP 150/96, proteinuria field missing</w:t>
            </w:r>
          </w:p>
        </w:tc>
        <w:tc>
          <w:tcPr>
            <w:tcW w:type="dxa" w:w="6912"/>
            <w:vAlign w:val="top"/>
          </w:tcPr>
          <w:p>
            <w:pPr>
              <w:pStyle w:val="TableText"/>
            </w:pPr>
            <w:r>
              <w:t>Do not treat missing protein as negative. Recommend assessment based on BP, timing, symptoms and history.</w:t>
            </w:r>
          </w:p>
        </w:tc>
      </w:tr>
      <w:tr>
        <w:tc>
          <w:tcPr>
            <w:tcW w:type="dxa" w:w="4032"/>
            <w:vAlign w:val="top"/>
          </w:tcPr>
          <w:p>
            <w:pPr>
              <w:pStyle w:val="TableText"/>
            </w:pPr>
            <w:r>
              <w:t>BP value entered as 14/9</w:t>
            </w:r>
          </w:p>
        </w:tc>
        <w:tc>
          <w:tcPr>
            <w:tcW w:type="dxa" w:w="6912"/>
            <w:vAlign w:val="top"/>
          </w:tcPr>
          <w:p>
            <w:pPr>
              <w:pStyle w:val="TableText"/>
            </w:pPr>
            <w:r>
              <w:t>Reject ambiguous scale; require mmHg values.</w:t>
            </w:r>
          </w:p>
        </w:tc>
      </w:tr>
      <w:tr>
        <w:tc>
          <w:tcPr>
            <w:tcW w:type="dxa" w:w="4032"/>
            <w:vAlign w:val="top"/>
          </w:tcPr>
          <w:p>
            <w:pPr>
              <w:pStyle w:val="TableText"/>
            </w:pPr>
            <w:r>
              <w:t>Seizure with no BP entered</w:t>
            </w:r>
          </w:p>
        </w:tc>
        <w:tc>
          <w:tcPr>
            <w:tcW w:type="dxa" w:w="6912"/>
            <w:vAlign w:val="top"/>
          </w:tcPr>
          <w:p>
            <w:pPr>
              <w:pStyle w:val="TableText"/>
            </w:pPr>
            <w:r>
              <w:t>Emergency pathway. Missing BP cannot block escalation.</w:t>
            </w:r>
          </w:p>
        </w:tc>
      </w:tr>
      <w:tr>
        <w:tc>
          <w:tcPr>
            <w:tcW w:type="dxa" w:w="4032"/>
            <w:vAlign w:val="top"/>
          </w:tcPr>
          <w:p>
            <w:pPr>
              <w:pStyle w:val="TableText"/>
            </w:pPr>
            <w:r>
              <w:t>Delivered patient, day 4 postpartum, BP 162/112</w:t>
            </w:r>
          </w:p>
        </w:tc>
        <w:tc>
          <w:tcPr>
            <w:tcW w:type="dxa" w:w="6912"/>
            <w:vAlign w:val="top"/>
          </w:tcPr>
          <w:p>
            <w:pPr>
              <w:pStyle w:val="TableText"/>
            </w:pPr>
            <w:r>
              <w:t>Postpartum emergency pathway; delivered/read-only status must not block urgent record and referral.</w:t>
            </w:r>
          </w:p>
        </w:tc>
      </w:tr>
      <w:tr>
        <w:tc>
          <w:tcPr>
            <w:tcW w:type="dxa" w:w="4032"/>
            <w:vAlign w:val="top"/>
          </w:tcPr>
          <w:p>
            <w:pPr>
              <w:pStyle w:val="TableText"/>
            </w:pPr>
            <w:r>
              <w:t>BP 142/90 then 128/82 after repeat</w:t>
            </w:r>
          </w:p>
        </w:tc>
        <w:tc>
          <w:tcPr>
            <w:tcW w:type="dxa" w:w="6912"/>
            <w:vAlign w:val="top"/>
          </w:tcPr>
          <w:p>
            <w:pPr>
              <w:pStyle w:val="TableText"/>
            </w:pPr>
            <w:r>
              <w:t>Show both readings and require professional interpretation; do not silently delete the first or automatically diagnose hypertension.</w:t>
            </w:r>
          </w:p>
        </w:tc>
      </w:tr>
    </w:tbl>
    <w:p/>
    <w:p>
      <w:pPr>
        <w:pStyle w:val="Heading1"/>
      </w:pPr>
      <w:r>
        <w:t>14. Safety Risks and Controls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592"/>
            <w:shd w:fill="D9EAF7"/>
          </w:tcPr>
          <w:p>
            <w:pPr>
              <w:pStyle w:val="TableText"/>
            </w:pPr>
            <w:r>
              <w:rPr>
                <w:b/>
              </w:rPr>
              <w:t>Risk</w:t>
            </w:r>
          </w:p>
        </w:tc>
        <w:tc>
          <w:tcPr>
            <w:tcW w:type="dxa" w:w="3744"/>
            <w:shd w:fill="D9EAF7"/>
          </w:tcPr>
          <w:p>
            <w:pPr>
              <w:pStyle w:val="TableText"/>
            </w:pPr>
            <w:r>
              <w:rPr>
                <w:b/>
              </w:rPr>
              <w:t>Potential harm</w:t>
            </w:r>
          </w:p>
        </w:tc>
        <w:tc>
          <w:tcPr>
            <w:tcW w:type="dxa" w:w="4320"/>
            <w:shd w:fill="D9EAF7"/>
          </w:tcPr>
          <w:p>
            <w:pPr>
              <w:pStyle w:val="TableText"/>
            </w:pPr>
            <w:r>
              <w:rPr>
                <w:b/>
              </w:rPr>
              <w:t>Required control</w:t>
            </w:r>
          </w:p>
        </w:tc>
      </w:tr>
      <w:tr>
        <w:tc>
          <w:tcPr>
            <w:tcW w:type="dxa" w:w="2592"/>
            <w:vAlign w:val="top"/>
          </w:tcPr>
          <w:p>
            <w:pPr>
              <w:pStyle w:val="TableText"/>
            </w:pPr>
            <w:r>
              <w:t>False reassurance from one normal reading</w:t>
            </w:r>
          </w:p>
        </w:tc>
        <w:tc>
          <w:tcPr>
            <w:tcW w:type="dxa" w:w="3744"/>
            <w:vAlign w:val="top"/>
          </w:tcPr>
          <w:p>
            <w:pPr>
              <w:pStyle w:val="TableText"/>
            </w:pPr>
            <w:r>
              <w:t>Missed pre-eclampsia symptoms or chronic disease.</w:t>
            </w:r>
          </w:p>
        </w:tc>
        <w:tc>
          <w:tcPr>
            <w:tcW w:type="dxa" w:w="4320"/>
            <w:vAlign w:val="top"/>
          </w:tcPr>
          <w:p>
            <w:pPr>
              <w:pStyle w:val="TableText"/>
            </w:pPr>
            <w:r>
              <w:t>Symptoms and history evaluated independently; no BP-only LOW result.</w:t>
            </w:r>
          </w:p>
        </w:tc>
      </w:tr>
      <w:tr>
        <w:tc>
          <w:tcPr>
            <w:tcW w:type="dxa" w:w="2592"/>
            <w:vAlign w:val="top"/>
          </w:tcPr>
          <w:p>
            <w:pPr>
              <w:pStyle w:val="TableText"/>
            </w:pPr>
            <w:r>
              <w:t>Over-referral from poor measurement</w:t>
            </w:r>
          </w:p>
        </w:tc>
        <w:tc>
          <w:tcPr>
            <w:tcW w:type="dxa" w:w="3744"/>
            <w:vAlign w:val="top"/>
          </w:tcPr>
          <w:p>
            <w:pPr>
              <w:pStyle w:val="TableText"/>
            </w:pPr>
            <w:r>
              <w:t>Unnecessary transfer, anxiety and resource burden.</w:t>
            </w:r>
          </w:p>
        </w:tc>
        <w:tc>
          <w:tcPr>
            <w:tcW w:type="dxa" w:w="4320"/>
            <w:vAlign w:val="top"/>
          </w:tcPr>
          <w:p>
            <w:pPr>
              <w:pStyle w:val="TableText"/>
            </w:pPr>
            <w:r>
              <w:t>Validated device, correct cuff, standardized technique and repeat process.</w:t>
            </w:r>
          </w:p>
        </w:tc>
      </w:tr>
      <w:tr>
        <w:tc>
          <w:tcPr>
            <w:tcW w:type="dxa" w:w="2592"/>
            <w:vAlign w:val="top"/>
          </w:tcPr>
          <w:p>
            <w:pPr>
              <w:pStyle w:val="TableText"/>
            </w:pPr>
            <w:r>
              <w:t>Under-referral from averaging</w:t>
            </w:r>
          </w:p>
        </w:tc>
        <w:tc>
          <w:tcPr>
            <w:tcW w:type="dxa" w:w="3744"/>
            <w:vAlign w:val="top"/>
          </w:tcPr>
          <w:p>
            <w:pPr>
              <w:pStyle w:val="TableText"/>
            </w:pPr>
            <w:r>
              <w:t>A severe reading may be hidden by later lower values.</w:t>
            </w:r>
          </w:p>
        </w:tc>
        <w:tc>
          <w:tcPr>
            <w:tcW w:type="dxa" w:w="4320"/>
            <w:vAlign w:val="top"/>
          </w:tcPr>
          <w:p>
            <w:pPr>
              <w:pStyle w:val="TableText"/>
            </w:pPr>
            <w:r>
              <w:t>Preserve all values; severe override evaluated on individual readings and persistence.</w:t>
            </w:r>
          </w:p>
        </w:tc>
      </w:tr>
      <w:tr>
        <w:tc>
          <w:tcPr>
            <w:tcW w:type="dxa" w:w="2592"/>
            <w:vAlign w:val="top"/>
          </w:tcPr>
          <w:p>
            <w:pPr>
              <w:pStyle w:val="TableText"/>
            </w:pPr>
            <w:r>
              <w:t>Diagnosis by checkbox</w:t>
            </w:r>
          </w:p>
        </w:tc>
        <w:tc>
          <w:tcPr>
            <w:tcW w:type="dxa" w:w="3744"/>
            <w:vAlign w:val="top"/>
          </w:tcPr>
          <w:p>
            <w:pPr>
              <w:pStyle w:val="TableText"/>
            </w:pPr>
            <w:r>
              <w:t>Incorrect clinical label and inappropriate management.</w:t>
            </w:r>
          </w:p>
        </w:tc>
        <w:tc>
          <w:tcPr>
            <w:tcW w:type="dxa" w:w="4320"/>
            <w:vAlign w:val="top"/>
          </w:tcPr>
          <w:p>
            <w:pPr>
              <w:pStyle w:val="TableText"/>
            </w:pPr>
            <w:r>
              <w:t>Separate observations, documented diagnoses and system inferences.</w:t>
            </w:r>
          </w:p>
        </w:tc>
      </w:tr>
      <w:tr>
        <w:tc>
          <w:tcPr>
            <w:tcW w:type="dxa" w:w="2592"/>
            <w:vAlign w:val="top"/>
          </w:tcPr>
          <w:p>
            <w:pPr>
              <w:pStyle w:val="TableText"/>
            </w:pPr>
            <w:r>
              <w:t>Medication advice outside scope</w:t>
            </w:r>
          </w:p>
        </w:tc>
        <w:tc>
          <w:tcPr>
            <w:tcW w:type="dxa" w:w="3744"/>
            <w:vAlign w:val="top"/>
          </w:tcPr>
          <w:p>
            <w:pPr>
              <w:pStyle w:val="TableText"/>
            </w:pPr>
            <w:r>
              <w:t>Direct patient harm and legal risk.</w:t>
            </w:r>
          </w:p>
        </w:tc>
        <w:tc>
          <w:tcPr>
            <w:tcW w:type="dxa" w:w="4320"/>
            <w:vAlign w:val="top"/>
          </w:tcPr>
          <w:p>
            <w:pPr>
              <w:pStyle w:val="TableText"/>
            </w:pPr>
            <w:r>
              <w:t>No drug selection/dose logic in this CDSS module.</w:t>
            </w:r>
          </w:p>
        </w:tc>
      </w:tr>
      <w:tr>
        <w:tc>
          <w:tcPr>
            <w:tcW w:type="dxa" w:w="2592"/>
            <w:vAlign w:val="top"/>
          </w:tcPr>
          <w:p>
            <w:pPr>
              <w:pStyle w:val="TableText"/>
            </w:pPr>
            <w:r>
              <w:t>Missing protein/labs treated as normal</w:t>
            </w:r>
          </w:p>
        </w:tc>
        <w:tc>
          <w:tcPr>
            <w:tcW w:type="dxa" w:w="3744"/>
            <w:vAlign w:val="top"/>
          </w:tcPr>
          <w:p>
            <w:pPr>
              <w:pStyle w:val="TableText"/>
            </w:pPr>
            <w:r>
              <w:t>Missed severe disease.</w:t>
            </w:r>
          </w:p>
        </w:tc>
        <w:tc>
          <w:tcPr>
            <w:tcW w:type="dxa" w:w="4320"/>
            <w:vAlign w:val="top"/>
          </w:tcPr>
          <w:p>
            <w:pPr>
              <w:pStyle w:val="TableText"/>
            </w:pPr>
            <w:r>
              <w:t>Missing means unavailable/incomplete, never negative.</w:t>
            </w:r>
          </w:p>
        </w:tc>
      </w:tr>
      <w:tr>
        <w:tc>
          <w:tcPr>
            <w:tcW w:type="dxa" w:w="2592"/>
            <w:vAlign w:val="top"/>
          </w:tcPr>
          <w:p>
            <w:pPr>
              <w:pStyle w:val="TableText"/>
            </w:pPr>
            <w:r>
              <w:t>Routine form delays emergency action</w:t>
            </w:r>
          </w:p>
        </w:tc>
        <w:tc>
          <w:tcPr>
            <w:tcW w:type="dxa" w:w="3744"/>
            <w:vAlign w:val="top"/>
          </w:tcPr>
          <w:p>
            <w:pPr>
              <w:pStyle w:val="TableText"/>
            </w:pPr>
            <w:r>
              <w:t>Delayed transfer.</w:t>
            </w:r>
          </w:p>
        </w:tc>
        <w:tc>
          <w:tcPr>
            <w:tcW w:type="dxa" w:w="4320"/>
            <w:vAlign w:val="top"/>
          </w:tcPr>
          <w:p>
            <w:pPr>
              <w:pStyle w:val="TableText"/>
            </w:pPr>
            <w:r>
              <w:t>Emergency UI bypasses nonessential fields and supports rapid handover.</w:t>
            </w:r>
          </w:p>
        </w:tc>
      </w:tr>
      <w:tr>
        <w:tc>
          <w:tcPr>
            <w:tcW w:type="dxa" w:w="2592"/>
            <w:vAlign w:val="top"/>
          </w:tcPr>
          <w:p>
            <w:pPr>
              <w:pStyle w:val="TableText"/>
            </w:pPr>
            <w:r>
              <w:t>Outdated thresholds</w:t>
            </w:r>
          </w:p>
        </w:tc>
        <w:tc>
          <w:tcPr>
            <w:tcW w:type="dxa" w:w="3744"/>
            <w:vAlign w:val="top"/>
          </w:tcPr>
          <w:p>
            <w:pPr>
              <w:pStyle w:val="TableText"/>
            </w:pPr>
            <w:r>
              <w:t>Unsafe or noncompliant advice.</w:t>
            </w:r>
          </w:p>
        </w:tc>
        <w:tc>
          <w:tcPr>
            <w:tcW w:type="dxa" w:w="4320"/>
            <w:vAlign w:val="top"/>
          </w:tcPr>
          <w:p>
            <w:pPr>
              <w:pStyle w:val="TableText"/>
            </w:pPr>
            <w:r>
              <w:t>Versioned knowledge base, scheduled review and clinical sign-off.</w:t>
            </w:r>
          </w:p>
        </w:tc>
      </w:tr>
    </w:tbl>
    <w:p/>
    <w:p>
      <w:pPr>
        <w:pStyle w:val="Heading1"/>
      </w:pPr>
      <w:r>
        <w:t>15. Final Knowledge-Base Classification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600"/>
            <w:shd w:fill="D9EAF7"/>
          </w:tcPr>
          <w:p>
            <w:pPr>
              <w:pStyle w:val="TableText"/>
            </w:pPr>
            <w:r>
              <w:rPr>
                <w:b/>
              </w:rPr>
              <w:t>Property</w:t>
            </w:r>
          </w:p>
        </w:tc>
        <w:tc>
          <w:tcPr>
            <w:tcW w:type="dxa" w:w="7200"/>
            <w:shd w:fill="D9EAF7"/>
          </w:tcPr>
          <w:p>
            <w:pPr>
              <w:pStyle w:val="TableText"/>
            </w:pPr>
            <w:r>
              <w:rPr>
                <w:b/>
              </w:rPr>
              <w:t>Decision</w:t>
            </w:r>
          </w:p>
        </w:tc>
      </w:tr>
      <w:tr>
        <w:tc>
          <w:tcPr>
            <w:tcW w:type="dxa" w:w="3600"/>
            <w:vAlign w:val="top"/>
          </w:tcPr>
          <w:p>
            <w:pPr>
              <w:pStyle w:val="TableText"/>
            </w:pPr>
            <w:r>
              <w:t>Include in CDSS?</w:t>
            </w:r>
          </w:p>
        </w:tc>
        <w:tc>
          <w:tcPr>
            <w:tcW w:type="dxa" w:w="7200"/>
            <w:vAlign w:val="top"/>
          </w:tcPr>
          <w:p>
            <w:pPr>
              <w:pStyle w:val="TableText"/>
            </w:pPr>
            <w:r>
              <w:t>Yes; core factor.</w:t>
            </w:r>
          </w:p>
        </w:tc>
      </w:tr>
      <w:tr>
        <w:tc>
          <w:tcPr>
            <w:tcW w:type="dxa" w:w="3600"/>
            <w:vAlign w:val="top"/>
          </w:tcPr>
          <w:p>
            <w:pPr>
              <w:pStyle w:val="TableText"/>
            </w:pPr>
            <w:r>
              <w:t>Urgent override?</w:t>
            </w:r>
          </w:p>
        </w:tc>
        <w:tc>
          <w:tcPr>
            <w:tcW w:type="dxa" w:w="7200"/>
            <w:vAlign w:val="top"/>
          </w:tcPr>
          <w:p>
            <w:pPr>
              <w:pStyle w:val="TableText"/>
            </w:pPr>
            <w:r>
              <w:t>Yes, for severe-range values and serious symptoms/instability.</w:t>
            </w:r>
          </w:p>
        </w:tc>
      </w:tr>
      <w:tr>
        <w:tc>
          <w:tcPr>
            <w:tcW w:type="dxa" w:w="3600"/>
            <w:vAlign w:val="top"/>
          </w:tcPr>
          <w:p>
            <w:pPr>
              <w:pStyle w:val="TableText"/>
            </w:pPr>
            <w:r>
              <w:t>Standalone diagnosis?</w:t>
            </w:r>
          </w:p>
        </w:tc>
        <w:tc>
          <w:tcPr>
            <w:tcW w:type="dxa" w:w="7200"/>
            <w:vAlign w:val="top"/>
          </w:tcPr>
          <w:p>
            <w:pPr>
              <w:pStyle w:val="TableText"/>
            </w:pPr>
            <w:r>
              <w:t>No.</w:t>
            </w:r>
          </w:p>
        </w:tc>
      </w:tr>
      <w:tr>
        <w:tc>
          <w:tcPr>
            <w:tcW w:type="dxa" w:w="3600"/>
            <w:vAlign w:val="top"/>
          </w:tcPr>
          <w:p>
            <w:pPr>
              <w:pStyle w:val="TableText"/>
            </w:pPr>
            <w:r>
              <w:t>Standalone automatic HIGH?</w:t>
            </w:r>
          </w:p>
        </w:tc>
        <w:tc>
          <w:tcPr>
            <w:tcW w:type="dxa" w:w="7200"/>
            <w:vAlign w:val="top"/>
          </w:tcPr>
          <w:p>
            <w:pPr>
              <w:pStyle w:val="TableText"/>
            </w:pPr>
            <w:r>
              <w:t>Replace HIGH with action-oriented categories.</w:t>
            </w:r>
          </w:p>
        </w:tc>
      </w:tr>
      <w:tr>
        <w:tc>
          <w:tcPr>
            <w:tcW w:type="dxa" w:w="3600"/>
            <w:vAlign w:val="top"/>
          </w:tcPr>
          <w:p>
            <w:pPr>
              <w:pStyle w:val="TableText"/>
            </w:pPr>
            <w:r>
              <w:t>Requires repeat measurement?</w:t>
            </w:r>
          </w:p>
        </w:tc>
        <w:tc>
          <w:tcPr>
            <w:tcW w:type="dxa" w:w="7200"/>
            <w:vAlign w:val="top"/>
          </w:tcPr>
          <w:p>
            <w:pPr>
              <w:pStyle w:val="TableText"/>
            </w:pPr>
            <w:r>
              <w:t>Usually for verification; severe values require prompt confirmation without delaying emergency action.</w:t>
            </w:r>
          </w:p>
        </w:tc>
      </w:tr>
      <w:tr>
        <w:tc>
          <w:tcPr>
            <w:tcW w:type="dxa" w:w="3600"/>
            <w:vAlign w:val="top"/>
          </w:tcPr>
          <w:p>
            <w:pPr>
              <w:pStyle w:val="TableText"/>
            </w:pPr>
            <w:r>
              <w:t>Requires gestational-age context?</w:t>
            </w:r>
          </w:p>
        </w:tc>
        <w:tc>
          <w:tcPr>
            <w:tcW w:type="dxa" w:w="7200"/>
            <w:vAlign w:val="top"/>
          </w:tcPr>
          <w:p>
            <w:pPr>
              <w:pStyle w:val="TableText"/>
            </w:pPr>
            <w:r>
              <w:t>Yes, particularly before versus after 20 weeks.</w:t>
            </w:r>
          </w:p>
        </w:tc>
      </w:tr>
      <w:tr>
        <w:tc>
          <w:tcPr>
            <w:tcW w:type="dxa" w:w="3600"/>
            <w:vAlign w:val="top"/>
          </w:tcPr>
          <w:p>
            <w:pPr>
              <w:pStyle w:val="TableText"/>
            </w:pPr>
            <w:r>
              <w:t>Requires interaction analysis?</w:t>
            </w:r>
          </w:p>
        </w:tc>
        <w:tc>
          <w:tcPr>
            <w:tcW w:type="dxa" w:w="7200"/>
            <w:vAlign w:val="top"/>
          </w:tcPr>
          <w:p>
            <w:pPr>
              <w:pStyle w:val="TableText"/>
            </w:pPr>
            <w:r>
              <w:t>Yes.</w:t>
            </w:r>
          </w:p>
        </w:tc>
      </w:tr>
      <w:tr>
        <w:tc>
          <w:tcPr>
            <w:tcW w:type="dxa" w:w="3600"/>
            <w:vAlign w:val="top"/>
          </w:tcPr>
          <w:p>
            <w:pPr>
              <w:pStyle w:val="TableText"/>
            </w:pPr>
            <w:r>
              <w:t>Requires external assessment?</w:t>
            </w:r>
          </w:p>
        </w:tc>
        <w:tc>
          <w:tcPr>
            <w:tcW w:type="dxa" w:w="7200"/>
            <w:vAlign w:val="top"/>
          </w:tcPr>
          <w:p>
            <w:pPr>
              <w:pStyle w:val="TableText"/>
            </w:pPr>
            <w:r>
              <w:t>Often; urine, laboratory, fetal and specialist evaluation may be unavailable at the lying-in clinic.</w:t>
            </w:r>
          </w:p>
        </w:tc>
      </w:tr>
      <w:tr>
        <w:tc>
          <w:tcPr>
            <w:tcW w:type="dxa" w:w="3600"/>
            <w:vAlign w:val="top"/>
          </w:tcPr>
          <w:p>
            <w:pPr>
              <w:pStyle w:val="TableText"/>
            </w:pPr>
            <w:r>
              <w:t>Suitable for numerical risk score?</w:t>
            </w:r>
          </w:p>
        </w:tc>
        <w:tc>
          <w:tcPr>
            <w:tcW w:type="dxa" w:w="7200"/>
            <w:vAlign w:val="top"/>
          </w:tcPr>
          <w:p>
            <w:pPr>
              <w:pStyle w:val="TableText"/>
            </w:pPr>
            <w:r>
              <w:t>Severe BP should bypass a score. Non-severe BP may contribute only after the decision engine is clinically validated.</w:t>
            </w:r>
          </w:p>
        </w:tc>
      </w:tr>
      <w:tr>
        <w:tc>
          <w:tcPr>
            <w:tcW w:type="dxa" w:w="3600"/>
            <w:vAlign w:val="top"/>
          </w:tcPr>
          <w:p>
            <w:pPr>
              <w:pStyle w:val="TableText"/>
            </w:pPr>
            <w:r>
              <w:t>Clinical governance required?</w:t>
            </w:r>
          </w:p>
        </w:tc>
        <w:tc>
          <w:tcPr>
            <w:tcW w:type="dxa" w:w="7200"/>
            <w:vAlign w:val="top"/>
          </w:tcPr>
          <w:p>
            <w:pPr>
              <w:pStyle w:val="TableText"/>
            </w:pPr>
            <w:r>
              <w:t>Yes; local emergency/referral protocol, device standards, staff training, and periodic audit.</w:t>
            </w:r>
          </w:p>
        </w:tc>
      </w:tr>
    </w:tbl>
    <w:p/>
    <w:p>
      <w:pPr>
        <w:pStyle w:val="Heading1"/>
      </w:pPr>
      <w:r>
        <w:t>16. Final Recommendation</w:t>
      </w:r>
    </w:p>
    <w:p>
      <w:r>
        <w:t>The current controller rule “BP at or above 140/90 equals HIGH” should not be carried forward unchanged. It combines a measurement threshold, diagnosis, risk label, and referral action into one step. The replacement should be a measurement-aware, action-oriented pathway. A verified non-severe hypertension-range reading should trigger prompt assessment and referral support according to gestational timing and associated findings. Severe-range BP or serious warning symptoms should trigger an urgent override that cannot be reduced by other data or delayed by incomplete records.</w:t>
      </w:r>
    </w:p>
    <w:p>
      <w:r>
        <w:t>The CDSS should explain what was observed, why it matters, what additional assessment is needed, and how urgently the clinic should act. It should never claim a diagnosis, prescribe medicine, or declare a patient safe for lying-in delivery.</w:t>
      </w:r>
    </w:p>
    <w:p>
      <w:r>
        <w:br w:type="page"/>
      </w:r>
    </w:p>
    <w:p>
      <w:pPr>
        <w:pStyle w:val="Heading1"/>
      </w:pPr>
      <w:r>
        <w:t>17. Evidence Traceability Matrix</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888"/>
            <w:shd w:fill="D9EAF7"/>
          </w:tcPr>
          <w:p>
            <w:pPr>
              <w:pStyle w:val="TableText"/>
            </w:pPr>
            <w:r>
              <w:rPr>
                <w:b/>
              </w:rPr>
              <w:t>Knowledge claim</w:t>
            </w:r>
          </w:p>
        </w:tc>
        <w:tc>
          <w:tcPr>
            <w:tcW w:type="dxa" w:w="3600"/>
            <w:shd w:fill="D9EAF7"/>
          </w:tcPr>
          <w:p>
            <w:pPr>
              <w:pStyle w:val="TableText"/>
            </w:pPr>
            <w:r>
              <w:rPr>
                <w:b/>
              </w:rPr>
              <w:t>Supporting source</w:t>
            </w:r>
          </w:p>
        </w:tc>
        <w:tc>
          <w:tcPr>
            <w:tcW w:type="dxa" w:w="3312"/>
            <w:shd w:fill="D9EAF7"/>
          </w:tcPr>
          <w:p>
            <w:pPr>
              <w:pStyle w:val="TableText"/>
            </w:pPr>
            <w:r>
              <w:rPr>
                <w:b/>
              </w:rPr>
              <w:t>Software implication</w:t>
            </w:r>
          </w:p>
        </w:tc>
      </w:tr>
      <w:tr>
        <w:tc>
          <w:tcPr>
            <w:tcW w:type="dxa" w:w="3888"/>
            <w:vAlign w:val="top"/>
          </w:tcPr>
          <w:p>
            <w:pPr>
              <w:pStyle w:val="TableText"/>
            </w:pPr>
            <w:r>
              <w:t>BP should be measured during every antenatal contact.</w:t>
            </w:r>
          </w:p>
        </w:tc>
        <w:tc>
          <w:tcPr>
            <w:tcW w:type="dxa" w:w="3600"/>
            <w:vAlign w:val="top"/>
          </w:tcPr>
          <w:p>
            <w:pPr>
              <w:pStyle w:val="TableText"/>
            </w:pPr>
            <w:r>
              <w:t>WHO antenatal BP quality indicator; WHO antenatal-care framework.</w:t>
            </w:r>
          </w:p>
        </w:tc>
        <w:tc>
          <w:tcPr>
            <w:tcW w:type="dxa" w:w="3312"/>
            <w:vAlign w:val="top"/>
          </w:tcPr>
          <w:p>
            <w:pPr>
              <w:pStyle w:val="TableText"/>
            </w:pPr>
            <w:r>
              <w:t>Require BP or reason unavailable at each prenatal contact.</w:t>
            </w:r>
          </w:p>
        </w:tc>
      </w:tr>
      <w:tr>
        <w:tc>
          <w:tcPr>
            <w:tcW w:type="dxa" w:w="3888"/>
            <w:vAlign w:val="top"/>
          </w:tcPr>
          <w:p>
            <w:pPr>
              <w:pStyle w:val="TableText"/>
            </w:pPr>
            <w:r>
              <w:t>Hypertensive disorders are a major cause of maternal/perinatal harm.</w:t>
            </w:r>
          </w:p>
        </w:tc>
        <w:tc>
          <w:tcPr>
            <w:tcW w:type="dxa" w:w="3600"/>
            <w:vAlign w:val="top"/>
          </w:tcPr>
          <w:p>
            <w:pPr>
              <w:pStyle w:val="TableText"/>
            </w:pPr>
            <w:r>
              <w:t>WHO severe/non-severe hypertension guidance; WHO pre-eclampsia fact sheet.</w:t>
            </w:r>
          </w:p>
        </w:tc>
        <w:tc>
          <w:tcPr>
            <w:tcW w:type="dxa" w:w="3312"/>
            <w:vAlign w:val="top"/>
          </w:tcPr>
          <w:p>
            <w:pPr>
              <w:pStyle w:val="TableText"/>
            </w:pPr>
            <w:r>
              <w:t>Treat BP as a core safety factor.</w:t>
            </w:r>
          </w:p>
        </w:tc>
      </w:tr>
      <w:tr>
        <w:tc>
          <w:tcPr>
            <w:tcW w:type="dxa" w:w="3888"/>
            <w:vAlign w:val="top"/>
          </w:tcPr>
          <w:p>
            <w:pPr>
              <w:pStyle w:val="TableText"/>
            </w:pPr>
            <w:r>
              <w:t>140/90 is a hypertension threshold used in pregnancy guidance.</w:t>
            </w:r>
          </w:p>
        </w:tc>
        <w:tc>
          <w:tcPr>
            <w:tcW w:type="dxa" w:w="3600"/>
            <w:vAlign w:val="top"/>
          </w:tcPr>
          <w:p>
            <w:pPr>
              <w:pStyle w:val="TableText"/>
            </w:pPr>
            <w:r>
              <w:t>NICE NG133; ACOG PB 222; WHO pre-eclampsia information; ISSHP 2021.</w:t>
            </w:r>
          </w:p>
        </w:tc>
        <w:tc>
          <w:tcPr>
            <w:tcW w:type="dxa" w:w="3312"/>
            <w:vAlign w:val="top"/>
          </w:tcPr>
          <w:p>
            <w:pPr>
              <w:pStyle w:val="TableText"/>
            </w:pPr>
            <w:r>
              <w:t>Create hypertension-range observation rule, not automatic diagnosis.</w:t>
            </w:r>
          </w:p>
        </w:tc>
      </w:tr>
      <w:tr>
        <w:tc>
          <w:tcPr>
            <w:tcW w:type="dxa" w:w="3888"/>
            <w:vAlign w:val="top"/>
          </w:tcPr>
          <w:p>
            <w:pPr>
              <w:pStyle w:val="TableText"/>
            </w:pPr>
            <w:r>
              <w:t>160 systolic or 110 diastolic is severe range.</w:t>
            </w:r>
          </w:p>
        </w:tc>
        <w:tc>
          <w:tcPr>
            <w:tcW w:type="dxa" w:w="3600"/>
            <w:vAlign w:val="top"/>
          </w:tcPr>
          <w:p>
            <w:pPr>
              <w:pStyle w:val="TableText"/>
            </w:pPr>
            <w:r>
              <w:t>NICE NG133; ACOG PB 222.</w:t>
            </w:r>
          </w:p>
        </w:tc>
        <w:tc>
          <w:tcPr>
            <w:tcW w:type="dxa" w:w="3312"/>
            <w:vAlign w:val="top"/>
          </w:tcPr>
          <w:p>
            <w:pPr>
              <w:pStyle w:val="TableText"/>
            </w:pPr>
            <w:r>
              <w:t>Urgent override and emergency referral pathway.</w:t>
            </w:r>
          </w:p>
        </w:tc>
      </w:tr>
      <w:tr>
        <w:tc>
          <w:tcPr>
            <w:tcW w:type="dxa" w:w="3888"/>
            <w:vAlign w:val="top"/>
          </w:tcPr>
          <w:p>
            <w:pPr>
              <w:pStyle w:val="TableText"/>
            </w:pPr>
            <w:r>
              <w:t>Persistent acute severe BP requires rapid treatment in an appropriate setting.</w:t>
            </w:r>
          </w:p>
        </w:tc>
        <w:tc>
          <w:tcPr>
            <w:tcW w:type="dxa" w:w="3600"/>
            <w:vAlign w:val="top"/>
          </w:tcPr>
          <w:p>
            <w:pPr>
              <w:pStyle w:val="TableText"/>
            </w:pPr>
            <w:r>
              <w:t>ACOG severe-hypertension guidance; WHO severe-hypertension recommendation.</w:t>
            </w:r>
          </w:p>
        </w:tc>
        <w:tc>
          <w:tcPr>
            <w:tcW w:type="dxa" w:w="3312"/>
            <w:vAlign w:val="top"/>
          </w:tcPr>
          <w:p>
            <w:pPr>
              <w:pStyle w:val="TableText"/>
            </w:pPr>
            <w:r>
              <w:t>Do not delay transfer for scoring or missing forms.</w:t>
            </w:r>
          </w:p>
        </w:tc>
      </w:tr>
      <w:tr>
        <w:tc>
          <w:tcPr>
            <w:tcW w:type="dxa" w:w="3888"/>
            <w:vAlign w:val="top"/>
          </w:tcPr>
          <w:p>
            <w:pPr>
              <w:pStyle w:val="TableText"/>
            </w:pPr>
            <w:r>
              <w:t>Severe headache, visual symptoms and upper abdominal pain are warning symptoms.</w:t>
            </w:r>
          </w:p>
        </w:tc>
        <w:tc>
          <w:tcPr>
            <w:tcW w:type="dxa" w:w="3600"/>
            <w:vAlign w:val="top"/>
          </w:tcPr>
          <w:p>
            <w:pPr>
              <w:pStyle w:val="TableText"/>
            </w:pPr>
            <w:r>
              <w:t>NICE NG133; WHO pre-eclampsia; ACOG patient/clinical guidance.</w:t>
            </w:r>
          </w:p>
        </w:tc>
        <w:tc>
          <w:tcPr>
            <w:tcW w:type="dxa" w:w="3312"/>
            <w:vAlign w:val="top"/>
          </w:tcPr>
          <w:p>
            <w:pPr>
              <w:pStyle w:val="TableText"/>
            </w:pPr>
            <w:r>
              <w:t>Independent symptom override.</w:t>
            </w:r>
          </w:p>
        </w:tc>
      </w:tr>
      <w:tr>
        <w:tc>
          <w:tcPr>
            <w:tcW w:type="dxa" w:w="3888"/>
            <w:vAlign w:val="top"/>
          </w:tcPr>
          <w:p>
            <w:pPr>
              <w:pStyle w:val="TableText"/>
            </w:pPr>
            <w:r>
              <w:t>Proteinuria is not the only basis for severe disease concern.</w:t>
            </w:r>
          </w:p>
        </w:tc>
        <w:tc>
          <w:tcPr>
            <w:tcW w:type="dxa" w:w="3600"/>
            <w:vAlign w:val="top"/>
          </w:tcPr>
          <w:p>
            <w:pPr>
              <w:pStyle w:val="TableText"/>
            </w:pPr>
            <w:r>
              <w:t>ACOG PB 222; NICE assessment framework.</w:t>
            </w:r>
          </w:p>
        </w:tc>
        <w:tc>
          <w:tcPr>
            <w:tcW w:type="dxa" w:w="3312"/>
            <w:vAlign w:val="top"/>
          </w:tcPr>
          <w:p>
            <w:pPr>
              <w:pStyle w:val="TableText"/>
            </w:pPr>
            <w:r>
              <w:t>Missing/negative urine must not suppress referral.</w:t>
            </w:r>
          </w:p>
        </w:tc>
      </w:tr>
      <w:tr>
        <w:tc>
          <w:tcPr>
            <w:tcW w:type="dxa" w:w="3888"/>
            <w:vAlign w:val="top"/>
          </w:tcPr>
          <w:p>
            <w:pPr>
              <w:pStyle w:val="TableText"/>
            </w:pPr>
            <w:r>
              <w:t>Measurement needs standardized technique and pregnancy-validated device.</w:t>
            </w:r>
          </w:p>
        </w:tc>
        <w:tc>
          <w:tcPr>
            <w:tcW w:type="dxa" w:w="3600"/>
            <w:vAlign w:val="top"/>
          </w:tcPr>
          <w:p>
            <w:pPr>
              <w:pStyle w:val="TableText"/>
            </w:pPr>
            <w:r>
              <w:t>ISSHP 2021; WHO device specifications.</w:t>
            </w:r>
          </w:p>
        </w:tc>
        <w:tc>
          <w:tcPr>
            <w:tcW w:type="dxa" w:w="3312"/>
            <w:vAlign w:val="top"/>
          </w:tcPr>
          <w:p>
            <w:pPr>
              <w:pStyle w:val="TableText"/>
            </w:pPr>
            <w:r>
              <w:t>Store technique/device/cuff data and repeat correctly.</w:t>
            </w:r>
          </w:p>
        </w:tc>
      </w:tr>
      <w:tr>
        <w:tc>
          <w:tcPr>
            <w:tcW w:type="dxa" w:w="3888"/>
            <w:vAlign w:val="top"/>
          </w:tcPr>
          <w:p>
            <w:pPr>
              <w:pStyle w:val="TableText"/>
            </w:pPr>
            <w:r>
              <w:t>Digital BP systems need data standards and linkage to follow-up care.</w:t>
            </w:r>
          </w:p>
        </w:tc>
        <w:tc>
          <w:tcPr>
            <w:tcW w:type="dxa" w:w="3600"/>
            <w:vAlign w:val="top"/>
          </w:tcPr>
          <w:p>
            <w:pPr>
              <w:pStyle w:val="TableText"/>
            </w:pPr>
            <w:r>
              <w:t>WHO 2025 Digital Adaptation Kit.</w:t>
            </w:r>
          </w:p>
        </w:tc>
        <w:tc>
          <w:tcPr>
            <w:tcW w:type="dxa" w:w="3312"/>
            <w:vAlign w:val="top"/>
          </w:tcPr>
          <w:p>
            <w:pPr>
              <w:pStyle w:val="TableText"/>
            </w:pPr>
            <w:r>
              <w:t>Use structured observations, decision logic and closed-loop referral.</w:t>
            </w:r>
          </w:p>
        </w:tc>
      </w:tr>
      <w:tr>
        <w:tc>
          <w:tcPr>
            <w:tcW w:type="dxa" w:w="3888"/>
            <w:vAlign w:val="top"/>
          </w:tcPr>
          <w:p>
            <w:pPr>
              <w:pStyle w:val="TableText"/>
            </w:pPr>
            <w:r>
              <w:t>Philippine midwifery focuses on normal maternal care and defined emergency skills.</w:t>
            </w:r>
          </w:p>
        </w:tc>
        <w:tc>
          <w:tcPr>
            <w:tcW w:type="dxa" w:w="3600"/>
            <w:vAlign w:val="top"/>
          </w:tcPr>
          <w:p>
            <w:pPr>
              <w:pStyle w:val="TableText"/>
            </w:pPr>
            <w:r>
              <w:t>Republic Act No. 7392.</w:t>
            </w:r>
          </w:p>
        </w:tc>
        <w:tc>
          <w:tcPr>
            <w:tcW w:type="dxa" w:w="3312"/>
            <w:vAlign w:val="top"/>
          </w:tcPr>
          <w:p>
            <w:pPr>
              <w:pStyle w:val="TableText"/>
            </w:pPr>
            <w:r>
              <w:t>CDSS supports escalation, not expansion of scope.</w:t>
            </w:r>
          </w:p>
        </w:tc>
      </w:tr>
      <w:tr>
        <w:tc>
          <w:tcPr>
            <w:tcW w:type="dxa" w:w="3888"/>
            <w:vAlign w:val="top"/>
          </w:tcPr>
          <w:p>
            <w:pPr>
              <w:pStyle w:val="TableText"/>
            </w:pPr>
            <w:r>
              <w:t>High-risk pregnancies require proper referral in the Philippine maternal-care framework.</w:t>
            </w:r>
          </w:p>
        </w:tc>
        <w:tc>
          <w:tcPr>
            <w:tcW w:type="dxa" w:w="3600"/>
            <w:vAlign w:val="top"/>
          </w:tcPr>
          <w:p>
            <w:pPr>
              <w:pStyle w:val="TableText"/>
            </w:pPr>
            <w:r>
              <w:t>Republic Act No. 11148.</w:t>
            </w:r>
          </w:p>
        </w:tc>
        <w:tc>
          <w:tcPr>
            <w:tcW w:type="dxa" w:w="3312"/>
            <w:vAlign w:val="top"/>
          </w:tcPr>
          <w:p>
            <w:pPr>
              <w:pStyle w:val="TableText"/>
            </w:pPr>
            <w:r>
              <w:t>Clinic must configure and approve referral pathway.</w:t>
            </w:r>
          </w:p>
        </w:tc>
      </w:tr>
    </w:tbl>
    <w:p/>
    <w:p>
      <w:pPr>
        <w:pStyle w:val="Heading1"/>
      </w:pPr>
      <w:r>
        <w:t>18. Limitations and Required Expert Validation</w:t>
      </w:r>
    </w:p>
    <w:p>
      <w:pPr>
        <w:pStyle w:val="ListBullet"/>
      </w:pPr>
      <w:r>
        <w:t>International guidelines differ in terminology, confirmation timing, treatment targets and available tests. The CDSS should preserve source-specific distinctions.</w:t>
      </w:r>
    </w:p>
    <w:p>
      <w:pPr>
        <w:pStyle w:val="ListBullet"/>
      </w:pPr>
      <w:r>
        <w:t>The final clinic algorithm must be reviewed by a Philippine obstetrician or maternal-health physician and the licensed midwives who will use it.</w:t>
      </w:r>
    </w:p>
    <w:p>
      <w:pPr>
        <w:pStyle w:val="ListBullet"/>
      </w:pPr>
      <w:r>
        <w:t>The review does not establish medication standing orders, emergency drug availability, or transfer responsibilities. These require formal facility protocols.</w:t>
      </w:r>
    </w:p>
    <w:p>
      <w:pPr>
        <w:pStyle w:val="ListBullet"/>
      </w:pPr>
      <w:r>
        <w:t>A current, directly verified DOH algorithm specific to the partner lying-in clinic’s license and province was not identified; the project must obtain local policy before deployment.</w:t>
      </w:r>
    </w:p>
    <w:p>
      <w:pPr>
        <w:pStyle w:val="ListBullet"/>
      </w:pPr>
      <w:r>
        <w:t>The system database currently may not contain adequate structured symptom, proteinuria, laboratory, device, cuff and repeat-measurement fields.</w:t>
      </w:r>
    </w:p>
    <w:p>
      <w:pPr>
        <w:pStyle w:val="ListBullet"/>
      </w:pPr>
      <w:r>
        <w:t>Postpartum hypertension requires a future module and must not be ignored because a pregnancy record is marked delivered.</w:t>
      </w:r>
    </w:p>
    <w:p>
      <w:pPr>
        <w:pStyle w:val="ListBullet"/>
      </w:pPr>
      <w:r>
        <w:t>No numerical Clinical Risk Index has yet been validated. Severe BP and symptoms should remain deterministic overrides.</w:t>
      </w:r>
    </w:p>
    <w:p>
      <w:pPr>
        <w:pStyle w:val="ListBullet"/>
      </w:pPr>
      <w:r>
        <w:t>All thresholds and messages require usability testing to prevent alert fatigue, delayed action, stigma or misunderstanding.</w:t>
      </w:r>
    </w:p>
    <w:p>
      <w:pPr>
        <w:pStyle w:val="Heading1"/>
      </w:pPr>
      <w:r>
        <w:t>19. Next Part</w:t>
      </w:r>
    </w:p>
    <w:p>
      <w:r>
        <w:t>Part 3 should address diabetes in pregnancy. It must distinguish known pre-existing diabetes, gestational diabetes screening/diagnosis, a checkbox claiming “diabetes,” current glucose data, treatment status, maternal and fetal implications, referral planning, and the limits of what a lying-in clinic can assess. The system must not diagnose diabetes from an undocumented checkbox or predict fetal outcome without validated data.</w:t>
      </w:r>
    </w:p>
    <w:p>
      <w:r>
        <w:br w:type="page"/>
      </w:r>
    </w:p>
    <w:p>
      <w:pPr>
        <w:pStyle w:val="Heading1"/>
      </w:pPr>
      <w:r>
        <w:t>References</w:t>
      </w:r>
    </w:p>
    <w:p>
      <w:pPr>
        <w:ind w:left="432" w:hanging="432"/>
      </w:pPr>
      <w:r>
        <w:t>American College of Obstetricians and Gynecologists. (2019). Chronic hypertension in pregnancy: ACOG Practice Bulletin No. 203. Obstetrics &amp; Gynecology, 133(1), e26-e50. https://www.acog.org/clinical/clinical-guidance/practice-bulletin/articles/2019/01/chronic-hypertension-in-pregnancy</w:t>
      </w:r>
    </w:p>
    <w:p>
      <w:pPr>
        <w:ind w:left="432" w:hanging="432"/>
      </w:pPr>
      <w:r>
        <w:t>American College of Obstetricians and Gynecologists. (2020). Gestational hypertension and preeclampsia: ACOG Practice Bulletin No. 222. Obstetrics &amp; Gynecology, 135(6), e237-e260. Reaffirmed 2023. https://www.acog.org/clinical/clinical-guidance/practice-bulletin/articles/2020/06/gestational-hypertension-and-preeclampsia</w:t>
      </w:r>
    </w:p>
    <w:p>
      <w:pPr>
        <w:ind w:left="432" w:hanging="432"/>
      </w:pPr>
      <w:r>
        <w:t>American College of Obstetricians and Gynecologists. (2022). Clinical guidance for the integration of the findings of the Chronic Hypertension and Pregnancy (CHAP) Study. Reaffirmed March 2025. https://www.acog.org/clinical/clinical-guidance/practice-advisory/articles/2022/04/clinical-guidance-for-the-integration-of-the-findings-of-the-chronic-hypertension-and-pregnancy-chap-study</w:t>
      </w:r>
    </w:p>
    <w:p>
      <w:pPr>
        <w:ind w:left="432" w:hanging="432"/>
      </w:pPr>
      <w:r>
        <w:t>American College of Obstetricians and Gynecologists. (n.d.). Preeclampsia and high blood pressure during pregnancy. https://www.acog.org/womens-health/faqs/preeclampsia-and-high-blood-pressure-during-pregnancy</w:t>
      </w:r>
    </w:p>
    <w:p>
      <w:pPr>
        <w:ind w:left="432" w:hanging="432"/>
      </w:pPr>
      <w:r>
        <w:t>Magee, L. A., Brown, M. A., Hall, D. R., Gupte, S., Hennessy, A., Karumanchi, S. A., Kenny, L. C., McCarthy, F., Myers, J., Poon, L. C., Rana, S., Saito, S., Staff, A. C., Tsigas, E., &amp; von Dadelszen, P. (2022). The 2021 International Society for the Study of Hypertension in Pregnancy classification, diagnosis &amp; management recommendations for international practice. Pregnancy Hypertension, 27, 148-169. https://doi.org/10.1016/j.preghy.2021.09.008</w:t>
      </w:r>
    </w:p>
    <w:p>
      <w:pPr>
        <w:ind w:left="432" w:hanging="432"/>
      </w:pPr>
      <w:r>
        <w:t>National Institute for Health and Care Excellence. (2019). Hypertension in pregnancy: Diagnosis and management (NICE Guideline NG133). Updated April 17, 2023. https://www.nice.org.uk/guidance/ng133</w:t>
      </w:r>
    </w:p>
    <w:p>
      <w:pPr>
        <w:ind w:left="432" w:hanging="432"/>
      </w:pPr>
      <w:r>
        <w:t>Republic of the Philippines. (1992). Republic Act No. 7392: Philippine Midwifery Act of 1992. https://lawphil.net/statutes/repacts/ra1992/ra_7392_1992.html</w:t>
      </w:r>
    </w:p>
    <w:p>
      <w:pPr>
        <w:ind w:left="432" w:hanging="432"/>
      </w:pPr>
      <w:r>
        <w:t>Republic of the Philippines. (2018). Republic Act No. 11148: Kalusugan at Nutrisyon ng Mag-Nanay Act. https://lawphil.net/statutes/repacts/ra2018/ra_11148_2018.html</w:t>
      </w:r>
    </w:p>
    <w:p>
      <w:pPr>
        <w:ind w:left="432" w:hanging="432"/>
      </w:pPr>
      <w:r>
        <w:t>Tita, A. T. N., Szychowski, J. M., Boggess, K., Dugoff, L., Sibai, B., Lawrence, K., Hughes, B. L., Bell, J., Aagaard, K., Edwards, R. K., Gibson, K., Haas, D. M., Plante, L., Metz, T., Casey, B., Esplin, M. S., Longo, S., Hoffman, M., Saade, G. R., ... Andrews, W. W. (2022). Treatment for mild chronic hypertension during pregnancy. New England Journal of Medicine, 386, 1781-1792. https://doi.org/10.1056/NEJMoa2201295</w:t>
      </w:r>
    </w:p>
    <w:p>
      <w:pPr>
        <w:ind w:left="432" w:hanging="432"/>
      </w:pPr>
      <w:r>
        <w:t>World Health Organization. (2011). WHO recommendations for prevention and treatment of pre-eclampsia and eclampsia. https://www.who.int/publications/i/item/9789241548335</w:t>
      </w:r>
    </w:p>
    <w:p>
      <w:pPr>
        <w:ind w:left="432" w:hanging="432"/>
      </w:pPr>
      <w:r>
        <w:t>World Health Organization. (2015). Pregnancy, childbirth, postpartum and newborn care: A guide for essential practice (3rd ed.). https://www.who.int/publications-detail-redirect/9789241549356</w:t>
      </w:r>
    </w:p>
    <w:p>
      <w:pPr>
        <w:ind w:left="432" w:hanging="432"/>
      </w:pPr>
      <w:r>
        <w:t>World Health Organization. (2018). WHO recommendations: Drug treatment for severe hypertension in pregnancy. https://www.who.int/publications/i/item/9789241550437</w:t>
      </w:r>
    </w:p>
    <w:p>
      <w:pPr>
        <w:ind w:left="432" w:hanging="432"/>
      </w:pPr>
      <w:r>
        <w:t>World Health Organization. (2020). WHO recommendations on drug treatment for non-severe hypertension in pregnancy. https://www.who.int/publications/i/item/9789240008793</w:t>
      </w:r>
    </w:p>
    <w:p>
      <w:pPr>
        <w:ind w:left="432" w:hanging="432"/>
      </w:pPr>
      <w:r>
        <w:t>World Health Organization. (2020). WHO technical specifications for automated non-invasive blood pressure measuring devices with cuff. https://www.who.int/publications/i/item/9789240002654</w:t>
      </w:r>
    </w:p>
    <w:p>
      <w:pPr>
        <w:ind w:left="432" w:hanging="432"/>
      </w:pPr>
      <w:r>
        <w:t>World Health Organization. (2021). WHO recommendations on antiplatelet agents for the prevention of pre-eclampsia. https://www.who.int/publications/i/item/9789240037540</w:t>
      </w:r>
    </w:p>
    <w:p>
      <w:pPr>
        <w:ind w:left="432" w:hanging="432"/>
      </w:pPr>
      <w:r>
        <w:t>World Health Organization. (2025). Digital adaptation kit for self-monitoring of blood pressure during pregnancy: Operational requirements for implementing WHO recommendations in digital systems. https://www.who.int/publications/i/item/9789240110359</w:t>
      </w:r>
    </w:p>
    <w:p>
      <w:pPr>
        <w:ind w:left="432" w:hanging="432"/>
      </w:pPr>
      <w:r>
        <w:t>World Health Organization. (2025). Pre-eclampsia. https://www.who.int/news-room/fact-sheets/detail/pre-eclampsia</w:t>
      </w:r>
    </w:p>
    <w:p>
      <w:pPr>
        <w:ind w:left="432" w:hanging="432"/>
      </w:pPr>
      <w:r>
        <w:t>World Health Organization. (2025). WHO recommendations on maternal health: Guidelines approved by the WHO Guidelines Review Committee (2nd ed.). https://www.who.int/publications/i/item/9789240080591</w:t>
      </w:r>
    </w:p>
    <w:p>
      <w:pPr>
        <w:ind w:left="432" w:hanging="432"/>
      </w:pPr>
      <w:r>
        <w:t>World Health Organization. (n.d.). Antenatal client blood pressure measurement: Indicator metadata. https://www.who.int/data/gho/indicator-metadata-registry/imr-details/antenatal-client-blood-pressure-measurement</w:t>
      </w:r>
    </w:p>
    <w:p>
      <w:pPr>
        <w:pStyle w:val="Heading2"/>
      </w:pPr>
      <w:r>
        <w:t>Reference Integrity Note</w:t>
      </w:r>
    </w:p>
    <w:p>
      <w:r>
        <w:t>These sources were used to support the clinical and digital-design decisions in this part. The project should retain archived copies or access dates where required by the university. Before final thesis submission, verify journal bibliographic details and format the references according to the institution’s required style. Where a guideline is updated, the knowledge-base version and effective date must also be updated.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rial" w:hAnsi="Arial"/>
      <w:sz w:val="16"/>
    </w:rPr>
  </w:style>
  <w:style w:type="paragraph" w:customStyle="1" w:styleId="SmallNote">
    <w:name w:val="Small Note"/>
    <w:rPr>
      <w:rFonts w:ascii="Arial" w:hAnsi="Arial"/>
      <w:i/>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