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36"/>
        </w:rPr>
        <w:t>DOCUMENT 1</w:t>
      </w:r>
    </w:p>
    <w:p>
      <w:pPr>
        <w:jc w:val="center"/>
      </w:pPr>
      <w:r>
        <w:rPr>
          <w:b/>
          <w:sz w:val="48"/>
        </w:rPr>
        <w:t>Clinical Knowledge Base</w:t>
      </w:r>
    </w:p>
    <w:p>
      <w:pPr>
        <w:jc w:val="center"/>
      </w:pPr>
      <w:r>
        <w:rPr>
          <w:sz w:val="30"/>
        </w:rPr>
        <w:t>Part 4: Anemia in Pregnancy</w:t>
      </w:r>
    </w:p>
    <w:p>
      <w:r>
        <w:br/>
      </w:r>
    </w:p>
    <w:p>
      <w:pPr>
        <w:jc w:val="center"/>
      </w:pPr>
      <w:r>
        <w:rPr>
          <w:sz w:val="23"/>
        </w:rPr>
        <w:t>Evidence-to-Logic Chapter for the Web-Based Maternity Management System</w:t>
        <w:br/>
        <w:t>Clinical Decision Support System</w:t>
      </w:r>
    </w:p>
    <w:p>
      <w:r>
        <w:br/>
        <w:br/>
      </w:r>
    </w:p>
    <w:p>
      <w:pPr>
        <w:jc w:val="center"/>
      </w:pPr>
      <w:r>
        <w:rPr>
          <w:sz w:val="20"/>
        </w:rPr>
        <w:t>Version 1.0 | July 2026</w:t>
      </w:r>
    </w:p>
    <w:p>
      <w:r>
        <w:br/>
        <w:br/>
      </w:r>
    </w:p>
    <w:tbl>
      <w:tblPr>
        <w:tblStyle w:val="TableGrid"/>
        <w:tblW w:type="auto" w:w="0"/>
        <w:tblLook w:firstColumn="1" w:firstRow="1" w:lastColumn="0" w:lastRow="0" w:noHBand="0" w:noVBand="1" w:val="04A0"/>
      </w:tblPr>
      <w:tblGrid>
        <w:gridCol w:w="9994"/>
      </w:tblGrid>
      <w:tr>
        <w:tc>
          <w:tcPr>
            <w:tcW w:type="dxa" w:w="9994"/>
            <w:shd w:fill="FFF2CC"/>
          </w:tcPr>
          <w:p>
            <w:pPr>
              <w:jc w:val="left"/>
            </w:pPr>
            <w:r>
              <w:rPr>
                <w:rFonts w:ascii="Arial" w:hAnsi="Arial"/>
                <w:b/>
                <w:sz w:val="19"/>
              </w:rPr>
              <w:t>Clinical safety statement: This chapter supports screening, documentation, follow-up, and referral decisions. It does not diagnose the cause of anemia, prescribe treatment, determine transfusion, or replace laboratory testing and qualified clinical judgment.</w:t>
            </w:r>
          </w:p>
        </w:tc>
      </w:tr>
    </w:tbl>
    <w:p/>
    <w:p>
      <w:r>
        <w:br w:type="page"/>
      </w:r>
    </w:p>
    <w:p>
      <w:pPr>
        <w:pStyle w:val="Heading1"/>
      </w:pPr>
      <w:r>
        <w:t>Document Status</w:t>
      </w:r>
    </w:p>
    <w:p>
      <w:r>
        <w:t>This is Part 4 of Document 1. It evaluates anemia in pregnancy as a candidate CDSS factor for a Philippine lying-in clinic. It builds on the evidence hierarchy established in Part 1 and applies the same principle: clinical evidence must be translated into safe, explainable, referral-oriented logic before code is written.</w:t>
      </w:r>
    </w:p>
    <w:p>
      <w:pPr>
        <w:pStyle w:val="Heading1"/>
      </w:pPr>
      <w:r>
        <w:t>Evidence Base and Review Standard</w:t>
      </w:r>
    </w:p>
    <w:p>
      <w:r>
        <w:t>The chapter prioritizes current official guidance and primary professional recommendations. The principal sources reviewed were the World Health Organization's 2024 guideline on haemoglobin cutoffs, WHO antenatal iron-folic acid recommendations, ACOG Practice Bulletin No. 233 (publicly accessible abstract and metadata), the 2025 FIGO good-practice recommendations on anemia in pregnancy, Philippine National Nutrition Council materials describing national supplementation practice, Republic Act No. 11148, and peer-reviewed evidence on maternal and perinatal outcomes.</w:t>
      </w:r>
    </w:p>
    <w:tbl>
      <w:tblPr>
        <w:tblStyle w:val="TableGrid"/>
        <w:tblW w:type="auto" w:w="0"/>
        <w:tblLook w:firstColumn="1" w:firstRow="1" w:lastColumn="0" w:lastRow="0" w:noHBand="0" w:noVBand="1" w:val="04A0"/>
      </w:tblPr>
      <w:tblGrid>
        <w:gridCol w:w="9994"/>
      </w:tblGrid>
      <w:tr>
        <w:tc>
          <w:tcPr>
            <w:tcW w:type="dxa" w:w="9994"/>
            <w:shd w:fill="FFF2CC"/>
          </w:tcPr>
          <w:p>
            <w:pPr>
              <w:jc w:val="left"/>
            </w:pPr>
            <w:r>
              <w:rPr>
                <w:rFonts w:ascii="Arial" w:hAnsi="Arial"/>
                <w:b/>
                <w:sz w:val="19"/>
              </w:rPr>
              <w:t>Evidence integrity rule: Where organizations disagree, the difference is preserved. This chapter does not silently combine incompatible thresholds or convert a guideline intended for treatment into an automatic software prescription.</w:t>
            </w:r>
          </w:p>
        </w:tc>
      </w:tr>
    </w:tbl>
    <w:p/>
    <w:p>
      <w:pPr>
        <w:pStyle w:val="Heading1"/>
      </w:pPr>
      <w:r>
        <w:t>Executive CDSS Decision</w:t>
      </w:r>
    </w:p>
    <w:p>
      <w:r>
        <w:t>Anemia should be included in the CDSS, but not as a binary 'yes/no = HIGH' field. The system should use an objective haemoglobin result with gestational age, units, date, source, and—where available—complete blood count indices and ferritin. Severity, symptoms, bleeding, response to treatment, proximity to delivery, and suspected cause must be represented separately.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D9EAF7"/>
            <w:vAlign w:val="center"/>
          </w:tcPr>
          <w:p>
            <w:pPr>
              <w:spacing w:after="0"/>
            </w:pPr>
            <w:r>
              <w:rPr>
                <w:rFonts w:ascii="Arial" w:hAnsi="Arial"/>
                <w:b/>
                <w:sz w:val="16"/>
              </w:rPr>
              <w:t>Clinical state</w:t>
            </w:r>
          </w:p>
        </w:tc>
        <w:tc>
          <w:tcPr>
            <w:tcW w:type="dxa" w:w="4464"/>
            <w:shd w:fill="D9EAF7"/>
            <w:vAlign w:val="center"/>
          </w:tcPr>
          <w:p>
            <w:pPr>
              <w:spacing w:after="0"/>
            </w:pPr>
            <w:r>
              <w:rPr>
                <w:rFonts w:ascii="Arial" w:hAnsi="Arial"/>
                <w:b/>
                <w:sz w:val="16"/>
              </w:rPr>
              <w:t>Interpretation</w:t>
            </w:r>
          </w:p>
        </w:tc>
        <w:tc>
          <w:tcPr>
            <w:tcW w:type="dxa" w:w="3600"/>
            <w:shd w:fill="D9EAF7"/>
            <w:vAlign w:val="center"/>
          </w:tcPr>
          <w:p>
            <w:pPr>
              <w:spacing w:after="0"/>
            </w:pPr>
            <w:r>
              <w:rPr>
                <w:rFonts w:ascii="Arial" w:hAnsi="Arial"/>
                <w:b/>
                <w:sz w:val="16"/>
              </w:rPr>
              <w:t>CDSS action class</w:t>
            </w:r>
          </w:p>
        </w:tc>
      </w:tr>
      <w:tr>
        <w:tc>
          <w:tcPr>
            <w:tcW w:type="dxa" w:w="2880"/>
            <w:vAlign w:val="top"/>
          </w:tcPr>
          <w:p>
            <w:pPr>
              <w:spacing w:after="0"/>
            </w:pPr>
            <w:r>
              <w:rPr>
                <w:rFonts w:ascii="Arial" w:hAnsi="Arial"/>
                <w:sz w:val="16"/>
              </w:rPr>
              <w:t>No valid haemoglobin result</w:t>
            </w:r>
          </w:p>
        </w:tc>
        <w:tc>
          <w:tcPr>
            <w:tcW w:type="dxa" w:w="4464"/>
            <w:vAlign w:val="top"/>
          </w:tcPr>
          <w:p>
            <w:pPr>
              <w:spacing w:after="0"/>
            </w:pPr>
            <w:r>
              <w:rPr>
                <w:rFonts w:ascii="Arial" w:hAnsi="Arial"/>
                <w:sz w:val="16"/>
              </w:rPr>
              <w:t>Anemia cannot be excluded from symptoms or appearance alone.</w:t>
            </w:r>
          </w:p>
        </w:tc>
        <w:tc>
          <w:tcPr>
            <w:tcW w:type="dxa" w:w="3600"/>
            <w:vAlign w:val="top"/>
          </w:tcPr>
          <w:p>
            <w:pPr>
              <w:spacing w:after="0"/>
            </w:pPr>
            <w:r>
              <w:rPr>
                <w:rFonts w:ascii="Arial" w:hAnsi="Arial"/>
                <w:sz w:val="16"/>
              </w:rPr>
              <w:t>Prompt screening; mark assessment incomplete, not normal.</w:t>
            </w:r>
          </w:p>
        </w:tc>
      </w:tr>
      <w:tr>
        <w:tc>
          <w:tcPr>
            <w:tcW w:type="dxa" w:w="2880"/>
            <w:vAlign w:val="top"/>
          </w:tcPr>
          <w:p>
            <w:pPr>
              <w:spacing w:after="0"/>
            </w:pPr>
            <w:r>
              <w:rPr>
                <w:rFonts w:ascii="Arial" w:hAnsi="Arial"/>
                <w:sz w:val="16"/>
              </w:rPr>
              <w:t>Haemoglobin below the selected pregnancy threshold</w:t>
            </w:r>
          </w:p>
        </w:tc>
        <w:tc>
          <w:tcPr>
            <w:tcW w:type="dxa" w:w="4464"/>
            <w:vAlign w:val="top"/>
          </w:tcPr>
          <w:p>
            <w:pPr>
              <w:spacing w:after="0"/>
            </w:pPr>
            <w:r>
              <w:rPr>
                <w:rFonts w:ascii="Arial" w:hAnsi="Arial"/>
                <w:sz w:val="16"/>
              </w:rPr>
              <w:t>Laboratory-defined anemia; cause remains undetermined.</w:t>
            </w:r>
          </w:p>
        </w:tc>
        <w:tc>
          <w:tcPr>
            <w:tcW w:type="dxa" w:w="3600"/>
            <w:vAlign w:val="top"/>
          </w:tcPr>
          <w:p>
            <w:pPr>
              <w:spacing w:after="0"/>
            </w:pPr>
            <w:r>
              <w:rPr>
                <w:rFonts w:ascii="Arial" w:hAnsi="Arial"/>
                <w:sz w:val="16"/>
              </w:rPr>
              <w:t>Clinical review, cause assessment, treatment/follow-up pathway.</w:t>
            </w:r>
          </w:p>
        </w:tc>
      </w:tr>
      <w:tr>
        <w:tc>
          <w:tcPr>
            <w:tcW w:type="dxa" w:w="2880"/>
            <w:vAlign w:val="top"/>
          </w:tcPr>
          <w:p>
            <w:pPr>
              <w:spacing w:after="0"/>
            </w:pPr>
            <w:r>
              <w:rPr>
                <w:rFonts w:ascii="Arial" w:hAnsi="Arial"/>
                <w:sz w:val="16"/>
              </w:rPr>
              <w:t>Mild anemia without warning findings</w:t>
            </w:r>
          </w:p>
        </w:tc>
        <w:tc>
          <w:tcPr>
            <w:tcW w:type="dxa" w:w="4464"/>
            <w:vAlign w:val="top"/>
          </w:tcPr>
          <w:p>
            <w:pPr>
              <w:spacing w:after="0"/>
            </w:pPr>
            <w:r>
              <w:rPr>
                <w:rFonts w:ascii="Arial" w:hAnsi="Arial"/>
                <w:sz w:val="16"/>
              </w:rPr>
              <w:t>Usually requires treatment and follow-up rather than emergency transfer.</w:t>
            </w:r>
          </w:p>
        </w:tc>
        <w:tc>
          <w:tcPr>
            <w:tcW w:type="dxa" w:w="3600"/>
            <w:vAlign w:val="top"/>
          </w:tcPr>
          <w:p>
            <w:pPr>
              <w:spacing w:after="0"/>
            </w:pPr>
            <w:r>
              <w:rPr>
                <w:rFonts w:ascii="Arial" w:hAnsi="Arial"/>
                <w:sz w:val="16"/>
              </w:rPr>
              <w:t>Planned management and repeat testing under an approved protocol.</w:t>
            </w:r>
          </w:p>
        </w:tc>
      </w:tr>
      <w:tr>
        <w:tc>
          <w:tcPr>
            <w:tcW w:type="dxa" w:w="2880"/>
            <w:vAlign w:val="top"/>
          </w:tcPr>
          <w:p>
            <w:pPr>
              <w:spacing w:after="0"/>
            </w:pPr>
            <w:r>
              <w:rPr>
                <w:rFonts w:ascii="Arial" w:hAnsi="Arial"/>
                <w:sz w:val="16"/>
              </w:rPr>
              <w:t>Moderate anemia</w:t>
            </w:r>
          </w:p>
        </w:tc>
        <w:tc>
          <w:tcPr>
            <w:tcW w:type="dxa" w:w="4464"/>
            <w:vAlign w:val="top"/>
          </w:tcPr>
          <w:p>
            <w:pPr>
              <w:spacing w:after="0"/>
            </w:pPr>
            <w:r>
              <w:rPr>
                <w:rFonts w:ascii="Arial" w:hAnsi="Arial"/>
                <w:sz w:val="16"/>
              </w:rPr>
              <w:t>Greater concern for reduced physiologic reserve and adverse outcomes.</w:t>
            </w:r>
          </w:p>
        </w:tc>
        <w:tc>
          <w:tcPr>
            <w:tcW w:type="dxa" w:w="3600"/>
            <w:vAlign w:val="top"/>
          </w:tcPr>
          <w:p>
            <w:pPr>
              <w:spacing w:after="0"/>
            </w:pPr>
            <w:r>
              <w:rPr>
                <w:rFonts w:ascii="Arial" w:hAnsi="Arial"/>
                <w:sz w:val="16"/>
              </w:rPr>
              <w:t>Prompt qualified review; determine referral and treatment setting.</w:t>
            </w:r>
          </w:p>
        </w:tc>
      </w:tr>
      <w:tr>
        <w:tc>
          <w:tcPr>
            <w:tcW w:type="dxa" w:w="2880"/>
            <w:vAlign w:val="top"/>
          </w:tcPr>
          <w:p>
            <w:pPr>
              <w:spacing w:after="0"/>
            </w:pPr>
            <w:r>
              <w:rPr>
                <w:rFonts w:ascii="Arial" w:hAnsi="Arial"/>
                <w:sz w:val="16"/>
              </w:rPr>
              <w:t>Severe anemia or significant symptoms</w:t>
            </w:r>
          </w:p>
        </w:tc>
        <w:tc>
          <w:tcPr>
            <w:tcW w:type="dxa" w:w="4464"/>
            <w:vAlign w:val="top"/>
          </w:tcPr>
          <w:p>
            <w:pPr>
              <w:spacing w:after="0"/>
            </w:pPr>
            <w:r>
              <w:rPr>
                <w:rFonts w:ascii="Arial" w:hAnsi="Arial"/>
                <w:sz w:val="16"/>
              </w:rPr>
              <w:t>Potential maternal compromise, especially near birth or with bleeding.</w:t>
            </w:r>
          </w:p>
        </w:tc>
        <w:tc>
          <w:tcPr>
            <w:tcW w:type="dxa" w:w="3600"/>
            <w:vAlign w:val="top"/>
          </w:tcPr>
          <w:p>
            <w:pPr>
              <w:spacing w:after="0"/>
            </w:pPr>
            <w:r>
              <w:rPr>
                <w:rFonts w:ascii="Arial" w:hAnsi="Arial"/>
                <w:sz w:val="16"/>
              </w:rPr>
              <w:t>Urgent same-day or emergency assessment depending on stability.</w:t>
            </w:r>
          </w:p>
        </w:tc>
      </w:tr>
      <w:tr>
        <w:tc>
          <w:tcPr>
            <w:tcW w:type="dxa" w:w="2880"/>
            <w:vAlign w:val="top"/>
          </w:tcPr>
          <w:p>
            <w:pPr>
              <w:spacing w:after="0"/>
            </w:pPr>
            <w:r>
              <w:rPr>
                <w:rFonts w:ascii="Arial" w:hAnsi="Arial"/>
                <w:sz w:val="16"/>
              </w:rPr>
              <w:t>Anemia plus active bleeding, syncope, chest pain, marked breathlessness, shock, or cardiac compromise</w:t>
            </w:r>
          </w:p>
        </w:tc>
        <w:tc>
          <w:tcPr>
            <w:tcW w:type="dxa" w:w="4464"/>
            <w:vAlign w:val="top"/>
          </w:tcPr>
          <w:p>
            <w:pPr>
              <w:spacing w:after="0"/>
            </w:pPr>
            <w:r>
              <w:rPr>
                <w:rFonts w:ascii="Arial" w:hAnsi="Arial"/>
                <w:sz w:val="16"/>
              </w:rPr>
              <w:t>Possible acute blood loss or decompensation.</w:t>
            </w:r>
          </w:p>
        </w:tc>
        <w:tc>
          <w:tcPr>
            <w:tcW w:type="dxa" w:w="3600"/>
            <w:vAlign w:val="top"/>
          </w:tcPr>
          <w:p>
            <w:pPr>
              <w:spacing w:after="0"/>
            </w:pPr>
            <w:r>
              <w:rPr>
                <w:rFonts w:ascii="Arial" w:hAnsi="Arial"/>
                <w:sz w:val="16"/>
              </w:rPr>
              <w:t>Emergency pathway; do not wait for scoring.</w:t>
            </w:r>
          </w:p>
        </w:tc>
      </w:tr>
      <w:tr>
        <w:tc>
          <w:tcPr>
            <w:tcW w:type="dxa" w:w="2880"/>
            <w:vAlign w:val="top"/>
          </w:tcPr>
          <w:p>
            <w:pPr>
              <w:spacing w:after="0"/>
            </w:pPr>
            <w:r>
              <w:rPr>
                <w:rFonts w:ascii="Arial" w:hAnsi="Arial"/>
                <w:sz w:val="16"/>
              </w:rPr>
              <w:t>Anemia label without laboratory data</w:t>
            </w:r>
          </w:p>
        </w:tc>
        <w:tc>
          <w:tcPr>
            <w:tcW w:type="dxa" w:w="4464"/>
            <w:vAlign w:val="top"/>
          </w:tcPr>
          <w:p>
            <w:pPr>
              <w:spacing w:after="0"/>
            </w:pPr>
            <w:r>
              <w:rPr>
                <w:rFonts w:ascii="Arial" w:hAnsi="Arial"/>
                <w:sz w:val="16"/>
              </w:rPr>
              <w:t>Unverified history or incomplete documentation.</w:t>
            </w:r>
          </w:p>
        </w:tc>
        <w:tc>
          <w:tcPr>
            <w:tcW w:type="dxa" w:w="3600"/>
            <w:vAlign w:val="top"/>
          </w:tcPr>
          <w:p>
            <w:pPr>
              <w:spacing w:after="0"/>
            </w:pPr>
            <w:r>
              <w:rPr>
                <w:rFonts w:ascii="Arial" w:hAnsi="Arial"/>
                <w:sz w:val="16"/>
              </w:rPr>
              <w:t>Verify source; do not infer severity or iron deficiency.</w:t>
            </w:r>
          </w:p>
        </w:tc>
      </w:tr>
    </w:tbl>
    <w:p/>
    <w:p>
      <w:r>
        <w:br w:type="page"/>
      </w:r>
    </w:p>
    <w:p>
      <w:pPr>
        <w:pStyle w:val="Heading1"/>
      </w:pPr>
      <w:r>
        <w:t>1. Clinical Question</w:t>
      </w:r>
    </w:p>
    <w:p>
      <w:r>
        <w:t>How should a CDSS for a lying-in clinic identify, classify, and respond to anemia-related information during pregnancy without falsely diagnosing iron deficiency, overlooking other causes, or delaying referral for severe anemia, bleeding, or maternal compromise?</w:t>
      </w:r>
    </w:p>
    <w:p>
      <w:pPr>
        <w:pStyle w:val="Heading1"/>
      </w:pPr>
      <w:r>
        <w:t>2. Definitions and Conceptual Boundaries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9EAF7"/>
            <w:vAlign w:val="center"/>
          </w:tcPr>
          <w:p>
            <w:pPr>
              <w:spacing w:after="0"/>
            </w:pPr>
            <w:r>
              <w:rPr>
                <w:rFonts w:ascii="Arial" w:hAnsi="Arial"/>
                <w:b/>
                <w:sz w:val="16"/>
              </w:rPr>
              <w:t>Term</w:t>
            </w:r>
          </w:p>
        </w:tc>
        <w:tc>
          <w:tcPr>
            <w:tcW w:type="dxa" w:w="8064"/>
            <w:shd w:fill="D9EAF7"/>
            <w:vAlign w:val="center"/>
          </w:tcPr>
          <w:p>
            <w:pPr>
              <w:spacing w:after="0"/>
            </w:pPr>
            <w:r>
              <w:rPr>
                <w:rFonts w:ascii="Arial" w:hAnsi="Arial"/>
                <w:b/>
                <w:sz w:val="16"/>
              </w:rPr>
              <w:t>Knowledge-base definition</w:t>
            </w:r>
          </w:p>
        </w:tc>
      </w:tr>
      <w:tr>
        <w:tc>
          <w:tcPr>
            <w:tcW w:type="dxa" w:w="2880"/>
            <w:vAlign w:val="top"/>
          </w:tcPr>
          <w:p>
            <w:pPr>
              <w:spacing w:after="0"/>
            </w:pPr>
            <w:r>
              <w:rPr>
                <w:rFonts w:ascii="Arial" w:hAnsi="Arial"/>
                <w:sz w:val="16"/>
              </w:rPr>
              <w:t>Anemia</w:t>
            </w:r>
          </w:p>
        </w:tc>
        <w:tc>
          <w:tcPr>
            <w:tcW w:type="dxa" w:w="8064"/>
            <w:vAlign w:val="top"/>
          </w:tcPr>
          <w:p>
            <w:pPr>
              <w:spacing w:after="0"/>
            </w:pPr>
            <w:r>
              <w:rPr>
                <w:rFonts w:ascii="Arial" w:hAnsi="Arial"/>
                <w:sz w:val="16"/>
              </w:rPr>
              <w:t>A haemoglobin concentration below the accepted cutoff for the patient's pregnancy stage and the diagnostic standard adopted by the clinic.</w:t>
            </w:r>
          </w:p>
        </w:tc>
      </w:tr>
      <w:tr>
        <w:tc>
          <w:tcPr>
            <w:tcW w:type="dxa" w:w="2880"/>
            <w:vAlign w:val="top"/>
          </w:tcPr>
          <w:p>
            <w:pPr>
              <w:spacing w:after="0"/>
            </w:pPr>
            <w:r>
              <w:rPr>
                <w:rFonts w:ascii="Arial" w:hAnsi="Arial"/>
                <w:sz w:val="16"/>
              </w:rPr>
              <w:t>Iron deficiency</w:t>
            </w:r>
          </w:p>
        </w:tc>
        <w:tc>
          <w:tcPr>
            <w:tcW w:type="dxa" w:w="8064"/>
            <w:vAlign w:val="top"/>
          </w:tcPr>
          <w:p>
            <w:pPr>
              <w:spacing w:after="0"/>
            </w:pPr>
            <w:r>
              <w:rPr>
                <w:rFonts w:ascii="Arial" w:hAnsi="Arial"/>
                <w:sz w:val="16"/>
              </w:rPr>
              <w:t>Insufficient body iron stores. It is not identical to anemia and requires appropriate evidence, commonly ferritin interpreted in clinical context.</w:t>
            </w:r>
          </w:p>
        </w:tc>
      </w:tr>
      <w:tr>
        <w:tc>
          <w:tcPr>
            <w:tcW w:type="dxa" w:w="2880"/>
            <w:vAlign w:val="top"/>
          </w:tcPr>
          <w:p>
            <w:pPr>
              <w:spacing w:after="0"/>
            </w:pPr>
            <w:r>
              <w:rPr>
                <w:rFonts w:ascii="Arial" w:hAnsi="Arial"/>
                <w:sz w:val="16"/>
              </w:rPr>
              <w:t>Iron-deficiency anemia</w:t>
            </w:r>
          </w:p>
        </w:tc>
        <w:tc>
          <w:tcPr>
            <w:tcW w:type="dxa" w:w="8064"/>
            <w:vAlign w:val="top"/>
          </w:tcPr>
          <w:p>
            <w:pPr>
              <w:spacing w:after="0"/>
            </w:pPr>
            <w:r>
              <w:rPr>
                <w:rFonts w:ascii="Arial" w:hAnsi="Arial"/>
                <w:sz w:val="16"/>
              </w:rPr>
              <w:t>Anemia attributed to iron deficiency after appropriate evaluation. The CDSS must not infer this cause from haemoglobin alone.</w:t>
            </w:r>
          </w:p>
        </w:tc>
      </w:tr>
      <w:tr>
        <w:tc>
          <w:tcPr>
            <w:tcW w:type="dxa" w:w="2880"/>
            <w:vAlign w:val="top"/>
          </w:tcPr>
          <w:p>
            <w:pPr>
              <w:spacing w:after="0"/>
            </w:pPr>
            <w:r>
              <w:rPr>
                <w:rFonts w:ascii="Arial" w:hAnsi="Arial"/>
                <w:sz w:val="16"/>
              </w:rPr>
              <w:t>Physiologic haemodilution</w:t>
            </w:r>
          </w:p>
        </w:tc>
        <w:tc>
          <w:tcPr>
            <w:tcW w:type="dxa" w:w="8064"/>
            <w:vAlign w:val="top"/>
          </w:tcPr>
          <w:p>
            <w:pPr>
              <w:spacing w:after="0"/>
            </w:pPr>
            <w:r>
              <w:rPr>
                <w:rFonts w:ascii="Arial" w:hAnsi="Arial"/>
                <w:sz w:val="16"/>
              </w:rPr>
              <w:t>Normal plasma-volume expansion in pregnancy that lowers measured haemoglobin, especially in the second trimester; it informs trimester-aware interpretation but does not make all low results normal.</w:t>
            </w:r>
          </w:p>
        </w:tc>
      </w:tr>
      <w:tr>
        <w:tc>
          <w:tcPr>
            <w:tcW w:type="dxa" w:w="2880"/>
            <w:vAlign w:val="top"/>
          </w:tcPr>
          <w:p>
            <w:pPr>
              <w:spacing w:after="0"/>
            </w:pPr>
            <w:r>
              <w:rPr>
                <w:rFonts w:ascii="Arial" w:hAnsi="Arial"/>
                <w:sz w:val="16"/>
              </w:rPr>
              <w:t>Severity</w:t>
            </w:r>
          </w:p>
        </w:tc>
        <w:tc>
          <w:tcPr>
            <w:tcW w:type="dxa" w:w="8064"/>
            <w:vAlign w:val="top"/>
          </w:tcPr>
          <w:p>
            <w:pPr>
              <w:spacing w:after="0"/>
            </w:pPr>
            <w:r>
              <w:rPr>
                <w:rFonts w:ascii="Arial" w:hAnsi="Arial"/>
                <w:sz w:val="16"/>
              </w:rPr>
              <w:t>A category based primarily on haemoglobin concentration under a named standard. Severity does not replace assessment of symptoms, bleeding, comorbidity, gestational age, or hemodynamic stability.</w:t>
            </w:r>
          </w:p>
        </w:tc>
      </w:tr>
      <w:tr>
        <w:tc>
          <w:tcPr>
            <w:tcW w:type="dxa" w:w="2880"/>
            <w:vAlign w:val="top"/>
          </w:tcPr>
          <w:p>
            <w:pPr>
              <w:spacing w:after="0"/>
            </w:pPr>
            <w:r>
              <w:rPr>
                <w:rFonts w:ascii="Arial" w:hAnsi="Arial"/>
                <w:sz w:val="16"/>
              </w:rPr>
              <w:t>Pallor</w:t>
            </w:r>
          </w:p>
        </w:tc>
        <w:tc>
          <w:tcPr>
            <w:tcW w:type="dxa" w:w="8064"/>
            <w:vAlign w:val="top"/>
          </w:tcPr>
          <w:p>
            <w:pPr>
              <w:spacing w:after="0"/>
            </w:pPr>
            <w:r>
              <w:rPr>
                <w:rFonts w:ascii="Arial" w:hAnsi="Arial"/>
                <w:sz w:val="16"/>
              </w:rPr>
              <w:t>A physical finding that may raise suspicion but lacks sufficient specificity to diagnose anemia or determine severity.</w:t>
            </w:r>
          </w:p>
        </w:tc>
      </w:tr>
      <w:tr>
        <w:tc>
          <w:tcPr>
            <w:tcW w:type="dxa" w:w="2880"/>
            <w:vAlign w:val="top"/>
          </w:tcPr>
          <w:p>
            <w:pPr>
              <w:spacing w:after="0"/>
            </w:pPr>
            <w:r>
              <w:rPr>
                <w:rFonts w:ascii="Arial" w:hAnsi="Arial"/>
                <w:sz w:val="16"/>
              </w:rPr>
              <w:t>Treatment response</w:t>
            </w:r>
          </w:p>
        </w:tc>
        <w:tc>
          <w:tcPr>
            <w:tcW w:type="dxa" w:w="8064"/>
            <w:vAlign w:val="top"/>
          </w:tcPr>
          <w:p>
            <w:pPr>
              <w:spacing w:after="0"/>
            </w:pPr>
            <w:r>
              <w:rPr>
                <w:rFonts w:ascii="Arial" w:hAnsi="Arial"/>
                <w:sz w:val="16"/>
              </w:rPr>
              <w:t>Change in objective laboratory results after prescribed therapy. Adherence, dose, timing, cause, inflammation, bleeding, and absorption may affect response.</w:t>
            </w:r>
          </w:p>
        </w:tc>
      </w:tr>
      <w:tr>
        <w:tc>
          <w:tcPr>
            <w:tcW w:type="dxa" w:w="2880"/>
            <w:vAlign w:val="top"/>
          </w:tcPr>
          <w:p>
            <w:pPr>
              <w:spacing w:after="0"/>
            </w:pPr>
            <w:r>
              <w:rPr>
                <w:rFonts w:ascii="Arial" w:hAnsi="Arial"/>
                <w:sz w:val="16"/>
              </w:rPr>
              <w:t>Acute blood-loss anemia</w:t>
            </w:r>
          </w:p>
        </w:tc>
        <w:tc>
          <w:tcPr>
            <w:tcW w:type="dxa" w:w="8064"/>
            <w:vAlign w:val="top"/>
          </w:tcPr>
          <w:p>
            <w:pPr>
              <w:spacing w:after="0"/>
            </w:pPr>
            <w:r>
              <w:rPr>
                <w:rFonts w:ascii="Arial" w:hAnsi="Arial"/>
                <w:sz w:val="16"/>
              </w:rPr>
              <w:t>Anemia associated with current or recent bleeding. Early haemoglobin may not fully reflect acute loss; clinical status is essential.</w:t>
            </w:r>
          </w:p>
        </w:tc>
      </w:tr>
      <w:tr>
        <w:tc>
          <w:tcPr>
            <w:tcW w:type="dxa" w:w="2880"/>
            <w:vAlign w:val="top"/>
          </w:tcPr>
          <w:p>
            <w:pPr>
              <w:spacing w:after="0"/>
            </w:pPr>
            <w:r>
              <w:rPr>
                <w:rFonts w:ascii="Arial" w:hAnsi="Arial"/>
                <w:sz w:val="16"/>
              </w:rPr>
              <w:t>Hemoglobinopathy</w:t>
            </w:r>
          </w:p>
        </w:tc>
        <w:tc>
          <w:tcPr>
            <w:tcW w:type="dxa" w:w="8064"/>
            <w:vAlign w:val="top"/>
          </w:tcPr>
          <w:p>
            <w:pPr>
              <w:spacing w:after="0"/>
            </w:pPr>
            <w:r>
              <w:rPr>
                <w:rFonts w:ascii="Arial" w:hAnsi="Arial"/>
                <w:sz w:val="16"/>
              </w:rPr>
              <w:t>An inherited haemoglobin disorder that may cause anemia and changes the safety of iron and transfusion decisions; specialist evaluation may be required.</w:t>
            </w:r>
          </w:p>
        </w:tc>
      </w:tr>
    </w:tbl>
    <w:p/>
    <w:p>
      <w:pPr>
        <w:pStyle w:val="Heading1"/>
      </w:pPr>
      <w:r>
        <w:t>3. Why Anemia Matters in Pregnancy</w:t>
      </w:r>
    </w:p>
    <w:p>
      <w:r>
        <w:t>Anemia reduces oxygen-carrying capacity and can diminish maternal reserve for the physiologic demands of pregnancy and childbirth. WHO identifies multiple possible causes, including iron, folate, vitamin B12 or vitamin A deficiency; infection and inflammation; chronic disease; obstetric or gynecologic blood loss; and inherited red-cell disorders. Therefore, haemoglobin identifies anemia but does not establish its cause.</w:t>
      </w:r>
    </w:p>
    <w:p>
      <w:r>
        <w:t>The 2025 FIGO recommendations emphasize prevention and correction of antepartum anemia as part of reducing the impact of postpartum haemorrhage. This is especially important for a lying-in clinic because a patient who begins labor with reduced haemoglobin has less reserve if hemorrhage occurs.</w:t>
      </w:r>
    </w:p>
    <w:p>
      <w:pPr>
        <w:pStyle w:val="Heading1"/>
      </w:pPr>
      <w:r>
        <w:t>4. Guideline Review</w:t>
      </w:r>
    </w:p>
    <w:p>
      <w:pPr>
        <w:pStyle w:val="Heading2"/>
      </w:pPr>
      <w:r>
        <w:t>4.1 World Health Organization: 2024 Haemoglobin Cutoffs</w:t>
      </w:r>
    </w:p>
    <w:p>
      <w:r>
        <w:t>WHO published an updated guideline in March 2024 to standardize haemoglobin measurement and anemia classification. For pregnancy, the updated approach recognizes trimester-related haemodilution: anemia is defined below 11.0 g/dL in the first and third trimesters and below 10.5 g/dL in the second trimester. The CDSS must therefore know gestational age or trimester before applying WHO's pregnancy-specific cutoff.</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D9EAF7"/>
            <w:vAlign w:val="center"/>
          </w:tcPr>
          <w:p>
            <w:pPr>
              <w:spacing w:after="0"/>
            </w:pPr>
            <w:r>
              <w:rPr>
                <w:rFonts w:ascii="Arial" w:hAnsi="Arial"/>
                <w:b/>
                <w:sz w:val="16"/>
              </w:rPr>
              <w:t>Pregnancy period</w:t>
            </w:r>
          </w:p>
        </w:tc>
        <w:tc>
          <w:tcPr>
            <w:tcW w:type="dxa" w:w="3312"/>
            <w:shd w:fill="D9EAF7"/>
            <w:vAlign w:val="center"/>
          </w:tcPr>
          <w:p>
            <w:pPr>
              <w:spacing w:after="0"/>
            </w:pPr>
            <w:r>
              <w:rPr>
                <w:rFonts w:ascii="Arial" w:hAnsi="Arial"/>
                <w:b/>
                <w:sz w:val="16"/>
              </w:rPr>
              <w:t>WHO 2024 anemia cutoff</w:t>
            </w:r>
          </w:p>
        </w:tc>
        <w:tc>
          <w:tcPr>
            <w:tcW w:type="dxa" w:w="4608"/>
            <w:shd w:fill="D9EAF7"/>
            <w:vAlign w:val="center"/>
          </w:tcPr>
          <w:p>
            <w:pPr>
              <w:spacing w:after="0"/>
            </w:pPr>
            <w:r>
              <w:rPr>
                <w:rFonts w:ascii="Arial" w:hAnsi="Arial"/>
                <w:b/>
                <w:sz w:val="16"/>
              </w:rPr>
              <w:t>Severity bands suitable for structured interpretation</w:t>
            </w:r>
          </w:p>
        </w:tc>
      </w:tr>
      <w:tr>
        <w:tc>
          <w:tcPr>
            <w:tcW w:type="dxa" w:w="3024"/>
            <w:vAlign w:val="top"/>
          </w:tcPr>
          <w:p>
            <w:pPr>
              <w:spacing w:after="0"/>
            </w:pPr>
            <w:r>
              <w:rPr>
                <w:rFonts w:ascii="Arial" w:hAnsi="Arial"/>
                <w:sz w:val="16"/>
              </w:rPr>
              <w:t>First trimester</w:t>
            </w:r>
          </w:p>
        </w:tc>
        <w:tc>
          <w:tcPr>
            <w:tcW w:type="dxa" w:w="3312"/>
            <w:vAlign w:val="top"/>
          </w:tcPr>
          <w:p>
            <w:pPr>
              <w:spacing w:after="0"/>
            </w:pPr>
            <w:r>
              <w:rPr>
                <w:rFonts w:ascii="Arial" w:hAnsi="Arial"/>
                <w:sz w:val="16"/>
              </w:rPr>
              <w:t>&lt;11.0 g/dL</w:t>
            </w:r>
          </w:p>
        </w:tc>
        <w:tc>
          <w:tcPr>
            <w:tcW w:type="dxa" w:w="4608"/>
            <w:vAlign w:val="top"/>
          </w:tcPr>
          <w:p>
            <w:pPr>
              <w:spacing w:after="0"/>
            </w:pPr>
            <w:r>
              <w:rPr>
                <w:rFonts w:ascii="Arial" w:hAnsi="Arial"/>
                <w:sz w:val="16"/>
              </w:rPr>
              <w:t>Mild 10.0-10.9; moderate 7.0-9.9; severe &lt;7.0 g/dL.</w:t>
            </w:r>
          </w:p>
        </w:tc>
      </w:tr>
      <w:tr>
        <w:tc>
          <w:tcPr>
            <w:tcW w:type="dxa" w:w="3024"/>
            <w:vAlign w:val="top"/>
          </w:tcPr>
          <w:p>
            <w:pPr>
              <w:spacing w:after="0"/>
            </w:pPr>
            <w:r>
              <w:rPr>
                <w:rFonts w:ascii="Arial" w:hAnsi="Arial"/>
                <w:sz w:val="16"/>
              </w:rPr>
              <w:t>Second trimester</w:t>
            </w:r>
          </w:p>
        </w:tc>
        <w:tc>
          <w:tcPr>
            <w:tcW w:type="dxa" w:w="3312"/>
            <w:vAlign w:val="top"/>
          </w:tcPr>
          <w:p>
            <w:pPr>
              <w:spacing w:after="0"/>
            </w:pPr>
            <w:r>
              <w:rPr>
                <w:rFonts w:ascii="Arial" w:hAnsi="Arial"/>
                <w:sz w:val="16"/>
              </w:rPr>
              <w:t>&lt;10.5 g/dL</w:t>
            </w:r>
          </w:p>
        </w:tc>
        <w:tc>
          <w:tcPr>
            <w:tcW w:type="dxa" w:w="4608"/>
            <w:vAlign w:val="top"/>
          </w:tcPr>
          <w:p>
            <w:pPr>
              <w:spacing w:after="0"/>
            </w:pPr>
            <w:r>
              <w:rPr>
                <w:rFonts w:ascii="Arial" w:hAnsi="Arial"/>
                <w:sz w:val="16"/>
              </w:rPr>
              <w:t>Mild 9.5-10.4; moderate 7.0-9.4; severe &lt;7.0 g/dL.</w:t>
            </w:r>
          </w:p>
        </w:tc>
      </w:tr>
      <w:tr>
        <w:tc>
          <w:tcPr>
            <w:tcW w:type="dxa" w:w="3024"/>
            <w:vAlign w:val="top"/>
          </w:tcPr>
          <w:p>
            <w:pPr>
              <w:spacing w:after="0"/>
            </w:pPr>
            <w:r>
              <w:rPr>
                <w:rFonts w:ascii="Arial" w:hAnsi="Arial"/>
                <w:sz w:val="16"/>
              </w:rPr>
              <w:t>Third trimester</w:t>
            </w:r>
          </w:p>
        </w:tc>
        <w:tc>
          <w:tcPr>
            <w:tcW w:type="dxa" w:w="3312"/>
            <w:vAlign w:val="top"/>
          </w:tcPr>
          <w:p>
            <w:pPr>
              <w:spacing w:after="0"/>
            </w:pPr>
            <w:r>
              <w:rPr>
                <w:rFonts w:ascii="Arial" w:hAnsi="Arial"/>
                <w:sz w:val="16"/>
              </w:rPr>
              <w:t>&lt;11.0 g/dL</w:t>
            </w:r>
          </w:p>
        </w:tc>
        <w:tc>
          <w:tcPr>
            <w:tcW w:type="dxa" w:w="4608"/>
            <w:vAlign w:val="top"/>
          </w:tcPr>
          <w:p>
            <w:pPr>
              <w:spacing w:after="0"/>
            </w:pPr>
            <w:r>
              <w:rPr>
                <w:rFonts w:ascii="Arial" w:hAnsi="Arial"/>
                <w:sz w:val="16"/>
              </w:rPr>
              <w:t>Mild 10.0-10.9; moderate 7.0-9.9; severe &lt;7.0 g/dL.</w:t>
            </w:r>
          </w:p>
        </w:tc>
      </w:tr>
    </w:tbl>
    <w:p/>
    <w:p>
      <w:r>
        <w:t>WHO also stresses that haemoglobin interpretation can be affected by altitude, smoking, measurement method, and population context. For this clinic, altitude correction is unlikely to be a routine issue in lowland Bulacan, but the data model should not hard-code a universal assumption if the system is later deployed elsewhere.</w:t>
      </w:r>
    </w:p>
    <w:p>
      <w:pPr>
        <w:pStyle w:val="Heading2"/>
      </w:pPr>
      <w:r>
        <w:t>4.2 WHO: Prevention with Iron and Folic Acid</w:t>
      </w:r>
    </w:p>
    <w:p>
      <w:r>
        <w:t>WHO recommends daily oral supplementation during pregnancy with 30-60 mg elemental iron and 400 micrograms (0.4 mg) folic acid to prevent maternal anemia and improve selected maternal and birth outcomes. The higher 60 mg iron dose is preferred where anemia prevalence in pregnancy is a severe public-health problem. This is a population-level preventive recommendation; it is not equivalent to individualized treatment of confirmed anemia.</w:t>
      </w:r>
    </w:p>
    <w:p>
      <w:r>
        <w:t>WHO materials also describe a higher daily elemental-iron dose for diagnosed anemia until haemoglobin returns to normal, followed by preventive dosing. The CDSS may record a clinician-approved plan and monitor follow-up, but it must not prescribe or change doses autonomously.</w:t>
      </w:r>
    </w:p>
    <w:p>
      <w:pPr>
        <w:pStyle w:val="Heading2"/>
      </w:pPr>
      <w:r>
        <w:t>4.3 ACOG</w:t>
      </w:r>
    </w:p>
    <w:p>
      <w:r>
        <w:t>ACOG Practice Bulletin No. 233, reaffirmed in 2024, identifies iron deficiency and acute blood loss as the two most common causes of anemia in pregnancy and reviews screening and clinical management. Detailed recommendations are partly subscription-restricted; this chapter therefore does not claim inaccessible text. Consistent with ACOG and CDC conventions cited in open professional literature, anemia thresholds are trimester-specific: below 11.0 g/dL in the first and third trimesters and below 10.5 g/dL in the second.</w:t>
      </w:r>
    </w:p>
    <w:p>
      <w:pPr>
        <w:pStyle w:val="Heading2"/>
      </w:pPr>
      <w:r>
        <w:t>4.4 FIGO 2025</w:t>
      </w:r>
    </w:p>
    <w:p>
      <w:r>
        <w:t>FIGO recommends screening at booking and again at 28 weeks using a full blood count, or haemoglobin/hematocrit where resources are limited. FIGO recommends a single cutoff below 11.0 g/dL in all trimesters for global uniformity, with mild anemia at 10.0-10.9 g/dL, moderate anemia at 7.0-9.9 g/dL, and severe anemia below 7.0 g/dL.</w:t>
      </w:r>
    </w:p>
    <w:tbl>
      <w:tblPr>
        <w:tblStyle w:val="TableGrid"/>
        <w:tblW w:type="auto" w:w="0"/>
        <w:tblLook w:firstColumn="1" w:firstRow="1" w:lastColumn="0" w:lastRow="0" w:noHBand="0" w:noVBand="1" w:val="04A0"/>
      </w:tblPr>
      <w:tblGrid>
        <w:gridCol w:w="9994"/>
      </w:tblGrid>
      <w:tr>
        <w:tc>
          <w:tcPr>
            <w:tcW w:type="dxa" w:w="9994"/>
            <w:shd w:fill="FFF2CC"/>
          </w:tcPr>
          <w:p>
            <w:pPr>
              <w:jc w:val="left"/>
            </w:pPr>
            <w:r>
              <w:rPr>
                <w:rFonts w:ascii="Arial" w:hAnsi="Arial"/>
                <w:b/>
                <w:sz w:val="19"/>
              </w:rPr>
              <w:t>Important disagreement: WHO 2024 and ACOG use a lower second-trimester cutoff of 10.5 g/dL, while FIGO 2025 recommends &lt;11.0 g/dL in every trimester for uniformity. The system must store the adopted standard and must not switch between them silently.</w:t>
            </w:r>
          </w:p>
        </w:tc>
      </w:tr>
    </w:tbl>
    <w:p/>
    <w:p>
      <w:r>
        <w:t>FIGO also recommends investigation of the cause, supports ferritin below 30 micrograms/L as evidence of iron deficiency, and identifies severe anemia, acute severe bleeding, risk of further bleeding, or symptomatic anemia with hemodynamic or cardiac compromise as situations requiring escalated management. Treatment choices remain clinical decisions.</w:t>
      </w:r>
    </w:p>
    <w:p>
      <w:pPr>
        <w:pStyle w:val="Heading2"/>
      </w:pPr>
      <w:r>
        <w:t>4.5 Philippine Applicability</w:t>
      </w:r>
    </w:p>
    <w:p>
      <w:r>
        <w:t>Philippine National Nutrition Council materials describe iron-folic acid supplementation as a routine maternal-health intervention and state that pregnant women receive 180 tablets through prenatal services. Republic Act No. 11148 supports maternal nutrition and care during the first 1,000 days. These sources justify tracking supplementation access and adherence.</w:t>
      </w:r>
    </w:p>
    <w:p>
      <w:r>
        <w:t>However, public educational materials are not sufficient authority for coding individualized diagnostic or treatment rules. Before deployment, the clinic must verify its official haemoglobin threshold, screening schedule, treatment standing orders, referral criteria, laboratory arrangements, and birth-facility eligibility with the relevant DOH/LGU policy and supervising clinician.</w:t>
      </w:r>
    </w:p>
    <w:p>
      <w:r>
        <w:br w:type="page"/>
      </w:r>
    </w:p>
    <w:p>
      <w:pPr>
        <w:pStyle w:val="Heading1"/>
      </w:pPr>
      <w:r>
        <w:t>5. Evidence Comparison and Rule Selection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376"/>
            <w:shd w:fill="D9EAF7"/>
            <w:vAlign w:val="center"/>
          </w:tcPr>
          <w:p>
            <w:pPr>
              <w:spacing w:after="0"/>
            </w:pPr>
            <w:r>
              <w:rPr>
                <w:rFonts w:ascii="Arial" w:hAnsi="Arial"/>
                <w:b/>
                <w:sz w:val="15"/>
              </w:rPr>
              <w:t>Question</w:t>
            </w:r>
          </w:p>
        </w:tc>
        <w:tc>
          <w:tcPr>
            <w:tcW w:type="dxa" w:w="2160"/>
            <w:shd w:fill="D9EAF7"/>
            <w:vAlign w:val="center"/>
          </w:tcPr>
          <w:p>
            <w:pPr>
              <w:spacing w:after="0"/>
            </w:pPr>
            <w:r>
              <w:rPr>
                <w:rFonts w:ascii="Arial" w:hAnsi="Arial"/>
                <w:b/>
                <w:sz w:val="15"/>
              </w:rPr>
              <w:t>WHO 2024</w:t>
            </w:r>
          </w:p>
        </w:tc>
        <w:tc>
          <w:tcPr>
            <w:tcW w:type="dxa" w:w="2088"/>
            <w:shd w:fill="D9EAF7"/>
            <w:vAlign w:val="center"/>
          </w:tcPr>
          <w:p>
            <w:pPr>
              <w:spacing w:after="0"/>
            </w:pPr>
            <w:r>
              <w:rPr>
                <w:rFonts w:ascii="Arial" w:hAnsi="Arial"/>
                <w:b/>
                <w:sz w:val="15"/>
              </w:rPr>
              <w:t>ACOG</w:t>
            </w:r>
          </w:p>
        </w:tc>
        <w:tc>
          <w:tcPr>
            <w:tcW w:type="dxa" w:w="2088"/>
            <w:shd w:fill="D9EAF7"/>
            <w:vAlign w:val="center"/>
          </w:tcPr>
          <w:p>
            <w:pPr>
              <w:spacing w:after="0"/>
            </w:pPr>
            <w:r>
              <w:rPr>
                <w:rFonts w:ascii="Arial" w:hAnsi="Arial"/>
                <w:b/>
                <w:sz w:val="15"/>
              </w:rPr>
              <w:t>FIGO 2025</w:t>
            </w:r>
          </w:p>
        </w:tc>
        <w:tc>
          <w:tcPr>
            <w:tcW w:type="dxa" w:w="2880"/>
            <w:shd w:fill="D9EAF7"/>
            <w:vAlign w:val="center"/>
          </w:tcPr>
          <w:p>
            <w:pPr>
              <w:spacing w:after="0"/>
            </w:pPr>
            <w:r>
              <w:rPr>
                <w:rFonts w:ascii="Arial" w:hAnsi="Arial"/>
                <w:b/>
                <w:sz w:val="15"/>
              </w:rPr>
              <w:t>CDSS design decision</w:t>
            </w:r>
          </w:p>
        </w:tc>
      </w:tr>
      <w:tr>
        <w:tc>
          <w:tcPr>
            <w:tcW w:type="dxa" w:w="2376"/>
            <w:vAlign w:val="top"/>
          </w:tcPr>
          <w:p>
            <w:pPr>
              <w:spacing w:after="0"/>
            </w:pPr>
            <w:r>
              <w:rPr>
                <w:rFonts w:ascii="Arial" w:hAnsi="Arial"/>
                <w:sz w:val="15"/>
              </w:rPr>
              <w:t>When is pregnancy anemia present?</w:t>
            </w:r>
          </w:p>
        </w:tc>
        <w:tc>
          <w:tcPr>
            <w:tcW w:type="dxa" w:w="2160"/>
            <w:vAlign w:val="top"/>
          </w:tcPr>
          <w:p>
            <w:pPr>
              <w:spacing w:after="0"/>
            </w:pPr>
            <w:r>
              <w:rPr>
                <w:rFonts w:ascii="Arial" w:hAnsi="Arial"/>
                <w:sz w:val="15"/>
              </w:rPr>
              <w:t>&lt;11.0 g/dL in 1st/3rd; &lt;10.5 in 2nd.</w:t>
            </w:r>
          </w:p>
        </w:tc>
        <w:tc>
          <w:tcPr>
            <w:tcW w:type="dxa" w:w="2088"/>
            <w:vAlign w:val="top"/>
          </w:tcPr>
          <w:p>
            <w:pPr>
              <w:spacing w:after="0"/>
            </w:pPr>
            <w:r>
              <w:rPr>
                <w:rFonts w:ascii="Arial" w:hAnsi="Arial"/>
                <w:sz w:val="15"/>
              </w:rPr>
              <w:t>Same trimester pattern reported in accessible sources.</w:t>
            </w:r>
          </w:p>
        </w:tc>
        <w:tc>
          <w:tcPr>
            <w:tcW w:type="dxa" w:w="2088"/>
            <w:vAlign w:val="top"/>
          </w:tcPr>
          <w:p>
            <w:pPr>
              <w:spacing w:after="0"/>
            </w:pPr>
            <w:r>
              <w:rPr>
                <w:rFonts w:ascii="Arial" w:hAnsi="Arial"/>
                <w:sz w:val="15"/>
              </w:rPr>
              <w:t>&lt;11.0 g/dL all trimesters.</w:t>
            </w:r>
          </w:p>
        </w:tc>
        <w:tc>
          <w:tcPr>
            <w:tcW w:type="dxa" w:w="2880"/>
            <w:vAlign w:val="top"/>
          </w:tcPr>
          <w:p>
            <w:pPr>
              <w:spacing w:after="0"/>
            </w:pPr>
            <w:r>
              <w:rPr>
                <w:rFonts w:ascii="Arial" w:hAnsi="Arial"/>
                <w:sz w:val="15"/>
              </w:rPr>
              <w:t>Store and display the selected standard/version. Default research model may use WHO 2024, pending local approval.</w:t>
            </w:r>
          </w:p>
        </w:tc>
      </w:tr>
      <w:tr>
        <w:tc>
          <w:tcPr>
            <w:tcW w:type="dxa" w:w="2376"/>
            <w:vAlign w:val="top"/>
          </w:tcPr>
          <w:p>
            <w:pPr>
              <w:spacing w:after="0"/>
            </w:pPr>
            <w:r>
              <w:rPr>
                <w:rFonts w:ascii="Arial" w:hAnsi="Arial"/>
                <w:sz w:val="15"/>
              </w:rPr>
              <w:t>When should screening occur?</w:t>
            </w:r>
          </w:p>
        </w:tc>
        <w:tc>
          <w:tcPr>
            <w:tcW w:type="dxa" w:w="2160"/>
            <w:vAlign w:val="top"/>
          </w:tcPr>
          <w:p>
            <w:pPr>
              <w:spacing w:after="0"/>
            </w:pPr>
            <w:r>
              <w:rPr>
                <w:rFonts w:ascii="Arial" w:hAnsi="Arial"/>
                <w:sz w:val="15"/>
              </w:rPr>
              <w:t>Antenatal care includes haemoglobin testing; local schedules operationalize timing.</w:t>
            </w:r>
          </w:p>
        </w:tc>
        <w:tc>
          <w:tcPr>
            <w:tcW w:type="dxa" w:w="2088"/>
            <w:vAlign w:val="top"/>
          </w:tcPr>
          <w:p>
            <w:pPr>
              <w:spacing w:after="0"/>
            </w:pPr>
            <w:r>
              <w:rPr>
                <w:rFonts w:ascii="Arial" w:hAnsi="Arial"/>
                <w:sz w:val="15"/>
              </w:rPr>
              <w:t>Screening is part of prenatal care.</w:t>
            </w:r>
          </w:p>
        </w:tc>
        <w:tc>
          <w:tcPr>
            <w:tcW w:type="dxa" w:w="2088"/>
            <w:vAlign w:val="top"/>
          </w:tcPr>
          <w:p>
            <w:pPr>
              <w:spacing w:after="0"/>
            </w:pPr>
            <w:r>
              <w:rPr>
                <w:rFonts w:ascii="Arial" w:hAnsi="Arial"/>
                <w:sz w:val="15"/>
              </w:rPr>
              <w:t>Booking and 28 weeks.</w:t>
            </w:r>
          </w:p>
        </w:tc>
        <w:tc>
          <w:tcPr>
            <w:tcW w:type="dxa" w:w="2880"/>
            <w:vAlign w:val="top"/>
          </w:tcPr>
          <w:p>
            <w:pPr>
              <w:spacing w:after="0"/>
            </w:pPr>
            <w:r>
              <w:rPr>
                <w:rFonts w:ascii="Arial" w:hAnsi="Arial"/>
                <w:sz w:val="15"/>
              </w:rPr>
              <w:t>Create early-pregnancy and repeat-test reminders; clinic validates exact schedule.</w:t>
            </w:r>
          </w:p>
        </w:tc>
      </w:tr>
      <w:tr>
        <w:tc>
          <w:tcPr>
            <w:tcW w:type="dxa" w:w="2376"/>
            <w:vAlign w:val="top"/>
          </w:tcPr>
          <w:p>
            <w:pPr>
              <w:spacing w:after="0"/>
            </w:pPr>
            <w:r>
              <w:rPr>
                <w:rFonts w:ascii="Arial" w:hAnsi="Arial"/>
                <w:sz w:val="15"/>
              </w:rPr>
              <w:t>Can haemoglobin diagnose iron deficiency?</w:t>
            </w:r>
          </w:p>
        </w:tc>
        <w:tc>
          <w:tcPr>
            <w:tcW w:type="dxa" w:w="2160"/>
            <w:vAlign w:val="top"/>
          </w:tcPr>
          <w:p>
            <w:pPr>
              <w:spacing w:after="0"/>
            </w:pPr>
            <w:r>
              <w:rPr>
                <w:rFonts w:ascii="Arial" w:hAnsi="Arial"/>
                <w:sz w:val="15"/>
              </w:rPr>
              <w:t>No; anemia has multiple causes.</w:t>
            </w:r>
          </w:p>
        </w:tc>
        <w:tc>
          <w:tcPr>
            <w:tcW w:type="dxa" w:w="2088"/>
            <w:vAlign w:val="top"/>
          </w:tcPr>
          <w:p>
            <w:pPr>
              <w:spacing w:after="0"/>
            </w:pPr>
            <w:r>
              <w:rPr>
                <w:rFonts w:ascii="Arial" w:hAnsi="Arial"/>
                <w:sz w:val="15"/>
              </w:rPr>
              <w:t>No; evaluation is required.</w:t>
            </w:r>
          </w:p>
        </w:tc>
        <w:tc>
          <w:tcPr>
            <w:tcW w:type="dxa" w:w="2088"/>
            <w:vAlign w:val="top"/>
          </w:tcPr>
          <w:p>
            <w:pPr>
              <w:spacing w:after="0"/>
            </w:pPr>
            <w:r>
              <w:rPr>
                <w:rFonts w:ascii="Arial" w:hAnsi="Arial"/>
                <w:sz w:val="15"/>
              </w:rPr>
              <w:t>Ferritin and/or response under clinical conditions may support diagnosis.</w:t>
            </w:r>
          </w:p>
        </w:tc>
        <w:tc>
          <w:tcPr>
            <w:tcW w:type="dxa" w:w="2880"/>
            <w:vAlign w:val="top"/>
          </w:tcPr>
          <w:p>
            <w:pPr>
              <w:spacing w:after="0"/>
            </w:pPr>
            <w:r>
              <w:rPr>
                <w:rFonts w:ascii="Arial" w:hAnsi="Arial"/>
                <w:sz w:val="15"/>
              </w:rPr>
              <w:t>Separate anemia status from cause.</w:t>
            </w:r>
          </w:p>
        </w:tc>
      </w:tr>
      <w:tr>
        <w:tc>
          <w:tcPr>
            <w:tcW w:type="dxa" w:w="2376"/>
            <w:vAlign w:val="top"/>
          </w:tcPr>
          <w:p>
            <w:pPr>
              <w:spacing w:after="0"/>
            </w:pPr>
            <w:r>
              <w:rPr>
                <w:rFonts w:ascii="Arial" w:hAnsi="Arial"/>
                <w:sz w:val="15"/>
              </w:rPr>
              <w:t>Is every anemia result urgent?</w:t>
            </w:r>
          </w:p>
        </w:tc>
        <w:tc>
          <w:tcPr>
            <w:tcW w:type="dxa" w:w="2160"/>
            <w:vAlign w:val="top"/>
          </w:tcPr>
          <w:p>
            <w:pPr>
              <w:spacing w:after="0"/>
            </w:pPr>
            <w:r>
              <w:rPr>
                <w:rFonts w:ascii="Arial" w:hAnsi="Arial"/>
                <w:sz w:val="15"/>
              </w:rPr>
              <w:t>No; severity and clinical context matter.</w:t>
            </w:r>
          </w:p>
        </w:tc>
        <w:tc>
          <w:tcPr>
            <w:tcW w:type="dxa" w:w="2088"/>
            <w:vAlign w:val="top"/>
          </w:tcPr>
          <w:p>
            <w:pPr>
              <w:spacing w:after="0"/>
            </w:pPr>
            <w:r>
              <w:rPr>
                <w:rFonts w:ascii="Arial" w:hAnsi="Arial"/>
                <w:sz w:val="15"/>
              </w:rPr>
              <w:t>No.</w:t>
            </w:r>
          </w:p>
        </w:tc>
        <w:tc>
          <w:tcPr>
            <w:tcW w:type="dxa" w:w="2088"/>
            <w:vAlign w:val="top"/>
          </w:tcPr>
          <w:p>
            <w:pPr>
              <w:spacing w:after="0"/>
            </w:pPr>
            <w:r>
              <w:rPr>
                <w:rFonts w:ascii="Arial" w:hAnsi="Arial"/>
                <w:sz w:val="15"/>
              </w:rPr>
              <w:t>No; severe/symptomatic/bleeding states escalate.</w:t>
            </w:r>
          </w:p>
        </w:tc>
        <w:tc>
          <w:tcPr>
            <w:tcW w:type="dxa" w:w="2880"/>
            <w:vAlign w:val="top"/>
          </w:tcPr>
          <w:p>
            <w:pPr>
              <w:spacing w:after="0"/>
            </w:pPr>
            <w:r>
              <w:rPr>
                <w:rFonts w:ascii="Arial" w:hAnsi="Arial"/>
                <w:sz w:val="15"/>
              </w:rPr>
              <w:t>Use action levels, not a single HIGH label.</w:t>
            </w:r>
          </w:p>
        </w:tc>
      </w:tr>
      <w:tr>
        <w:tc>
          <w:tcPr>
            <w:tcW w:type="dxa" w:w="2376"/>
            <w:vAlign w:val="top"/>
          </w:tcPr>
          <w:p>
            <w:pPr>
              <w:spacing w:after="0"/>
            </w:pPr>
            <w:r>
              <w:rPr>
                <w:rFonts w:ascii="Arial" w:hAnsi="Arial"/>
                <w:sz w:val="15"/>
              </w:rPr>
              <w:t>Should iron-folic acid be routine?</w:t>
            </w:r>
          </w:p>
        </w:tc>
        <w:tc>
          <w:tcPr>
            <w:tcW w:type="dxa" w:w="2160"/>
            <w:vAlign w:val="top"/>
          </w:tcPr>
          <w:p>
            <w:pPr>
              <w:spacing w:after="0"/>
            </w:pPr>
            <w:r>
              <w:rPr>
                <w:rFonts w:ascii="Arial" w:hAnsi="Arial"/>
                <w:sz w:val="15"/>
              </w:rPr>
              <w:t>Yes, preventive supplementation.</w:t>
            </w:r>
          </w:p>
        </w:tc>
        <w:tc>
          <w:tcPr>
            <w:tcW w:type="dxa" w:w="2088"/>
            <w:vAlign w:val="top"/>
          </w:tcPr>
          <w:p>
            <w:pPr>
              <w:spacing w:after="0"/>
            </w:pPr>
            <w:r>
              <w:rPr>
                <w:rFonts w:ascii="Arial" w:hAnsi="Arial"/>
                <w:sz w:val="15"/>
              </w:rPr>
              <w:t>Supports prevention and treatment within clinical guidance.</w:t>
            </w:r>
          </w:p>
        </w:tc>
        <w:tc>
          <w:tcPr>
            <w:tcW w:type="dxa" w:w="2088"/>
            <w:vAlign w:val="top"/>
          </w:tcPr>
          <w:p>
            <w:pPr>
              <w:spacing w:after="0"/>
            </w:pPr>
            <w:r>
              <w:rPr>
                <w:rFonts w:ascii="Arial" w:hAnsi="Arial"/>
                <w:sz w:val="15"/>
              </w:rPr>
              <w:t>Yes.</w:t>
            </w:r>
          </w:p>
        </w:tc>
        <w:tc>
          <w:tcPr>
            <w:tcW w:type="dxa" w:w="2880"/>
            <w:vAlign w:val="top"/>
          </w:tcPr>
          <w:p>
            <w:pPr>
              <w:spacing w:after="0"/>
            </w:pPr>
            <w:r>
              <w:rPr>
                <w:rFonts w:ascii="Arial" w:hAnsi="Arial"/>
                <w:sz w:val="15"/>
              </w:rPr>
              <w:t>Track provision/adherence; do not autonomously prescribe.</w:t>
            </w:r>
          </w:p>
        </w:tc>
      </w:tr>
      <w:tr>
        <w:tc>
          <w:tcPr>
            <w:tcW w:type="dxa" w:w="2376"/>
            <w:vAlign w:val="top"/>
          </w:tcPr>
          <w:p>
            <w:pPr>
              <w:spacing w:after="0"/>
            </w:pPr>
            <w:r>
              <w:rPr>
                <w:rFonts w:ascii="Arial" w:hAnsi="Arial"/>
                <w:sz w:val="15"/>
              </w:rPr>
              <w:t>What about disagreement?</w:t>
            </w:r>
          </w:p>
        </w:tc>
        <w:tc>
          <w:tcPr>
            <w:tcW w:type="dxa" w:w="2160"/>
            <w:vAlign w:val="top"/>
          </w:tcPr>
          <w:p>
            <w:pPr>
              <w:spacing w:after="0"/>
            </w:pPr>
            <w:r>
              <w:rPr>
                <w:rFonts w:ascii="Arial" w:hAnsi="Arial"/>
                <w:sz w:val="15"/>
              </w:rPr>
              <w:t>Trimester-specific cutoff.</w:t>
            </w:r>
          </w:p>
        </w:tc>
        <w:tc>
          <w:tcPr>
            <w:tcW w:type="dxa" w:w="2088"/>
            <w:vAlign w:val="top"/>
          </w:tcPr>
          <w:p>
            <w:pPr>
              <w:spacing w:after="0"/>
            </w:pPr>
            <w:r>
              <w:rPr>
                <w:rFonts w:ascii="Arial" w:hAnsi="Arial"/>
                <w:sz w:val="15"/>
              </w:rPr>
              <w:t>Trimester-specific cutoff.</w:t>
            </w:r>
          </w:p>
        </w:tc>
        <w:tc>
          <w:tcPr>
            <w:tcW w:type="dxa" w:w="2088"/>
            <w:vAlign w:val="top"/>
          </w:tcPr>
          <w:p>
            <w:pPr>
              <w:spacing w:after="0"/>
            </w:pPr>
            <w:r>
              <w:rPr>
                <w:rFonts w:ascii="Arial" w:hAnsi="Arial"/>
                <w:sz w:val="15"/>
              </w:rPr>
              <w:t>Uniform cutoff.</w:t>
            </w:r>
          </w:p>
        </w:tc>
        <w:tc>
          <w:tcPr>
            <w:tcW w:type="dxa" w:w="2880"/>
            <w:vAlign w:val="top"/>
          </w:tcPr>
          <w:p>
            <w:pPr>
              <w:spacing w:after="0"/>
            </w:pPr>
            <w:r>
              <w:rPr>
                <w:rFonts w:ascii="Arial" w:hAnsi="Arial"/>
                <w:sz w:val="15"/>
              </w:rPr>
              <w:t>Never mix standards; show rationale and source.</w:t>
            </w:r>
          </w:p>
        </w:tc>
      </w:tr>
    </w:tbl>
    <w:p/>
    <w:p>
      <w:pPr>
        <w:pStyle w:val="Heading1"/>
      </w:pPr>
      <w:r>
        <w:t>6. Data Quality Requirements</w:t>
      </w:r>
    </w:p>
    <w:p>
      <w:r>
        <w:t>A haemoglobin number is safe to interpret only when the following fields are available or explicitly marked unknown:</w:t>
      </w:r>
    </w:p>
    <w:p>
      <w:pPr>
        <w:pStyle w:val="ListBullet"/>
        <w:spacing w:after="40"/>
      </w:pPr>
      <w:r>
        <w:t>Result value and unit (g/dL or g/L), with automatic unit normalization that preserves the original result.</w:t>
      </w:r>
    </w:p>
    <w:p>
      <w:pPr>
        <w:pStyle w:val="ListBullet"/>
        <w:spacing w:after="40"/>
      </w:pPr>
      <w:r>
        <w:t>Specimen date and gestational age or trimester on that date.</w:t>
      </w:r>
    </w:p>
    <w:p>
      <w:pPr>
        <w:pStyle w:val="ListBullet"/>
        <w:spacing w:after="40"/>
      </w:pPr>
      <w:r>
        <w:t>Laboratory or validated point-of-care source.</w:t>
      </w:r>
    </w:p>
    <w:p>
      <w:pPr>
        <w:pStyle w:val="ListBullet"/>
        <w:spacing w:after="40"/>
      </w:pPr>
      <w:r>
        <w:t>Whether the result is initial, repeat, or post-treatment.</w:t>
      </w:r>
    </w:p>
    <w:p>
      <w:pPr>
        <w:pStyle w:val="ListBullet"/>
        <w:spacing w:after="40"/>
      </w:pPr>
      <w:r>
        <w:t>Complete blood count indices where available: hematocrit, MCV, MCH/MCHC, red-cell count, RDW, white-cell count, and platelets.</w:t>
      </w:r>
    </w:p>
    <w:p>
      <w:pPr>
        <w:pStyle w:val="ListBullet"/>
        <w:spacing w:after="40"/>
      </w:pPr>
      <w:r>
        <w:t>Ferritin result, unit, date, and clinical context where ordered.</w:t>
      </w:r>
    </w:p>
    <w:p>
      <w:pPr>
        <w:pStyle w:val="ListBullet"/>
        <w:spacing w:after="40"/>
      </w:pPr>
      <w:r>
        <w:t>Current bleeding, recent hemorrhage, infection/inflammation, chronic disease, nutritional risk, or known hemoglobinopathy.</w:t>
      </w:r>
    </w:p>
    <w:p>
      <w:pPr>
        <w:pStyle w:val="ListBullet"/>
        <w:spacing w:after="40"/>
      </w:pPr>
      <w:r>
        <w:t>Symptoms and maternal stability at the time of assessment.</w:t>
      </w:r>
    </w:p>
    <w:p>
      <w:pPr>
        <w:pStyle w:val="ListBullet"/>
        <w:spacing w:after="40"/>
      </w:pPr>
      <w:r>
        <w:t>Treatment plan, prescriber, start date, adherence, side effects, and next test date.</w:t>
      </w:r>
    </w:p>
    <w:p>
      <w:pPr>
        <w:pStyle w:val="ListBullet"/>
        <w:spacing w:after="40"/>
      </w:pPr>
      <w:r>
        <w:t>Diagnostic standard and version used to classify anemia.</w:t>
      </w:r>
    </w:p>
    <w:p>
      <w:pPr>
        <w:pStyle w:val="Heading1"/>
      </w:pPr>
      <w:r>
        <w:t>7. Symptoms and Physical Findings</w:t>
      </w:r>
    </w:p>
    <w:p>
      <w:r>
        <w:t>Fatigue, weakness, dizziness, palpitations, shortness of breath, headache, and pallor may occur with anemia, but they are nonspecific and can reflect normal pregnancy, infection, cardiovascular or respiratory disease, bleeding, or other conditions. The CDSS should use them to determine urgency and prompt testing—not to calculate haemoglobin or diagnose cause.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D9EAF7"/>
            <w:vAlign w:val="center"/>
          </w:tcPr>
          <w:p>
            <w:pPr>
              <w:spacing w:after="0"/>
            </w:pPr>
            <w:r>
              <w:rPr>
                <w:rFonts w:ascii="Arial" w:hAnsi="Arial"/>
                <w:b/>
                <w:sz w:val="16"/>
              </w:rPr>
              <w:t>Finding</w:t>
            </w:r>
          </w:p>
        </w:tc>
        <w:tc>
          <w:tcPr>
            <w:tcW w:type="dxa" w:w="4464"/>
            <w:shd w:fill="D9EAF7"/>
            <w:vAlign w:val="center"/>
          </w:tcPr>
          <w:p>
            <w:pPr>
              <w:spacing w:after="0"/>
            </w:pPr>
            <w:r>
              <w:rPr>
                <w:rFonts w:ascii="Arial" w:hAnsi="Arial"/>
                <w:b/>
                <w:sz w:val="16"/>
              </w:rPr>
              <w:t>Permitted CDSS use</w:t>
            </w:r>
          </w:p>
        </w:tc>
        <w:tc>
          <w:tcPr>
            <w:tcW w:type="dxa" w:w="3600"/>
            <w:shd w:fill="D9EAF7"/>
            <w:vAlign w:val="center"/>
          </w:tcPr>
          <w:p>
            <w:pPr>
              <w:spacing w:after="0"/>
            </w:pPr>
            <w:r>
              <w:rPr>
                <w:rFonts w:ascii="Arial" w:hAnsi="Arial"/>
                <w:b/>
                <w:sz w:val="16"/>
              </w:rPr>
              <w:t>Unsafe inference</w:t>
            </w:r>
          </w:p>
        </w:tc>
      </w:tr>
      <w:tr>
        <w:tc>
          <w:tcPr>
            <w:tcW w:type="dxa" w:w="2880"/>
            <w:vAlign w:val="top"/>
          </w:tcPr>
          <w:p>
            <w:pPr>
              <w:spacing w:after="0"/>
            </w:pPr>
            <w:r>
              <w:rPr>
                <w:rFonts w:ascii="Arial" w:hAnsi="Arial"/>
                <w:sz w:val="16"/>
              </w:rPr>
              <w:t>Conjunctival or palmar pallor</w:t>
            </w:r>
          </w:p>
        </w:tc>
        <w:tc>
          <w:tcPr>
            <w:tcW w:type="dxa" w:w="4464"/>
            <w:vAlign w:val="top"/>
          </w:tcPr>
          <w:p>
            <w:pPr>
              <w:spacing w:after="0"/>
            </w:pPr>
            <w:r>
              <w:rPr>
                <w:rFonts w:ascii="Arial" w:hAnsi="Arial"/>
                <w:sz w:val="16"/>
              </w:rPr>
              <w:t>Prompt haemoglobin testing if no recent valid result.</w:t>
            </w:r>
          </w:p>
        </w:tc>
        <w:tc>
          <w:tcPr>
            <w:tcW w:type="dxa" w:w="3600"/>
            <w:vAlign w:val="top"/>
          </w:tcPr>
          <w:p>
            <w:pPr>
              <w:spacing w:after="0"/>
            </w:pPr>
            <w:r>
              <w:rPr>
                <w:rFonts w:ascii="Arial" w:hAnsi="Arial"/>
                <w:sz w:val="16"/>
              </w:rPr>
              <w:t>Do not diagnose or grade anemia from appearance.</w:t>
            </w:r>
          </w:p>
        </w:tc>
      </w:tr>
      <w:tr>
        <w:tc>
          <w:tcPr>
            <w:tcW w:type="dxa" w:w="2880"/>
            <w:vAlign w:val="top"/>
          </w:tcPr>
          <w:p>
            <w:pPr>
              <w:spacing w:after="0"/>
            </w:pPr>
            <w:r>
              <w:rPr>
                <w:rFonts w:ascii="Arial" w:hAnsi="Arial"/>
                <w:sz w:val="16"/>
              </w:rPr>
              <w:t>Fatigue or weakness</w:t>
            </w:r>
          </w:p>
        </w:tc>
        <w:tc>
          <w:tcPr>
            <w:tcW w:type="dxa" w:w="4464"/>
            <w:vAlign w:val="top"/>
          </w:tcPr>
          <w:p>
            <w:pPr>
              <w:spacing w:after="0"/>
            </w:pPr>
            <w:r>
              <w:rPr>
                <w:rFonts w:ascii="Arial" w:hAnsi="Arial"/>
                <w:sz w:val="16"/>
              </w:rPr>
              <w:t>Contextual symptom; assess onset, severity, function, bleeding, infection, nutrition.</w:t>
            </w:r>
          </w:p>
        </w:tc>
        <w:tc>
          <w:tcPr>
            <w:tcW w:type="dxa" w:w="3600"/>
            <w:vAlign w:val="top"/>
          </w:tcPr>
          <w:p>
            <w:pPr>
              <w:spacing w:after="0"/>
            </w:pPr>
            <w:r>
              <w:rPr>
                <w:rFonts w:ascii="Arial" w:hAnsi="Arial"/>
                <w:sz w:val="16"/>
              </w:rPr>
              <w:t>Do not label anemia automatically.</w:t>
            </w:r>
          </w:p>
        </w:tc>
      </w:tr>
      <w:tr>
        <w:tc>
          <w:tcPr>
            <w:tcW w:type="dxa" w:w="2880"/>
            <w:vAlign w:val="top"/>
          </w:tcPr>
          <w:p>
            <w:pPr>
              <w:spacing w:after="0"/>
            </w:pPr>
            <w:r>
              <w:rPr>
                <w:rFonts w:ascii="Arial" w:hAnsi="Arial"/>
                <w:sz w:val="16"/>
              </w:rPr>
              <w:t>Dizziness or presyncope</w:t>
            </w:r>
          </w:p>
        </w:tc>
        <w:tc>
          <w:tcPr>
            <w:tcW w:type="dxa" w:w="4464"/>
            <w:vAlign w:val="top"/>
          </w:tcPr>
          <w:p>
            <w:pPr>
              <w:spacing w:after="0"/>
            </w:pPr>
            <w:r>
              <w:rPr>
                <w:rFonts w:ascii="Arial" w:hAnsi="Arial"/>
                <w:sz w:val="16"/>
              </w:rPr>
              <w:t>Check vital signs, bleeding, hydration, and urgent causes.</w:t>
            </w:r>
          </w:p>
        </w:tc>
        <w:tc>
          <w:tcPr>
            <w:tcW w:type="dxa" w:w="3600"/>
            <w:vAlign w:val="top"/>
          </w:tcPr>
          <w:p>
            <w:pPr>
              <w:spacing w:after="0"/>
            </w:pPr>
            <w:r>
              <w:rPr>
                <w:rFonts w:ascii="Arial" w:hAnsi="Arial"/>
                <w:sz w:val="16"/>
              </w:rPr>
              <w:t>Do not assume iron deficiency.</w:t>
            </w:r>
          </w:p>
        </w:tc>
      </w:tr>
      <w:tr>
        <w:tc>
          <w:tcPr>
            <w:tcW w:type="dxa" w:w="2880"/>
            <w:vAlign w:val="top"/>
          </w:tcPr>
          <w:p>
            <w:pPr>
              <w:spacing w:after="0"/>
            </w:pPr>
            <w:r>
              <w:rPr>
                <w:rFonts w:ascii="Arial" w:hAnsi="Arial"/>
                <w:sz w:val="16"/>
              </w:rPr>
              <w:t>Breathlessness or palpitations</w:t>
            </w:r>
          </w:p>
        </w:tc>
        <w:tc>
          <w:tcPr>
            <w:tcW w:type="dxa" w:w="4464"/>
            <w:vAlign w:val="top"/>
          </w:tcPr>
          <w:p>
            <w:pPr>
              <w:spacing w:after="0"/>
            </w:pPr>
            <w:r>
              <w:rPr>
                <w:rFonts w:ascii="Arial" w:hAnsi="Arial"/>
                <w:sz w:val="16"/>
              </w:rPr>
              <w:t>Assess severity, rest symptoms, chest pain, oxygenation, and cardiac signs.</w:t>
            </w:r>
          </w:p>
        </w:tc>
        <w:tc>
          <w:tcPr>
            <w:tcW w:type="dxa" w:w="3600"/>
            <w:vAlign w:val="top"/>
          </w:tcPr>
          <w:p>
            <w:pPr>
              <w:spacing w:after="0"/>
            </w:pPr>
            <w:r>
              <w:rPr>
                <w:rFonts w:ascii="Arial" w:hAnsi="Arial"/>
                <w:sz w:val="16"/>
              </w:rPr>
              <w:t>Do not treat as routine mild anemia.</w:t>
            </w:r>
          </w:p>
        </w:tc>
      </w:tr>
      <w:tr>
        <w:tc>
          <w:tcPr>
            <w:tcW w:type="dxa" w:w="2880"/>
            <w:vAlign w:val="top"/>
          </w:tcPr>
          <w:p>
            <w:pPr>
              <w:spacing w:after="0"/>
            </w:pPr>
            <w:r>
              <w:rPr>
                <w:rFonts w:ascii="Arial" w:hAnsi="Arial"/>
                <w:sz w:val="16"/>
              </w:rPr>
              <w:t>Syncope, chest pain, altered mental status, shock signs</w:t>
            </w:r>
          </w:p>
        </w:tc>
        <w:tc>
          <w:tcPr>
            <w:tcW w:type="dxa" w:w="4464"/>
            <w:vAlign w:val="top"/>
          </w:tcPr>
          <w:p>
            <w:pPr>
              <w:spacing w:after="0"/>
            </w:pPr>
            <w:r>
              <w:rPr>
                <w:rFonts w:ascii="Arial" w:hAnsi="Arial"/>
                <w:sz w:val="16"/>
              </w:rPr>
              <w:t>Emergency pathway.</w:t>
            </w:r>
          </w:p>
        </w:tc>
        <w:tc>
          <w:tcPr>
            <w:tcW w:type="dxa" w:w="3600"/>
            <w:vAlign w:val="top"/>
          </w:tcPr>
          <w:p>
            <w:pPr>
              <w:spacing w:after="0"/>
            </w:pPr>
            <w:r>
              <w:rPr>
                <w:rFonts w:ascii="Arial" w:hAnsi="Arial"/>
                <w:sz w:val="16"/>
              </w:rPr>
              <w:t>Do not wait for repeat haemoglobin or risk score.</w:t>
            </w:r>
          </w:p>
        </w:tc>
      </w:tr>
    </w:tbl>
    <w:p/>
    <w:p>
      <w:pPr>
        <w:pStyle w:val="Heading1"/>
      </w:pPr>
      <w:r>
        <w:t>8. CDSS Decision Rules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80"/>
            <w:shd w:fill="D9EAF7"/>
            <w:vAlign w:val="center"/>
          </w:tcPr>
          <w:p>
            <w:pPr>
              <w:spacing w:after="0"/>
            </w:pPr>
            <w:r>
              <w:rPr>
                <w:rFonts w:ascii="Arial" w:hAnsi="Arial"/>
                <w:b/>
                <w:sz w:val="15"/>
              </w:rPr>
              <w:t>Rule ID</w:t>
            </w:r>
          </w:p>
        </w:tc>
        <w:tc>
          <w:tcPr>
            <w:tcW w:type="dxa" w:w="3024"/>
            <w:shd w:fill="D9EAF7"/>
            <w:vAlign w:val="center"/>
          </w:tcPr>
          <w:p>
            <w:pPr>
              <w:spacing w:after="0"/>
            </w:pPr>
            <w:r>
              <w:rPr>
                <w:rFonts w:ascii="Arial" w:hAnsi="Arial"/>
                <w:b/>
                <w:sz w:val="15"/>
              </w:rPr>
              <w:t>Condition</w:t>
            </w:r>
          </w:p>
        </w:tc>
        <w:tc>
          <w:tcPr>
            <w:tcW w:type="dxa" w:w="3240"/>
            <w:shd w:fill="D9EAF7"/>
            <w:vAlign w:val="center"/>
          </w:tcPr>
          <w:p>
            <w:pPr>
              <w:spacing w:after="0"/>
            </w:pPr>
            <w:r>
              <w:rPr>
                <w:rFonts w:ascii="Arial" w:hAnsi="Arial"/>
                <w:b/>
                <w:sz w:val="15"/>
              </w:rPr>
              <w:t>Interpretation</w:t>
            </w:r>
          </w:p>
        </w:tc>
        <w:tc>
          <w:tcPr>
            <w:tcW w:type="dxa" w:w="3672"/>
            <w:shd w:fill="D9EAF7"/>
            <w:vAlign w:val="center"/>
          </w:tcPr>
          <w:p>
            <w:pPr>
              <w:spacing w:after="0"/>
            </w:pPr>
            <w:r>
              <w:rPr>
                <w:rFonts w:ascii="Arial" w:hAnsi="Arial"/>
                <w:b/>
                <w:sz w:val="15"/>
              </w:rPr>
              <w:t>System response</w:t>
            </w:r>
          </w:p>
        </w:tc>
      </w:tr>
      <w:tr>
        <w:tc>
          <w:tcPr>
            <w:tcW w:type="dxa" w:w="1080"/>
            <w:vAlign w:val="top"/>
          </w:tcPr>
          <w:p>
            <w:pPr>
              <w:spacing w:after="0"/>
            </w:pPr>
            <w:r>
              <w:rPr>
                <w:rFonts w:ascii="Arial" w:hAnsi="Arial"/>
                <w:sz w:val="15"/>
              </w:rPr>
              <w:t>AN-S1</w:t>
            </w:r>
          </w:p>
        </w:tc>
        <w:tc>
          <w:tcPr>
            <w:tcW w:type="dxa" w:w="3024"/>
            <w:vAlign w:val="top"/>
          </w:tcPr>
          <w:p>
            <w:pPr>
              <w:spacing w:after="0"/>
            </w:pPr>
            <w:r>
              <w:rPr>
                <w:rFonts w:ascii="Arial" w:hAnsi="Arial"/>
                <w:sz w:val="15"/>
              </w:rPr>
              <w:t>No valid Hb result in current pregnancy</w:t>
            </w:r>
          </w:p>
        </w:tc>
        <w:tc>
          <w:tcPr>
            <w:tcW w:type="dxa" w:w="3240"/>
            <w:vAlign w:val="top"/>
          </w:tcPr>
          <w:p>
            <w:pPr>
              <w:spacing w:after="0"/>
            </w:pPr>
            <w:r>
              <w:rPr>
                <w:rFonts w:ascii="Arial" w:hAnsi="Arial"/>
                <w:sz w:val="15"/>
              </w:rPr>
              <w:t>Anemia status unknown.</w:t>
            </w:r>
          </w:p>
        </w:tc>
        <w:tc>
          <w:tcPr>
            <w:tcW w:type="dxa" w:w="3672"/>
            <w:vAlign w:val="top"/>
          </w:tcPr>
          <w:p>
            <w:pPr>
              <w:spacing w:after="0"/>
            </w:pPr>
            <w:r>
              <w:rPr>
                <w:rFonts w:ascii="Arial" w:hAnsi="Arial"/>
                <w:sz w:val="15"/>
              </w:rPr>
              <w:t>Prompt testing and mark anemia assessment incomplete.</w:t>
            </w:r>
          </w:p>
        </w:tc>
      </w:tr>
      <w:tr>
        <w:tc>
          <w:tcPr>
            <w:tcW w:type="dxa" w:w="1080"/>
            <w:vAlign w:val="top"/>
          </w:tcPr>
          <w:p>
            <w:pPr>
              <w:spacing w:after="0"/>
            </w:pPr>
            <w:r>
              <w:rPr>
                <w:rFonts w:ascii="Arial" w:hAnsi="Arial"/>
                <w:sz w:val="15"/>
              </w:rPr>
              <w:t>AN-S2</w:t>
            </w:r>
          </w:p>
        </w:tc>
        <w:tc>
          <w:tcPr>
            <w:tcW w:type="dxa" w:w="3024"/>
            <w:vAlign w:val="top"/>
          </w:tcPr>
          <w:p>
            <w:pPr>
              <w:spacing w:after="0"/>
            </w:pPr>
            <w:r>
              <w:rPr>
                <w:rFonts w:ascii="Arial" w:hAnsi="Arial"/>
                <w:sz w:val="15"/>
              </w:rPr>
              <w:t>Hb at/above selected threshold and no major warning state</w:t>
            </w:r>
          </w:p>
        </w:tc>
        <w:tc>
          <w:tcPr>
            <w:tcW w:type="dxa" w:w="3240"/>
            <w:vAlign w:val="top"/>
          </w:tcPr>
          <w:p>
            <w:pPr>
              <w:spacing w:after="0"/>
            </w:pPr>
            <w:r>
              <w:rPr>
                <w:rFonts w:ascii="Arial" w:hAnsi="Arial"/>
                <w:sz w:val="15"/>
              </w:rPr>
              <w:t>No laboratory anemia at that time.</w:t>
            </w:r>
          </w:p>
        </w:tc>
        <w:tc>
          <w:tcPr>
            <w:tcW w:type="dxa" w:w="3672"/>
            <w:vAlign w:val="top"/>
          </w:tcPr>
          <w:p>
            <w:pPr>
              <w:spacing w:after="0"/>
            </w:pPr>
            <w:r>
              <w:rPr>
                <w:rFonts w:ascii="Arial" w:hAnsi="Arial"/>
                <w:sz w:val="15"/>
              </w:rPr>
              <w:t>Continue routine prevention and scheduled reassessment; do not say iron stores are normal.</w:t>
            </w:r>
          </w:p>
        </w:tc>
      </w:tr>
      <w:tr>
        <w:tc>
          <w:tcPr>
            <w:tcW w:type="dxa" w:w="1080"/>
            <w:vAlign w:val="top"/>
          </w:tcPr>
          <w:p>
            <w:pPr>
              <w:spacing w:after="0"/>
            </w:pPr>
            <w:r>
              <w:rPr>
                <w:rFonts w:ascii="Arial" w:hAnsi="Arial"/>
                <w:sz w:val="15"/>
              </w:rPr>
              <w:t>AN-S3</w:t>
            </w:r>
          </w:p>
        </w:tc>
        <w:tc>
          <w:tcPr>
            <w:tcW w:type="dxa" w:w="3024"/>
            <w:vAlign w:val="top"/>
          </w:tcPr>
          <w:p>
            <w:pPr>
              <w:spacing w:after="0"/>
            </w:pPr>
            <w:r>
              <w:rPr>
                <w:rFonts w:ascii="Arial" w:hAnsi="Arial"/>
                <w:sz w:val="15"/>
              </w:rPr>
              <w:t>Hb below threshold but &gt;=10.0 g/dL (or &gt;=9.5 in WHO second trimester)</w:t>
            </w:r>
          </w:p>
        </w:tc>
        <w:tc>
          <w:tcPr>
            <w:tcW w:type="dxa" w:w="3240"/>
            <w:vAlign w:val="top"/>
          </w:tcPr>
          <w:p>
            <w:pPr>
              <w:spacing w:after="0"/>
            </w:pPr>
            <w:r>
              <w:rPr>
                <w:rFonts w:ascii="Arial" w:hAnsi="Arial"/>
                <w:sz w:val="15"/>
              </w:rPr>
              <w:t>Mild anemia under selected standard.</w:t>
            </w:r>
          </w:p>
        </w:tc>
        <w:tc>
          <w:tcPr>
            <w:tcW w:type="dxa" w:w="3672"/>
            <w:vAlign w:val="top"/>
          </w:tcPr>
          <w:p>
            <w:pPr>
              <w:spacing w:after="0"/>
            </w:pPr>
            <w:r>
              <w:rPr>
                <w:rFonts w:ascii="Arial" w:hAnsi="Arial"/>
                <w:sz w:val="15"/>
              </w:rPr>
              <w:t>Recommend clinician-directed treatment, cause review, adherence support, and repeat Hb.</w:t>
            </w:r>
          </w:p>
        </w:tc>
      </w:tr>
      <w:tr>
        <w:tc>
          <w:tcPr>
            <w:tcW w:type="dxa" w:w="1080"/>
            <w:vAlign w:val="top"/>
          </w:tcPr>
          <w:p>
            <w:pPr>
              <w:spacing w:after="0"/>
            </w:pPr>
            <w:r>
              <w:rPr>
                <w:rFonts w:ascii="Arial" w:hAnsi="Arial"/>
                <w:sz w:val="15"/>
              </w:rPr>
              <w:t>AN-S4</w:t>
            </w:r>
          </w:p>
        </w:tc>
        <w:tc>
          <w:tcPr>
            <w:tcW w:type="dxa" w:w="3024"/>
            <w:vAlign w:val="top"/>
          </w:tcPr>
          <w:p>
            <w:pPr>
              <w:spacing w:after="0"/>
            </w:pPr>
            <w:r>
              <w:rPr>
                <w:rFonts w:ascii="Arial" w:hAnsi="Arial"/>
                <w:sz w:val="15"/>
              </w:rPr>
              <w:t>Hb 7.0-9.9 g/dL (or 7.0-9.4 in WHO second trimester)</w:t>
            </w:r>
          </w:p>
        </w:tc>
        <w:tc>
          <w:tcPr>
            <w:tcW w:type="dxa" w:w="3240"/>
            <w:vAlign w:val="top"/>
          </w:tcPr>
          <w:p>
            <w:pPr>
              <w:spacing w:after="0"/>
            </w:pPr>
            <w:r>
              <w:rPr>
                <w:rFonts w:ascii="Arial" w:hAnsi="Arial"/>
                <w:sz w:val="15"/>
              </w:rPr>
              <w:t>Moderate anemia.</w:t>
            </w:r>
          </w:p>
        </w:tc>
        <w:tc>
          <w:tcPr>
            <w:tcW w:type="dxa" w:w="3672"/>
            <w:vAlign w:val="top"/>
          </w:tcPr>
          <w:p>
            <w:pPr>
              <w:spacing w:after="0"/>
            </w:pPr>
            <w:r>
              <w:rPr>
                <w:rFonts w:ascii="Arial" w:hAnsi="Arial"/>
                <w:sz w:val="15"/>
              </w:rPr>
              <w:t>Prompt qualified review; assess symptoms, cause, gestation, response, and referral setting.</w:t>
            </w:r>
          </w:p>
        </w:tc>
      </w:tr>
      <w:tr>
        <w:tc>
          <w:tcPr>
            <w:tcW w:type="dxa" w:w="1080"/>
            <w:vAlign w:val="top"/>
          </w:tcPr>
          <w:p>
            <w:pPr>
              <w:spacing w:after="0"/>
            </w:pPr>
            <w:r>
              <w:rPr>
                <w:rFonts w:ascii="Arial" w:hAnsi="Arial"/>
                <w:sz w:val="15"/>
              </w:rPr>
              <w:t>AN-S5</w:t>
            </w:r>
          </w:p>
        </w:tc>
        <w:tc>
          <w:tcPr>
            <w:tcW w:type="dxa" w:w="3024"/>
            <w:vAlign w:val="top"/>
          </w:tcPr>
          <w:p>
            <w:pPr>
              <w:spacing w:after="0"/>
            </w:pPr>
            <w:r>
              <w:rPr>
                <w:rFonts w:ascii="Arial" w:hAnsi="Arial"/>
                <w:sz w:val="15"/>
              </w:rPr>
              <w:t>Hb &lt;7.0 g/dL</w:t>
            </w:r>
          </w:p>
        </w:tc>
        <w:tc>
          <w:tcPr>
            <w:tcW w:type="dxa" w:w="3240"/>
            <w:vAlign w:val="top"/>
          </w:tcPr>
          <w:p>
            <w:pPr>
              <w:spacing w:after="0"/>
            </w:pPr>
            <w:r>
              <w:rPr>
                <w:rFonts w:ascii="Arial" w:hAnsi="Arial"/>
                <w:sz w:val="15"/>
              </w:rPr>
              <w:t>Severe anemia.</w:t>
            </w:r>
          </w:p>
        </w:tc>
        <w:tc>
          <w:tcPr>
            <w:tcW w:type="dxa" w:w="3672"/>
            <w:vAlign w:val="top"/>
          </w:tcPr>
          <w:p>
            <w:pPr>
              <w:spacing w:after="0"/>
            </w:pPr>
            <w:r>
              <w:rPr>
                <w:rFonts w:ascii="Arial" w:hAnsi="Arial"/>
                <w:sz w:val="15"/>
              </w:rPr>
              <w:t>Urgent same-day hospital/obstetric assessment; emergency if symptomatic or unstable.</w:t>
            </w:r>
          </w:p>
        </w:tc>
      </w:tr>
      <w:tr>
        <w:tc>
          <w:tcPr>
            <w:tcW w:type="dxa" w:w="1080"/>
            <w:vAlign w:val="top"/>
          </w:tcPr>
          <w:p>
            <w:pPr>
              <w:spacing w:after="0"/>
            </w:pPr>
            <w:r>
              <w:rPr>
                <w:rFonts w:ascii="Arial" w:hAnsi="Arial"/>
                <w:sz w:val="15"/>
              </w:rPr>
              <w:t>AN-S6</w:t>
            </w:r>
          </w:p>
        </w:tc>
        <w:tc>
          <w:tcPr>
            <w:tcW w:type="dxa" w:w="3024"/>
            <w:vAlign w:val="top"/>
          </w:tcPr>
          <w:p>
            <w:pPr>
              <w:spacing w:after="0"/>
            </w:pPr>
            <w:r>
              <w:rPr>
                <w:rFonts w:ascii="Arial" w:hAnsi="Arial"/>
                <w:sz w:val="15"/>
              </w:rPr>
              <w:t>Any Hb + active significant bleeding or hemodynamic instability</w:t>
            </w:r>
          </w:p>
        </w:tc>
        <w:tc>
          <w:tcPr>
            <w:tcW w:type="dxa" w:w="3240"/>
            <w:vAlign w:val="top"/>
          </w:tcPr>
          <w:p>
            <w:pPr>
              <w:spacing w:after="0"/>
            </w:pPr>
            <w:r>
              <w:rPr>
                <w:rFonts w:ascii="Arial" w:hAnsi="Arial"/>
                <w:sz w:val="15"/>
              </w:rPr>
              <w:t>Possible acute hemorrhage; Hb may lag behind blood loss.</w:t>
            </w:r>
          </w:p>
        </w:tc>
        <w:tc>
          <w:tcPr>
            <w:tcW w:type="dxa" w:w="3672"/>
            <w:vAlign w:val="top"/>
          </w:tcPr>
          <w:p>
            <w:pPr>
              <w:spacing w:after="0"/>
            </w:pPr>
            <w:r>
              <w:rPr>
                <w:rFonts w:ascii="Arial" w:hAnsi="Arial"/>
                <w:sz w:val="15"/>
              </w:rPr>
              <w:t>Emergency response and transfer.</w:t>
            </w:r>
          </w:p>
        </w:tc>
      </w:tr>
      <w:tr>
        <w:tc>
          <w:tcPr>
            <w:tcW w:type="dxa" w:w="1080"/>
            <w:vAlign w:val="top"/>
          </w:tcPr>
          <w:p>
            <w:pPr>
              <w:spacing w:after="0"/>
            </w:pPr>
            <w:r>
              <w:rPr>
                <w:rFonts w:ascii="Arial" w:hAnsi="Arial"/>
                <w:sz w:val="15"/>
              </w:rPr>
              <w:t>AN-S7</w:t>
            </w:r>
          </w:p>
        </w:tc>
        <w:tc>
          <w:tcPr>
            <w:tcW w:type="dxa" w:w="3024"/>
            <w:vAlign w:val="top"/>
          </w:tcPr>
          <w:p>
            <w:pPr>
              <w:spacing w:after="0"/>
            </w:pPr>
            <w:r>
              <w:rPr>
                <w:rFonts w:ascii="Arial" w:hAnsi="Arial"/>
                <w:sz w:val="15"/>
              </w:rPr>
              <w:t>Anemia + chest pain, rest dyspnea, syncope, altered consciousness, cardiac compromise</w:t>
            </w:r>
          </w:p>
        </w:tc>
        <w:tc>
          <w:tcPr>
            <w:tcW w:type="dxa" w:w="3240"/>
            <w:vAlign w:val="top"/>
          </w:tcPr>
          <w:p>
            <w:pPr>
              <w:spacing w:after="0"/>
            </w:pPr>
            <w:r>
              <w:rPr>
                <w:rFonts w:ascii="Arial" w:hAnsi="Arial"/>
                <w:sz w:val="15"/>
              </w:rPr>
              <w:t>Possible decompensation.</w:t>
            </w:r>
          </w:p>
        </w:tc>
        <w:tc>
          <w:tcPr>
            <w:tcW w:type="dxa" w:w="3672"/>
            <w:vAlign w:val="top"/>
          </w:tcPr>
          <w:p>
            <w:pPr>
              <w:spacing w:after="0"/>
            </w:pPr>
            <w:r>
              <w:rPr>
                <w:rFonts w:ascii="Arial" w:hAnsi="Arial"/>
                <w:sz w:val="15"/>
              </w:rPr>
              <w:t>Emergency assessment.</w:t>
            </w:r>
          </w:p>
        </w:tc>
      </w:tr>
      <w:tr>
        <w:tc>
          <w:tcPr>
            <w:tcW w:type="dxa" w:w="1080"/>
            <w:vAlign w:val="top"/>
          </w:tcPr>
          <w:p>
            <w:pPr>
              <w:spacing w:after="0"/>
            </w:pPr>
            <w:r>
              <w:rPr>
                <w:rFonts w:ascii="Arial" w:hAnsi="Arial"/>
                <w:sz w:val="15"/>
              </w:rPr>
              <w:t>AN-S8</w:t>
            </w:r>
          </w:p>
        </w:tc>
        <w:tc>
          <w:tcPr>
            <w:tcW w:type="dxa" w:w="3024"/>
            <w:vAlign w:val="top"/>
          </w:tcPr>
          <w:p>
            <w:pPr>
              <w:spacing w:after="0"/>
            </w:pPr>
            <w:r>
              <w:rPr>
                <w:rFonts w:ascii="Arial" w:hAnsi="Arial"/>
                <w:sz w:val="15"/>
              </w:rPr>
              <w:t>Anemia near expected delivery with inadequate response or no documented plan</w:t>
            </w:r>
          </w:p>
        </w:tc>
        <w:tc>
          <w:tcPr>
            <w:tcW w:type="dxa" w:w="3240"/>
            <w:vAlign w:val="top"/>
          </w:tcPr>
          <w:p>
            <w:pPr>
              <w:spacing w:after="0"/>
            </w:pPr>
            <w:r>
              <w:rPr>
                <w:rFonts w:ascii="Arial" w:hAnsi="Arial"/>
                <w:sz w:val="15"/>
              </w:rPr>
              <w:t>Reduced reserve for childbirth.</w:t>
            </w:r>
          </w:p>
        </w:tc>
        <w:tc>
          <w:tcPr>
            <w:tcW w:type="dxa" w:w="3672"/>
            <w:vAlign w:val="top"/>
          </w:tcPr>
          <w:p>
            <w:pPr>
              <w:spacing w:after="0"/>
            </w:pPr>
            <w:r>
              <w:rPr>
                <w:rFonts w:ascii="Arial" w:hAnsi="Arial"/>
                <w:sz w:val="15"/>
              </w:rPr>
              <w:t>Expedited obstetric/facility review and documented birth plan.</w:t>
            </w:r>
          </w:p>
        </w:tc>
      </w:tr>
      <w:tr>
        <w:tc>
          <w:tcPr>
            <w:tcW w:type="dxa" w:w="1080"/>
            <w:vAlign w:val="top"/>
          </w:tcPr>
          <w:p>
            <w:pPr>
              <w:spacing w:after="0"/>
            </w:pPr>
            <w:r>
              <w:rPr>
                <w:rFonts w:ascii="Arial" w:hAnsi="Arial"/>
                <w:sz w:val="15"/>
              </w:rPr>
              <w:t>AN-S9</w:t>
            </w:r>
          </w:p>
        </w:tc>
        <w:tc>
          <w:tcPr>
            <w:tcW w:type="dxa" w:w="3024"/>
            <w:vAlign w:val="top"/>
          </w:tcPr>
          <w:p>
            <w:pPr>
              <w:spacing w:after="0"/>
            </w:pPr>
            <w:r>
              <w:rPr>
                <w:rFonts w:ascii="Arial" w:hAnsi="Arial"/>
                <w:sz w:val="15"/>
              </w:rPr>
              <w:t>Low Hb + ferritin or indices absent</w:t>
            </w:r>
          </w:p>
        </w:tc>
        <w:tc>
          <w:tcPr>
            <w:tcW w:type="dxa" w:w="3240"/>
            <w:vAlign w:val="top"/>
          </w:tcPr>
          <w:p>
            <w:pPr>
              <w:spacing w:after="0"/>
            </w:pPr>
            <w:r>
              <w:rPr>
                <w:rFonts w:ascii="Arial" w:hAnsi="Arial"/>
                <w:sz w:val="15"/>
              </w:rPr>
              <w:t>Cause undetermined.</w:t>
            </w:r>
          </w:p>
        </w:tc>
        <w:tc>
          <w:tcPr>
            <w:tcW w:type="dxa" w:w="3672"/>
            <w:vAlign w:val="top"/>
          </w:tcPr>
          <w:p>
            <w:pPr>
              <w:spacing w:after="0"/>
            </w:pPr>
            <w:r>
              <w:rPr>
                <w:rFonts w:ascii="Arial" w:hAnsi="Arial"/>
                <w:sz w:val="15"/>
              </w:rPr>
              <w:t>Do not label iron-deficiency anemia; recommend evaluation.</w:t>
            </w:r>
          </w:p>
        </w:tc>
      </w:tr>
      <w:tr>
        <w:tc>
          <w:tcPr>
            <w:tcW w:type="dxa" w:w="1080"/>
            <w:vAlign w:val="top"/>
          </w:tcPr>
          <w:p>
            <w:pPr>
              <w:spacing w:after="0"/>
            </w:pPr>
            <w:r>
              <w:rPr>
                <w:rFonts w:ascii="Arial" w:hAnsi="Arial"/>
                <w:sz w:val="15"/>
              </w:rPr>
              <w:t>AN-S10</w:t>
            </w:r>
          </w:p>
        </w:tc>
        <w:tc>
          <w:tcPr>
            <w:tcW w:type="dxa" w:w="3024"/>
            <w:vAlign w:val="top"/>
          </w:tcPr>
          <w:p>
            <w:pPr>
              <w:spacing w:after="0"/>
            </w:pPr>
            <w:r>
              <w:rPr>
                <w:rFonts w:ascii="Arial" w:hAnsi="Arial"/>
                <w:sz w:val="15"/>
              </w:rPr>
              <w:t>Recorded 'anemia=yes' without value/source/date</w:t>
            </w:r>
          </w:p>
        </w:tc>
        <w:tc>
          <w:tcPr>
            <w:tcW w:type="dxa" w:w="3240"/>
            <w:vAlign w:val="top"/>
          </w:tcPr>
          <w:p>
            <w:pPr>
              <w:spacing w:after="0"/>
            </w:pPr>
            <w:r>
              <w:rPr>
                <w:rFonts w:ascii="Arial" w:hAnsi="Arial"/>
                <w:sz w:val="15"/>
              </w:rPr>
              <w:t>Unverified or historical information.</w:t>
            </w:r>
          </w:p>
        </w:tc>
        <w:tc>
          <w:tcPr>
            <w:tcW w:type="dxa" w:w="3672"/>
            <w:vAlign w:val="top"/>
          </w:tcPr>
          <w:p>
            <w:pPr>
              <w:spacing w:after="0"/>
            </w:pPr>
            <w:r>
              <w:rPr>
                <w:rFonts w:ascii="Arial" w:hAnsi="Arial"/>
                <w:sz w:val="15"/>
              </w:rPr>
              <w:t>Request source; do not assign severity.</w:t>
            </w:r>
          </w:p>
        </w:tc>
      </w:tr>
      <w:tr>
        <w:tc>
          <w:tcPr>
            <w:tcW w:type="dxa" w:w="1080"/>
            <w:vAlign w:val="top"/>
          </w:tcPr>
          <w:p>
            <w:pPr>
              <w:spacing w:after="0"/>
            </w:pPr>
            <w:r>
              <w:rPr>
                <w:rFonts w:ascii="Arial" w:hAnsi="Arial"/>
                <w:sz w:val="15"/>
              </w:rPr>
              <w:t>AN-S11</w:t>
            </w:r>
          </w:p>
        </w:tc>
        <w:tc>
          <w:tcPr>
            <w:tcW w:type="dxa" w:w="3024"/>
            <w:vAlign w:val="top"/>
          </w:tcPr>
          <w:p>
            <w:pPr>
              <w:spacing w:after="0"/>
            </w:pPr>
            <w:r>
              <w:rPr>
                <w:rFonts w:ascii="Arial" w:hAnsi="Arial"/>
                <w:sz w:val="15"/>
              </w:rPr>
              <w:t>Normal Hb after treatment</w:t>
            </w:r>
          </w:p>
        </w:tc>
        <w:tc>
          <w:tcPr>
            <w:tcW w:type="dxa" w:w="3240"/>
            <w:vAlign w:val="top"/>
          </w:tcPr>
          <w:p>
            <w:pPr>
              <w:spacing w:after="0"/>
            </w:pPr>
            <w:r>
              <w:rPr>
                <w:rFonts w:ascii="Arial" w:hAnsi="Arial"/>
                <w:sz w:val="15"/>
              </w:rPr>
              <w:t>Laboratory improvement.</w:t>
            </w:r>
          </w:p>
        </w:tc>
        <w:tc>
          <w:tcPr>
            <w:tcW w:type="dxa" w:w="3672"/>
            <w:vAlign w:val="top"/>
          </w:tcPr>
          <w:p>
            <w:pPr>
              <w:spacing w:after="0"/>
            </w:pPr>
            <w:r>
              <w:rPr>
                <w:rFonts w:ascii="Arial" w:hAnsi="Arial"/>
                <w:sz w:val="15"/>
              </w:rPr>
              <w:t>Continue clinician-defined plan; do not assume iron stores repleted.</w:t>
            </w:r>
          </w:p>
        </w:tc>
      </w:tr>
      <w:tr>
        <w:tc>
          <w:tcPr>
            <w:tcW w:type="dxa" w:w="1080"/>
            <w:vAlign w:val="top"/>
          </w:tcPr>
          <w:p>
            <w:pPr>
              <w:spacing w:after="0"/>
            </w:pPr>
            <w:r>
              <w:rPr>
                <w:rFonts w:ascii="Arial" w:hAnsi="Arial"/>
                <w:sz w:val="15"/>
              </w:rPr>
              <w:t>AN-S12</w:t>
            </w:r>
          </w:p>
        </w:tc>
        <w:tc>
          <w:tcPr>
            <w:tcW w:type="dxa" w:w="3024"/>
            <w:vAlign w:val="top"/>
          </w:tcPr>
          <w:p>
            <w:pPr>
              <w:spacing w:after="0"/>
            </w:pPr>
            <w:r>
              <w:rPr>
                <w:rFonts w:ascii="Arial" w:hAnsi="Arial"/>
                <w:sz w:val="15"/>
              </w:rPr>
              <w:t>No improvement or falling Hb after documented therapy</w:t>
            </w:r>
          </w:p>
        </w:tc>
        <w:tc>
          <w:tcPr>
            <w:tcW w:type="dxa" w:w="3240"/>
            <w:vAlign w:val="top"/>
          </w:tcPr>
          <w:p>
            <w:pPr>
              <w:spacing w:after="0"/>
            </w:pPr>
            <w:r>
              <w:rPr>
                <w:rFonts w:ascii="Arial" w:hAnsi="Arial"/>
                <w:sz w:val="15"/>
              </w:rPr>
              <w:t>Possible nonadherence, wrong cause, ongoing loss, malabsorption, or inadequate regimen.</w:t>
            </w:r>
          </w:p>
        </w:tc>
        <w:tc>
          <w:tcPr>
            <w:tcW w:type="dxa" w:w="3672"/>
            <w:vAlign w:val="top"/>
          </w:tcPr>
          <w:p>
            <w:pPr>
              <w:spacing w:after="0"/>
            </w:pPr>
            <w:r>
              <w:rPr>
                <w:rFonts w:ascii="Arial" w:hAnsi="Arial"/>
                <w:sz w:val="15"/>
              </w:rPr>
              <w:t>Prompt reassessment and referral; do not automatically increase dose.</w:t>
            </w:r>
          </w:p>
        </w:tc>
      </w:tr>
    </w:tbl>
    <w:p/>
    <w:p>
      <w:r>
        <w:br w:type="page"/>
      </w:r>
    </w:p>
    <w:p>
      <w:pPr>
        <w:pStyle w:val="Heading1"/>
      </w:pPr>
      <w:r>
        <w:t>9. Referral and Urgency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D9EAF7"/>
            <w:vAlign w:val="center"/>
          </w:tcPr>
          <w:p>
            <w:pPr>
              <w:spacing w:after="0"/>
            </w:pPr>
            <w:r>
              <w:rPr>
                <w:rFonts w:ascii="Arial" w:hAnsi="Arial"/>
                <w:b/>
                <w:sz w:val="16"/>
              </w:rPr>
              <w:t>Action level</w:t>
            </w:r>
          </w:p>
        </w:tc>
        <w:tc>
          <w:tcPr>
            <w:tcW w:type="dxa" w:w="5184"/>
            <w:shd w:fill="D9EAF7"/>
            <w:vAlign w:val="center"/>
          </w:tcPr>
          <w:p>
            <w:pPr>
              <w:spacing w:after="0"/>
            </w:pPr>
            <w:r>
              <w:rPr>
                <w:rFonts w:ascii="Arial" w:hAnsi="Arial"/>
                <w:b/>
                <w:sz w:val="16"/>
              </w:rPr>
              <w:t>Typical triggers</w:t>
            </w:r>
          </w:p>
        </w:tc>
        <w:tc>
          <w:tcPr>
            <w:tcW w:type="dxa" w:w="3600"/>
            <w:shd w:fill="D9EAF7"/>
            <w:vAlign w:val="center"/>
          </w:tcPr>
          <w:p>
            <w:pPr>
              <w:spacing w:after="0"/>
            </w:pPr>
            <w:r>
              <w:rPr>
                <w:rFonts w:ascii="Arial" w:hAnsi="Arial"/>
                <w:b/>
                <w:sz w:val="16"/>
              </w:rPr>
              <w:t>Output wording</w:t>
            </w:r>
          </w:p>
        </w:tc>
      </w:tr>
      <w:tr>
        <w:tc>
          <w:tcPr>
            <w:tcW w:type="dxa" w:w="2232"/>
            <w:vAlign w:val="top"/>
          </w:tcPr>
          <w:p>
            <w:pPr>
              <w:spacing w:after="0"/>
            </w:pPr>
            <w:r>
              <w:rPr>
                <w:rFonts w:ascii="Arial" w:hAnsi="Arial"/>
                <w:sz w:val="16"/>
              </w:rPr>
              <w:t>Routine prevention and screening</w:t>
            </w:r>
          </w:p>
        </w:tc>
        <w:tc>
          <w:tcPr>
            <w:tcW w:type="dxa" w:w="5184"/>
            <w:vAlign w:val="top"/>
          </w:tcPr>
          <w:p>
            <w:pPr>
              <w:spacing w:after="0"/>
            </w:pPr>
            <w:r>
              <w:rPr>
                <w:rFonts w:ascii="Arial" w:hAnsi="Arial"/>
                <w:sz w:val="16"/>
              </w:rPr>
              <w:t>No anemia; supplementation and scheduled testing due.</w:t>
            </w:r>
          </w:p>
        </w:tc>
        <w:tc>
          <w:tcPr>
            <w:tcW w:type="dxa" w:w="3600"/>
            <w:vAlign w:val="top"/>
          </w:tcPr>
          <w:p>
            <w:pPr>
              <w:spacing w:after="0"/>
            </w:pPr>
            <w:r>
              <w:rPr>
                <w:rFonts w:ascii="Arial" w:hAnsi="Arial"/>
                <w:sz w:val="16"/>
              </w:rPr>
              <w:t>Continue preventive care and repeat testing according to the approved schedule.</w:t>
            </w:r>
          </w:p>
        </w:tc>
      </w:tr>
      <w:tr>
        <w:tc>
          <w:tcPr>
            <w:tcW w:type="dxa" w:w="2232"/>
            <w:vAlign w:val="top"/>
          </w:tcPr>
          <w:p>
            <w:pPr>
              <w:spacing w:after="0"/>
            </w:pPr>
            <w:r>
              <w:rPr>
                <w:rFonts w:ascii="Arial" w:hAnsi="Arial"/>
                <w:sz w:val="16"/>
              </w:rPr>
              <w:t>Planned clinical management</w:t>
            </w:r>
          </w:p>
        </w:tc>
        <w:tc>
          <w:tcPr>
            <w:tcW w:type="dxa" w:w="5184"/>
            <w:vAlign w:val="top"/>
          </w:tcPr>
          <w:p>
            <w:pPr>
              <w:spacing w:after="0"/>
            </w:pPr>
            <w:r>
              <w:rPr>
                <w:rFonts w:ascii="Arial" w:hAnsi="Arial"/>
                <w:sz w:val="16"/>
              </w:rPr>
              <w:t>Mild anemia, stable, no bleeding or major symptoms.</w:t>
            </w:r>
          </w:p>
        </w:tc>
        <w:tc>
          <w:tcPr>
            <w:tcW w:type="dxa" w:w="3600"/>
            <w:vAlign w:val="top"/>
          </w:tcPr>
          <w:p>
            <w:pPr>
              <w:spacing w:after="0"/>
            </w:pPr>
            <w:r>
              <w:rPr>
                <w:rFonts w:ascii="Arial" w:hAnsi="Arial"/>
                <w:sz w:val="16"/>
              </w:rPr>
              <w:t>Anemia is present and requires clinician-directed treatment, cause assessment, and repeat haemoglobin.</w:t>
            </w:r>
          </w:p>
        </w:tc>
      </w:tr>
      <w:tr>
        <w:tc>
          <w:tcPr>
            <w:tcW w:type="dxa" w:w="2232"/>
            <w:vAlign w:val="top"/>
          </w:tcPr>
          <w:p>
            <w:pPr>
              <w:spacing w:after="0"/>
            </w:pPr>
            <w:r>
              <w:rPr>
                <w:rFonts w:ascii="Arial" w:hAnsi="Arial"/>
                <w:sz w:val="16"/>
              </w:rPr>
              <w:t>Prompt/same-day review</w:t>
            </w:r>
          </w:p>
        </w:tc>
        <w:tc>
          <w:tcPr>
            <w:tcW w:type="dxa" w:w="5184"/>
            <w:vAlign w:val="top"/>
          </w:tcPr>
          <w:p>
            <w:pPr>
              <w:spacing w:after="0"/>
            </w:pPr>
            <w:r>
              <w:rPr>
                <w:rFonts w:ascii="Arial" w:hAnsi="Arial"/>
                <w:sz w:val="16"/>
              </w:rPr>
              <w:t>Moderate anemia; falling Hb; poor response; late gestation; significant comorbidity; recurrent symptoms.</w:t>
            </w:r>
          </w:p>
        </w:tc>
        <w:tc>
          <w:tcPr>
            <w:tcW w:type="dxa" w:w="3600"/>
            <w:vAlign w:val="top"/>
          </w:tcPr>
          <w:p>
            <w:pPr>
              <w:spacing w:after="0"/>
            </w:pPr>
            <w:r>
              <w:rPr>
                <w:rFonts w:ascii="Arial" w:hAnsi="Arial"/>
                <w:sz w:val="16"/>
              </w:rPr>
              <w:t>Prompt qualified review is recommended to determine treatment and appropriate birth facility.</w:t>
            </w:r>
          </w:p>
        </w:tc>
      </w:tr>
      <w:tr>
        <w:tc>
          <w:tcPr>
            <w:tcW w:type="dxa" w:w="2232"/>
            <w:vAlign w:val="top"/>
          </w:tcPr>
          <w:p>
            <w:pPr>
              <w:spacing w:after="0"/>
            </w:pPr>
            <w:r>
              <w:rPr>
                <w:rFonts w:ascii="Arial" w:hAnsi="Arial"/>
                <w:sz w:val="16"/>
              </w:rPr>
              <w:t>Urgent hospital assessment</w:t>
            </w:r>
          </w:p>
        </w:tc>
        <w:tc>
          <w:tcPr>
            <w:tcW w:type="dxa" w:w="5184"/>
            <w:vAlign w:val="top"/>
          </w:tcPr>
          <w:p>
            <w:pPr>
              <w:spacing w:after="0"/>
            </w:pPr>
            <w:r>
              <w:rPr>
                <w:rFonts w:ascii="Arial" w:hAnsi="Arial"/>
                <w:sz w:val="16"/>
              </w:rPr>
              <w:t>Severe anemia even if apparently stable; anemia close to delivery without plan.</w:t>
            </w:r>
          </w:p>
        </w:tc>
        <w:tc>
          <w:tcPr>
            <w:tcW w:type="dxa" w:w="3600"/>
            <w:vAlign w:val="top"/>
          </w:tcPr>
          <w:p>
            <w:pPr>
              <w:spacing w:after="0"/>
            </w:pPr>
            <w:r>
              <w:rPr>
                <w:rFonts w:ascii="Arial" w:hAnsi="Arial"/>
                <w:sz w:val="16"/>
              </w:rPr>
              <w:t>Urgent obstetric/hospital assessment is recommended because maternal reserve may be substantially reduced.</w:t>
            </w:r>
          </w:p>
        </w:tc>
      </w:tr>
      <w:tr>
        <w:tc>
          <w:tcPr>
            <w:tcW w:type="dxa" w:w="2232"/>
            <w:vAlign w:val="top"/>
          </w:tcPr>
          <w:p>
            <w:pPr>
              <w:spacing w:after="0"/>
            </w:pPr>
            <w:r>
              <w:rPr>
                <w:rFonts w:ascii="Arial" w:hAnsi="Arial"/>
                <w:sz w:val="16"/>
              </w:rPr>
              <w:t>Emergency pathway</w:t>
            </w:r>
          </w:p>
        </w:tc>
        <w:tc>
          <w:tcPr>
            <w:tcW w:type="dxa" w:w="5184"/>
            <w:vAlign w:val="top"/>
          </w:tcPr>
          <w:p>
            <w:pPr>
              <w:spacing w:after="0"/>
            </w:pPr>
            <w:r>
              <w:rPr>
                <w:rFonts w:ascii="Arial" w:hAnsi="Arial"/>
                <w:sz w:val="16"/>
              </w:rPr>
              <w:t>Active major bleeding, shock, syncope, chest pain, severe breathlessness, altered consciousness, hemodynamic or cardiac compromise.</w:t>
            </w:r>
          </w:p>
        </w:tc>
        <w:tc>
          <w:tcPr>
            <w:tcW w:type="dxa" w:w="3600"/>
            <w:vAlign w:val="top"/>
          </w:tcPr>
          <w:p>
            <w:pPr>
              <w:spacing w:after="0"/>
            </w:pPr>
            <w:r>
              <w:rPr>
                <w:rFonts w:ascii="Arial" w:hAnsi="Arial"/>
                <w:sz w:val="16"/>
              </w:rPr>
              <w:t>Emergency transfer/response is required. Do not delay for scoring or routine repeat testing.</w:t>
            </w:r>
          </w:p>
        </w:tc>
      </w:tr>
    </w:tbl>
    <w:p/>
    <w:p>
      <w:pPr>
        <w:pStyle w:val="Heading1"/>
      </w:pPr>
      <w:r>
        <w:t>10. Cause Assessment</w:t>
      </w:r>
    </w:p>
    <w:p>
      <w:r>
        <w:t>The CDSS should never equate pregnancy anemia with iron deficiency. It may organize evidence that helps a clinician choose further evaluation, but it must not independently diagnose the cause.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D9EAF7"/>
            <w:vAlign w:val="center"/>
          </w:tcPr>
          <w:p>
            <w:pPr>
              <w:spacing w:after="0"/>
            </w:pPr>
            <w:r>
              <w:rPr>
                <w:rFonts w:ascii="Arial" w:hAnsi="Arial"/>
                <w:b/>
                <w:sz w:val="16"/>
              </w:rPr>
              <w:t>Pattern or context</w:t>
            </w:r>
          </w:p>
        </w:tc>
        <w:tc>
          <w:tcPr>
            <w:tcW w:type="dxa" w:w="4608"/>
            <w:shd w:fill="D9EAF7"/>
            <w:vAlign w:val="center"/>
          </w:tcPr>
          <w:p>
            <w:pPr>
              <w:spacing w:after="0"/>
            </w:pPr>
            <w:r>
              <w:rPr>
                <w:rFonts w:ascii="Arial" w:hAnsi="Arial"/>
                <w:b/>
                <w:sz w:val="16"/>
              </w:rPr>
              <w:t>Possible interpretation requiring clinical evaluation</w:t>
            </w:r>
          </w:p>
        </w:tc>
        <w:tc>
          <w:tcPr>
            <w:tcW w:type="dxa" w:w="3456"/>
            <w:shd w:fill="D9EAF7"/>
            <w:vAlign w:val="center"/>
          </w:tcPr>
          <w:p>
            <w:pPr>
              <w:spacing w:after="0"/>
            </w:pPr>
            <w:r>
              <w:rPr>
                <w:rFonts w:ascii="Arial" w:hAnsi="Arial"/>
                <w:b/>
                <w:sz w:val="16"/>
              </w:rPr>
              <w:t>CDSS behavior</w:t>
            </w:r>
          </w:p>
        </w:tc>
      </w:tr>
      <w:tr>
        <w:tc>
          <w:tcPr>
            <w:tcW w:type="dxa" w:w="3024"/>
            <w:vAlign w:val="top"/>
          </w:tcPr>
          <w:p>
            <w:pPr>
              <w:spacing w:after="0"/>
            </w:pPr>
            <w:r>
              <w:rPr>
                <w:rFonts w:ascii="Arial" w:hAnsi="Arial"/>
                <w:sz w:val="16"/>
              </w:rPr>
              <w:t>Low Hb + low ferritin</w:t>
            </w:r>
          </w:p>
        </w:tc>
        <w:tc>
          <w:tcPr>
            <w:tcW w:type="dxa" w:w="4608"/>
            <w:vAlign w:val="top"/>
          </w:tcPr>
          <w:p>
            <w:pPr>
              <w:spacing w:after="0"/>
            </w:pPr>
            <w:r>
              <w:rPr>
                <w:rFonts w:ascii="Arial" w:hAnsi="Arial"/>
                <w:sz w:val="16"/>
              </w:rPr>
              <w:t>Supports iron deficiency, subject to assay and clinical context.</w:t>
            </w:r>
          </w:p>
        </w:tc>
        <w:tc>
          <w:tcPr>
            <w:tcW w:type="dxa" w:w="3456"/>
            <w:vAlign w:val="top"/>
          </w:tcPr>
          <w:p>
            <w:pPr>
              <w:spacing w:after="0"/>
            </w:pPr>
            <w:r>
              <w:rPr>
                <w:rFonts w:ascii="Arial" w:hAnsi="Arial"/>
                <w:sz w:val="16"/>
              </w:rPr>
              <w:t>Display evidence and source; do not prescribe.</w:t>
            </w:r>
          </w:p>
        </w:tc>
      </w:tr>
      <w:tr>
        <w:tc>
          <w:tcPr>
            <w:tcW w:type="dxa" w:w="3024"/>
            <w:vAlign w:val="top"/>
          </w:tcPr>
          <w:p>
            <w:pPr>
              <w:spacing w:after="0"/>
            </w:pPr>
            <w:r>
              <w:rPr>
                <w:rFonts w:ascii="Arial" w:hAnsi="Arial"/>
                <w:sz w:val="16"/>
              </w:rPr>
              <w:t>Low Hb + low MCV</w:t>
            </w:r>
          </w:p>
        </w:tc>
        <w:tc>
          <w:tcPr>
            <w:tcW w:type="dxa" w:w="4608"/>
            <w:vAlign w:val="top"/>
          </w:tcPr>
          <w:p>
            <w:pPr>
              <w:spacing w:after="0"/>
            </w:pPr>
            <w:r>
              <w:rPr>
                <w:rFonts w:ascii="Arial" w:hAnsi="Arial"/>
                <w:sz w:val="16"/>
              </w:rPr>
              <w:t>May occur with iron deficiency or hemoglobinopathy, among other causes.</w:t>
            </w:r>
          </w:p>
        </w:tc>
        <w:tc>
          <w:tcPr>
            <w:tcW w:type="dxa" w:w="3456"/>
            <w:vAlign w:val="top"/>
          </w:tcPr>
          <w:p>
            <w:pPr>
              <w:spacing w:after="0"/>
            </w:pPr>
            <w:r>
              <w:rPr>
                <w:rFonts w:ascii="Arial" w:hAnsi="Arial"/>
                <w:sz w:val="16"/>
              </w:rPr>
              <w:t>Prompt ferritin/history/appropriate testing.</w:t>
            </w:r>
          </w:p>
        </w:tc>
      </w:tr>
      <w:tr>
        <w:tc>
          <w:tcPr>
            <w:tcW w:type="dxa" w:w="3024"/>
            <w:vAlign w:val="top"/>
          </w:tcPr>
          <w:p>
            <w:pPr>
              <w:spacing w:after="0"/>
            </w:pPr>
            <w:r>
              <w:rPr>
                <w:rFonts w:ascii="Arial" w:hAnsi="Arial"/>
                <w:sz w:val="16"/>
              </w:rPr>
              <w:t>Low Hb + high MCV</w:t>
            </w:r>
          </w:p>
        </w:tc>
        <w:tc>
          <w:tcPr>
            <w:tcW w:type="dxa" w:w="4608"/>
            <w:vAlign w:val="top"/>
          </w:tcPr>
          <w:p>
            <w:pPr>
              <w:spacing w:after="0"/>
            </w:pPr>
            <w:r>
              <w:rPr>
                <w:rFonts w:ascii="Arial" w:hAnsi="Arial"/>
                <w:sz w:val="16"/>
              </w:rPr>
              <w:t>May suggest folate/B12 deficiency, medication effect, liver disease, or other causes.</w:t>
            </w:r>
          </w:p>
        </w:tc>
        <w:tc>
          <w:tcPr>
            <w:tcW w:type="dxa" w:w="3456"/>
            <w:vAlign w:val="top"/>
          </w:tcPr>
          <w:p>
            <w:pPr>
              <w:spacing w:after="0"/>
            </w:pPr>
            <w:r>
              <w:rPr>
                <w:rFonts w:ascii="Arial" w:hAnsi="Arial"/>
                <w:sz w:val="16"/>
              </w:rPr>
              <w:t>Prompt clinician review; do not give iron-only explanation.</w:t>
            </w:r>
          </w:p>
        </w:tc>
      </w:tr>
      <w:tr>
        <w:tc>
          <w:tcPr>
            <w:tcW w:type="dxa" w:w="3024"/>
            <w:vAlign w:val="top"/>
          </w:tcPr>
          <w:p>
            <w:pPr>
              <w:spacing w:after="0"/>
            </w:pPr>
            <w:r>
              <w:rPr>
                <w:rFonts w:ascii="Arial" w:hAnsi="Arial"/>
                <w:sz w:val="16"/>
              </w:rPr>
              <w:t>Low Hb + normal/high ferritin with infection/inflammation</w:t>
            </w:r>
          </w:p>
        </w:tc>
        <w:tc>
          <w:tcPr>
            <w:tcW w:type="dxa" w:w="4608"/>
            <w:vAlign w:val="top"/>
          </w:tcPr>
          <w:p>
            <w:pPr>
              <w:spacing w:after="0"/>
            </w:pPr>
            <w:r>
              <w:rPr>
                <w:rFonts w:ascii="Arial" w:hAnsi="Arial"/>
                <w:sz w:val="16"/>
              </w:rPr>
              <w:t>Ferritin can rise with inflammation; anemia of inflammation or mixed causes may exist.</w:t>
            </w:r>
          </w:p>
        </w:tc>
        <w:tc>
          <w:tcPr>
            <w:tcW w:type="dxa" w:w="3456"/>
            <w:vAlign w:val="top"/>
          </w:tcPr>
          <w:p>
            <w:pPr>
              <w:spacing w:after="0"/>
            </w:pPr>
            <w:r>
              <w:rPr>
                <w:rFonts w:ascii="Arial" w:hAnsi="Arial"/>
                <w:sz w:val="16"/>
              </w:rPr>
              <w:t>Mark cause uncertain and recommend evaluation.</w:t>
            </w:r>
          </w:p>
        </w:tc>
      </w:tr>
      <w:tr>
        <w:tc>
          <w:tcPr>
            <w:tcW w:type="dxa" w:w="3024"/>
            <w:vAlign w:val="top"/>
          </w:tcPr>
          <w:p>
            <w:pPr>
              <w:spacing w:after="0"/>
            </w:pPr>
            <w:r>
              <w:rPr>
                <w:rFonts w:ascii="Arial" w:hAnsi="Arial"/>
                <w:sz w:val="16"/>
              </w:rPr>
              <w:t>Rapid decline or bleeding history</w:t>
            </w:r>
          </w:p>
        </w:tc>
        <w:tc>
          <w:tcPr>
            <w:tcW w:type="dxa" w:w="4608"/>
            <w:vAlign w:val="top"/>
          </w:tcPr>
          <w:p>
            <w:pPr>
              <w:spacing w:after="0"/>
            </w:pPr>
            <w:r>
              <w:rPr>
                <w:rFonts w:ascii="Arial" w:hAnsi="Arial"/>
                <w:sz w:val="16"/>
              </w:rPr>
              <w:t>Blood loss.</w:t>
            </w:r>
          </w:p>
        </w:tc>
        <w:tc>
          <w:tcPr>
            <w:tcW w:type="dxa" w:w="3456"/>
            <w:vAlign w:val="top"/>
          </w:tcPr>
          <w:p>
            <w:pPr>
              <w:spacing w:after="0"/>
            </w:pPr>
            <w:r>
              <w:rPr>
                <w:rFonts w:ascii="Arial" w:hAnsi="Arial"/>
                <w:sz w:val="16"/>
              </w:rPr>
              <w:t>Urgency is determined by bleeding and stability, not Hb alone.</w:t>
            </w:r>
          </w:p>
        </w:tc>
      </w:tr>
      <w:tr>
        <w:tc>
          <w:tcPr>
            <w:tcW w:type="dxa" w:w="3024"/>
            <w:vAlign w:val="top"/>
          </w:tcPr>
          <w:p>
            <w:pPr>
              <w:spacing w:after="0"/>
            </w:pPr>
            <w:r>
              <w:rPr>
                <w:rFonts w:ascii="Arial" w:hAnsi="Arial"/>
                <w:sz w:val="16"/>
              </w:rPr>
              <w:t>Known hemoglobinopathy or repeated transfusions</w:t>
            </w:r>
          </w:p>
        </w:tc>
        <w:tc>
          <w:tcPr>
            <w:tcW w:type="dxa" w:w="4608"/>
            <w:vAlign w:val="top"/>
          </w:tcPr>
          <w:p>
            <w:pPr>
              <w:spacing w:after="0"/>
            </w:pPr>
            <w:r>
              <w:rPr>
                <w:rFonts w:ascii="Arial" w:hAnsi="Arial"/>
                <w:sz w:val="16"/>
              </w:rPr>
              <w:t>Specialist pathway; iron may be inappropriate in some patients.</w:t>
            </w:r>
          </w:p>
        </w:tc>
        <w:tc>
          <w:tcPr>
            <w:tcW w:type="dxa" w:w="3456"/>
            <w:vAlign w:val="top"/>
          </w:tcPr>
          <w:p>
            <w:pPr>
              <w:spacing w:after="0"/>
            </w:pPr>
            <w:r>
              <w:rPr>
                <w:rFonts w:ascii="Arial" w:hAnsi="Arial"/>
                <w:sz w:val="16"/>
              </w:rPr>
              <w:t>Do not recommend iron automatically.</w:t>
            </w:r>
          </w:p>
        </w:tc>
      </w:tr>
      <w:tr>
        <w:tc>
          <w:tcPr>
            <w:tcW w:type="dxa" w:w="3024"/>
            <w:vAlign w:val="top"/>
          </w:tcPr>
          <w:p>
            <w:pPr>
              <w:spacing w:after="0"/>
            </w:pPr>
            <w:r>
              <w:rPr>
                <w:rFonts w:ascii="Arial" w:hAnsi="Arial"/>
                <w:sz w:val="16"/>
              </w:rPr>
              <w:t>Dietary risk, adolescent pregnancy, short interpregnancy interval</w:t>
            </w:r>
          </w:p>
        </w:tc>
        <w:tc>
          <w:tcPr>
            <w:tcW w:type="dxa" w:w="4608"/>
            <w:vAlign w:val="top"/>
          </w:tcPr>
          <w:p>
            <w:pPr>
              <w:spacing w:after="0"/>
            </w:pPr>
            <w:r>
              <w:rPr>
                <w:rFonts w:ascii="Arial" w:hAnsi="Arial"/>
                <w:sz w:val="16"/>
              </w:rPr>
              <w:t>May increase deficiency risk.</w:t>
            </w:r>
          </w:p>
        </w:tc>
        <w:tc>
          <w:tcPr>
            <w:tcW w:type="dxa" w:w="3456"/>
            <w:vAlign w:val="top"/>
          </w:tcPr>
          <w:p>
            <w:pPr>
              <w:spacing w:after="0"/>
            </w:pPr>
            <w:r>
              <w:rPr>
                <w:rFonts w:ascii="Arial" w:hAnsi="Arial"/>
                <w:sz w:val="16"/>
              </w:rPr>
              <w:t>Use as context for assessment and counseling, never as diagnosis.</w:t>
            </w:r>
          </w:p>
        </w:tc>
      </w:tr>
    </w:tbl>
    <w:p/>
    <w:p>
      <w:pPr>
        <w:pStyle w:val="Heading1"/>
      </w:pPr>
      <w:r>
        <w:t>11. Treatment and Follow-up Boundaries</w:t>
      </w:r>
    </w:p>
    <w:p>
      <w:r>
        <w:t>The system may support a clinician-approved care plan. It may not initiate medication, select route, calculate dose, order transfusion, or determine that a patient is safe for lying-in delivery.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736"/>
            <w:shd w:fill="D9EAF7"/>
            <w:vAlign w:val="center"/>
          </w:tcPr>
          <w:p>
            <w:pPr>
              <w:spacing w:after="0"/>
            </w:pPr>
            <w:r>
              <w:rPr>
                <w:rFonts w:ascii="Arial" w:hAnsi="Arial"/>
                <w:b/>
                <w:sz w:val="16"/>
              </w:rPr>
              <w:t>Data item</w:t>
            </w:r>
          </w:p>
        </w:tc>
        <w:tc>
          <w:tcPr>
            <w:tcW w:type="dxa" w:w="4536"/>
            <w:shd w:fill="D9EAF7"/>
            <w:vAlign w:val="center"/>
          </w:tcPr>
          <w:p>
            <w:pPr>
              <w:spacing w:after="0"/>
            </w:pPr>
            <w:r>
              <w:rPr>
                <w:rFonts w:ascii="Arial" w:hAnsi="Arial"/>
                <w:b/>
                <w:sz w:val="16"/>
              </w:rPr>
              <w:t>Safe use</w:t>
            </w:r>
          </w:p>
        </w:tc>
        <w:tc>
          <w:tcPr>
            <w:tcW w:type="dxa" w:w="3816"/>
            <w:shd w:fill="D9EAF7"/>
            <w:vAlign w:val="center"/>
          </w:tcPr>
          <w:p>
            <w:pPr>
              <w:spacing w:after="0"/>
            </w:pPr>
            <w:r>
              <w:rPr>
                <w:rFonts w:ascii="Arial" w:hAnsi="Arial"/>
                <w:b/>
                <w:sz w:val="16"/>
              </w:rPr>
              <w:t>Prohibited autonomous action</w:t>
            </w:r>
          </w:p>
        </w:tc>
      </w:tr>
      <w:tr>
        <w:tc>
          <w:tcPr>
            <w:tcW w:type="dxa" w:w="2736"/>
            <w:vAlign w:val="top"/>
          </w:tcPr>
          <w:p>
            <w:pPr>
              <w:spacing w:after="0"/>
            </w:pPr>
            <w:r>
              <w:rPr>
                <w:rFonts w:ascii="Arial" w:hAnsi="Arial"/>
                <w:sz w:val="16"/>
              </w:rPr>
              <w:t>Iron-folic acid provision</w:t>
            </w:r>
          </w:p>
        </w:tc>
        <w:tc>
          <w:tcPr>
            <w:tcW w:type="dxa" w:w="4536"/>
            <w:vAlign w:val="top"/>
          </w:tcPr>
          <w:p>
            <w:pPr>
              <w:spacing w:after="0"/>
            </w:pPr>
            <w:r>
              <w:rPr>
                <w:rFonts w:ascii="Arial" w:hAnsi="Arial"/>
                <w:sz w:val="16"/>
              </w:rPr>
              <w:t>Record product, elemental iron, folate amount, date supplied, quantity, instructions, and adherence.</w:t>
            </w:r>
          </w:p>
        </w:tc>
        <w:tc>
          <w:tcPr>
            <w:tcW w:type="dxa" w:w="3816"/>
            <w:vAlign w:val="top"/>
          </w:tcPr>
          <w:p>
            <w:pPr>
              <w:spacing w:after="0"/>
            </w:pPr>
            <w:r>
              <w:rPr>
                <w:rFonts w:ascii="Arial" w:hAnsi="Arial"/>
                <w:sz w:val="16"/>
              </w:rPr>
              <w:t>Do not infer treatment adequacy from tablet count alone.</w:t>
            </w:r>
          </w:p>
        </w:tc>
      </w:tr>
      <w:tr>
        <w:tc>
          <w:tcPr>
            <w:tcW w:type="dxa" w:w="2736"/>
            <w:vAlign w:val="top"/>
          </w:tcPr>
          <w:p>
            <w:pPr>
              <w:spacing w:after="0"/>
            </w:pPr>
            <w:r>
              <w:rPr>
                <w:rFonts w:ascii="Arial" w:hAnsi="Arial"/>
                <w:sz w:val="16"/>
              </w:rPr>
              <w:t>Oral iron treatment</w:t>
            </w:r>
          </w:p>
        </w:tc>
        <w:tc>
          <w:tcPr>
            <w:tcW w:type="dxa" w:w="4536"/>
            <w:vAlign w:val="top"/>
          </w:tcPr>
          <w:p>
            <w:pPr>
              <w:spacing w:after="0"/>
            </w:pPr>
            <w:r>
              <w:rPr>
                <w:rFonts w:ascii="Arial" w:hAnsi="Arial"/>
                <w:sz w:val="16"/>
              </w:rPr>
              <w:t>Track prescriber, regimen, side effects, adherence, and repeat-test date.</w:t>
            </w:r>
          </w:p>
        </w:tc>
        <w:tc>
          <w:tcPr>
            <w:tcW w:type="dxa" w:w="3816"/>
            <w:vAlign w:val="top"/>
          </w:tcPr>
          <w:p>
            <w:pPr>
              <w:spacing w:after="0"/>
            </w:pPr>
            <w:r>
              <w:rPr>
                <w:rFonts w:ascii="Arial" w:hAnsi="Arial"/>
                <w:sz w:val="16"/>
              </w:rPr>
              <w:t>Do not start or increase dose.</w:t>
            </w:r>
          </w:p>
        </w:tc>
      </w:tr>
      <w:tr>
        <w:tc>
          <w:tcPr>
            <w:tcW w:type="dxa" w:w="2736"/>
            <w:vAlign w:val="top"/>
          </w:tcPr>
          <w:p>
            <w:pPr>
              <w:spacing w:after="0"/>
            </w:pPr>
            <w:r>
              <w:rPr>
                <w:rFonts w:ascii="Arial" w:hAnsi="Arial"/>
                <w:sz w:val="16"/>
              </w:rPr>
              <w:t>Intravenous iron</w:t>
            </w:r>
          </w:p>
        </w:tc>
        <w:tc>
          <w:tcPr>
            <w:tcW w:type="dxa" w:w="4536"/>
            <w:vAlign w:val="top"/>
          </w:tcPr>
          <w:p>
            <w:pPr>
              <w:spacing w:after="0"/>
            </w:pPr>
            <w:r>
              <w:rPr>
                <w:rFonts w:ascii="Arial" w:hAnsi="Arial"/>
                <w:sz w:val="16"/>
              </w:rPr>
              <w:t>Record specialist order and facility.</w:t>
            </w:r>
          </w:p>
        </w:tc>
        <w:tc>
          <w:tcPr>
            <w:tcW w:type="dxa" w:w="3816"/>
            <w:vAlign w:val="top"/>
          </w:tcPr>
          <w:p>
            <w:pPr>
              <w:spacing w:after="0"/>
            </w:pPr>
            <w:r>
              <w:rPr>
                <w:rFonts w:ascii="Arial" w:hAnsi="Arial"/>
                <w:sz w:val="16"/>
              </w:rPr>
              <w:t>Do not recommend a product or infusion regimen without protocol.</w:t>
            </w:r>
          </w:p>
        </w:tc>
      </w:tr>
      <w:tr>
        <w:tc>
          <w:tcPr>
            <w:tcW w:type="dxa" w:w="2736"/>
            <w:vAlign w:val="top"/>
          </w:tcPr>
          <w:p>
            <w:pPr>
              <w:spacing w:after="0"/>
            </w:pPr>
            <w:r>
              <w:rPr>
                <w:rFonts w:ascii="Arial" w:hAnsi="Arial"/>
                <w:sz w:val="16"/>
              </w:rPr>
              <w:t>Blood transfusion</w:t>
            </w:r>
          </w:p>
        </w:tc>
        <w:tc>
          <w:tcPr>
            <w:tcW w:type="dxa" w:w="4536"/>
            <w:vAlign w:val="top"/>
          </w:tcPr>
          <w:p>
            <w:pPr>
              <w:spacing w:after="0"/>
            </w:pPr>
            <w:r>
              <w:rPr>
                <w:rFonts w:ascii="Arial" w:hAnsi="Arial"/>
                <w:sz w:val="16"/>
              </w:rPr>
              <w:t>Record referral and hospital outcome when available.</w:t>
            </w:r>
          </w:p>
        </w:tc>
        <w:tc>
          <w:tcPr>
            <w:tcW w:type="dxa" w:w="3816"/>
            <w:vAlign w:val="top"/>
          </w:tcPr>
          <w:p>
            <w:pPr>
              <w:spacing w:after="0"/>
            </w:pPr>
            <w:r>
              <w:rPr>
                <w:rFonts w:ascii="Arial" w:hAnsi="Arial"/>
                <w:sz w:val="16"/>
              </w:rPr>
              <w:t>Never decide transfusion from Hb alone.</w:t>
            </w:r>
          </w:p>
        </w:tc>
      </w:tr>
      <w:tr>
        <w:tc>
          <w:tcPr>
            <w:tcW w:type="dxa" w:w="2736"/>
            <w:vAlign w:val="top"/>
          </w:tcPr>
          <w:p>
            <w:pPr>
              <w:spacing w:after="0"/>
            </w:pPr>
            <w:r>
              <w:rPr>
                <w:rFonts w:ascii="Arial" w:hAnsi="Arial"/>
                <w:sz w:val="16"/>
              </w:rPr>
              <w:t>Repeat haemoglobin</w:t>
            </w:r>
          </w:p>
        </w:tc>
        <w:tc>
          <w:tcPr>
            <w:tcW w:type="dxa" w:w="4536"/>
            <w:vAlign w:val="top"/>
          </w:tcPr>
          <w:p>
            <w:pPr>
              <w:spacing w:after="0"/>
            </w:pPr>
            <w:r>
              <w:rPr>
                <w:rFonts w:ascii="Arial" w:hAnsi="Arial"/>
                <w:sz w:val="16"/>
              </w:rPr>
              <w:t>Compare dates and trend with gestational age and treatment.</w:t>
            </w:r>
          </w:p>
        </w:tc>
        <w:tc>
          <w:tcPr>
            <w:tcW w:type="dxa" w:w="3816"/>
            <w:vAlign w:val="top"/>
          </w:tcPr>
          <w:p>
            <w:pPr>
              <w:spacing w:after="0"/>
            </w:pPr>
            <w:r>
              <w:rPr>
                <w:rFonts w:ascii="Arial" w:hAnsi="Arial"/>
                <w:sz w:val="16"/>
              </w:rPr>
              <w:t>Do not interpret apparent change without considering measurement method and clinical status.</w:t>
            </w:r>
          </w:p>
        </w:tc>
      </w:tr>
      <w:tr>
        <w:tc>
          <w:tcPr>
            <w:tcW w:type="dxa" w:w="2736"/>
            <w:vAlign w:val="top"/>
          </w:tcPr>
          <w:p>
            <w:pPr>
              <w:spacing w:after="0"/>
            </w:pPr>
            <w:r>
              <w:rPr>
                <w:rFonts w:ascii="Arial" w:hAnsi="Arial"/>
                <w:sz w:val="16"/>
              </w:rPr>
              <w:t>Normalized haemoglobin</w:t>
            </w:r>
          </w:p>
        </w:tc>
        <w:tc>
          <w:tcPr>
            <w:tcW w:type="dxa" w:w="4536"/>
            <w:vAlign w:val="top"/>
          </w:tcPr>
          <w:p>
            <w:pPr>
              <w:spacing w:after="0"/>
            </w:pPr>
            <w:r>
              <w:rPr>
                <w:rFonts w:ascii="Arial" w:hAnsi="Arial"/>
                <w:sz w:val="16"/>
              </w:rPr>
              <w:t>Document improvement and continue follow-up plan.</w:t>
            </w:r>
          </w:p>
        </w:tc>
        <w:tc>
          <w:tcPr>
            <w:tcW w:type="dxa" w:w="3816"/>
            <w:vAlign w:val="top"/>
          </w:tcPr>
          <w:p>
            <w:pPr>
              <w:spacing w:after="0"/>
            </w:pPr>
            <w:r>
              <w:rPr>
                <w:rFonts w:ascii="Arial" w:hAnsi="Arial"/>
                <w:sz w:val="16"/>
              </w:rPr>
              <w:t>Do not declare iron stores fully restored or close the pathway automatically.</w:t>
            </w:r>
          </w:p>
        </w:tc>
      </w:tr>
    </w:tbl>
    <w:p/>
    <w:p>
      <w:pPr>
        <w:pStyle w:val="Heading1"/>
      </w:pPr>
      <w:r>
        <w:t>12. Interaction Rules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D9EAF7"/>
            <w:vAlign w:val="center"/>
          </w:tcPr>
          <w:p>
            <w:pPr>
              <w:spacing w:after="0"/>
            </w:pPr>
            <w:r>
              <w:rPr>
                <w:rFonts w:ascii="Arial" w:hAnsi="Arial"/>
                <w:b/>
                <w:sz w:val="15"/>
              </w:rPr>
              <w:t>Combination</w:t>
            </w:r>
          </w:p>
        </w:tc>
        <w:tc>
          <w:tcPr>
            <w:tcW w:type="dxa" w:w="4032"/>
            <w:shd w:fill="D9EAF7"/>
            <w:vAlign w:val="center"/>
          </w:tcPr>
          <w:p>
            <w:pPr>
              <w:spacing w:after="0"/>
            </w:pPr>
            <w:r>
              <w:rPr>
                <w:rFonts w:ascii="Arial" w:hAnsi="Arial"/>
                <w:b/>
                <w:sz w:val="15"/>
              </w:rPr>
              <w:t>Why it matters</w:t>
            </w:r>
          </w:p>
        </w:tc>
        <w:tc>
          <w:tcPr>
            <w:tcW w:type="dxa" w:w="3888"/>
            <w:shd w:fill="D9EAF7"/>
            <w:vAlign w:val="center"/>
          </w:tcPr>
          <w:p>
            <w:pPr>
              <w:spacing w:after="0"/>
            </w:pPr>
            <w:r>
              <w:rPr>
                <w:rFonts w:ascii="Arial" w:hAnsi="Arial"/>
                <w:b/>
                <w:sz w:val="15"/>
              </w:rPr>
              <w:t>CDSS response</w:t>
            </w:r>
          </w:p>
        </w:tc>
      </w:tr>
      <w:tr>
        <w:tc>
          <w:tcPr>
            <w:tcW w:type="dxa" w:w="3168"/>
            <w:vAlign w:val="top"/>
          </w:tcPr>
          <w:p>
            <w:pPr>
              <w:spacing w:after="0"/>
            </w:pPr>
            <w:r>
              <w:rPr>
                <w:rFonts w:ascii="Arial" w:hAnsi="Arial"/>
                <w:sz w:val="15"/>
              </w:rPr>
              <w:t>Anemia + vaginal bleeding</w:t>
            </w:r>
          </w:p>
        </w:tc>
        <w:tc>
          <w:tcPr>
            <w:tcW w:type="dxa" w:w="4032"/>
            <w:vAlign w:val="top"/>
          </w:tcPr>
          <w:p>
            <w:pPr>
              <w:spacing w:after="0"/>
            </w:pPr>
            <w:r>
              <w:rPr>
                <w:rFonts w:ascii="Arial" w:hAnsi="Arial"/>
                <w:sz w:val="15"/>
              </w:rPr>
              <w:t>Potential acute or ongoing blood loss; Hb may underestimate early loss.</w:t>
            </w:r>
          </w:p>
        </w:tc>
        <w:tc>
          <w:tcPr>
            <w:tcW w:type="dxa" w:w="3888"/>
            <w:vAlign w:val="top"/>
          </w:tcPr>
          <w:p>
            <w:pPr>
              <w:spacing w:after="0"/>
            </w:pPr>
            <w:r>
              <w:rPr>
                <w:rFonts w:ascii="Arial" w:hAnsi="Arial"/>
                <w:sz w:val="15"/>
              </w:rPr>
              <w:t>Bleeding pathway determines urgency; emergency if unstable or significant.</w:t>
            </w:r>
          </w:p>
        </w:tc>
      </w:tr>
      <w:tr>
        <w:tc>
          <w:tcPr>
            <w:tcW w:type="dxa" w:w="3168"/>
            <w:vAlign w:val="top"/>
          </w:tcPr>
          <w:p>
            <w:pPr>
              <w:spacing w:after="0"/>
            </w:pPr>
            <w:r>
              <w:rPr>
                <w:rFonts w:ascii="Arial" w:hAnsi="Arial"/>
                <w:sz w:val="15"/>
              </w:rPr>
              <w:t>Anemia + hypertension/preeclampsia concern</w:t>
            </w:r>
          </w:p>
        </w:tc>
        <w:tc>
          <w:tcPr>
            <w:tcW w:type="dxa" w:w="4032"/>
            <w:vAlign w:val="top"/>
          </w:tcPr>
          <w:p>
            <w:pPr>
              <w:spacing w:after="0"/>
            </w:pPr>
            <w:r>
              <w:rPr>
                <w:rFonts w:ascii="Arial" w:hAnsi="Arial"/>
                <w:sz w:val="15"/>
              </w:rPr>
              <w:t>Multiple maternal risks and possible platelet/liver abnormalities.</w:t>
            </w:r>
          </w:p>
        </w:tc>
        <w:tc>
          <w:tcPr>
            <w:tcW w:type="dxa" w:w="3888"/>
            <w:vAlign w:val="top"/>
          </w:tcPr>
          <w:p>
            <w:pPr>
              <w:spacing w:after="0"/>
            </w:pPr>
            <w:r>
              <w:rPr>
                <w:rFonts w:ascii="Arial" w:hAnsi="Arial"/>
                <w:sz w:val="15"/>
              </w:rPr>
              <w:t>Use hypertensive-disorder urgency rules and review full blood count.</w:t>
            </w:r>
          </w:p>
        </w:tc>
      </w:tr>
      <w:tr>
        <w:tc>
          <w:tcPr>
            <w:tcW w:type="dxa" w:w="3168"/>
            <w:vAlign w:val="top"/>
          </w:tcPr>
          <w:p>
            <w:pPr>
              <w:spacing w:after="0"/>
            </w:pPr>
            <w:r>
              <w:rPr>
                <w:rFonts w:ascii="Arial" w:hAnsi="Arial"/>
                <w:sz w:val="15"/>
              </w:rPr>
              <w:t>Anemia + placenta previa/abruption concern</w:t>
            </w:r>
          </w:p>
        </w:tc>
        <w:tc>
          <w:tcPr>
            <w:tcW w:type="dxa" w:w="4032"/>
            <w:vAlign w:val="top"/>
          </w:tcPr>
          <w:p>
            <w:pPr>
              <w:spacing w:after="0"/>
            </w:pPr>
            <w:r>
              <w:rPr>
                <w:rFonts w:ascii="Arial" w:hAnsi="Arial"/>
                <w:sz w:val="15"/>
              </w:rPr>
              <w:t>High hemorrhage risk.</w:t>
            </w:r>
          </w:p>
        </w:tc>
        <w:tc>
          <w:tcPr>
            <w:tcW w:type="dxa" w:w="3888"/>
            <w:vAlign w:val="top"/>
          </w:tcPr>
          <w:p>
            <w:pPr>
              <w:spacing w:after="0"/>
            </w:pPr>
            <w:r>
              <w:rPr>
                <w:rFonts w:ascii="Arial" w:hAnsi="Arial"/>
                <w:sz w:val="15"/>
              </w:rPr>
              <w:t>Hospital-based obstetric assessment and delivery planning.</w:t>
            </w:r>
          </w:p>
        </w:tc>
      </w:tr>
      <w:tr>
        <w:tc>
          <w:tcPr>
            <w:tcW w:type="dxa" w:w="3168"/>
            <w:vAlign w:val="top"/>
          </w:tcPr>
          <w:p>
            <w:pPr>
              <w:spacing w:after="0"/>
            </w:pPr>
            <w:r>
              <w:rPr>
                <w:rFonts w:ascii="Arial" w:hAnsi="Arial"/>
                <w:sz w:val="15"/>
              </w:rPr>
              <w:t>Anemia + previous postpartum hemorrhage</w:t>
            </w:r>
          </w:p>
        </w:tc>
        <w:tc>
          <w:tcPr>
            <w:tcW w:type="dxa" w:w="4032"/>
            <w:vAlign w:val="top"/>
          </w:tcPr>
          <w:p>
            <w:pPr>
              <w:spacing w:after="0"/>
            </w:pPr>
            <w:r>
              <w:rPr>
                <w:rFonts w:ascii="Arial" w:hAnsi="Arial"/>
                <w:sz w:val="15"/>
              </w:rPr>
              <w:t>Reduced reserve plus recurrence concern.</w:t>
            </w:r>
          </w:p>
        </w:tc>
        <w:tc>
          <w:tcPr>
            <w:tcW w:type="dxa" w:w="3888"/>
            <w:vAlign w:val="top"/>
          </w:tcPr>
          <w:p>
            <w:pPr>
              <w:spacing w:after="0"/>
            </w:pPr>
            <w:r>
              <w:rPr>
                <w:rFonts w:ascii="Arial" w:hAnsi="Arial"/>
                <w:sz w:val="15"/>
              </w:rPr>
              <w:t>Strengthen birth-facility and blood-access planning.</w:t>
            </w:r>
          </w:p>
        </w:tc>
      </w:tr>
      <w:tr>
        <w:tc>
          <w:tcPr>
            <w:tcW w:type="dxa" w:w="3168"/>
            <w:vAlign w:val="top"/>
          </w:tcPr>
          <w:p>
            <w:pPr>
              <w:spacing w:after="0"/>
            </w:pPr>
            <w:r>
              <w:rPr>
                <w:rFonts w:ascii="Arial" w:hAnsi="Arial"/>
                <w:sz w:val="15"/>
              </w:rPr>
              <w:t>Anemia + multiple pregnancy or short interval</w:t>
            </w:r>
          </w:p>
        </w:tc>
        <w:tc>
          <w:tcPr>
            <w:tcW w:type="dxa" w:w="4032"/>
            <w:vAlign w:val="top"/>
          </w:tcPr>
          <w:p>
            <w:pPr>
              <w:spacing w:after="0"/>
            </w:pPr>
            <w:r>
              <w:rPr>
                <w:rFonts w:ascii="Arial" w:hAnsi="Arial"/>
                <w:sz w:val="15"/>
              </w:rPr>
              <w:t>Higher nutritional and physiologic demand.</w:t>
            </w:r>
          </w:p>
        </w:tc>
        <w:tc>
          <w:tcPr>
            <w:tcW w:type="dxa" w:w="3888"/>
            <w:vAlign w:val="top"/>
          </w:tcPr>
          <w:p>
            <w:pPr>
              <w:spacing w:after="0"/>
            </w:pPr>
            <w:r>
              <w:rPr>
                <w:rFonts w:ascii="Arial" w:hAnsi="Arial"/>
                <w:sz w:val="15"/>
              </w:rPr>
              <w:t>Prompt closer follow-up and cause/treatment review.</w:t>
            </w:r>
          </w:p>
        </w:tc>
      </w:tr>
      <w:tr>
        <w:tc>
          <w:tcPr>
            <w:tcW w:type="dxa" w:w="3168"/>
            <w:vAlign w:val="top"/>
          </w:tcPr>
          <w:p>
            <w:pPr>
              <w:spacing w:after="0"/>
            </w:pPr>
            <w:r>
              <w:rPr>
                <w:rFonts w:ascii="Arial" w:hAnsi="Arial"/>
                <w:sz w:val="15"/>
              </w:rPr>
              <w:t>Anemia + infection, fever, or chronic disease</w:t>
            </w:r>
          </w:p>
        </w:tc>
        <w:tc>
          <w:tcPr>
            <w:tcW w:type="dxa" w:w="4032"/>
            <w:vAlign w:val="top"/>
          </w:tcPr>
          <w:p>
            <w:pPr>
              <w:spacing w:after="0"/>
            </w:pPr>
            <w:r>
              <w:rPr>
                <w:rFonts w:ascii="Arial" w:hAnsi="Arial"/>
                <w:sz w:val="15"/>
              </w:rPr>
              <w:t>May change cause and treatment response.</w:t>
            </w:r>
          </w:p>
        </w:tc>
        <w:tc>
          <w:tcPr>
            <w:tcW w:type="dxa" w:w="3888"/>
            <w:vAlign w:val="top"/>
          </w:tcPr>
          <w:p>
            <w:pPr>
              <w:spacing w:after="0"/>
            </w:pPr>
            <w:r>
              <w:rPr>
                <w:rFonts w:ascii="Arial" w:hAnsi="Arial"/>
                <w:sz w:val="15"/>
              </w:rPr>
              <w:t>Cause uncertain; qualified review.</w:t>
            </w:r>
          </w:p>
        </w:tc>
      </w:tr>
      <w:tr>
        <w:tc>
          <w:tcPr>
            <w:tcW w:type="dxa" w:w="3168"/>
            <w:vAlign w:val="top"/>
          </w:tcPr>
          <w:p>
            <w:pPr>
              <w:spacing w:after="0"/>
            </w:pPr>
            <w:r>
              <w:rPr>
                <w:rFonts w:ascii="Arial" w:hAnsi="Arial"/>
                <w:sz w:val="15"/>
              </w:rPr>
              <w:t>Anemia + suspected fetal growth problem</w:t>
            </w:r>
          </w:p>
        </w:tc>
        <w:tc>
          <w:tcPr>
            <w:tcW w:type="dxa" w:w="4032"/>
            <w:vAlign w:val="top"/>
          </w:tcPr>
          <w:p>
            <w:pPr>
              <w:spacing w:after="0"/>
            </w:pPr>
            <w:r>
              <w:rPr>
                <w:rFonts w:ascii="Arial" w:hAnsi="Arial"/>
                <w:sz w:val="15"/>
              </w:rPr>
              <w:t>May coexist with placental or nutritional problems.</w:t>
            </w:r>
          </w:p>
        </w:tc>
        <w:tc>
          <w:tcPr>
            <w:tcW w:type="dxa" w:w="3888"/>
            <w:vAlign w:val="top"/>
          </w:tcPr>
          <w:p>
            <w:pPr>
              <w:spacing w:after="0"/>
            </w:pPr>
            <w:r>
              <w:rPr>
                <w:rFonts w:ascii="Arial" w:hAnsi="Arial"/>
                <w:sz w:val="15"/>
              </w:rPr>
              <w:t>Use fetal-growth pathway; do not attribute automatically to anemia.</w:t>
            </w:r>
          </w:p>
        </w:tc>
      </w:tr>
      <w:tr>
        <w:tc>
          <w:tcPr>
            <w:tcW w:type="dxa" w:w="3168"/>
            <w:vAlign w:val="top"/>
          </w:tcPr>
          <w:p>
            <w:pPr>
              <w:spacing w:after="0"/>
            </w:pPr>
            <w:r>
              <w:rPr>
                <w:rFonts w:ascii="Arial" w:hAnsi="Arial"/>
                <w:sz w:val="15"/>
              </w:rPr>
              <w:t>Anemia + imminent delivery</w:t>
            </w:r>
          </w:p>
        </w:tc>
        <w:tc>
          <w:tcPr>
            <w:tcW w:type="dxa" w:w="4032"/>
            <w:vAlign w:val="top"/>
          </w:tcPr>
          <w:p>
            <w:pPr>
              <w:spacing w:after="0"/>
            </w:pPr>
            <w:r>
              <w:rPr>
                <w:rFonts w:ascii="Arial" w:hAnsi="Arial"/>
                <w:sz w:val="15"/>
              </w:rPr>
              <w:t>Less time for correction and greater consequence of blood loss.</w:t>
            </w:r>
          </w:p>
        </w:tc>
        <w:tc>
          <w:tcPr>
            <w:tcW w:type="dxa" w:w="3888"/>
            <w:vAlign w:val="top"/>
          </w:tcPr>
          <w:p>
            <w:pPr>
              <w:spacing w:after="0"/>
            </w:pPr>
            <w:r>
              <w:rPr>
                <w:rFonts w:ascii="Arial" w:hAnsi="Arial"/>
                <w:sz w:val="15"/>
              </w:rPr>
              <w:t>Expedited obstetric review and documented delivery facility.</w:t>
            </w:r>
          </w:p>
        </w:tc>
      </w:tr>
      <w:tr>
        <w:tc>
          <w:tcPr>
            <w:tcW w:type="dxa" w:w="3168"/>
            <w:vAlign w:val="top"/>
          </w:tcPr>
          <w:p>
            <w:pPr>
              <w:spacing w:after="0"/>
            </w:pPr>
            <w:r>
              <w:rPr>
                <w:rFonts w:ascii="Arial" w:hAnsi="Arial"/>
                <w:sz w:val="15"/>
              </w:rPr>
              <w:t>Anemia + diabetes</w:t>
            </w:r>
          </w:p>
        </w:tc>
        <w:tc>
          <w:tcPr>
            <w:tcW w:type="dxa" w:w="4032"/>
            <w:vAlign w:val="top"/>
          </w:tcPr>
          <w:p>
            <w:pPr>
              <w:spacing w:after="0"/>
            </w:pPr>
            <w:r>
              <w:rPr>
                <w:rFonts w:ascii="Arial" w:hAnsi="Arial"/>
                <w:sz w:val="15"/>
              </w:rPr>
              <w:t>Dietary advice and comorbidity management require coordination.</w:t>
            </w:r>
          </w:p>
        </w:tc>
        <w:tc>
          <w:tcPr>
            <w:tcW w:type="dxa" w:w="3888"/>
            <w:vAlign w:val="top"/>
          </w:tcPr>
          <w:p>
            <w:pPr>
              <w:spacing w:after="0"/>
            </w:pPr>
            <w:r>
              <w:rPr>
                <w:rFonts w:ascii="Arial" w:hAnsi="Arial"/>
                <w:sz w:val="15"/>
              </w:rPr>
              <w:t>Do not issue conflicting generic dietary instructions.</w:t>
            </w:r>
          </w:p>
        </w:tc>
      </w:tr>
      <w:tr>
        <w:tc>
          <w:tcPr>
            <w:tcW w:type="dxa" w:w="3168"/>
            <w:vAlign w:val="top"/>
          </w:tcPr>
          <w:p>
            <w:pPr>
              <w:spacing w:after="0"/>
            </w:pPr>
            <w:r>
              <w:rPr>
                <w:rFonts w:ascii="Arial" w:hAnsi="Arial"/>
                <w:sz w:val="15"/>
              </w:rPr>
              <w:t>Anemia + adolescent pregnancy</w:t>
            </w:r>
          </w:p>
        </w:tc>
        <w:tc>
          <w:tcPr>
            <w:tcW w:type="dxa" w:w="4032"/>
            <w:vAlign w:val="top"/>
          </w:tcPr>
          <w:p>
            <w:pPr>
              <w:spacing w:after="0"/>
            </w:pPr>
            <w:r>
              <w:rPr>
                <w:rFonts w:ascii="Arial" w:hAnsi="Arial"/>
                <w:sz w:val="15"/>
              </w:rPr>
              <w:t>Nutritional vulnerability may be greater.</w:t>
            </w:r>
          </w:p>
        </w:tc>
        <w:tc>
          <w:tcPr>
            <w:tcW w:type="dxa" w:w="3888"/>
            <w:vAlign w:val="top"/>
          </w:tcPr>
          <w:p>
            <w:pPr>
              <w:spacing w:after="0"/>
            </w:pPr>
            <w:r>
              <w:rPr>
                <w:rFonts w:ascii="Arial" w:hAnsi="Arial"/>
                <w:sz w:val="15"/>
              </w:rPr>
              <w:t>Enhanced support and follow-up, not automatic emergency classification.</w:t>
            </w:r>
          </w:p>
        </w:tc>
      </w:tr>
    </w:tbl>
    <w:p/>
    <w:p>
      <w:r>
        <w:br w:type="page"/>
      </w:r>
    </w:p>
    <w:p>
      <w:pPr>
        <w:pStyle w:val="Heading1"/>
      </w:pPr>
      <w:r>
        <w:t>13. Database Redesign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672"/>
            <w:shd w:fill="D9EAF7"/>
            <w:vAlign w:val="center"/>
          </w:tcPr>
          <w:p>
            <w:pPr>
              <w:spacing w:after="0"/>
            </w:pPr>
            <w:r>
              <w:rPr>
                <w:rFonts w:ascii="Arial" w:hAnsi="Arial"/>
                <w:b/>
                <w:sz w:val="16"/>
              </w:rPr>
              <w:t>Proposed field/record</w:t>
            </w:r>
          </w:p>
        </w:tc>
        <w:tc>
          <w:tcPr>
            <w:tcW w:type="dxa" w:w="7272"/>
            <w:shd w:fill="D9EAF7"/>
            <w:vAlign w:val="center"/>
          </w:tcPr>
          <w:p>
            <w:pPr>
              <w:spacing w:after="0"/>
            </w:pPr>
            <w:r>
              <w:rPr>
                <w:rFonts w:ascii="Arial" w:hAnsi="Arial"/>
                <w:b/>
                <w:sz w:val="16"/>
              </w:rPr>
              <w:t>Purpose</w:t>
            </w:r>
          </w:p>
        </w:tc>
      </w:tr>
      <w:tr>
        <w:tc>
          <w:tcPr>
            <w:tcW w:type="dxa" w:w="3672"/>
            <w:vAlign w:val="top"/>
          </w:tcPr>
          <w:p>
            <w:pPr>
              <w:spacing w:after="0"/>
            </w:pPr>
            <w:r>
              <w:rPr>
                <w:rFonts w:ascii="Arial" w:hAnsi="Arial"/>
                <w:sz w:val="16"/>
              </w:rPr>
              <w:t>anemia_status</w:t>
            </w:r>
          </w:p>
        </w:tc>
        <w:tc>
          <w:tcPr>
            <w:tcW w:type="dxa" w:w="7272"/>
            <w:vAlign w:val="top"/>
          </w:tcPr>
          <w:p>
            <w:pPr>
              <w:spacing w:after="0"/>
            </w:pPr>
            <w:r>
              <w:rPr>
                <w:rFonts w:ascii="Arial" w:hAnsi="Arial"/>
                <w:sz w:val="16"/>
              </w:rPr>
              <w:t>Normal, mild, moderate, severe, pending/incomplete, historical, or clinician-confirmed cause; derived only with named standard.</w:t>
            </w:r>
          </w:p>
        </w:tc>
      </w:tr>
      <w:tr>
        <w:tc>
          <w:tcPr>
            <w:tcW w:type="dxa" w:w="3672"/>
            <w:vAlign w:val="top"/>
          </w:tcPr>
          <w:p>
            <w:pPr>
              <w:spacing w:after="0"/>
            </w:pPr>
            <w:r>
              <w:rPr>
                <w:rFonts w:ascii="Arial" w:hAnsi="Arial"/>
                <w:sz w:val="16"/>
              </w:rPr>
              <w:t>hb_value_original / hb_unit_original</w:t>
            </w:r>
          </w:p>
        </w:tc>
        <w:tc>
          <w:tcPr>
            <w:tcW w:type="dxa" w:w="7272"/>
            <w:vAlign w:val="top"/>
          </w:tcPr>
          <w:p>
            <w:pPr>
              <w:spacing w:after="0"/>
            </w:pPr>
            <w:r>
              <w:rPr>
                <w:rFonts w:ascii="Arial" w:hAnsi="Arial"/>
                <w:sz w:val="16"/>
              </w:rPr>
              <w:t>Preserve the laboratory result exactly as reported.</w:t>
            </w:r>
          </w:p>
        </w:tc>
      </w:tr>
      <w:tr>
        <w:tc>
          <w:tcPr>
            <w:tcW w:type="dxa" w:w="3672"/>
            <w:vAlign w:val="top"/>
          </w:tcPr>
          <w:p>
            <w:pPr>
              <w:spacing w:after="0"/>
            </w:pPr>
            <w:r>
              <w:rPr>
                <w:rFonts w:ascii="Arial" w:hAnsi="Arial"/>
                <w:sz w:val="16"/>
              </w:rPr>
              <w:t>hb_value_g_dl</w:t>
            </w:r>
          </w:p>
        </w:tc>
        <w:tc>
          <w:tcPr>
            <w:tcW w:type="dxa" w:w="7272"/>
            <w:vAlign w:val="top"/>
          </w:tcPr>
          <w:p>
            <w:pPr>
              <w:spacing w:after="0"/>
            </w:pPr>
            <w:r>
              <w:rPr>
                <w:rFonts w:ascii="Arial" w:hAnsi="Arial"/>
                <w:sz w:val="16"/>
              </w:rPr>
              <w:t>Normalized value for logic after validated unit conversion.</w:t>
            </w:r>
          </w:p>
        </w:tc>
      </w:tr>
      <w:tr>
        <w:tc>
          <w:tcPr>
            <w:tcW w:type="dxa" w:w="3672"/>
            <w:vAlign w:val="top"/>
          </w:tcPr>
          <w:p>
            <w:pPr>
              <w:spacing w:after="0"/>
            </w:pPr>
            <w:r>
              <w:rPr>
                <w:rFonts w:ascii="Arial" w:hAnsi="Arial"/>
                <w:sz w:val="16"/>
              </w:rPr>
              <w:t>specimen_date and gestational_age_on_date</w:t>
            </w:r>
          </w:p>
        </w:tc>
        <w:tc>
          <w:tcPr>
            <w:tcW w:type="dxa" w:w="7272"/>
            <w:vAlign w:val="top"/>
          </w:tcPr>
          <w:p>
            <w:pPr>
              <w:spacing w:after="0"/>
            </w:pPr>
            <w:r>
              <w:rPr>
                <w:rFonts w:ascii="Arial" w:hAnsi="Arial"/>
                <w:sz w:val="16"/>
              </w:rPr>
              <w:t>Enable trimester-specific interpretation and trend review.</w:t>
            </w:r>
          </w:p>
        </w:tc>
      </w:tr>
      <w:tr>
        <w:tc>
          <w:tcPr>
            <w:tcW w:type="dxa" w:w="3672"/>
            <w:vAlign w:val="top"/>
          </w:tcPr>
          <w:p>
            <w:pPr>
              <w:spacing w:after="0"/>
            </w:pPr>
            <w:r>
              <w:rPr>
                <w:rFonts w:ascii="Arial" w:hAnsi="Arial"/>
                <w:sz w:val="16"/>
              </w:rPr>
              <w:t>result_source</w:t>
            </w:r>
          </w:p>
        </w:tc>
        <w:tc>
          <w:tcPr>
            <w:tcW w:type="dxa" w:w="7272"/>
            <w:vAlign w:val="top"/>
          </w:tcPr>
          <w:p>
            <w:pPr>
              <w:spacing w:after="0"/>
            </w:pPr>
            <w:r>
              <w:rPr>
                <w:rFonts w:ascii="Arial" w:hAnsi="Arial"/>
                <w:sz w:val="16"/>
              </w:rPr>
              <w:t>Laboratory, validated point-of-care device, external record, or patient-reported.</w:t>
            </w:r>
          </w:p>
        </w:tc>
      </w:tr>
      <w:tr>
        <w:tc>
          <w:tcPr>
            <w:tcW w:type="dxa" w:w="3672"/>
            <w:vAlign w:val="top"/>
          </w:tcPr>
          <w:p>
            <w:pPr>
              <w:spacing w:after="0"/>
            </w:pPr>
            <w:r>
              <w:rPr>
                <w:rFonts w:ascii="Arial" w:hAnsi="Arial"/>
                <w:sz w:val="16"/>
              </w:rPr>
              <w:t>diagnostic_standard and version</w:t>
            </w:r>
          </w:p>
        </w:tc>
        <w:tc>
          <w:tcPr>
            <w:tcW w:type="dxa" w:w="7272"/>
            <w:vAlign w:val="top"/>
          </w:tcPr>
          <w:p>
            <w:pPr>
              <w:spacing w:after="0"/>
            </w:pPr>
            <w:r>
              <w:rPr>
                <w:rFonts w:ascii="Arial" w:hAnsi="Arial"/>
                <w:sz w:val="16"/>
              </w:rPr>
              <w:t>WHO 2024, FIGO 2025, locally approved protocol, or other named standard.</w:t>
            </w:r>
          </w:p>
        </w:tc>
      </w:tr>
      <w:tr>
        <w:tc>
          <w:tcPr>
            <w:tcW w:type="dxa" w:w="3672"/>
            <w:vAlign w:val="top"/>
          </w:tcPr>
          <w:p>
            <w:pPr>
              <w:spacing w:after="0"/>
            </w:pPr>
            <w:r>
              <w:rPr>
                <w:rFonts w:ascii="Arial" w:hAnsi="Arial"/>
                <w:sz w:val="16"/>
              </w:rPr>
              <w:t>cbc_result table</w:t>
            </w:r>
          </w:p>
        </w:tc>
        <w:tc>
          <w:tcPr>
            <w:tcW w:type="dxa" w:w="7272"/>
            <w:vAlign w:val="top"/>
          </w:tcPr>
          <w:p>
            <w:pPr>
              <w:spacing w:after="0"/>
            </w:pPr>
            <w:r>
              <w:rPr>
                <w:rFonts w:ascii="Arial" w:hAnsi="Arial"/>
                <w:sz w:val="16"/>
              </w:rPr>
              <w:t>Hematocrit, MCV, MCH, MCHC, RDW, RBC, WBC, platelets, dates, units, reference ranges.</w:t>
            </w:r>
          </w:p>
        </w:tc>
      </w:tr>
      <w:tr>
        <w:tc>
          <w:tcPr>
            <w:tcW w:type="dxa" w:w="3672"/>
            <w:vAlign w:val="top"/>
          </w:tcPr>
          <w:p>
            <w:pPr>
              <w:spacing w:after="0"/>
            </w:pPr>
            <w:r>
              <w:rPr>
                <w:rFonts w:ascii="Arial" w:hAnsi="Arial"/>
                <w:sz w:val="16"/>
              </w:rPr>
              <w:t>ferritin and other tests</w:t>
            </w:r>
          </w:p>
        </w:tc>
        <w:tc>
          <w:tcPr>
            <w:tcW w:type="dxa" w:w="7272"/>
            <w:vAlign w:val="top"/>
          </w:tcPr>
          <w:p>
            <w:pPr>
              <w:spacing w:after="0"/>
            </w:pPr>
            <w:r>
              <w:rPr>
                <w:rFonts w:ascii="Arial" w:hAnsi="Arial"/>
                <w:sz w:val="16"/>
              </w:rPr>
              <w:t>Store raw result, unit, reference range, date, and laboratory.</w:t>
            </w:r>
          </w:p>
        </w:tc>
      </w:tr>
      <w:tr>
        <w:tc>
          <w:tcPr>
            <w:tcW w:type="dxa" w:w="3672"/>
            <w:vAlign w:val="top"/>
          </w:tcPr>
          <w:p>
            <w:pPr>
              <w:spacing w:after="0"/>
            </w:pPr>
            <w:r>
              <w:rPr>
                <w:rFonts w:ascii="Arial" w:hAnsi="Arial"/>
                <w:sz w:val="16"/>
              </w:rPr>
              <w:t>suspected_cause / confirmed_cause</w:t>
            </w:r>
          </w:p>
        </w:tc>
        <w:tc>
          <w:tcPr>
            <w:tcW w:type="dxa" w:w="7272"/>
            <w:vAlign w:val="top"/>
          </w:tcPr>
          <w:p>
            <w:pPr>
              <w:spacing w:after="0"/>
            </w:pPr>
            <w:r>
              <w:rPr>
                <w:rFonts w:ascii="Arial" w:hAnsi="Arial"/>
                <w:sz w:val="16"/>
              </w:rPr>
              <w:t>Separate clinician interpretation from automated anemia classification.</w:t>
            </w:r>
          </w:p>
        </w:tc>
      </w:tr>
      <w:tr>
        <w:tc>
          <w:tcPr>
            <w:tcW w:type="dxa" w:w="3672"/>
            <w:vAlign w:val="top"/>
          </w:tcPr>
          <w:p>
            <w:pPr>
              <w:spacing w:after="0"/>
            </w:pPr>
            <w:r>
              <w:rPr>
                <w:rFonts w:ascii="Arial" w:hAnsi="Arial"/>
                <w:sz w:val="16"/>
              </w:rPr>
              <w:t>bleeding_status</w:t>
            </w:r>
          </w:p>
        </w:tc>
        <w:tc>
          <w:tcPr>
            <w:tcW w:type="dxa" w:w="7272"/>
            <w:vAlign w:val="top"/>
          </w:tcPr>
          <w:p>
            <w:pPr>
              <w:spacing w:after="0"/>
            </w:pPr>
            <w:r>
              <w:rPr>
                <w:rFonts w:ascii="Arial" w:hAnsi="Arial"/>
                <w:sz w:val="16"/>
              </w:rPr>
              <w:t>None, spotting, active bleeding, heavy bleeding, recent hemorrhage, unknown; linked to urgency.</w:t>
            </w:r>
          </w:p>
        </w:tc>
      </w:tr>
      <w:tr>
        <w:tc>
          <w:tcPr>
            <w:tcW w:type="dxa" w:w="3672"/>
            <w:vAlign w:val="top"/>
          </w:tcPr>
          <w:p>
            <w:pPr>
              <w:spacing w:after="0"/>
            </w:pPr>
            <w:r>
              <w:rPr>
                <w:rFonts w:ascii="Arial" w:hAnsi="Arial"/>
                <w:sz w:val="16"/>
              </w:rPr>
              <w:t>symptoms and stability</w:t>
            </w:r>
          </w:p>
        </w:tc>
        <w:tc>
          <w:tcPr>
            <w:tcW w:type="dxa" w:w="7272"/>
            <w:vAlign w:val="top"/>
          </w:tcPr>
          <w:p>
            <w:pPr>
              <w:spacing w:after="0"/>
            </w:pPr>
            <w:r>
              <w:rPr>
                <w:rFonts w:ascii="Arial" w:hAnsi="Arial"/>
                <w:sz w:val="16"/>
              </w:rPr>
              <w:t>Dyspnea, chest pain, palpitations, dizziness, syncope, consciousness, pulse, BP, oxygen saturation.</w:t>
            </w:r>
          </w:p>
        </w:tc>
      </w:tr>
      <w:tr>
        <w:tc>
          <w:tcPr>
            <w:tcW w:type="dxa" w:w="3672"/>
            <w:vAlign w:val="top"/>
          </w:tcPr>
          <w:p>
            <w:pPr>
              <w:spacing w:after="0"/>
            </w:pPr>
            <w:r>
              <w:rPr>
                <w:rFonts w:ascii="Arial" w:hAnsi="Arial"/>
                <w:sz w:val="16"/>
              </w:rPr>
              <w:t>treatment_plan</w:t>
            </w:r>
          </w:p>
        </w:tc>
        <w:tc>
          <w:tcPr>
            <w:tcW w:type="dxa" w:w="7272"/>
            <w:vAlign w:val="top"/>
          </w:tcPr>
          <w:p>
            <w:pPr>
              <w:spacing w:after="0"/>
            </w:pPr>
            <w:r>
              <w:rPr>
                <w:rFonts w:ascii="Arial" w:hAnsi="Arial"/>
                <w:sz w:val="16"/>
              </w:rPr>
              <w:t>Product, elemental dose, route, prescriber, date started, planned duration, side effects.</w:t>
            </w:r>
          </w:p>
        </w:tc>
      </w:tr>
      <w:tr>
        <w:tc>
          <w:tcPr>
            <w:tcW w:type="dxa" w:w="3672"/>
            <w:vAlign w:val="top"/>
          </w:tcPr>
          <w:p>
            <w:pPr>
              <w:spacing w:after="0"/>
            </w:pPr>
            <w:r>
              <w:rPr>
                <w:rFonts w:ascii="Arial" w:hAnsi="Arial"/>
                <w:sz w:val="16"/>
              </w:rPr>
              <w:t>adherence and supply</w:t>
            </w:r>
          </w:p>
        </w:tc>
        <w:tc>
          <w:tcPr>
            <w:tcW w:type="dxa" w:w="7272"/>
            <w:vAlign w:val="top"/>
          </w:tcPr>
          <w:p>
            <w:pPr>
              <w:spacing w:after="0"/>
            </w:pPr>
            <w:r>
              <w:rPr>
                <w:rFonts w:ascii="Arial" w:hAnsi="Arial"/>
                <w:sz w:val="16"/>
              </w:rPr>
              <w:t>Missed doses, intolerance, stock availability, counseling, free supplement provision.</w:t>
            </w:r>
          </w:p>
        </w:tc>
      </w:tr>
      <w:tr>
        <w:tc>
          <w:tcPr>
            <w:tcW w:type="dxa" w:w="3672"/>
            <w:vAlign w:val="top"/>
          </w:tcPr>
          <w:p>
            <w:pPr>
              <w:spacing w:after="0"/>
            </w:pPr>
            <w:r>
              <w:rPr>
                <w:rFonts w:ascii="Arial" w:hAnsi="Arial"/>
                <w:sz w:val="16"/>
              </w:rPr>
              <w:t>follow_up_test_due</w:t>
            </w:r>
          </w:p>
        </w:tc>
        <w:tc>
          <w:tcPr>
            <w:tcW w:type="dxa" w:w="7272"/>
            <w:vAlign w:val="top"/>
          </w:tcPr>
          <w:p>
            <w:pPr>
              <w:spacing w:after="0"/>
            </w:pPr>
            <w:r>
              <w:rPr>
                <w:rFonts w:ascii="Arial" w:hAnsi="Arial"/>
                <w:sz w:val="16"/>
              </w:rPr>
              <w:t>Date and reason for repeat haemoglobin/CBC.</w:t>
            </w:r>
          </w:p>
        </w:tc>
      </w:tr>
      <w:tr>
        <w:tc>
          <w:tcPr>
            <w:tcW w:type="dxa" w:w="3672"/>
            <w:vAlign w:val="top"/>
          </w:tcPr>
          <w:p>
            <w:pPr>
              <w:spacing w:after="0"/>
            </w:pPr>
            <w:r>
              <w:rPr>
                <w:rFonts w:ascii="Arial" w:hAnsi="Arial"/>
                <w:sz w:val="16"/>
              </w:rPr>
              <w:t>referral_record</w:t>
            </w:r>
          </w:p>
        </w:tc>
        <w:tc>
          <w:tcPr>
            <w:tcW w:type="dxa" w:w="7272"/>
            <w:vAlign w:val="top"/>
          </w:tcPr>
          <w:p>
            <w:pPr>
              <w:spacing w:after="0"/>
            </w:pPr>
            <w:r>
              <w:rPr>
                <w:rFonts w:ascii="Arial" w:hAnsi="Arial"/>
                <w:sz w:val="16"/>
              </w:rPr>
              <w:t>Urgency, receiving facility, reason, acceptance/refusal, transport, outcome.</w:t>
            </w:r>
          </w:p>
        </w:tc>
      </w:tr>
      <w:tr>
        <w:tc>
          <w:tcPr>
            <w:tcW w:type="dxa" w:w="3672"/>
            <w:vAlign w:val="top"/>
          </w:tcPr>
          <w:p>
            <w:pPr>
              <w:spacing w:after="0"/>
            </w:pPr>
            <w:r>
              <w:rPr>
                <w:rFonts w:ascii="Arial" w:hAnsi="Arial"/>
                <w:sz w:val="16"/>
              </w:rPr>
              <w:t>delivery_eligibility_review</w:t>
            </w:r>
          </w:p>
        </w:tc>
        <w:tc>
          <w:tcPr>
            <w:tcW w:type="dxa" w:w="7272"/>
            <w:vAlign w:val="top"/>
          </w:tcPr>
          <w:p>
            <w:pPr>
              <w:spacing w:after="0"/>
            </w:pPr>
            <w:r>
              <w:rPr>
                <w:rFonts w:ascii="Arial" w:hAnsi="Arial"/>
                <w:sz w:val="16"/>
              </w:rPr>
              <w:t>Clinician decision on appropriate facility; never automatically generated solely from one value.</w:t>
            </w:r>
          </w:p>
        </w:tc>
      </w:tr>
    </w:tbl>
    <w:p/>
    <w:p>
      <w:pPr>
        <w:pStyle w:val="Heading1"/>
      </w:pPr>
      <w:r>
        <w:t>14. Explainable Recommendation Templates</w:t>
      </w:r>
    </w:p>
    <w:p>
      <w:r>
        <w:t>Example: mild anemia</w:t>
      </w:r>
    </w:p>
    <w:p>
      <w:pPr>
        <w:pStyle w:val="Quote"/>
      </w:pPr>
      <w:r>
        <w:t>The haemoglobin result is below the selected pregnancy threshold and falls in the mild range. The result confirms anemia but does not identify its cause. Clinician-directed treatment, adherence review, and repeat haemoglobin testing are recommended.</w:t>
      </w:r>
    </w:p>
    <w:p>
      <w:r>
        <w:t>Example: moderate anemia</w:t>
      </w:r>
    </w:p>
    <w:p>
      <w:pPr>
        <w:pStyle w:val="Quote"/>
      </w:pPr>
      <w:r>
        <w:t>Moderate anemia is documented. Prompt qualified review is recommended to assess symptoms, gestational age, cause, response to treatment, and the most appropriate facility for ongoing care and birth.</w:t>
      </w:r>
    </w:p>
    <w:p>
      <w:r>
        <w:t>Example: severe anemia</w:t>
      </w:r>
    </w:p>
    <w:p>
      <w:pPr>
        <w:pStyle w:val="Quote"/>
      </w:pPr>
      <w:r>
        <w:t>The haemoglobin result is in the severe range. Urgent hospital or obstetric assessment is recommended. Emergency response is required if there is active bleeding, fainting, chest pain, severe breathlessness, altered consciousness, or hemodynamic instability.</w:t>
      </w:r>
    </w:p>
    <w:p>
      <w:r>
        <w:t>Example: incomplete data</w:t>
      </w:r>
    </w:p>
    <w:p>
      <w:pPr>
        <w:pStyle w:val="Quote"/>
      </w:pPr>
      <w:r>
        <w:t>Anemia is recorded in the history, but no valid haemoglobin value, date, unit, or source is available. Severity and current status cannot be determined. Verification and haemoglobin testing are required.</w:t>
      </w:r>
    </w:p>
    <w:p>
      <w:pPr>
        <w:pStyle w:val="Heading1"/>
      </w:pPr>
      <w:r>
        <w:t>15. Prohibited Outputs</w:t>
      </w:r>
    </w:p>
    <w:p>
      <w:pPr>
        <w:pStyle w:val="ListBullet"/>
        <w:spacing w:after="40"/>
      </w:pPr>
      <w:r>
        <w:t>"Anemia = HIGH" without showing haemoglobin, trimester, severity, symptoms, and action.</w:t>
      </w:r>
    </w:p>
    <w:p>
      <w:pPr>
        <w:pStyle w:val="ListBullet"/>
        <w:spacing w:after="40"/>
      </w:pPr>
      <w:r>
        <w:t>"Iron-deficiency anemia" based on haemoglobin alone.</w:t>
      </w:r>
    </w:p>
    <w:p>
      <w:pPr>
        <w:pStyle w:val="ListBullet"/>
        <w:spacing w:after="40"/>
      </w:pPr>
      <w:r>
        <w:t>"No anemia" because the patient has no pallor or fatigue.</w:t>
      </w:r>
    </w:p>
    <w:p>
      <w:pPr>
        <w:pStyle w:val="ListBullet"/>
        <w:spacing w:after="40"/>
      </w:pPr>
      <w:r>
        <w:t>"Mild anemia is safe for lying-in delivery" without a clinician-approved facility assessment.</w:t>
      </w:r>
    </w:p>
    <w:p>
      <w:pPr>
        <w:pStyle w:val="ListBullet"/>
        <w:spacing w:after="40"/>
      </w:pPr>
      <w:r>
        <w:t>"Take 120 mg iron" generated as an autonomous prescription.</w:t>
      </w:r>
    </w:p>
    <w:p>
      <w:pPr>
        <w:pStyle w:val="ListBullet"/>
        <w:spacing w:after="40"/>
      </w:pPr>
      <w:r>
        <w:t>"Blood transfusion required" based only on a threshold.</w:t>
      </w:r>
    </w:p>
    <w:p>
      <w:pPr>
        <w:pStyle w:val="ListBullet"/>
        <w:spacing w:after="40"/>
      </w:pPr>
      <w:r>
        <w:t>"Anemia corrected" after one improved result without follow-up plan.</w:t>
      </w:r>
    </w:p>
    <w:p>
      <w:pPr>
        <w:pStyle w:val="ListBullet"/>
        <w:spacing w:after="40"/>
      </w:pPr>
      <w:r>
        <w:t>"Normal" when haemoglobin is missing, outdated, in an unknown unit, or from an unknown pregnancy.</w:t>
      </w:r>
    </w:p>
    <w:p>
      <w:pPr>
        <w:pStyle w:val="Heading1"/>
      </w:pPr>
      <w:r>
        <w:t>16. Missing-Data Safety Rules</w:t>
      </w:r>
    </w:p>
    <w:p>
      <w:pPr>
        <w:pStyle w:val="ListBullet"/>
        <w:spacing w:after="40"/>
      </w:pPr>
      <w:r>
        <w:t>Missing haemoglobin means anemia status is unknown, not normal.</w:t>
      </w:r>
    </w:p>
    <w:p>
      <w:pPr>
        <w:pStyle w:val="ListBullet"/>
        <w:spacing w:after="40"/>
      </w:pPr>
      <w:r>
        <w:t>Missing trimester prevents trimester-specific classification under WHO 2024/ACOG conventions.</w:t>
      </w:r>
    </w:p>
    <w:p>
      <w:pPr>
        <w:pStyle w:val="ListBullet"/>
        <w:spacing w:after="40"/>
      </w:pPr>
      <w:r>
        <w:t>Missing units prevent interpretation.</w:t>
      </w:r>
    </w:p>
    <w:p>
      <w:pPr>
        <w:pStyle w:val="ListBullet"/>
        <w:spacing w:after="40"/>
      </w:pPr>
      <w:r>
        <w:t>A patient-reported diagnosis must remain patient-reported until verified.</w:t>
      </w:r>
    </w:p>
    <w:p>
      <w:pPr>
        <w:pStyle w:val="ListBullet"/>
        <w:spacing w:after="40"/>
      </w:pPr>
      <w:r>
        <w:t>Pallor without laboratory testing is suspected anemia, not confirmed anemia.</w:t>
      </w:r>
    </w:p>
    <w:p>
      <w:pPr>
        <w:pStyle w:val="ListBullet"/>
        <w:spacing w:after="40"/>
      </w:pPr>
      <w:r>
        <w:t>A normal haemoglobin does not prove normal iron stores.</w:t>
      </w:r>
    </w:p>
    <w:p>
      <w:pPr>
        <w:pStyle w:val="ListBullet"/>
        <w:spacing w:after="40"/>
      </w:pPr>
      <w:r>
        <w:t>A low haemoglobin does not prove iron deficiency.</w:t>
      </w:r>
    </w:p>
    <w:p>
      <w:pPr>
        <w:pStyle w:val="ListBullet"/>
        <w:spacing w:after="40"/>
      </w:pPr>
      <w:r>
        <w:t>Acute bleeding and instability override laboratory-based severity.</w:t>
      </w:r>
    </w:p>
    <w:p>
      <w:pPr>
        <w:pStyle w:val="ListBullet"/>
        <w:spacing w:after="40"/>
      </w:pPr>
      <w:r>
        <w:t>An old result from a previous pregnancy must not classify the current pregnancy.</w:t>
      </w:r>
    </w:p>
    <w:p>
      <w:pPr>
        <w:pStyle w:val="ListBullet"/>
        <w:spacing w:after="40"/>
      </w:pPr>
      <w:r>
        <w:t>A treatment record without repeat testing must not be labeled successful.</w:t>
      </w:r>
    </w:p>
    <w:p>
      <w:pPr>
        <w:pStyle w:val="ListBullet"/>
        <w:spacing w:after="40"/>
      </w:pPr>
      <w:r>
        <w:t>A missing referral outcome must remain unresolved and visible.</w:t>
      </w:r>
    </w:p>
    <w:p>
      <w:pPr>
        <w:pStyle w:val="Heading1"/>
      </w:pPr>
      <w:r>
        <w:t>17. Clinical Decision and Rationale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D9EAF7"/>
            <w:vAlign w:val="center"/>
          </w:tcPr>
          <w:p>
            <w:pPr>
              <w:spacing w:after="0"/>
            </w:pPr>
            <w:r>
              <w:rPr>
                <w:rFonts w:ascii="Arial" w:hAnsi="Arial"/>
                <w:b/>
                <w:sz w:val="16"/>
              </w:rPr>
              <w:t>Design decision</w:t>
            </w:r>
          </w:p>
        </w:tc>
        <w:tc>
          <w:tcPr>
            <w:tcW w:type="dxa" w:w="6480"/>
            <w:shd w:fill="D9EAF7"/>
            <w:vAlign w:val="center"/>
          </w:tcPr>
          <w:p>
            <w:pPr>
              <w:spacing w:after="0"/>
            </w:pPr>
            <w:r>
              <w:rPr>
                <w:rFonts w:ascii="Arial" w:hAnsi="Arial"/>
                <w:b/>
                <w:sz w:val="16"/>
              </w:rPr>
              <w:t>Rationale</w:t>
            </w:r>
          </w:p>
        </w:tc>
      </w:tr>
      <w:tr>
        <w:tc>
          <w:tcPr>
            <w:tcW w:type="dxa" w:w="4464"/>
            <w:vAlign w:val="top"/>
          </w:tcPr>
          <w:p>
            <w:pPr>
              <w:spacing w:after="0"/>
            </w:pPr>
            <w:r>
              <w:rPr>
                <w:rFonts w:ascii="Arial" w:hAnsi="Arial"/>
                <w:sz w:val="16"/>
              </w:rPr>
              <w:t>Include anemia as a major CDSS factor.</w:t>
            </w:r>
          </w:p>
        </w:tc>
        <w:tc>
          <w:tcPr>
            <w:tcW w:type="dxa" w:w="6480"/>
            <w:vAlign w:val="top"/>
          </w:tcPr>
          <w:p>
            <w:pPr>
              <w:spacing w:after="0"/>
            </w:pPr>
            <w:r>
              <w:rPr>
                <w:rFonts w:ascii="Arial" w:hAnsi="Arial"/>
                <w:sz w:val="16"/>
              </w:rPr>
              <w:t>It affects maternal reserve, pregnancy outcomes, and preparedness for hemorrhage.</w:t>
            </w:r>
          </w:p>
        </w:tc>
      </w:tr>
      <w:tr>
        <w:tc>
          <w:tcPr>
            <w:tcW w:type="dxa" w:w="4464"/>
            <w:vAlign w:val="top"/>
          </w:tcPr>
          <w:p>
            <w:pPr>
              <w:spacing w:after="0"/>
            </w:pPr>
            <w:r>
              <w:rPr>
                <w:rFonts w:ascii="Arial" w:hAnsi="Arial"/>
                <w:sz w:val="16"/>
              </w:rPr>
              <w:t>Use haemoglobin with gestational timing.</w:t>
            </w:r>
          </w:p>
        </w:tc>
        <w:tc>
          <w:tcPr>
            <w:tcW w:type="dxa" w:w="6480"/>
            <w:vAlign w:val="top"/>
          </w:tcPr>
          <w:p>
            <w:pPr>
              <w:spacing w:after="0"/>
            </w:pPr>
            <w:r>
              <w:rPr>
                <w:rFonts w:ascii="Arial" w:hAnsi="Arial"/>
                <w:sz w:val="16"/>
              </w:rPr>
              <w:t>Objective classification depends on pregnancy stage under WHO 2024/ACOG conventions.</w:t>
            </w:r>
          </w:p>
        </w:tc>
      </w:tr>
      <w:tr>
        <w:tc>
          <w:tcPr>
            <w:tcW w:type="dxa" w:w="4464"/>
            <w:vAlign w:val="top"/>
          </w:tcPr>
          <w:p>
            <w:pPr>
              <w:spacing w:after="0"/>
            </w:pPr>
            <w:r>
              <w:rPr>
                <w:rFonts w:ascii="Arial" w:hAnsi="Arial"/>
                <w:sz w:val="16"/>
              </w:rPr>
              <w:t>Store diagnostic standard.</w:t>
            </w:r>
          </w:p>
        </w:tc>
        <w:tc>
          <w:tcPr>
            <w:tcW w:type="dxa" w:w="6480"/>
            <w:vAlign w:val="top"/>
          </w:tcPr>
          <w:p>
            <w:pPr>
              <w:spacing w:after="0"/>
            </w:pPr>
            <w:r>
              <w:rPr>
                <w:rFonts w:ascii="Arial" w:hAnsi="Arial"/>
                <w:sz w:val="16"/>
              </w:rPr>
              <w:t>WHO/ACOG and FIGO differ in the second-trimester cutoff.</w:t>
            </w:r>
          </w:p>
        </w:tc>
      </w:tr>
      <w:tr>
        <w:tc>
          <w:tcPr>
            <w:tcW w:type="dxa" w:w="4464"/>
            <w:vAlign w:val="top"/>
          </w:tcPr>
          <w:p>
            <w:pPr>
              <w:spacing w:after="0"/>
            </w:pPr>
            <w:r>
              <w:rPr>
                <w:rFonts w:ascii="Arial" w:hAnsi="Arial"/>
                <w:sz w:val="16"/>
              </w:rPr>
              <w:t>Separate severity from cause.</w:t>
            </w:r>
          </w:p>
        </w:tc>
        <w:tc>
          <w:tcPr>
            <w:tcW w:type="dxa" w:w="6480"/>
            <w:vAlign w:val="top"/>
          </w:tcPr>
          <w:p>
            <w:pPr>
              <w:spacing w:after="0"/>
            </w:pPr>
            <w:r>
              <w:rPr>
                <w:rFonts w:ascii="Arial" w:hAnsi="Arial"/>
                <w:sz w:val="16"/>
              </w:rPr>
              <w:t>Haemoglobin grades anemia but does not identify iron deficiency or another etiology.</w:t>
            </w:r>
          </w:p>
        </w:tc>
      </w:tr>
      <w:tr>
        <w:tc>
          <w:tcPr>
            <w:tcW w:type="dxa" w:w="4464"/>
            <w:vAlign w:val="top"/>
          </w:tcPr>
          <w:p>
            <w:pPr>
              <w:spacing w:after="0"/>
            </w:pPr>
            <w:r>
              <w:rPr>
                <w:rFonts w:ascii="Arial" w:hAnsi="Arial"/>
                <w:sz w:val="16"/>
              </w:rPr>
              <w:t>Do not use symptoms alone for diagnosis.</w:t>
            </w:r>
          </w:p>
        </w:tc>
        <w:tc>
          <w:tcPr>
            <w:tcW w:type="dxa" w:w="6480"/>
            <w:vAlign w:val="top"/>
          </w:tcPr>
          <w:p>
            <w:pPr>
              <w:spacing w:after="0"/>
            </w:pPr>
            <w:r>
              <w:rPr>
                <w:rFonts w:ascii="Arial" w:hAnsi="Arial"/>
                <w:sz w:val="16"/>
              </w:rPr>
              <w:t>Symptoms and pallor are nonspecific.</w:t>
            </w:r>
          </w:p>
        </w:tc>
      </w:tr>
      <w:tr>
        <w:tc>
          <w:tcPr>
            <w:tcW w:type="dxa" w:w="4464"/>
            <w:vAlign w:val="top"/>
          </w:tcPr>
          <w:p>
            <w:pPr>
              <w:spacing w:after="0"/>
            </w:pPr>
            <w:r>
              <w:rPr>
                <w:rFonts w:ascii="Arial" w:hAnsi="Arial"/>
                <w:sz w:val="16"/>
              </w:rPr>
              <w:t>Use urgent override for bleeding or compromise.</w:t>
            </w:r>
          </w:p>
        </w:tc>
        <w:tc>
          <w:tcPr>
            <w:tcW w:type="dxa" w:w="6480"/>
            <w:vAlign w:val="top"/>
          </w:tcPr>
          <w:p>
            <w:pPr>
              <w:spacing w:after="0"/>
            </w:pPr>
            <w:r>
              <w:rPr>
                <w:rFonts w:ascii="Arial" w:hAnsi="Arial"/>
                <w:sz w:val="16"/>
              </w:rPr>
              <w:t>Clinical instability may be dangerous even before Hb fully changes.</w:t>
            </w:r>
          </w:p>
        </w:tc>
      </w:tr>
      <w:tr>
        <w:tc>
          <w:tcPr>
            <w:tcW w:type="dxa" w:w="4464"/>
            <w:vAlign w:val="top"/>
          </w:tcPr>
          <w:p>
            <w:pPr>
              <w:spacing w:after="0"/>
            </w:pPr>
            <w:r>
              <w:rPr>
                <w:rFonts w:ascii="Arial" w:hAnsi="Arial"/>
                <w:sz w:val="16"/>
              </w:rPr>
              <w:t>Track treatment and response.</w:t>
            </w:r>
          </w:p>
        </w:tc>
        <w:tc>
          <w:tcPr>
            <w:tcW w:type="dxa" w:w="6480"/>
            <w:vAlign w:val="top"/>
          </w:tcPr>
          <w:p>
            <w:pPr>
              <w:spacing w:after="0"/>
            </w:pPr>
            <w:r>
              <w:rPr>
                <w:rFonts w:ascii="Arial" w:hAnsi="Arial"/>
                <w:sz w:val="16"/>
              </w:rPr>
              <w:t>A one-time diagnosis is insufficient for safe pregnancy and delivery planning.</w:t>
            </w:r>
          </w:p>
        </w:tc>
      </w:tr>
      <w:tr>
        <w:tc>
          <w:tcPr>
            <w:tcW w:type="dxa" w:w="4464"/>
            <w:vAlign w:val="top"/>
          </w:tcPr>
          <w:p>
            <w:pPr>
              <w:spacing w:after="0"/>
            </w:pPr>
            <w:r>
              <w:rPr>
                <w:rFonts w:ascii="Arial" w:hAnsi="Arial"/>
                <w:sz w:val="16"/>
              </w:rPr>
              <w:t>Require clinician approval for delivery setting.</w:t>
            </w:r>
          </w:p>
        </w:tc>
        <w:tc>
          <w:tcPr>
            <w:tcW w:type="dxa" w:w="6480"/>
            <w:vAlign w:val="top"/>
          </w:tcPr>
          <w:p>
            <w:pPr>
              <w:spacing w:after="0"/>
            </w:pPr>
            <w:r>
              <w:rPr>
                <w:rFonts w:ascii="Arial" w:hAnsi="Arial"/>
                <w:sz w:val="16"/>
              </w:rPr>
              <w:t>Lying-in capability, gestational age, response, comorbidity, blood access, and local policy matter.</w:t>
            </w:r>
          </w:p>
        </w:tc>
      </w:tr>
      <w:tr>
        <w:tc>
          <w:tcPr>
            <w:tcW w:type="dxa" w:w="4464"/>
            <w:vAlign w:val="top"/>
          </w:tcPr>
          <w:p>
            <w:pPr>
              <w:spacing w:after="0"/>
            </w:pPr>
            <w:r>
              <w:rPr>
                <w:rFonts w:ascii="Arial" w:hAnsi="Arial"/>
                <w:sz w:val="16"/>
              </w:rPr>
              <w:t>Retain postpartum continuity.</w:t>
            </w:r>
          </w:p>
        </w:tc>
        <w:tc>
          <w:tcPr>
            <w:tcW w:type="dxa" w:w="6480"/>
            <w:vAlign w:val="top"/>
          </w:tcPr>
          <w:p>
            <w:pPr>
              <w:spacing w:after="0"/>
            </w:pPr>
            <w:r>
              <w:rPr>
                <w:rFonts w:ascii="Arial" w:hAnsi="Arial"/>
                <w:sz w:val="16"/>
              </w:rPr>
              <w:t>Anemia and supplementation may require continued follow-up after birth.</w:t>
            </w:r>
          </w:p>
        </w:tc>
      </w:tr>
      <w:tr>
        <w:tc>
          <w:tcPr>
            <w:tcW w:type="dxa" w:w="4464"/>
            <w:vAlign w:val="top"/>
          </w:tcPr>
          <w:p>
            <w:pPr>
              <w:spacing w:after="0"/>
            </w:pPr>
            <w:r>
              <w:rPr>
                <w:rFonts w:ascii="Arial" w:hAnsi="Arial"/>
                <w:sz w:val="16"/>
              </w:rPr>
              <w:t>Do not autonomously prescribe.</w:t>
            </w:r>
          </w:p>
        </w:tc>
        <w:tc>
          <w:tcPr>
            <w:tcW w:type="dxa" w:w="6480"/>
            <w:vAlign w:val="top"/>
          </w:tcPr>
          <w:p>
            <w:pPr>
              <w:spacing w:after="0"/>
            </w:pPr>
            <w:r>
              <w:rPr>
                <w:rFonts w:ascii="Arial" w:hAnsi="Arial"/>
                <w:sz w:val="16"/>
              </w:rPr>
              <w:t>Drug route, dose, transfusion, and investigation require qualified clinical judgment and a validated protocol.</w:t>
            </w:r>
          </w:p>
        </w:tc>
      </w:tr>
    </w:tbl>
    <w:p/>
    <w:p>
      <w:r>
        <w:br w:type="page"/>
      </w:r>
    </w:p>
    <w:p>
      <w:pPr>
        <w:pStyle w:val="Heading1"/>
      </w:pPr>
      <w:r>
        <w:t>18. Evidence Traceability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032"/>
            <w:shd w:fill="D9EAF7"/>
            <w:vAlign w:val="center"/>
          </w:tcPr>
          <w:p>
            <w:pPr>
              <w:spacing w:after="0"/>
            </w:pPr>
            <w:r>
              <w:rPr>
                <w:rFonts w:ascii="Arial" w:hAnsi="Arial"/>
                <w:b/>
                <w:sz w:val="15"/>
              </w:rPr>
              <w:t>Knowledge claim</w:t>
            </w:r>
          </w:p>
        </w:tc>
        <w:tc>
          <w:tcPr>
            <w:tcW w:type="dxa" w:w="3600"/>
            <w:shd w:fill="D9EAF7"/>
            <w:vAlign w:val="center"/>
          </w:tcPr>
          <w:p>
            <w:pPr>
              <w:spacing w:after="0"/>
            </w:pPr>
            <w:r>
              <w:rPr>
                <w:rFonts w:ascii="Arial" w:hAnsi="Arial"/>
                <w:b/>
                <w:sz w:val="15"/>
              </w:rPr>
              <w:t>Primary supporting source</w:t>
            </w:r>
          </w:p>
        </w:tc>
        <w:tc>
          <w:tcPr>
            <w:tcW w:type="dxa" w:w="3456"/>
            <w:shd w:fill="D9EAF7"/>
            <w:vAlign w:val="center"/>
          </w:tcPr>
          <w:p>
            <w:pPr>
              <w:spacing w:after="0"/>
            </w:pPr>
            <w:r>
              <w:rPr>
                <w:rFonts w:ascii="Arial" w:hAnsi="Arial"/>
                <w:b/>
                <w:sz w:val="15"/>
              </w:rPr>
              <w:t>Software implication</w:t>
            </w:r>
          </w:p>
        </w:tc>
      </w:tr>
      <w:tr>
        <w:tc>
          <w:tcPr>
            <w:tcW w:type="dxa" w:w="4032"/>
            <w:vAlign w:val="top"/>
          </w:tcPr>
          <w:p>
            <w:pPr>
              <w:spacing w:after="0"/>
            </w:pPr>
            <w:r>
              <w:rPr>
                <w:rFonts w:ascii="Arial" w:hAnsi="Arial"/>
                <w:sz w:val="15"/>
              </w:rPr>
              <w:t>Pregnancy anemia cutoffs differ by trimester in WHO 2024.</w:t>
            </w:r>
          </w:p>
        </w:tc>
        <w:tc>
          <w:tcPr>
            <w:tcW w:type="dxa" w:w="3600"/>
            <w:vAlign w:val="top"/>
          </w:tcPr>
          <w:p>
            <w:pPr>
              <w:spacing w:after="0"/>
            </w:pPr>
            <w:r>
              <w:rPr>
                <w:rFonts w:ascii="Arial" w:hAnsi="Arial"/>
                <w:sz w:val="15"/>
              </w:rPr>
              <w:t>WHO, 2024 haemoglobin cutoff guideline.</w:t>
            </w:r>
          </w:p>
        </w:tc>
        <w:tc>
          <w:tcPr>
            <w:tcW w:type="dxa" w:w="3456"/>
            <w:vAlign w:val="top"/>
          </w:tcPr>
          <w:p>
            <w:pPr>
              <w:spacing w:after="0"/>
            </w:pPr>
            <w:r>
              <w:rPr>
                <w:rFonts w:ascii="Arial" w:hAnsi="Arial"/>
                <w:sz w:val="15"/>
              </w:rPr>
              <w:t>Gestational-age-aware classification and stored standard.</w:t>
            </w:r>
          </w:p>
        </w:tc>
      </w:tr>
      <w:tr>
        <w:tc>
          <w:tcPr>
            <w:tcW w:type="dxa" w:w="4032"/>
            <w:vAlign w:val="top"/>
          </w:tcPr>
          <w:p>
            <w:pPr>
              <w:spacing w:after="0"/>
            </w:pPr>
            <w:r>
              <w:rPr>
                <w:rFonts w:ascii="Arial" w:hAnsi="Arial"/>
                <w:sz w:val="15"/>
              </w:rPr>
              <w:t>WHO recommends 30-60 mg elemental iron plus 400 micrograms folic acid daily for prevention.</w:t>
            </w:r>
          </w:p>
        </w:tc>
        <w:tc>
          <w:tcPr>
            <w:tcW w:type="dxa" w:w="3600"/>
            <w:vAlign w:val="top"/>
          </w:tcPr>
          <w:p>
            <w:pPr>
              <w:spacing w:after="0"/>
            </w:pPr>
            <w:r>
              <w:rPr>
                <w:rFonts w:ascii="Arial" w:hAnsi="Arial"/>
                <w:sz w:val="15"/>
              </w:rPr>
              <w:t>WHO antenatal iron-folic acid recommendation, updated 2024.</w:t>
            </w:r>
          </w:p>
        </w:tc>
        <w:tc>
          <w:tcPr>
            <w:tcW w:type="dxa" w:w="3456"/>
            <w:vAlign w:val="top"/>
          </w:tcPr>
          <w:p>
            <w:pPr>
              <w:spacing w:after="0"/>
            </w:pPr>
            <w:r>
              <w:rPr>
                <w:rFonts w:ascii="Arial" w:hAnsi="Arial"/>
                <w:sz w:val="15"/>
              </w:rPr>
              <w:t>Track preventive provision/adherence; no autonomous prescription.</w:t>
            </w:r>
          </w:p>
        </w:tc>
      </w:tr>
      <w:tr>
        <w:tc>
          <w:tcPr>
            <w:tcW w:type="dxa" w:w="4032"/>
            <w:vAlign w:val="top"/>
          </w:tcPr>
          <w:p>
            <w:pPr>
              <w:spacing w:after="0"/>
            </w:pPr>
            <w:r>
              <w:rPr>
                <w:rFonts w:ascii="Arial" w:hAnsi="Arial"/>
                <w:sz w:val="15"/>
              </w:rPr>
              <w:t>Anemia has multiple nutritional and non-nutritional causes.</w:t>
            </w:r>
          </w:p>
        </w:tc>
        <w:tc>
          <w:tcPr>
            <w:tcW w:type="dxa" w:w="3600"/>
            <w:vAlign w:val="top"/>
          </w:tcPr>
          <w:p>
            <w:pPr>
              <w:spacing w:after="0"/>
            </w:pPr>
            <w:r>
              <w:rPr>
                <w:rFonts w:ascii="Arial" w:hAnsi="Arial"/>
                <w:sz w:val="15"/>
              </w:rPr>
              <w:t>WHO anemia overview and guideline.</w:t>
            </w:r>
          </w:p>
        </w:tc>
        <w:tc>
          <w:tcPr>
            <w:tcW w:type="dxa" w:w="3456"/>
            <w:vAlign w:val="top"/>
          </w:tcPr>
          <w:p>
            <w:pPr>
              <w:spacing w:after="0"/>
            </w:pPr>
            <w:r>
              <w:rPr>
                <w:rFonts w:ascii="Arial" w:hAnsi="Arial"/>
                <w:sz w:val="15"/>
              </w:rPr>
              <w:t>Separate anemia from cause.</w:t>
            </w:r>
          </w:p>
        </w:tc>
      </w:tr>
      <w:tr>
        <w:tc>
          <w:tcPr>
            <w:tcW w:type="dxa" w:w="4032"/>
            <w:vAlign w:val="top"/>
          </w:tcPr>
          <w:p>
            <w:pPr>
              <w:spacing w:after="0"/>
            </w:pPr>
            <w:r>
              <w:rPr>
                <w:rFonts w:ascii="Arial" w:hAnsi="Arial"/>
                <w:sz w:val="15"/>
              </w:rPr>
              <w:t>ACOG addresses screening and management; iron deficiency and acute blood loss are common causes.</w:t>
            </w:r>
          </w:p>
        </w:tc>
        <w:tc>
          <w:tcPr>
            <w:tcW w:type="dxa" w:w="3600"/>
            <w:vAlign w:val="top"/>
          </w:tcPr>
          <w:p>
            <w:pPr>
              <w:spacing w:after="0"/>
            </w:pPr>
            <w:r>
              <w:rPr>
                <w:rFonts w:ascii="Arial" w:hAnsi="Arial"/>
                <w:sz w:val="15"/>
              </w:rPr>
              <w:t>ACOG Practice Bulletin No. 233, reaffirmed 2024.</w:t>
            </w:r>
          </w:p>
        </w:tc>
        <w:tc>
          <w:tcPr>
            <w:tcW w:type="dxa" w:w="3456"/>
            <w:vAlign w:val="top"/>
          </w:tcPr>
          <w:p>
            <w:pPr>
              <w:spacing w:after="0"/>
            </w:pPr>
            <w:r>
              <w:rPr>
                <w:rFonts w:ascii="Arial" w:hAnsi="Arial"/>
                <w:sz w:val="15"/>
              </w:rPr>
              <w:t>Record screening, bleeding, investigations, and management.</w:t>
            </w:r>
          </w:p>
        </w:tc>
      </w:tr>
      <w:tr>
        <w:tc>
          <w:tcPr>
            <w:tcW w:type="dxa" w:w="4032"/>
            <w:vAlign w:val="top"/>
          </w:tcPr>
          <w:p>
            <w:pPr>
              <w:spacing w:after="0"/>
            </w:pPr>
            <w:r>
              <w:rPr>
                <w:rFonts w:ascii="Arial" w:hAnsi="Arial"/>
                <w:sz w:val="15"/>
              </w:rPr>
              <w:t>FIGO recommends screening at booking and 28 weeks.</w:t>
            </w:r>
          </w:p>
        </w:tc>
        <w:tc>
          <w:tcPr>
            <w:tcW w:type="dxa" w:w="3600"/>
            <w:vAlign w:val="top"/>
          </w:tcPr>
          <w:p>
            <w:pPr>
              <w:spacing w:after="0"/>
            </w:pPr>
            <w:r>
              <w:rPr>
                <w:rFonts w:ascii="Arial" w:hAnsi="Arial"/>
                <w:sz w:val="15"/>
              </w:rPr>
              <w:t>FIGO good-practice recommendations, 2025.</w:t>
            </w:r>
          </w:p>
        </w:tc>
        <w:tc>
          <w:tcPr>
            <w:tcW w:type="dxa" w:w="3456"/>
            <w:vAlign w:val="top"/>
          </w:tcPr>
          <w:p>
            <w:pPr>
              <w:spacing w:after="0"/>
            </w:pPr>
            <w:r>
              <w:rPr>
                <w:rFonts w:ascii="Arial" w:hAnsi="Arial"/>
                <w:sz w:val="15"/>
              </w:rPr>
              <w:t>Create test-due reminders subject to local validation.</w:t>
            </w:r>
          </w:p>
        </w:tc>
      </w:tr>
      <w:tr>
        <w:tc>
          <w:tcPr>
            <w:tcW w:type="dxa" w:w="4032"/>
            <w:vAlign w:val="top"/>
          </w:tcPr>
          <w:p>
            <w:pPr>
              <w:spacing w:after="0"/>
            </w:pPr>
            <w:r>
              <w:rPr>
                <w:rFonts w:ascii="Arial" w:hAnsi="Arial"/>
                <w:sz w:val="15"/>
              </w:rPr>
              <w:t>FIGO uses &lt;11 g/dL in all trimesters, unlike WHO 2024.</w:t>
            </w:r>
          </w:p>
        </w:tc>
        <w:tc>
          <w:tcPr>
            <w:tcW w:type="dxa" w:w="3600"/>
            <w:vAlign w:val="top"/>
          </w:tcPr>
          <w:p>
            <w:pPr>
              <w:spacing w:after="0"/>
            </w:pPr>
            <w:r>
              <w:rPr>
                <w:rFonts w:ascii="Arial" w:hAnsi="Arial"/>
                <w:sz w:val="15"/>
              </w:rPr>
              <w:t>FIGO, 2025.</w:t>
            </w:r>
          </w:p>
        </w:tc>
        <w:tc>
          <w:tcPr>
            <w:tcW w:type="dxa" w:w="3456"/>
            <w:vAlign w:val="top"/>
          </w:tcPr>
          <w:p>
            <w:pPr>
              <w:spacing w:after="0"/>
            </w:pPr>
            <w:r>
              <w:rPr>
                <w:rFonts w:ascii="Arial" w:hAnsi="Arial"/>
                <w:sz w:val="15"/>
              </w:rPr>
              <w:t>Never mix thresholds; store guideline/version.</w:t>
            </w:r>
          </w:p>
        </w:tc>
      </w:tr>
      <w:tr>
        <w:tc>
          <w:tcPr>
            <w:tcW w:type="dxa" w:w="4032"/>
            <w:vAlign w:val="top"/>
          </w:tcPr>
          <w:p>
            <w:pPr>
              <w:spacing w:after="0"/>
            </w:pPr>
            <w:r>
              <w:rPr>
                <w:rFonts w:ascii="Arial" w:hAnsi="Arial"/>
                <w:sz w:val="15"/>
              </w:rPr>
              <w:t>Severe/symptomatic anemia, acute bleeding, or compromise requires escalation.</w:t>
            </w:r>
          </w:p>
        </w:tc>
        <w:tc>
          <w:tcPr>
            <w:tcW w:type="dxa" w:w="3600"/>
            <w:vAlign w:val="top"/>
          </w:tcPr>
          <w:p>
            <w:pPr>
              <w:spacing w:after="0"/>
            </w:pPr>
            <w:r>
              <w:rPr>
                <w:rFonts w:ascii="Arial" w:hAnsi="Arial"/>
                <w:sz w:val="15"/>
              </w:rPr>
              <w:t>FIGO, 2025; general emergency principles.</w:t>
            </w:r>
          </w:p>
        </w:tc>
        <w:tc>
          <w:tcPr>
            <w:tcW w:type="dxa" w:w="3456"/>
            <w:vAlign w:val="top"/>
          </w:tcPr>
          <w:p>
            <w:pPr>
              <w:spacing w:after="0"/>
            </w:pPr>
            <w:r>
              <w:rPr>
                <w:rFonts w:ascii="Arial" w:hAnsi="Arial"/>
                <w:sz w:val="15"/>
              </w:rPr>
              <w:t>Urgent and emergency override pathway.</w:t>
            </w:r>
          </w:p>
        </w:tc>
      </w:tr>
      <w:tr>
        <w:tc>
          <w:tcPr>
            <w:tcW w:type="dxa" w:w="4032"/>
            <w:vAlign w:val="top"/>
          </w:tcPr>
          <w:p>
            <w:pPr>
              <w:spacing w:after="0"/>
            </w:pPr>
            <w:r>
              <w:rPr>
                <w:rFonts w:ascii="Arial" w:hAnsi="Arial"/>
                <w:sz w:val="15"/>
              </w:rPr>
              <w:t>Iron-folic acid supplementation is part of Philippine maternal nutrition services.</w:t>
            </w:r>
          </w:p>
        </w:tc>
        <w:tc>
          <w:tcPr>
            <w:tcW w:type="dxa" w:w="3600"/>
            <w:vAlign w:val="top"/>
          </w:tcPr>
          <w:p>
            <w:pPr>
              <w:spacing w:after="0"/>
            </w:pPr>
            <w:r>
              <w:rPr>
                <w:rFonts w:ascii="Arial" w:hAnsi="Arial"/>
                <w:sz w:val="15"/>
              </w:rPr>
              <w:t>Philippine NNC materials; RA 11148.</w:t>
            </w:r>
          </w:p>
        </w:tc>
        <w:tc>
          <w:tcPr>
            <w:tcW w:type="dxa" w:w="3456"/>
            <w:vAlign w:val="top"/>
          </w:tcPr>
          <w:p>
            <w:pPr>
              <w:spacing w:after="0"/>
            </w:pPr>
            <w:r>
              <w:rPr>
                <w:rFonts w:ascii="Arial" w:hAnsi="Arial"/>
                <w:sz w:val="15"/>
              </w:rPr>
              <w:t>Track access, supply, adherence, and counseling.</w:t>
            </w:r>
          </w:p>
        </w:tc>
      </w:tr>
      <w:tr>
        <w:tc>
          <w:tcPr>
            <w:tcW w:type="dxa" w:w="4032"/>
            <w:vAlign w:val="top"/>
          </w:tcPr>
          <w:p>
            <w:pPr>
              <w:spacing w:after="0"/>
            </w:pPr>
            <w:r>
              <w:rPr>
                <w:rFonts w:ascii="Arial" w:hAnsi="Arial"/>
                <w:sz w:val="15"/>
              </w:rPr>
              <w:t>Educational Philippine sources do not establish a complete diagnostic algorithm.</w:t>
            </w:r>
          </w:p>
        </w:tc>
        <w:tc>
          <w:tcPr>
            <w:tcW w:type="dxa" w:w="3600"/>
            <w:vAlign w:val="top"/>
          </w:tcPr>
          <w:p>
            <w:pPr>
              <w:spacing w:after="0"/>
            </w:pPr>
            <w:r>
              <w:rPr>
                <w:rFonts w:ascii="Arial" w:hAnsi="Arial"/>
                <w:sz w:val="15"/>
              </w:rPr>
              <w:t>Scope assessment of available official sources.</w:t>
            </w:r>
          </w:p>
        </w:tc>
        <w:tc>
          <w:tcPr>
            <w:tcW w:type="dxa" w:w="3456"/>
            <w:vAlign w:val="top"/>
          </w:tcPr>
          <w:p>
            <w:pPr>
              <w:spacing w:after="0"/>
            </w:pPr>
            <w:r>
              <w:rPr>
                <w:rFonts w:ascii="Arial" w:hAnsi="Arial"/>
                <w:sz w:val="15"/>
              </w:rPr>
              <w:t>Require local DOH/LGU and clinician validation before coding treatment rules.</w:t>
            </w:r>
          </w:p>
        </w:tc>
      </w:tr>
    </w:tbl>
    <w:p/>
    <w:p>
      <w:pPr>
        <w:pStyle w:val="Heading1"/>
      </w:pPr>
      <w:r>
        <w:t>19. Validation Requirements Before Implementation</w:t>
      </w:r>
    </w:p>
    <w:p>
      <w:pPr>
        <w:pStyle w:val="ListBullet"/>
        <w:spacing w:after="40"/>
      </w:pPr>
      <w:r>
        <w:t>Select the clinic's authoritative anemia guideline and exact version.</w:t>
      </w:r>
    </w:p>
    <w:p>
      <w:pPr>
        <w:pStyle w:val="ListBullet"/>
        <w:spacing w:after="40"/>
      </w:pPr>
      <w:r>
        <w:t>Confirm whether the clinic will use WHO 2024 trimester-specific cutoffs, FIGO's universal cutoff, or an approved Philippine protocol.</w:t>
      </w:r>
    </w:p>
    <w:p>
      <w:pPr>
        <w:pStyle w:val="ListBullet"/>
        <w:spacing w:after="40"/>
      </w:pPr>
      <w:r>
        <w:t>Confirm screening schedule, acceptable point-of-care devices, and laboratory referral process.</w:t>
      </w:r>
    </w:p>
    <w:p>
      <w:pPr>
        <w:pStyle w:val="ListBullet"/>
        <w:spacing w:after="40"/>
      </w:pPr>
      <w:r>
        <w:t>Define which anemia severities and clinical combinations are outside the lying-in clinic's permitted scope.</w:t>
      </w:r>
    </w:p>
    <w:p>
      <w:pPr>
        <w:pStyle w:val="ListBullet"/>
        <w:spacing w:after="40"/>
      </w:pPr>
      <w:r>
        <w:t>Define same-day, urgent, and emergency referral destinations and transportation procedures.</w:t>
      </w:r>
    </w:p>
    <w:p>
      <w:pPr>
        <w:pStyle w:val="ListBullet"/>
        <w:spacing w:after="40"/>
      </w:pPr>
      <w:r>
        <w:t>Validate treatment and repeat-testing standing orders with the supervising physician and local authority.</w:t>
      </w:r>
    </w:p>
    <w:p>
      <w:pPr>
        <w:pStyle w:val="ListBullet"/>
        <w:spacing w:after="40"/>
      </w:pPr>
      <w:r>
        <w:t>Define how refusal of referral is documented without falsely marking the risk as resolved.</w:t>
      </w:r>
    </w:p>
    <w:p>
      <w:pPr>
        <w:pStyle w:val="ListBullet"/>
        <w:spacing w:after="40"/>
      </w:pPr>
      <w:r>
        <w:t>Test unit conversion, gestational-age boundaries, missing data, duplicate results, and results from previous pregnancies.</w:t>
      </w:r>
    </w:p>
    <w:p>
      <w:pPr>
        <w:pStyle w:val="ListBullet"/>
        <w:spacing w:after="40"/>
      </w:pPr>
      <w:r>
        <w:t>Conduct clinical scenario testing for acute bleeding, stable severe anemia, moderate anemia near term, and non-response to therapy.</w:t>
      </w:r>
    </w:p>
    <w:p>
      <w:pPr>
        <w:pStyle w:val="ListBullet"/>
        <w:spacing w:after="40"/>
      </w:pPr>
      <w:r>
        <w:t>Perform prospective review of alerts for under-triage, over-referral, false reassurance, and alert fatigue.</w:t>
      </w:r>
    </w:p>
    <w:p>
      <w:pPr>
        <w:pStyle w:val="Heading1"/>
      </w:pPr>
      <w:r>
        <w:t>20. Final Recommendation</w:t>
      </w:r>
    </w:p>
    <w:p>
      <w:r>
        <w:t>Anemia should be implemented as an objective, longitudinal clinical pathway rather than a binary risk factor. The preferred research design is to classify laboratory anemia using a named guideline, preserve disagreement between standards, separate severity from etiology, and combine the result with symptoms, bleeding, gestational age, treatment response, and delivery planning. Mild stable anemia usually supports planned treatment and follow-up; moderate anemia warrants prompt qualified review; severe anemia requires urgent hospital/obstetric assessment; and active bleeding or maternal compromise activates an emergency pathway regardless of the numerical category.</w:t>
      </w:r>
    </w:p>
    <w:p>
      <w:pPr>
        <w:pStyle w:val="Heading1"/>
      </w:pPr>
      <w:r>
        <w:t>21. Next Factor</w:t>
      </w:r>
    </w:p>
    <w:p>
      <w:r>
        <w:t>Part 5 will examine Previous Cesarean Birth. It will distinguish a surgical history from the current pregnancy's clinical status, evaluate uterine-scar and delivery-planning implications, identify conditions requiring higher-level facility care, and prevent the CDSS from automatically declaring either repeat cesarean or vaginal birth appropriate.</w:t>
      </w:r>
    </w:p>
    <w:p>
      <w:r>
        <w:br w:type="page"/>
      </w:r>
    </w:p>
    <w:p>
      <w:pPr>
        <w:pStyle w:val="Heading1"/>
      </w:pPr>
      <w:r>
        <w:t>References</w:t>
      </w:r>
    </w:p>
    <w:p>
      <w:pPr>
        <w:spacing w:after="100"/>
        <w:ind w:left="403" w:hanging="403"/>
      </w:pPr>
      <w:r>
        <w:t>American College of Obstetricians and Gynecologists. (2021). Anemia in pregnancy: ACOG Practice Bulletin No. 233. Obstetrics &amp; Gynecology, 138(2), e55-e64. Reaffirmed 2024. https://www.acog.org/clinical/clinical-guidance/practice-bulletin/articles/2021/08/anemia-in-pregnancy</w:t>
      </w:r>
    </w:p>
    <w:p>
      <w:pPr>
        <w:spacing w:after="100"/>
        <w:ind w:left="403" w:hanging="403"/>
      </w:pPr>
      <w:r>
        <w:t>International Federation of Gynecology and Obstetrics. (2025). FIGO good practice recommendations on anemia in pregnancy, to reduce the incidence and impact of postpartum hemorrhage. International Journal of Gynecology &amp; Obstetrics, 171(3), 993-1007. https://doi.org/10.1002/ijgo.70529</w:t>
      </w:r>
    </w:p>
    <w:p>
      <w:pPr>
        <w:spacing w:after="100"/>
        <w:ind w:left="403" w:hanging="403"/>
      </w:pPr>
      <w:r>
        <w:t>National Nutrition Council, Republic of the Philippines. (n.d.). Iron and folic acid supplementation for pregnant women. https://nnc.gov.ph/visayas-region/iron-and-folic-acid-supplementation-for-pregnant-women/</w:t>
      </w:r>
    </w:p>
    <w:p>
      <w:pPr>
        <w:spacing w:after="100"/>
        <w:ind w:left="403" w:hanging="403"/>
      </w:pPr>
      <w:r>
        <w:t>National Nutrition Council, Republic of the Philippines. (n.d.). Prevent folic acid deficiency for a safe, healthy pregnancy. https://nnc.gov.ph/luzon-region/prevent-folic-acid-deficiency-for-a-safe-healthy-pregnancy/</w:t>
      </w:r>
    </w:p>
    <w:p>
      <w:pPr>
        <w:spacing w:after="100"/>
        <w:ind w:left="403" w:hanging="403"/>
      </w:pPr>
      <w:r>
        <w:t>Republic of the Philippines. (2018). Republic Act No. 11148: Kalusugan at Nutrisyon ng Mag-Nanay Act. https://lawphil.net/statutes/repacts/ra2018/ra_11148_2018.html</w:t>
      </w:r>
    </w:p>
    <w:p>
      <w:pPr>
        <w:spacing w:after="100"/>
        <w:ind w:left="403" w:hanging="403"/>
      </w:pPr>
      <w:r>
        <w:t>World Health Organization. (2016). WHO recommendations on antenatal care for a positive pregnancy experience. World Health Organization. https://www.who.int/publications/i/item/9789241549912</w:t>
      </w:r>
    </w:p>
    <w:p>
      <w:pPr>
        <w:spacing w:after="100"/>
        <w:ind w:left="403" w:hanging="403"/>
      </w:pPr>
      <w:r>
        <w:t>World Health Organization. (2024). Guideline on haemoglobin cutoffs to define anaemia in individuals and populations. World Health Organization. https://www.who.int/publications/i/item/9789240088542</w:t>
      </w:r>
    </w:p>
    <w:p>
      <w:pPr>
        <w:spacing w:after="100"/>
        <w:ind w:left="403" w:hanging="403"/>
      </w:pPr>
      <w:r>
        <w:t>World Health Organization. (2024). Daily iron and folic acid supplementation during pregnancy. e-Library of Evidence for Nutrition Actions. https://www.who.int/tools/elena/interventions/daily-iron-pregnancy</w:t>
      </w:r>
    </w:p>
    <w:p>
      <w:pPr>
        <w:spacing w:after="100"/>
        <w:ind w:left="403" w:hanging="403"/>
      </w:pPr>
      <w:r>
        <w:t>World Health Organization. (n.d.). Anaemia. https://www.who.int/health-topics/anaemia</w:t>
      </w:r>
    </w:p>
    <w:p>
      <w:pPr>
        <w:spacing w:after="100"/>
        <w:ind w:left="403" w:hanging="403"/>
      </w:pPr>
      <w:r>
        <w:t>World Health Organization. (2024). Best practices for haemoglobin measurement in population-level anaemia surveys. World Health Organization and UNICEF. https://www.who.int/publications/b/71578</w:t>
      </w:r>
    </w:p>
    <w:p>
      <w:pPr>
        <w:pStyle w:val="Heading2"/>
      </w:pPr>
      <w:r>
        <w:t>Reference Integrity and Scope Note</w:t>
      </w:r>
    </w:p>
    <w:p>
      <w:r>
        <w:t>The detailed ACOG bulletin is subscription-restricted; only its public abstract, bibliographic record, and claims corroborated by accessible professional sources were used. Philippine NNC webpages support national supplementation context but were not treated as a complete diagnostic or prescribing guideline. The WHO-FIGO disagreement on the second-trimester threshold is explicitly documented rather than concealed. All thresholds and workflows must be validated locally before clinical deployment.</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Clinical Knowledge Base Part 4: Anemia in Pregnancy</dc:title>
  <dc:subject>Evidence-based CDSS design for a Philippine lying-in clinic</dc:subject>
  <dc:creator>Capstone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