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8"/>
        </w:rPr>
        <w:br/>
        <w:br/>
        <w:t>DOCUMENT 1</w:t>
      </w:r>
    </w:p>
    <w:p>
      <w:pPr>
        <w:jc w:val="center"/>
      </w:pPr>
      <w:r>
        <w:rPr>
          <w:b/>
          <w:color w:val="17365D"/>
          <w:sz w:val="50"/>
        </w:rPr>
        <w:t>CLINICAL KNOWLEDGE BASE</w:t>
      </w:r>
    </w:p>
    <w:p>
      <w:pPr>
        <w:jc w:val="center"/>
      </w:pPr>
      <w:r>
        <w:rPr>
          <w:b/>
          <w:color w:val="1F4E79"/>
          <w:sz w:val="36"/>
        </w:rPr>
        <w:t>Part 6</w:t>
      </w:r>
    </w:p>
    <w:p>
      <w:pPr>
        <w:jc w:val="center"/>
      </w:pPr>
      <w:r>
        <w:rPr>
          <w:b/>
          <w:color w:val="17365D"/>
          <w:sz w:val="42"/>
        </w:rPr>
        <w:t>Miscarriage and Adverse Obstetric History</w:t>
      </w:r>
    </w:p>
    <w:p>
      <w:r>
        <w:br/>
      </w:r>
    </w:p>
    <w:tbl>
      <w:tblPr>
        <w:tblW w:type="auto" w:w="0"/>
        <w:jc w:val="center"/>
        <w:tblLayout w:type="fixed"/>
        <w:tblLook w:firstColumn="1" w:firstRow="1" w:lastColumn="0" w:lastRow="0" w:noHBand="0" w:noVBand="1" w:val="04A0"/>
      </w:tblPr>
      <w:tblGrid>
        <w:gridCol w:w="9360"/>
      </w:tblGrid>
      <w:tr>
        <w:tc>
          <w:tcPr>
            <w:tcW w:type="dxa" w:w="10080"/>
            <w:shd w:fill="D9EAF7"/>
            <w:vAlign w:val="center"/>
          </w:tcPr>
          <w:p>
            <w:pPr>
              <w:jc w:val="center"/>
            </w:pPr>
            <w:r/>
            <w:r>
              <w:rPr>
                <w:b w:val="0"/>
                <w:sz w:val="22"/>
              </w:rPr>
              <w:t>Evidence synthesis and CDSS translation for a Philippine lying-in clinic</w:t>
              <w:br/>
              <w:br/>
              <w:t>This chapter supports clinical documentation, referral recognition, and explainable decision support. It does not diagnose, prescribe, or replace professional judgment.</w:t>
            </w:r>
          </w:p>
        </w:tc>
      </w:tr>
    </w:tbl>
    <w:p>
      <w:r>
        <w:br/>
      </w:r>
    </w:p>
    <w:p>
      <w:pPr>
        <w:jc w:val="center"/>
      </w:pPr>
      <w:r>
        <w:rPr>
          <w:i/>
        </w:rPr>
        <w:t>Research cut-off: 19 July 2026</w:t>
      </w:r>
    </w:p>
    <w:p>
      <w:pPr>
        <w:jc w:val="center"/>
      </w:pPr>
      <w:r>
        <w:rPr>
          <w:sz w:val="18"/>
        </w:rPr>
        <w:t>Prepared for: Web-Based Maternity Management System / Clinical Decision Support System</w:t>
      </w:r>
    </w:p>
    <w:p>
      <w:r>
        <w:br w:type="page"/>
      </w:r>
    </w:p>
    <w:p>
      <w:pPr>
        <w:pStyle w:val="Heading1"/>
      </w:pPr>
      <w:r>
        <w:t>Executive Summary</w:t>
      </w:r>
    </w:p>
    <w:p>
      <w:r>
        <w:t>Pregnancy-loss history is clinically relevant, but a single prior miscarriage must not be converted automatically into a HIGH-risk label. Most isolated early losses are sporadic, and the majority of patients subsequently achieve a successful pregnancy.</w:t>
      </w:r>
    </w:p>
    <w:p>
      <w:r>
        <w:t>Guidelines disagree on the numerical definition of recurrent loss. ACOG and ESHRE support evaluation after two pregnancy losses, whereas RCOG formally defines recurrent miscarriage as three or more first-trimester miscarriages while allowing clinician-directed evaluation after two when a pathological pattern is suspected. The CDSS must preserve this disagreement instead of silently choosing one universal threshold.</w:t>
      </w:r>
    </w:p>
    <w:p>
      <w:r>
        <w:t>Historical events must be separated: early miscarriage, second-trimester loss, stillbirth, ectopic pregnancy, molar pregnancy, neonatal death, preterm birth, placental abruption, severe postpartum haemorrhage, and prior fetal anomaly are not interchangeable. They carry different implications and require different follow-up pathways.</w:t>
      </w:r>
    </w:p>
    <w:p>
      <w:r>
        <w:t>Current symptoms override historical scoring. Vaginal bleeding with severe pain, haemodynamic instability, syncope, shoulder-tip pain, fever, or concern for ectopic pregnancy requires urgent assessment and must bypass any ordinary risk index.</w:t>
      </w:r>
    </w:p>
    <w:p>
      <w:r>
        <w:t>The recommended CDSS behavior is therefore pathway-based: (1) document the complete obstetric history; (2) identify current emergency signs; (3) distinguish isolated loss from recurrent loss and second-trimester loss; (4) recognise known diagnoses such as antiphospholipid syndrome or uterine anomaly; (5) recommend appropriate evaluation or referral; and (6) provide sensitive, non-blaming explanations.</w:t>
      </w:r>
    </w:p>
    <w:p>
      <w:pPr>
        <w:pStyle w:val="Heading2"/>
      </w:pPr>
      <w:r>
        <w:t>Key CDSS Decision</w:t>
      </w:r>
    </w:p>
    <w:p>
      <w:r>
        <w:rPr>
          <w:b/>
        </w:rPr>
        <w:t xml:space="preserve">Reject: </w:t>
      </w:r>
      <w:r>
        <w:t>“miscarriage count ≥ 3 = HIGH” as a standalone universal rule.</w:t>
      </w:r>
    </w:p>
    <w:p>
      <w:r>
        <w:rPr>
          <w:b/>
        </w:rPr>
        <w:t xml:space="preserve">Adopt: </w:t>
      </w:r>
      <w:r>
        <w:t>an explainable obstetric-history pathway in which urgency depends on current symptoms, loss type and timing, number and sequence of losses, known causes, gestational age, facility capability, and whether specialist evaluation has already occurred.</w:t>
      </w:r>
    </w:p>
    <w:p>
      <w:pPr>
        <w:pStyle w:val="Heading1"/>
      </w:pPr>
      <w:r>
        <w:t>1. Scope and Clinical Questions</w:t>
      </w:r>
    </w:p>
    <w:p>
      <w:r>
        <w:t>This chapter addresses how a maternity CDSS should represent previous pregnancy loss and other adverse obstetric outcomes during antenatal care. It does not provide autonomous diagnosis or treatment instructions. Medication and procedural decisions remain clinician-led and must follow local policy, legal requirements, and referral arrangements.</w:t>
      </w:r>
    </w:p>
    <w:p>
      <w:pPr>
        <w:pStyle w:val="ListBullet"/>
      </w:pPr>
      <w:r>
        <w:t>How should miscarriage and recurrent pregnancy loss be defined and documented?</w:t>
      </w:r>
    </w:p>
    <w:p>
      <w:pPr>
        <w:pStyle w:val="ListBullet"/>
      </w:pPr>
      <w:r>
        <w:t>When should a previous loss trigger additional assessment or referral?</w:t>
      </w:r>
    </w:p>
    <w:p>
      <w:pPr>
        <w:pStyle w:val="ListBullet"/>
      </w:pPr>
      <w:r>
        <w:t>Which current symptoms require emergency escalation regardless of history?</w:t>
      </w:r>
    </w:p>
    <w:p>
      <w:pPr>
        <w:pStyle w:val="ListBullet"/>
      </w:pPr>
      <w:r>
        <w:t>How should ectopic pregnancy, molar pregnancy, stillbirth, second-trimester loss, and neonatal death be separated?</w:t>
      </w:r>
    </w:p>
    <w:p>
      <w:pPr>
        <w:pStyle w:val="ListBullet"/>
      </w:pPr>
      <w:r>
        <w:t>Which investigations or treatments must the CDSS avoid recommending automatically?</w:t>
      </w:r>
    </w:p>
    <w:p>
      <w:pPr>
        <w:pStyle w:val="ListBullet"/>
      </w:pPr>
      <w:r>
        <w:t>What database fields are necessary for transparent, auditable reasoning?</w:t>
      </w:r>
    </w:p>
    <w:p>
      <w:pPr>
        <w:pStyle w:val="ListBullet"/>
      </w:pPr>
      <w:r>
        <w:t>How should the system communicate uncertainty, missing data, and psychological support needs?</w:t>
      </w:r>
    </w:p>
    <w:p>
      <w:pPr>
        <w:pStyle w:val="Heading1"/>
      </w:pPr>
      <w:r>
        <w:t>2. Evidence Review Method</w:t>
      </w:r>
    </w:p>
    <w:p>
      <w:r>
        <w:t>The evidence synthesis prioritised current guideline sources and official professional-society publications available as of 19 July 2026. Primary sources reviewed were WHO maternal-health and abortion-care guidance, NICE NG126, ACOG patient and clinical guidance on early and repeated pregnancy loss, RCOG Green-top Guideline No. 17, and the ESHRE Recurrent Pregnancy Loss Guideline (Update 2022, issued 2023). Philippine government and financing sources were searched for local maternity-care context; no publicly accessible, current Philippine national recurrent-pregnancy-loss clinical practice guideline was identified during this review. Therefore, international recommendations must be locally validated by an obstetrician and aligned with Department of Health, facility, referral-network, and legal requirements before implementation.</w:t>
      </w:r>
    </w:p>
    <w:p>
      <w:r>
        <w:t>Guideline differences were retained as explicit knowledge-base metadata. The document does not infer recommendations from inaccessible subscription-only text and does not convert patient-information statements into prescriptive clinical algorithms beyond their supported scope.</w:t>
      </w:r>
    </w:p>
    <w:p>
      <w:pPr>
        <w:pStyle w:val="Heading1"/>
      </w:pPr>
      <w:r>
        <w:t>3. Core Definitions and Terminology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F4E79"/>
          </w:tcPr>
          <w:p>
            <w:r>
              <w:rPr>
                <w:color w:val="FFFFFF"/>
              </w:rPr>
            </w:r>
            <w:r>
              <w:rPr>
                <w:b/>
                <w:sz w:val="16"/>
              </w:rPr>
              <w:t>Term</w:t>
            </w:r>
          </w:p>
        </w:tc>
        <w:tc>
          <w:tcPr>
            <w:tcW w:type="dxa" w:w="2520"/>
            <w:vAlign w:val="center"/>
            <w:shd w:fill="1F4E79"/>
          </w:tcPr>
          <w:p>
            <w:r>
              <w:rPr>
                <w:color w:val="FFFFFF"/>
              </w:rPr>
            </w:r>
            <w:r>
              <w:rPr>
                <w:b/>
                <w:sz w:val="16"/>
              </w:rPr>
              <w:t>Operational meaning for CDSS</w:t>
            </w:r>
          </w:p>
        </w:tc>
        <w:tc>
          <w:tcPr>
            <w:tcW w:type="dxa" w:w="2520"/>
            <w:vAlign w:val="center"/>
            <w:shd w:fill="1F4E79"/>
          </w:tcPr>
          <w:p>
            <w:r>
              <w:rPr>
                <w:color w:val="FFFFFF"/>
              </w:rPr>
            </w:r>
            <w:r>
              <w:rPr>
                <w:b/>
                <w:sz w:val="16"/>
              </w:rPr>
              <w:t>Important distinction</w:t>
            </w:r>
          </w:p>
        </w:tc>
        <w:tc>
          <w:tcPr>
            <w:tcW w:type="dxa" w:w="2520"/>
            <w:vAlign w:val="center"/>
            <w:shd w:fill="1F4E79"/>
          </w:tcPr>
          <w:p>
            <w:r>
              <w:rPr>
                <w:color w:val="FFFFFF"/>
              </w:rPr>
            </w:r>
            <w:r>
              <w:rPr>
                <w:b/>
                <w:sz w:val="16"/>
              </w:rPr>
              <w:t>CDSS handling</w:t>
            </w:r>
          </w:p>
        </w:tc>
      </w:tr>
      <w:tr>
        <w:tc>
          <w:tcPr>
            <w:tcW w:type="dxa" w:w="2520"/>
            <w:vAlign w:val="center"/>
          </w:tcPr>
          <w:p>
            <w:r/>
            <w:r>
              <w:rPr>
                <w:b w:val="0"/>
                <w:sz w:val="15"/>
              </w:rPr>
              <w:t>Early pregnancy loss / miscarriage</w:t>
            </w:r>
          </w:p>
        </w:tc>
        <w:tc>
          <w:tcPr>
            <w:tcW w:type="dxa" w:w="2520"/>
            <w:vAlign w:val="center"/>
          </w:tcPr>
          <w:p>
            <w:r/>
            <w:r>
              <w:rPr>
                <w:b w:val="0"/>
                <w:sz w:val="15"/>
              </w:rPr>
              <w:t>Loss of an intrauterine pregnancy in early gestation; exact gestational boundary varies by source and jurisdiction.</w:t>
            </w:r>
          </w:p>
        </w:tc>
        <w:tc>
          <w:tcPr>
            <w:tcW w:type="dxa" w:w="2520"/>
            <w:vAlign w:val="center"/>
          </w:tcPr>
          <w:p>
            <w:r/>
            <w:r>
              <w:rPr>
                <w:b w:val="0"/>
                <w:sz w:val="15"/>
              </w:rPr>
              <w:t>Must not be confused with ectopic or molar pregnancy.</w:t>
            </w:r>
          </w:p>
        </w:tc>
        <w:tc>
          <w:tcPr>
            <w:tcW w:type="dxa" w:w="2520"/>
            <w:vAlign w:val="center"/>
          </w:tcPr>
          <w:p>
            <w:r/>
            <w:r>
              <w:rPr>
                <w:b w:val="0"/>
                <w:sz w:val="15"/>
              </w:rPr>
              <w:t>Store gestational age, confirmation method, management, complications, and source document.</w:t>
            </w:r>
          </w:p>
        </w:tc>
      </w:tr>
      <w:tr>
        <w:tc>
          <w:tcPr>
            <w:tcW w:type="dxa" w:w="2520"/>
            <w:vAlign w:val="center"/>
          </w:tcPr>
          <w:p>
            <w:r/>
            <w:r>
              <w:rPr>
                <w:b w:val="0"/>
                <w:sz w:val="15"/>
              </w:rPr>
              <w:t>Recurrent pregnancy loss (RPL)</w:t>
            </w:r>
          </w:p>
        </w:tc>
        <w:tc>
          <w:tcPr>
            <w:tcW w:type="dxa" w:w="2520"/>
            <w:vAlign w:val="center"/>
          </w:tcPr>
          <w:p>
            <w:r/>
            <w:r>
              <w:rPr>
                <w:b w:val="0"/>
                <w:sz w:val="15"/>
              </w:rPr>
              <w:t>ESHRE and ACOG: two or more pregnancy losses.</w:t>
            </w:r>
          </w:p>
        </w:tc>
        <w:tc>
          <w:tcPr>
            <w:tcW w:type="dxa" w:w="2520"/>
            <w:vAlign w:val="center"/>
          </w:tcPr>
          <w:p>
            <w:r/>
            <w:r>
              <w:rPr>
                <w:b w:val="0"/>
                <w:sz w:val="15"/>
              </w:rPr>
              <w:t>RCOG retains three or more first-trimester miscarriages but supports discretion after two.</w:t>
            </w:r>
          </w:p>
        </w:tc>
        <w:tc>
          <w:tcPr>
            <w:tcW w:type="dxa" w:w="2520"/>
            <w:vAlign w:val="center"/>
          </w:tcPr>
          <w:p>
            <w:r/>
            <w:r>
              <w:rPr>
                <w:b w:val="0"/>
                <w:sz w:val="15"/>
              </w:rPr>
              <w:t>Store both raw count and definition_standard; never hard-code one threshold without provenance.</w:t>
            </w:r>
          </w:p>
        </w:tc>
      </w:tr>
      <w:tr>
        <w:tc>
          <w:tcPr>
            <w:tcW w:type="dxa" w:w="2520"/>
            <w:vAlign w:val="center"/>
          </w:tcPr>
          <w:p>
            <w:r/>
            <w:r>
              <w:rPr>
                <w:b w:val="0"/>
                <w:sz w:val="15"/>
              </w:rPr>
              <w:t>Second-trimester loss</w:t>
            </w:r>
          </w:p>
        </w:tc>
        <w:tc>
          <w:tcPr>
            <w:tcW w:type="dxa" w:w="2520"/>
            <w:vAlign w:val="center"/>
          </w:tcPr>
          <w:p>
            <w:r/>
            <w:r>
              <w:rPr>
                <w:b w:val="0"/>
                <w:sz w:val="15"/>
              </w:rPr>
              <w:t>Pregnancy loss after the first trimester and before the jurisdictional stillbirth threshold.</w:t>
            </w:r>
          </w:p>
        </w:tc>
        <w:tc>
          <w:tcPr>
            <w:tcW w:type="dxa" w:w="2520"/>
            <w:vAlign w:val="center"/>
          </w:tcPr>
          <w:p>
            <w:r/>
            <w:r>
              <w:rPr>
                <w:b w:val="0"/>
                <w:sz w:val="15"/>
              </w:rPr>
              <w:t>May suggest cervical, placental, uterine, infectious, or fetal causes and warrants separate assessment.</w:t>
            </w:r>
          </w:p>
        </w:tc>
        <w:tc>
          <w:tcPr>
            <w:tcW w:type="dxa" w:w="2520"/>
            <w:vAlign w:val="center"/>
          </w:tcPr>
          <w:p>
            <w:r/>
            <w:r>
              <w:rPr>
                <w:b w:val="0"/>
                <w:sz w:val="15"/>
              </w:rPr>
              <w:t>Dedicated event type and specialist-review status.</w:t>
            </w:r>
          </w:p>
        </w:tc>
      </w:tr>
      <w:tr>
        <w:tc>
          <w:tcPr>
            <w:tcW w:type="dxa" w:w="2520"/>
            <w:vAlign w:val="center"/>
          </w:tcPr>
          <w:p>
            <w:r/>
            <w:r>
              <w:rPr>
                <w:b w:val="0"/>
                <w:sz w:val="15"/>
              </w:rPr>
              <w:t>Stillbirth / fetal death</w:t>
            </w:r>
          </w:p>
        </w:tc>
        <w:tc>
          <w:tcPr>
            <w:tcW w:type="dxa" w:w="2520"/>
            <w:vAlign w:val="center"/>
          </w:tcPr>
          <w:p>
            <w:r/>
            <w:r>
              <w:rPr>
                <w:b w:val="0"/>
                <w:sz w:val="15"/>
              </w:rPr>
              <w:t>Fetal death at or beyond the locally defined threshold.</w:t>
            </w:r>
          </w:p>
        </w:tc>
        <w:tc>
          <w:tcPr>
            <w:tcW w:type="dxa" w:w="2520"/>
            <w:vAlign w:val="center"/>
          </w:tcPr>
          <w:p>
            <w:r/>
            <w:r>
              <w:rPr>
                <w:b w:val="0"/>
                <w:sz w:val="15"/>
              </w:rPr>
              <w:t>Not interchangeable with miscarriage.</w:t>
            </w:r>
          </w:p>
        </w:tc>
        <w:tc>
          <w:tcPr>
            <w:tcW w:type="dxa" w:w="2520"/>
            <w:vAlign w:val="center"/>
          </w:tcPr>
          <w:p>
            <w:r/>
            <w:r>
              <w:rPr>
                <w:b w:val="0"/>
                <w:sz w:val="15"/>
              </w:rPr>
              <w:t>Separate pathway, gestational age and cause fields; flag for obstetric review and bereavement support.</w:t>
            </w:r>
          </w:p>
        </w:tc>
      </w:tr>
      <w:tr>
        <w:tc>
          <w:tcPr>
            <w:tcW w:type="dxa" w:w="2520"/>
            <w:vAlign w:val="center"/>
          </w:tcPr>
          <w:p>
            <w:r/>
            <w:r>
              <w:rPr>
                <w:b w:val="0"/>
                <w:sz w:val="15"/>
              </w:rPr>
              <w:t>Ectopic pregnancy</w:t>
            </w:r>
          </w:p>
        </w:tc>
        <w:tc>
          <w:tcPr>
            <w:tcW w:type="dxa" w:w="2520"/>
            <w:vAlign w:val="center"/>
          </w:tcPr>
          <w:p>
            <w:r/>
            <w:r>
              <w:rPr>
                <w:b w:val="0"/>
                <w:sz w:val="15"/>
              </w:rPr>
              <w:t>Pregnancy implanted outside the uterine cavity.</w:t>
            </w:r>
          </w:p>
        </w:tc>
        <w:tc>
          <w:tcPr>
            <w:tcW w:type="dxa" w:w="2520"/>
            <w:vAlign w:val="center"/>
          </w:tcPr>
          <w:p>
            <w:r/>
            <w:r>
              <w:rPr>
                <w:b w:val="0"/>
                <w:sz w:val="15"/>
              </w:rPr>
              <w:t>Can be life-threatening; excluded from ESHRE RPL definition.</w:t>
            </w:r>
          </w:p>
        </w:tc>
        <w:tc>
          <w:tcPr>
            <w:tcW w:type="dxa" w:w="2520"/>
            <w:vAlign w:val="center"/>
          </w:tcPr>
          <w:p>
            <w:r/>
            <w:r>
              <w:rPr>
                <w:b w:val="0"/>
                <w:sz w:val="15"/>
              </w:rPr>
              <w:t>Separate history type; current pain/bleeding pathway must assess emergency features.</w:t>
            </w:r>
          </w:p>
        </w:tc>
      </w:tr>
      <w:tr>
        <w:tc>
          <w:tcPr>
            <w:tcW w:type="dxa" w:w="2520"/>
            <w:vAlign w:val="center"/>
          </w:tcPr>
          <w:p>
            <w:r/>
            <w:r>
              <w:rPr>
                <w:b w:val="0"/>
                <w:sz w:val="15"/>
              </w:rPr>
              <w:t>Molar pregnancy</w:t>
            </w:r>
          </w:p>
        </w:tc>
        <w:tc>
          <w:tcPr>
            <w:tcW w:type="dxa" w:w="2520"/>
            <w:vAlign w:val="center"/>
          </w:tcPr>
          <w:p>
            <w:r/>
            <w:r>
              <w:rPr>
                <w:b w:val="0"/>
                <w:sz w:val="15"/>
              </w:rPr>
              <w:t>Gestational trophoblastic disease event.</w:t>
            </w:r>
          </w:p>
        </w:tc>
        <w:tc>
          <w:tcPr>
            <w:tcW w:type="dxa" w:w="2520"/>
            <w:vAlign w:val="center"/>
          </w:tcPr>
          <w:p>
            <w:r/>
            <w:r>
              <w:rPr>
                <w:b w:val="0"/>
                <w:sz w:val="15"/>
              </w:rPr>
              <w:t>Requires specialised follow-up and is excluded from RPL definition.</w:t>
            </w:r>
          </w:p>
        </w:tc>
        <w:tc>
          <w:tcPr>
            <w:tcW w:type="dxa" w:w="2520"/>
            <w:vAlign w:val="center"/>
          </w:tcPr>
          <w:p>
            <w:r/>
            <w:r>
              <w:rPr>
                <w:b w:val="0"/>
                <w:sz w:val="15"/>
              </w:rPr>
              <w:t>Separate history type with follow-up completion status.</w:t>
            </w:r>
          </w:p>
        </w:tc>
      </w:tr>
      <w:tr>
        <w:tc>
          <w:tcPr>
            <w:tcW w:type="dxa" w:w="2520"/>
            <w:vAlign w:val="center"/>
          </w:tcPr>
          <w:p>
            <w:r/>
            <w:r>
              <w:rPr>
                <w:b w:val="0"/>
                <w:sz w:val="15"/>
              </w:rPr>
              <w:t>Threatened miscarriage</w:t>
            </w:r>
          </w:p>
        </w:tc>
        <w:tc>
          <w:tcPr>
            <w:tcW w:type="dxa" w:w="2520"/>
            <w:vAlign w:val="center"/>
          </w:tcPr>
          <w:p>
            <w:r/>
            <w:r>
              <w:rPr>
                <w:b w:val="0"/>
                <w:sz w:val="15"/>
              </w:rPr>
              <w:t>Current bleeding in a confirmed ongoing intrauterine pregnancy.</w:t>
            </w:r>
          </w:p>
        </w:tc>
        <w:tc>
          <w:tcPr>
            <w:tcW w:type="dxa" w:w="2520"/>
            <w:vAlign w:val="center"/>
          </w:tcPr>
          <w:p>
            <w:r/>
            <w:r>
              <w:rPr>
                <w:b w:val="0"/>
                <w:sz w:val="15"/>
              </w:rPr>
              <w:t>History alone is not threatened miscarriage.</w:t>
            </w:r>
          </w:p>
        </w:tc>
        <w:tc>
          <w:tcPr>
            <w:tcW w:type="dxa" w:w="2520"/>
            <w:vAlign w:val="center"/>
          </w:tcPr>
          <w:p>
            <w:r/>
            <w:r>
              <w:rPr>
                <w:b w:val="0"/>
                <w:sz w:val="15"/>
              </w:rPr>
              <w:t>Current-condition pathway; scan confirmation and clinician assessment required.</w:t>
            </w:r>
          </w:p>
        </w:tc>
      </w:tr>
      <w:tr>
        <w:tc>
          <w:tcPr>
            <w:tcW w:type="dxa" w:w="2520"/>
            <w:vAlign w:val="center"/>
          </w:tcPr>
          <w:p>
            <w:r/>
            <w:r>
              <w:rPr>
                <w:b w:val="0"/>
                <w:sz w:val="15"/>
              </w:rPr>
              <w:t>Adverse obstetric history</w:t>
            </w:r>
          </w:p>
        </w:tc>
        <w:tc>
          <w:tcPr>
            <w:tcW w:type="dxa" w:w="2520"/>
            <w:vAlign w:val="center"/>
          </w:tcPr>
          <w:p>
            <w:r/>
            <w:r>
              <w:rPr>
                <w:b w:val="0"/>
                <w:sz w:val="15"/>
              </w:rPr>
              <w:t>Prior outcomes such as stillbirth, neonatal death, spontaneous preterm birth, placental abruption, severe PPH, fetal anomaly, or operative complications.</w:t>
            </w:r>
          </w:p>
        </w:tc>
        <w:tc>
          <w:tcPr>
            <w:tcW w:type="dxa" w:w="2520"/>
            <w:vAlign w:val="center"/>
          </w:tcPr>
          <w:p>
            <w:r/>
            <w:r>
              <w:rPr>
                <w:b w:val="0"/>
                <w:sz w:val="15"/>
              </w:rPr>
              <w:t>Each outcome has distinct recurrence and care implications.</w:t>
            </w:r>
          </w:p>
        </w:tc>
        <w:tc>
          <w:tcPr>
            <w:tcW w:type="dxa" w:w="2520"/>
            <w:vAlign w:val="center"/>
          </w:tcPr>
          <w:p>
            <w:r/>
            <w:r>
              <w:rPr>
                <w:b w:val="0"/>
                <w:sz w:val="15"/>
              </w:rPr>
              <w:t>Record individually; do not collapse into one Boolean field.</w:t>
            </w:r>
          </w:p>
        </w:tc>
      </w:tr>
    </w:tbl>
    <w:p>
      <w:pPr>
        <w:pStyle w:val="Heading1"/>
      </w:pPr>
      <w:r>
        <w:t>4. Guideline Comparison</w:t>
      </w:r>
    </w:p>
    <w:p>
      <w:pPr>
        <w:pStyle w:val="Heading2"/>
      </w:pPr>
      <w:r>
        <w:t>4.1 Definition and evaluation threshold</w:t>
      </w:r>
    </w:p>
    <w:p>
      <w:r>
        <w:t>ACOG defines recurrent pregnancy loss as two or more miscarriages and recommends a thorough examination and testing after two losses. ESHRE similarly states that RPL can be considered after two or more pregnancy losses and excludes ectopic and molar pregnancies. RCOG defines recurrent miscarriage as three or more first-trimester miscarriages, but explicitly encourages clinical discretion to undertake extensive evaluation after two losses when a pathological rather than sporadic pattern is suspected.</w:t>
      </w:r>
    </w:p>
    <w:p>
      <w:r>
        <w:t>CDSS implication: the system must display the chosen guideline standard and should support a configurable threshold. It should not label a patient incorrectly merely because different organisations use different definitions.</w:t>
      </w:r>
    </w:p>
    <w:p>
      <w:pPr>
        <w:pStyle w:val="Heading2"/>
      </w:pPr>
      <w:r>
        <w:t>4.2 Current bleeding and suspected early pregnancy complication</w:t>
      </w:r>
    </w:p>
    <w:p>
      <w:r>
        <w:t>NICE requires direct emergency referral for haemodynamic instability or significant concern about pain or bleeding, and notes that ectopic pregnancy can present atypically. Relevant symptoms include pelvic or abdominal pain, vaginal bleeding, dizziness or syncope, and shoulder-tip pain. These are current emergency features, not historical risk points.</w:t>
      </w:r>
    </w:p>
    <w:p>
      <w:r>
        <w:t>NICE also limits its progesterone recommendation to a narrow scenario: scan-confirmed intrauterine pregnancy, current vaginal bleeding, and at least one previous miscarriage. This should never become an automatic CDSS prescription. In a lying-in clinic, the CDSS may prompt urgent assessment or clinician review and may record whether a qualified prescriber considered guideline-concordant care.</w:t>
      </w:r>
    </w:p>
    <w:p>
      <w:pPr>
        <w:pStyle w:val="Heading2"/>
      </w:pPr>
      <w:r>
        <w:t>4.3 Investigation of recurrent loss</w:t>
      </w:r>
    </w:p>
    <w:p>
      <w:r>
        <w:t>ESHRE recommends using the complete pregnancy history and maternal age for prognosis. It supports antiphospholipid-antibody screening after two losses, thyroid screening, and uterine-anatomy assessment in patients with RPL. It discourages routine hereditary-thrombophilia screening without other risk factors and discourages multiple low-value immunological, endocrine, and ovarian-reserve tests. These recommendations concern specialist evaluation; they are not tasks for an unsupervised primary-care CDSS.</w:t>
      </w:r>
    </w:p>
    <w:p>
      <w:r>
        <w:t>RCOG covers recurrent first-trimester and one or more second-trimester miscarriages, emphasising investigations, treatment, supportive care, ultrasound access, and empathetic communication. A second-trimester loss must therefore not be treated as simply “one miscarriage” in a numeric count.</w:t>
      </w:r>
    </w:p>
    <w:p>
      <w:pPr>
        <w:pStyle w:val="Heading2"/>
      </w:pPr>
      <w:r>
        <w:t>4.4 WHO contribution</w:t>
      </w:r>
    </w:p>
    <w:p>
      <w:r>
        <w:t>WHO guidance supports evidence-based, respectful, person-centred management of pregnancy loss and post-abortion care. For this CDSS, WHO contributes principles of non-judgmental communication, informed decision-making, privacy, continuity, emergency recognition, and service-delivery competence. WHO recommendations do not justify turning a past miscarriage into a diagnosis or an automatic delivery-mode decision.</w:t>
      </w:r>
    </w:p>
    <w:p>
      <w:pPr>
        <w:pStyle w:val="Heading2"/>
      </w:pPr>
      <w:r>
        <w:t>4.5 Philippine applicability</w:t>
      </w:r>
    </w:p>
    <w:p>
      <w:r>
        <w:t>Philippine lying-in clinics operate within facility-licensing, professional-scope, referral, and financing constraints. PhilHealth maternity benefits recognise coordinated referral and maternal care, but benefit descriptions are not clinical diagnostic guidelines. The proposed knowledge rules must be reviewed by the clinic’s supervising obstetrician and adapted to local referral hospitals, transport arrangements, blood availability, ultrasound access, and current Department of Health policies.</w:t>
      </w:r>
    </w:p>
    <w:p>
      <w:pPr>
        <w:pStyle w:val="Heading1"/>
      </w:pPr>
      <w:r>
        <w:t>5. Evidence-Based Clinical Interpretation</w:t>
      </w:r>
    </w:p>
    <w:p>
      <w:pPr>
        <w:pStyle w:val="Heading2"/>
      </w:pPr>
      <w:r>
        <w:t>5.1 One previous early miscarriage</w:t>
      </w:r>
    </w:p>
    <w:p>
      <w:r>
        <w:t>A single previous early miscarriage is common and is frequently sporadic. It should be documented and acknowledged, but it should not automatically produce a HIGH classification. The system should ask whether the patient has current bleeding or pain, whether the prior event was confirmed intrauterine, whether complications occurred, and whether any cause was identified.</w:t>
      </w:r>
    </w:p>
    <w:p>
      <w:pPr>
        <w:pStyle w:val="Heading2"/>
      </w:pPr>
      <w:r>
        <w:t>5.2 Two previous losses</w:t>
      </w:r>
    </w:p>
    <w:p>
      <w:r>
        <w:t>Two losses meet the ACOG and ESHRE threshold for RPL consideration and can justify clinician-led evaluation. Under RCOG, they do not always satisfy the formal definition, yet evaluation may be appropriate when the pattern appears pathological. The CDSS should therefore recommend review rather than claim a diagnosis.</w:t>
      </w:r>
    </w:p>
    <w:p>
      <w:pPr>
        <w:pStyle w:val="Heading2"/>
      </w:pPr>
      <w:r>
        <w:t>5.3 Three or more first-trimester losses</w:t>
      </w:r>
    </w:p>
    <w:p>
      <w:r>
        <w:t>This pattern satisfies RCOG recurrent-miscarriage criteria and also satisfies ACOG/ESHRE thresholds. It should prompt confirmation of prior evaluation, known causes, treatment plans, and early-pregnancy follow-up. It remains inappropriate to assign a treatment from history alone.</w:t>
      </w:r>
    </w:p>
    <w:p>
      <w:pPr>
        <w:pStyle w:val="Heading2"/>
      </w:pPr>
      <w:r>
        <w:t>5.4 One or more second-trimester losses</w:t>
      </w:r>
    </w:p>
    <w:p>
      <w:r>
        <w:t>Second-trimester loss is clinically distinct and may require assessment for cervical, uterine, placental, fetal, infectious, or maternal contributors. A single second-trimester loss can be more significant for referral planning than several isolated biochemical or very early losses. Timing and clinical circumstances must be captured.</w:t>
      </w:r>
    </w:p>
    <w:p>
      <w:pPr>
        <w:pStyle w:val="Heading2"/>
      </w:pPr>
      <w:r>
        <w:t>5.5 Ectopic and molar pregnancy history</w:t>
      </w:r>
    </w:p>
    <w:p>
      <w:r>
        <w:t>Ectopic and molar pregnancies should not be added to the miscarriage count used for ESHRE RPL. However, both are clinically important. Previous ectopic pregnancy increases the importance of early localisation in a future symptomatic pregnancy. Molar pregnancy requires documentation of specialist follow-up completion before routine assumptions are made.</w:t>
      </w:r>
    </w:p>
    <w:p>
      <w:pPr>
        <w:pStyle w:val="Heading2"/>
      </w:pPr>
      <w:r>
        <w:t>5.6 Stillbirth, neonatal death, preterm birth, abruption and severe PPH</w:t>
      </w:r>
    </w:p>
    <w:p>
      <w:r>
        <w:t>These outcomes belong to adverse obstetric history but require separate pathways. The CDSS should not compress them into “miscarriage yes/no.” Each event should carry gestational age, cause if known, recurrence-prevention plan, facility, and record source.</w:t>
      </w:r>
    </w:p>
    <w:p>
      <w:pPr>
        <w:pStyle w:val="Heading1"/>
      </w:pPr>
      <w:r>
        <w:t>6. Emergency Override Pathway</w:t>
      </w:r>
    </w:p>
    <w:p>
      <w:r>
        <w:t>The following current findings bypass ordinary scoring and should produce an urgent emergency action message appropriate to the facility’s protocol:</w:t>
      </w:r>
    </w:p>
    <w:p>
      <w:pPr>
        <w:pStyle w:val="ListBullet"/>
      </w:pPr>
      <w:r>
        <w:t>Haemodynamic instability, collapse, syncope, or altered consciousness</w:t>
      </w:r>
    </w:p>
    <w:p>
      <w:pPr>
        <w:pStyle w:val="ListBullet"/>
      </w:pPr>
      <w:r>
        <w:t>Severe or escalating abdominal/pelvic pain</w:t>
      </w:r>
    </w:p>
    <w:p>
      <w:pPr>
        <w:pStyle w:val="ListBullet"/>
      </w:pPr>
      <w:r>
        <w:t>Heavy vaginal bleeding or signs of shock</w:t>
      </w:r>
    </w:p>
    <w:p>
      <w:pPr>
        <w:pStyle w:val="ListBullet"/>
      </w:pPr>
      <w:r>
        <w:t>Shoulder-tip pain with possible ectopic pregnancy</w:t>
      </w:r>
    </w:p>
    <w:p>
      <w:pPr>
        <w:pStyle w:val="ListBullet"/>
      </w:pPr>
      <w:r>
        <w:t>Fever, offensive discharge, or suspected sepsis</w:t>
      </w:r>
    </w:p>
    <w:p>
      <w:pPr>
        <w:pStyle w:val="ListBullet"/>
      </w:pPr>
      <w:r>
        <w:t>Current pregnancy with pain/bleeding and pregnancy location not confirmed</w:t>
      </w:r>
    </w:p>
    <w:p>
      <w:pPr>
        <w:pStyle w:val="ListBullet"/>
      </w:pPr>
      <w:r>
        <w:t>Severe pallor, dyspnoea, chest symptoms, or other evidence of major blood loss</w:t>
      </w:r>
    </w:p>
    <w:p>
      <w:pPr>
        <w:pStyle w:val="ListBullet"/>
      </w:pPr>
      <w:r>
        <w:t>Any clinician concern that the patient is deteriorating</w:t>
      </w:r>
    </w:p>
    <w:p>
      <w:r>
        <w:t>Output wording should be action-oriented and non-diagnostic, for example: “Urgent transfer/assessment is recommended because the patient has current bleeding with syncope. Ectopic pregnancy and haemorrhage must be excluded by a qualified clinician.”</w:t>
      </w:r>
    </w:p>
    <w:p>
      <w:pPr>
        <w:pStyle w:val="Heading1"/>
      </w:pPr>
      <w:r>
        <w:t>7. Proposed CDSS Knowledge Rules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1F4E79"/>
          </w:tcPr>
          <w:p>
            <w:r>
              <w:rPr>
                <w:color w:val="FFFFFF"/>
              </w:rPr>
            </w:r>
            <w:r>
              <w:rPr>
                <w:b/>
                <w:sz w:val="15"/>
              </w:rPr>
              <w:t>Rule ID</w:t>
            </w:r>
          </w:p>
        </w:tc>
        <w:tc>
          <w:tcPr>
            <w:tcW w:type="dxa" w:w="2016"/>
            <w:vAlign w:val="center"/>
            <w:shd w:fill="1F4E79"/>
          </w:tcPr>
          <w:p>
            <w:r>
              <w:rPr>
                <w:color w:val="FFFFFF"/>
              </w:rPr>
            </w:r>
            <w:r>
              <w:rPr>
                <w:b/>
                <w:sz w:val="15"/>
              </w:rPr>
              <w:t>Trigger</w:t>
            </w:r>
          </w:p>
        </w:tc>
        <w:tc>
          <w:tcPr>
            <w:tcW w:type="dxa" w:w="2016"/>
            <w:vAlign w:val="center"/>
            <w:shd w:fill="1F4E79"/>
          </w:tcPr>
          <w:p>
            <w:r>
              <w:rPr>
                <w:color w:val="FFFFFF"/>
              </w:rPr>
            </w:r>
            <w:r>
              <w:rPr>
                <w:b/>
                <w:sz w:val="15"/>
              </w:rPr>
              <w:t>System classification</w:t>
            </w:r>
          </w:p>
        </w:tc>
        <w:tc>
          <w:tcPr>
            <w:tcW w:type="dxa" w:w="2016"/>
            <w:vAlign w:val="center"/>
            <w:shd w:fill="1F4E79"/>
          </w:tcPr>
          <w:p>
            <w:r>
              <w:rPr>
                <w:color w:val="FFFFFF"/>
              </w:rPr>
            </w:r>
            <w:r>
              <w:rPr>
                <w:b/>
                <w:sz w:val="15"/>
              </w:rPr>
              <w:t>Recommended action</w:t>
            </w:r>
          </w:p>
        </w:tc>
        <w:tc>
          <w:tcPr>
            <w:tcW w:type="dxa" w:w="2016"/>
            <w:vAlign w:val="center"/>
            <w:shd w:fill="1F4E79"/>
          </w:tcPr>
          <w:p>
            <w:r>
              <w:rPr>
                <w:color w:val="FFFFFF"/>
              </w:rPr>
            </w:r>
            <w:r>
              <w:rPr>
                <w:b/>
                <w:sz w:val="15"/>
              </w:rPr>
              <w:t>What the system must not claim</w:t>
            </w:r>
          </w:p>
        </w:tc>
      </w:tr>
      <w:tr>
        <w:tc>
          <w:tcPr>
            <w:tcW w:type="dxa" w:w="2016"/>
            <w:vAlign w:val="center"/>
          </w:tcPr>
          <w:p>
            <w:r/>
            <w:r>
              <w:rPr>
                <w:b w:val="0"/>
                <w:sz w:val="13"/>
              </w:rPr>
              <w:t>OH-0</w:t>
            </w:r>
          </w:p>
        </w:tc>
        <w:tc>
          <w:tcPr>
            <w:tcW w:type="dxa" w:w="2016"/>
            <w:vAlign w:val="center"/>
          </w:tcPr>
          <w:p>
            <w:r/>
            <w:r>
              <w:rPr>
                <w:b w:val="0"/>
                <w:sz w:val="13"/>
              </w:rPr>
              <w:t>Obstetric-history fields missing or internally inconsistent</w:t>
            </w:r>
          </w:p>
        </w:tc>
        <w:tc>
          <w:tcPr>
            <w:tcW w:type="dxa" w:w="2016"/>
            <w:vAlign w:val="center"/>
          </w:tcPr>
          <w:p>
            <w:r/>
            <w:r>
              <w:rPr>
                <w:b w:val="0"/>
                <w:sz w:val="13"/>
              </w:rPr>
              <w:t>ASSESSMENT INCOMPLETE</w:t>
            </w:r>
          </w:p>
        </w:tc>
        <w:tc>
          <w:tcPr>
            <w:tcW w:type="dxa" w:w="2016"/>
            <w:vAlign w:val="center"/>
          </w:tcPr>
          <w:p>
            <w:r/>
            <w:r>
              <w:rPr>
                <w:b w:val="0"/>
                <w:sz w:val="13"/>
              </w:rPr>
              <w:t>Verify event type, gestational age, dates, and outcomes.</w:t>
            </w:r>
          </w:p>
        </w:tc>
        <w:tc>
          <w:tcPr>
            <w:tcW w:type="dxa" w:w="2016"/>
            <w:vAlign w:val="center"/>
          </w:tcPr>
          <w:p>
            <w:r/>
            <w:r>
              <w:rPr>
                <w:b w:val="0"/>
                <w:sz w:val="13"/>
              </w:rPr>
              <w:t>Do not infer zero losses.</w:t>
            </w:r>
          </w:p>
        </w:tc>
      </w:tr>
      <w:tr>
        <w:tc>
          <w:tcPr>
            <w:tcW w:type="dxa" w:w="2016"/>
            <w:vAlign w:val="center"/>
          </w:tcPr>
          <w:p>
            <w:r/>
            <w:r>
              <w:rPr>
                <w:b w:val="0"/>
                <w:sz w:val="13"/>
              </w:rPr>
              <w:t>OH-1</w:t>
            </w:r>
          </w:p>
        </w:tc>
        <w:tc>
          <w:tcPr>
            <w:tcW w:type="dxa" w:w="2016"/>
            <w:vAlign w:val="center"/>
          </w:tcPr>
          <w:p>
            <w:r/>
            <w:r>
              <w:rPr>
                <w:b w:val="0"/>
                <w:sz w:val="13"/>
              </w:rPr>
              <w:t>One previous early miscarriage; no current symptoms; no known major cause</w:t>
            </w:r>
          </w:p>
        </w:tc>
        <w:tc>
          <w:tcPr>
            <w:tcW w:type="dxa" w:w="2016"/>
            <w:vAlign w:val="center"/>
          </w:tcPr>
          <w:p>
            <w:r/>
            <w:r>
              <w:rPr>
                <w:b w:val="0"/>
                <w:sz w:val="13"/>
              </w:rPr>
              <w:t>CONTEXTUAL HISTORY</w:t>
            </w:r>
          </w:p>
        </w:tc>
        <w:tc>
          <w:tcPr>
            <w:tcW w:type="dxa" w:w="2016"/>
            <w:vAlign w:val="center"/>
          </w:tcPr>
          <w:p>
            <w:r/>
            <w:r>
              <w:rPr>
                <w:b w:val="0"/>
                <w:sz w:val="13"/>
              </w:rPr>
              <w:t>Routine antenatal care plus sensitive acknowledgement; review records if available.</w:t>
            </w:r>
          </w:p>
        </w:tc>
        <w:tc>
          <w:tcPr>
            <w:tcW w:type="dxa" w:w="2016"/>
            <w:vAlign w:val="center"/>
          </w:tcPr>
          <w:p>
            <w:r/>
            <w:r>
              <w:rPr>
                <w:b w:val="0"/>
                <w:sz w:val="13"/>
              </w:rPr>
              <w:t>Do not label HIGH solely from one loss.</w:t>
            </w:r>
          </w:p>
        </w:tc>
      </w:tr>
      <w:tr>
        <w:tc>
          <w:tcPr>
            <w:tcW w:type="dxa" w:w="2016"/>
            <w:vAlign w:val="center"/>
          </w:tcPr>
          <w:p>
            <w:r/>
            <w:r>
              <w:rPr>
                <w:b w:val="0"/>
                <w:sz w:val="13"/>
              </w:rPr>
              <w:t>OH-2</w:t>
            </w:r>
          </w:p>
        </w:tc>
        <w:tc>
          <w:tcPr>
            <w:tcW w:type="dxa" w:w="2016"/>
            <w:vAlign w:val="center"/>
          </w:tcPr>
          <w:p>
            <w:r/>
            <w:r>
              <w:rPr>
                <w:b w:val="0"/>
                <w:sz w:val="13"/>
              </w:rPr>
              <w:t>Two pregnancy losses</w:t>
            </w:r>
          </w:p>
        </w:tc>
        <w:tc>
          <w:tcPr>
            <w:tcW w:type="dxa" w:w="2016"/>
            <w:vAlign w:val="center"/>
          </w:tcPr>
          <w:p>
            <w:r/>
            <w:r>
              <w:rPr>
                <w:b w:val="0"/>
                <w:sz w:val="13"/>
              </w:rPr>
              <w:t>NEEDS CLINICIAN REVIEW</w:t>
            </w:r>
          </w:p>
        </w:tc>
        <w:tc>
          <w:tcPr>
            <w:tcW w:type="dxa" w:w="2016"/>
            <w:vAlign w:val="center"/>
          </w:tcPr>
          <w:p>
            <w:r/>
            <w:r>
              <w:rPr>
                <w:b w:val="0"/>
                <w:sz w:val="13"/>
              </w:rPr>
              <w:t>Recommend evaluation/review using a configured standard; show ACOG/ESHRE threshold and RCOG difference.</w:t>
            </w:r>
          </w:p>
        </w:tc>
        <w:tc>
          <w:tcPr>
            <w:tcW w:type="dxa" w:w="2016"/>
            <w:vAlign w:val="center"/>
          </w:tcPr>
          <w:p>
            <w:r/>
            <w:r>
              <w:rPr>
                <w:b w:val="0"/>
                <w:sz w:val="13"/>
              </w:rPr>
              <w:t>Do not diagnose RPL without displaying the standard used.</w:t>
            </w:r>
          </w:p>
        </w:tc>
      </w:tr>
      <w:tr>
        <w:tc>
          <w:tcPr>
            <w:tcW w:type="dxa" w:w="2016"/>
            <w:vAlign w:val="center"/>
          </w:tcPr>
          <w:p>
            <w:r/>
            <w:r>
              <w:rPr>
                <w:b w:val="0"/>
                <w:sz w:val="13"/>
              </w:rPr>
              <w:t>OH-3</w:t>
            </w:r>
          </w:p>
        </w:tc>
        <w:tc>
          <w:tcPr>
            <w:tcW w:type="dxa" w:w="2016"/>
            <w:vAlign w:val="center"/>
          </w:tcPr>
          <w:p>
            <w:r/>
            <w:r>
              <w:rPr>
                <w:b w:val="0"/>
                <w:sz w:val="13"/>
              </w:rPr>
              <w:t>Three or more first-trimester miscarriages</w:t>
            </w:r>
          </w:p>
        </w:tc>
        <w:tc>
          <w:tcPr>
            <w:tcW w:type="dxa" w:w="2016"/>
            <w:vAlign w:val="center"/>
          </w:tcPr>
          <w:p>
            <w:r/>
            <w:r>
              <w:rPr>
                <w:b w:val="0"/>
                <w:sz w:val="13"/>
              </w:rPr>
              <w:t>RECURRENT-LOSS PATHWAY</w:t>
            </w:r>
          </w:p>
        </w:tc>
        <w:tc>
          <w:tcPr>
            <w:tcW w:type="dxa" w:w="2016"/>
            <w:vAlign w:val="center"/>
          </w:tcPr>
          <w:p>
            <w:r/>
            <w:r>
              <w:rPr>
                <w:b w:val="0"/>
                <w:sz w:val="13"/>
              </w:rPr>
              <w:t>Confirm specialist evaluation, cause, plan, and early-pregnancy follow-up.</w:t>
            </w:r>
          </w:p>
        </w:tc>
        <w:tc>
          <w:tcPr>
            <w:tcW w:type="dxa" w:w="2016"/>
            <w:vAlign w:val="center"/>
          </w:tcPr>
          <w:p>
            <w:r/>
            <w:r>
              <w:rPr>
                <w:b w:val="0"/>
                <w:sz w:val="13"/>
              </w:rPr>
              <w:t>Do not prescribe aspirin, heparin, progesterone, or immune therapy automatically.</w:t>
            </w:r>
          </w:p>
        </w:tc>
      </w:tr>
      <w:tr>
        <w:tc>
          <w:tcPr>
            <w:tcW w:type="dxa" w:w="2016"/>
            <w:vAlign w:val="center"/>
          </w:tcPr>
          <w:p>
            <w:r/>
            <w:r>
              <w:rPr>
                <w:b w:val="0"/>
                <w:sz w:val="13"/>
              </w:rPr>
              <w:t>OH-4</w:t>
            </w:r>
          </w:p>
        </w:tc>
        <w:tc>
          <w:tcPr>
            <w:tcW w:type="dxa" w:w="2016"/>
            <w:vAlign w:val="center"/>
          </w:tcPr>
          <w:p>
            <w:r/>
            <w:r>
              <w:rPr>
                <w:b w:val="0"/>
                <w:sz w:val="13"/>
              </w:rPr>
              <w:t>One or more second-trimester losses</w:t>
            </w:r>
          </w:p>
        </w:tc>
        <w:tc>
          <w:tcPr>
            <w:tcW w:type="dxa" w:w="2016"/>
            <w:vAlign w:val="center"/>
          </w:tcPr>
          <w:p>
            <w:r/>
            <w:r>
              <w:rPr>
                <w:b w:val="0"/>
                <w:sz w:val="13"/>
              </w:rPr>
              <w:t>SPECIALIST REVIEW</w:t>
            </w:r>
          </w:p>
        </w:tc>
        <w:tc>
          <w:tcPr>
            <w:tcW w:type="dxa" w:w="2016"/>
            <w:vAlign w:val="center"/>
          </w:tcPr>
          <w:p>
            <w:r/>
            <w:r>
              <w:rPr>
                <w:b w:val="0"/>
                <w:sz w:val="13"/>
              </w:rPr>
              <w:t>Obstetric review; assess documented cause and prevention plan.</w:t>
            </w:r>
          </w:p>
        </w:tc>
        <w:tc>
          <w:tcPr>
            <w:tcW w:type="dxa" w:w="2016"/>
            <w:vAlign w:val="center"/>
          </w:tcPr>
          <w:p>
            <w:r/>
            <w:r>
              <w:rPr>
                <w:b w:val="0"/>
                <w:sz w:val="13"/>
              </w:rPr>
              <w:t>Do not combine with first-trimester count only.</w:t>
            </w:r>
          </w:p>
        </w:tc>
      </w:tr>
      <w:tr>
        <w:tc>
          <w:tcPr>
            <w:tcW w:type="dxa" w:w="2016"/>
            <w:vAlign w:val="center"/>
          </w:tcPr>
          <w:p>
            <w:r/>
            <w:r>
              <w:rPr>
                <w:b w:val="0"/>
                <w:sz w:val="13"/>
              </w:rPr>
              <w:t>OH-5</w:t>
            </w:r>
          </w:p>
        </w:tc>
        <w:tc>
          <w:tcPr>
            <w:tcW w:type="dxa" w:w="2016"/>
            <w:vAlign w:val="center"/>
          </w:tcPr>
          <w:p>
            <w:r/>
            <w:r>
              <w:rPr>
                <w:b w:val="0"/>
                <w:sz w:val="13"/>
              </w:rPr>
              <w:t>Previous ectopic pregnancy</w:t>
            </w:r>
          </w:p>
        </w:tc>
        <w:tc>
          <w:tcPr>
            <w:tcW w:type="dxa" w:w="2016"/>
            <w:vAlign w:val="center"/>
          </w:tcPr>
          <w:p>
            <w:r/>
            <w:r>
              <w:rPr>
                <w:b w:val="0"/>
                <w:sz w:val="13"/>
              </w:rPr>
              <w:t>EARLY LOCALISATION / SYMPTOM ALERT</w:t>
            </w:r>
          </w:p>
        </w:tc>
        <w:tc>
          <w:tcPr>
            <w:tcW w:type="dxa" w:w="2016"/>
            <w:vAlign w:val="center"/>
          </w:tcPr>
          <w:p>
            <w:r/>
            <w:r>
              <w:rPr>
                <w:b w:val="0"/>
                <w:sz w:val="13"/>
              </w:rPr>
              <w:t>If current pain or bleeding, urgent assessment; otherwise confirm early-pregnancy follow-up plan.</w:t>
            </w:r>
          </w:p>
        </w:tc>
        <w:tc>
          <w:tcPr>
            <w:tcW w:type="dxa" w:w="2016"/>
            <w:vAlign w:val="center"/>
          </w:tcPr>
          <w:p>
            <w:r/>
            <w:r>
              <w:rPr>
                <w:b w:val="0"/>
                <w:sz w:val="13"/>
              </w:rPr>
              <w:t>Do not call it miscarriage or RPL.</w:t>
            </w:r>
          </w:p>
        </w:tc>
      </w:tr>
      <w:tr>
        <w:tc>
          <w:tcPr>
            <w:tcW w:type="dxa" w:w="2016"/>
            <w:vAlign w:val="center"/>
          </w:tcPr>
          <w:p>
            <w:r/>
            <w:r>
              <w:rPr>
                <w:b w:val="0"/>
                <w:sz w:val="13"/>
              </w:rPr>
              <w:t>OH-6</w:t>
            </w:r>
          </w:p>
        </w:tc>
        <w:tc>
          <w:tcPr>
            <w:tcW w:type="dxa" w:w="2016"/>
            <w:vAlign w:val="center"/>
          </w:tcPr>
          <w:p>
            <w:r/>
            <w:r>
              <w:rPr>
                <w:b w:val="0"/>
                <w:sz w:val="13"/>
              </w:rPr>
              <w:t>Previous molar pregnancy</w:t>
            </w:r>
          </w:p>
        </w:tc>
        <w:tc>
          <w:tcPr>
            <w:tcW w:type="dxa" w:w="2016"/>
            <w:vAlign w:val="center"/>
          </w:tcPr>
          <w:p>
            <w:r/>
            <w:r>
              <w:rPr>
                <w:b w:val="0"/>
                <w:sz w:val="13"/>
              </w:rPr>
              <w:t>SPECIALIST FOLLOW-UP CHECK</w:t>
            </w:r>
          </w:p>
        </w:tc>
        <w:tc>
          <w:tcPr>
            <w:tcW w:type="dxa" w:w="2016"/>
            <w:vAlign w:val="center"/>
          </w:tcPr>
          <w:p>
            <w:r/>
            <w:r>
              <w:rPr>
                <w:b w:val="0"/>
                <w:sz w:val="13"/>
              </w:rPr>
              <w:t>Verify completion of surveillance and clearance.</w:t>
            </w:r>
          </w:p>
        </w:tc>
        <w:tc>
          <w:tcPr>
            <w:tcW w:type="dxa" w:w="2016"/>
            <w:vAlign w:val="center"/>
          </w:tcPr>
          <w:p>
            <w:r/>
            <w:r>
              <w:rPr>
                <w:b w:val="0"/>
                <w:sz w:val="13"/>
              </w:rPr>
              <w:t>Do not treat as ordinary miscarriage.</w:t>
            </w:r>
          </w:p>
        </w:tc>
      </w:tr>
      <w:tr>
        <w:tc>
          <w:tcPr>
            <w:tcW w:type="dxa" w:w="2016"/>
            <w:vAlign w:val="center"/>
          </w:tcPr>
          <w:p>
            <w:r/>
            <w:r>
              <w:rPr>
                <w:b w:val="0"/>
                <w:sz w:val="13"/>
              </w:rPr>
              <w:t>OH-7</w:t>
            </w:r>
          </w:p>
        </w:tc>
        <w:tc>
          <w:tcPr>
            <w:tcW w:type="dxa" w:w="2016"/>
            <w:vAlign w:val="center"/>
          </w:tcPr>
          <w:p>
            <w:r/>
            <w:r>
              <w:rPr>
                <w:b w:val="0"/>
                <w:sz w:val="13"/>
              </w:rPr>
              <w:t>Previous stillbirth, neonatal death, severe preterm birth, abruption, severe PPH, or major fetal anomaly</w:t>
            </w:r>
          </w:p>
        </w:tc>
        <w:tc>
          <w:tcPr>
            <w:tcW w:type="dxa" w:w="2016"/>
            <w:vAlign w:val="center"/>
          </w:tcPr>
          <w:p>
            <w:r/>
            <w:r>
              <w:rPr>
                <w:b w:val="0"/>
                <w:sz w:val="13"/>
              </w:rPr>
              <w:t>ADVERSE-OBSTETRIC-HISTORY PATHWAY</w:t>
            </w:r>
          </w:p>
        </w:tc>
        <w:tc>
          <w:tcPr>
            <w:tcW w:type="dxa" w:w="2016"/>
            <w:vAlign w:val="center"/>
          </w:tcPr>
          <w:p>
            <w:r/>
            <w:r>
              <w:rPr>
                <w:b w:val="0"/>
                <w:sz w:val="13"/>
              </w:rPr>
              <w:t>Obstetric review and documented recurrence-prevention/birth plan.</w:t>
            </w:r>
          </w:p>
        </w:tc>
        <w:tc>
          <w:tcPr>
            <w:tcW w:type="dxa" w:w="2016"/>
            <w:vAlign w:val="center"/>
          </w:tcPr>
          <w:p>
            <w:r/>
            <w:r>
              <w:rPr>
                <w:b w:val="0"/>
                <w:sz w:val="13"/>
              </w:rPr>
              <w:t>Do not collapse outcomes into one generic risk point.</w:t>
            </w:r>
          </w:p>
        </w:tc>
      </w:tr>
      <w:tr>
        <w:tc>
          <w:tcPr>
            <w:tcW w:type="dxa" w:w="2016"/>
            <w:vAlign w:val="center"/>
          </w:tcPr>
          <w:p>
            <w:r/>
            <w:r>
              <w:rPr>
                <w:b w:val="0"/>
                <w:sz w:val="13"/>
              </w:rPr>
              <w:t>OH-8</w:t>
            </w:r>
          </w:p>
        </w:tc>
        <w:tc>
          <w:tcPr>
            <w:tcW w:type="dxa" w:w="2016"/>
            <w:vAlign w:val="center"/>
          </w:tcPr>
          <w:p>
            <w:r/>
            <w:r>
              <w:rPr>
                <w:b w:val="0"/>
                <w:sz w:val="13"/>
              </w:rPr>
              <w:t>Current bleeding/pain plus instability, syncope, shoulder pain, heavy bleeding, fever, or unconfirmed pregnancy location</w:t>
            </w:r>
          </w:p>
        </w:tc>
        <w:tc>
          <w:tcPr>
            <w:tcW w:type="dxa" w:w="2016"/>
            <w:vAlign w:val="center"/>
          </w:tcPr>
          <w:p>
            <w:r/>
            <w:r>
              <w:rPr>
                <w:b w:val="0"/>
                <w:sz w:val="13"/>
              </w:rPr>
              <w:t>EMERGENCY OVERRIDE</w:t>
            </w:r>
          </w:p>
        </w:tc>
        <w:tc>
          <w:tcPr>
            <w:tcW w:type="dxa" w:w="2016"/>
            <w:vAlign w:val="center"/>
          </w:tcPr>
          <w:p>
            <w:r/>
            <w:r>
              <w:rPr>
                <w:b w:val="0"/>
                <w:sz w:val="13"/>
              </w:rPr>
              <w:t>Immediate emergency referral/transfer under local protocol.</w:t>
            </w:r>
          </w:p>
        </w:tc>
        <w:tc>
          <w:tcPr>
            <w:tcW w:type="dxa" w:w="2016"/>
            <w:vAlign w:val="center"/>
          </w:tcPr>
          <w:p>
            <w:r/>
            <w:r>
              <w:rPr>
                <w:b w:val="0"/>
                <w:sz w:val="13"/>
              </w:rPr>
              <w:t>Do not wait for score completion.</w:t>
            </w:r>
          </w:p>
        </w:tc>
      </w:tr>
      <w:tr>
        <w:tc>
          <w:tcPr>
            <w:tcW w:type="dxa" w:w="2016"/>
            <w:vAlign w:val="center"/>
          </w:tcPr>
          <w:p>
            <w:r/>
            <w:r>
              <w:rPr>
                <w:b w:val="0"/>
                <w:sz w:val="13"/>
              </w:rPr>
              <w:t>OH-9</w:t>
            </w:r>
          </w:p>
        </w:tc>
        <w:tc>
          <w:tcPr>
            <w:tcW w:type="dxa" w:w="2016"/>
            <w:vAlign w:val="center"/>
          </w:tcPr>
          <w:p>
            <w:r/>
            <w:r>
              <w:rPr>
                <w:b w:val="0"/>
                <w:sz w:val="13"/>
              </w:rPr>
              <w:t>Current scan-confirmed intrauterine pregnancy with bleeding and previous miscarriage</w:t>
            </w:r>
          </w:p>
        </w:tc>
        <w:tc>
          <w:tcPr>
            <w:tcW w:type="dxa" w:w="2016"/>
            <w:vAlign w:val="center"/>
          </w:tcPr>
          <w:p>
            <w:r/>
            <w:r>
              <w:rPr>
                <w:b w:val="0"/>
                <w:sz w:val="13"/>
              </w:rPr>
              <w:t>QUALIFIED-CLINICIAN REVIEW</w:t>
            </w:r>
          </w:p>
        </w:tc>
        <w:tc>
          <w:tcPr>
            <w:tcW w:type="dxa" w:w="2016"/>
            <w:vAlign w:val="center"/>
          </w:tcPr>
          <w:p>
            <w:r/>
            <w:r>
              <w:rPr>
                <w:b w:val="0"/>
                <w:sz w:val="13"/>
              </w:rPr>
              <w:t>Flag NICE-specific treatment eligibility for clinician consideration only.</w:t>
            </w:r>
          </w:p>
        </w:tc>
        <w:tc>
          <w:tcPr>
            <w:tcW w:type="dxa" w:w="2016"/>
            <w:vAlign w:val="center"/>
          </w:tcPr>
          <w:p>
            <w:r/>
            <w:r>
              <w:rPr>
                <w:b w:val="0"/>
                <w:sz w:val="13"/>
              </w:rPr>
              <w:t>Do not issue an autonomous medication order.</w:t>
            </w:r>
          </w:p>
        </w:tc>
      </w:tr>
      <w:tr>
        <w:tc>
          <w:tcPr>
            <w:tcW w:type="dxa" w:w="2016"/>
            <w:vAlign w:val="center"/>
          </w:tcPr>
          <w:p>
            <w:r/>
            <w:r>
              <w:rPr>
                <w:b w:val="0"/>
                <w:sz w:val="13"/>
              </w:rPr>
              <w:t>OH-10</w:t>
            </w:r>
          </w:p>
        </w:tc>
        <w:tc>
          <w:tcPr>
            <w:tcW w:type="dxa" w:w="2016"/>
            <w:vAlign w:val="center"/>
          </w:tcPr>
          <w:p>
            <w:r/>
            <w:r>
              <w:rPr>
                <w:b w:val="0"/>
                <w:sz w:val="13"/>
              </w:rPr>
              <w:t>Known APS, uterine anomaly, cervical insufficiency, genetic finding, thyroid disorder, or other documented cause</w:t>
            </w:r>
          </w:p>
        </w:tc>
        <w:tc>
          <w:tcPr>
            <w:tcW w:type="dxa" w:w="2016"/>
            <w:vAlign w:val="center"/>
          </w:tcPr>
          <w:p>
            <w:r/>
            <w:r>
              <w:rPr>
                <w:b w:val="0"/>
                <w:sz w:val="13"/>
              </w:rPr>
              <w:t>CAUSE-SPECIFIC PATHWAY</w:t>
            </w:r>
          </w:p>
        </w:tc>
        <w:tc>
          <w:tcPr>
            <w:tcW w:type="dxa" w:w="2016"/>
            <w:vAlign w:val="center"/>
          </w:tcPr>
          <w:p>
            <w:r/>
            <w:r>
              <w:rPr>
                <w:b w:val="0"/>
                <w:sz w:val="13"/>
              </w:rPr>
              <w:t>Follow existing specialist plan and verify medication/monitoring through qualified clinician.</w:t>
            </w:r>
          </w:p>
        </w:tc>
        <w:tc>
          <w:tcPr>
            <w:tcW w:type="dxa" w:w="2016"/>
            <w:vAlign w:val="center"/>
          </w:tcPr>
          <w:p>
            <w:r/>
            <w:r>
              <w:rPr>
                <w:b w:val="0"/>
                <w:sz w:val="13"/>
              </w:rPr>
              <w:t>Do not generalise one cause to all losses.</w:t>
            </w:r>
          </w:p>
        </w:tc>
      </w:tr>
    </w:tbl>
    <w:p>
      <w:pPr>
        <w:pStyle w:val="Heading1"/>
      </w:pPr>
      <w:r>
        <w:t>8. Interaction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F4E79"/>
          </w:tcPr>
          <w:p>
            <w:r>
              <w:rPr>
                <w:color w:val="FFFFFF"/>
              </w:rPr>
            </w:r>
            <w:r>
              <w:rPr>
                <w:b/>
                <w:sz w:val="16"/>
              </w:rPr>
              <w:t>Interaction</w:t>
            </w:r>
          </w:p>
        </w:tc>
        <w:tc>
          <w:tcPr>
            <w:tcW w:type="dxa" w:w="2520"/>
            <w:vAlign w:val="center"/>
            <w:shd w:fill="1F4E79"/>
          </w:tcPr>
          <w:p>
            <w:r>
              <w:rPr>
                <w:color w:val="FFFFFF"/>
              </w:rPr>
            </w:r>
            <w:r>
              <w:rPr>
                <w:b/>
                <w:sz w:val="16"/>
              </w:rPr>
              <w:t>Why it matters</w:t>
            </w:r>
          </w:p>
        </w:tc>
        <w:tc>
          <w:tcPr>
            <w:tcW w:type="dxa" w:w="2520"/>
            <w:vAlign w:val="center"/>
            <w:shd w:fill="1F4E79"/>
          </w:tcPr>
          <w:p>
            <w:r>
              <w:rPr>
                <w:color w:val="FFFFFF"/>
              </w:rPr>
            </w:r>
            <w:r>
              <w:rPr>
                <w:b/>
                <w:sz w:val="16"/>
              </w:rPr>
              <w:t>CDSS response</w:t>
            </w:r>
          </w:p>
        </w:tc>
        <w:tc>
          <w:tcPr>
            <w:tcW w:type="dxa" w:w="2520"/>
            <w:vAlign w:val="center"/>
            <w:shd w:fill="1F4E79"/>
          </w:tcPr>
          <w:p>
            <w:r>
              <w:rPr>
                <w:color w:val="FFFFFF"/>
              </w:rPr>
            </w:r>
            <w:r>
              <w:rPr>
                <w:b/>
                <w:sz w:val="16"/>
              </w:rPr>
              <w:t>Priority</w:t>
            </w:r>
          </w:p>
        </w:tc>
      </w:tr>
      <w:tr>
        <w:tc>
          <w:tcPr>
            <w:tcW w:type="dxa" w:w="2520"/>
            <w:vAlign w:val="center"/>
          </w:tcPr>
          <w:p>
            <w:r/>
            <w:r>
              <w:rPr>
                <w:b w:val="0"/>
                <w:sz w:val="14"/>
              </w:rPr>
              <w:t>Loss history + maternal age</w:t>
            </w:r>
          </w:p>
        </w:tc>
        <w:tc>
          <w:tcPr>
            <w:tcW w:type="dxa" w:w="2520"/>
            <w:vAlign w:val="center"/>
          </w:tcPr>
          <w:p>
            <w:r/>
            <w:r>
              <w:rPr>
                <w:b w:val="0"/>
                <w:sz w:val="14"/>
              </w:rPr>
              <w:t>Age changes baseline miscarriage probability and prognosis.</w:t>
            </w:r>
          </w:p>
        </w:tc>
        <w:tc>
          <w:tcPr>
            <w:tcW w:type="dxa" w:w="2520"/>
            <w:vAlign w:val="center"/>
          </w:tcPr>
          <w:p>
            <w:r/>
            <w:r>
              <w:rPr>
                <w:b w:val="0"/>
                <w:sz w:val="14"/>
              </w:rPr>
              <w:t>Explain age as a modifying factor; never assign causation.</w:t>
            </w:r>
          </w:p>
        </w:tc>
        <w:tc>
          <w:tcPr>
            <w:tcW w:type="dxa" w:w="2520"/>
            <w:vAlign w:val="center"/>
          </w:tcPr>
          <w:p>
            <w:r/>
            <w:r>
              <w:rPr>
                <w:b w:val="0"/>
                <w:sz w:val="14"/>
              </w:rPr>
              <w:t>Review</w:t>
            </w:r>
          </w:p>
        </w:tc>
      </w:tr>
      <w:tr>
        <w:tc>
          <w:tcPr>
            <w:tcW w:type="dxa" w:w="2520"/>
            <w:vAlign w:val="center"/>
          </w:tcPr>
          <w:p>
            <w:r/>
            <w:r>
              <w:rPr>
                <w:b w:val="0"/>
                <w:sz w:val="14"/>
              </w:rPr>
              <w:t>Loss history + current bleeding/pain</w:t>
            </w:r>
          </w:p>
        </w:tc>
        <w:tc>
          <w:tcPr>
            <w:tcW w:type="dxa" w:w="2520"/>
            <w:vAlign w:val="center"/>
          </w:tcPr>
          <w:p>
            <w:r/>
            <w:r>
              <w:rPr>
                <w:b w:val="0"/>
                <w:sz w:val="14"/>
              </w:rPr>
              <w:t>May indicate threatened miscarriage, ectopic pregnancy, or haemorrhage.</w:t>
            </w:r>
          </w:p>
        </w:tc>
        <w:tc>
          <w:tcPr>
            <w:tcW w:type="dxa" w:w="2520"/>
            <w:vAlign w:val="center"/>
          </w:tcPr>
          <w:p>
            <w:r/>
            <w:r>
              <w:rPr>
                <w:b w:val="0"/>
                <w:sz w:val="14"/>
              </w:rPr>
              <w:t>Run current-symptom emergency pathway before historical assessment.</w:t>
            </w:r>
          </w:p>
        </w:tc>
        <w:tc>
          <w:tcPr>
            <w:tcW w:type="dxa" w:w="2520"/>
            <w:vAlign w:val="center"/>
          </w:tcPr>
          <w:p>
            <w:r/>
            <w:r>
              <w:rPr>
                <w:b w:val="0"/>
                <w:sz w:val="14"/>
              </w:rPr>
              <w:t>Emergency/urgent</w:t>
            </w:r>
          </w:p>
        </w:tc>
      </w:tr>
      <w:tr>
        <w:tc>
          <w:tcPr>
            <w:tcW w:type="dxa" w:w="2520"/>
            <w:vAlign w:val="center"/>
          </w:tcPr>
          <w:p>
            <w:r/>
            <w:r>
              <w:rPr>
                <w:b w:val="0"/>
                <w:sz w:val="14"/>
              </w:rPr>
              <w:t>RPL + known APS</w:t>
            </w:r>
          </w:p>
        </w:tc>
        <w:tc>
          <w:tcPr>
            <w:tcW w:type="dxa" w:w="2520"/>
            <w:vAlign w:val="center"/>
          </w:tcPr>
          <w:p>
            <w:r/>
            <w:r>
              <w:rPr>
                <w:b w:val="0"/>
                <w:sz w:val="14"/>
              </w:rPr>
              <w:t>Cause-specific management may improve outcomes.</w:t>
            </w:r>
          </w:p>
        </w:tc>
        <w:tc>
          <w:tcPr>
            <w:tcW w:type="dxa" w:w="2520"/>
            <w:vAlign w:val="center"/>
          </w:tcPr>
          <w:p>
            <w:r/>
            <w:r>
              <w:rPr>
                <w:b w:val="0"/>
                <w:sz w:val="14"/>
              </w:rPr>
              <w:t>Verify specialist diagnosis and active plan; medication decisions remain clinician-led.</w:t>
            </w:r>
          </w:p>
        </w:tc>
        <w:tc>
          <w:tcPr>
            <w:tcW w:type="dxa" w:w="2520"/>
            <w:vAlign w:val="center"/>
          </w:tcPr>
          <w:p>
            <w:r/>
            <w:r>
              <w:rPr>
                <w:b w:val="0"/>
                <w:sz w:val="14"/>
              </w:rPr>
              <w:t>Specialist</w:t>
            </w:r>
          </w:p>
        </w:tc>
      </w:tr>
      <w:tr>
        <w:tc>
          <w:tcPr>
            <w:tcW w:type="dxa" w:w="2520"/>
            <w:vAlign w:val="center"/>
          </w:tcPr>
          <w:p>
            <w:r/>
            <w:r>
              <w:rPr>
                <w:b w:val="0"/>
                <w:sz w:val="14"/>
              </w:rPr>
              <w:t>Second-trimester loss + suspected cervical insufficiency</w:t>
            </w:r>
          </w:p>
        </w:tc>
        <w:tc>
          <w:tcPr>
            <w:tcW w:type="dxa" w:w="2520"/>
            <w:vAlign w:val="center"/>
          </w:tcPr>
          <w:p>
            <w:r/>
            <w:r>
              <w:rPr>
                <w:b w:val="0"/>
                <w:sz w:val="14"/>
              </w:rPr>
              <w:t>May affect surveillance and referral in a subsequent pregnancy.</w:t>
            </w:r>
          </w:p>
        </w:tc>
        <w:tc>
          <w:tcPr>
            <w:tcW w:type="dxa" w:w="2520"/>
            <w:vAlign w:val="center"/>
          </w:tcPr>
          <w:p>
            <w:r/>
            <w:r>
              <w:rPr>
                <w:b w:val="0"/>
                <w:sz w:val="14"/>
              </w:rPr>
              <w:t>Prompt obstetric review and prior-record retrieval.</w:t>
            </w:r>
          </w:p>
        </w:tc>
        <w:tc>
          <w:tcPr>
            <w:tcW w:type="dxa" w:w="2520"/>
            <w:vAlign w:val="center"/>
          </w:tcPr>
          <w:p>
            <w:r/>
            <w:r>
              <w:rPr>
                <w:b w:val="0"/>
                <w:sz w:val="14"/>
              </w:rPr>
              <w:t>Specialist</w:t>
            </w:r>
          </w:p>
        </w:tc>
      </w:tr>
      <w:tr>
        <w:tc>
          <w:tcPr>
            <w:tcW w:type="dxa" w:w="2520"/>
            <w:vAlign w:val="center"/>
          </w:tcPr>
          <w:p>
            <w:r/>
            <w:r>
              <w:rPr>
                <w:b w:val="0"/>
                <w:sz w:val="14"/>
              </w:rPr>
              <w:t>Loss history + diabetes/thyroid disease</w:t>
            </w:r>
          </w:p>
        </w:tc>
        <w:tc>
          <w:tcPr>
            <w:tcW w:type="dxa" w:w="2520"/>
            <w:vAlign w:val="center"/>
          </w:tcPr>
          <w:p>
            <w:r/>
            <w:r>
              <w:rPr>
                <w:b w:val="0"/>
                <w:sz w:val="14"/>
              </w:rPr>
              <w:t>Poorly controlled disease may affect pregnancy outcome.</w:t>
            </w:r>
          </w:p>
        </w:tc>
        <w:tc>
          <w:tcPr>
            <w:tcW w:type="dxa" w:w="2520"/>
            <w:vAlign w:val="center"/>
          </w:tcPr>
          <w:p>
            <w:r/>
            <w:r>
              <w:rPr>
                <w:b w:val="0"/>
                <w:sz w:val="14"/>
              </w:rPr>
              <w:t>Use disease-specific module and specialist plan; avoid claiming the disease caused the loss.</w:t>
            </w:r>
          </w:p>
        </w:tc>
        <w:tc>
          <w:tcPr>
            <w:tcW w:type="dxa" w:w="2520"/>
            <w:vAlign w:val="center"/>
          </w:tcPr>
          <w:p>
            <w:r/>
            <w:r>
              <w:rPr>
                <w:b w:val="0"/>
                <w:sz w:val="14"/>
              </w:rPr>
              <w:t>Integrated review</w:t>
            </w:r>
          </w:p>
        </w:tc>
      </w:tr>
      <w:tr>
        <w:tc>
          <w:tcPr>
            <w:tcW w:type="dxa" w:w="2520"/>
            <w:vAlign w:val="center"/>
          </w:tcPr>
          <w:p>
            <w:r/>
            <w:r>
              <w:rPr>
                <w:b w:val="0"/>
                <w:sz w:val="14"/>
              </w:rPr>
              <w:t>Loss history + anemia/previous haemorrhage</w:t>
            </w:r>
          </w:p>
        </w:tc>
        <w:tc>
          <w:tcPr>
            <w:tcW w:type="dxa" w:w="2520"/>
            <w:vAlign w:val="center"/>
          </w:tcPr>
          <w:p>
            <w:r/>
            <w:r>
              <w:rPr>
                <w:b w:val="0"/>
                <w:sz w:val="14"/>
              </w:rPr>
              <w:t>Future bleeding may be less well tolerated.</w:t>
            </w:r>
          </w:p>
        </w:tc>
        <w:tc>
          <w:tcPr>
            <w:tcW w:type="dxa" w:w="2520"/>
            <w:vAlign w:val="center"/>
          </w:tcPr>
          <w:p>
            <w:r/>
            <w:r>
              <w:rPr>
                <w:b w:val="0"/>
                <w:sz w:val="14"/>
              </w:rPr>
              <w:t>Optimise anemia pathway and emergency preparedness.</w:t>
            </w:r>
          </w:p>
        </w:tc>
        <w:tc>
          <w:tcPr>
            <w:tcW w:type="dxa" w:w="2520"/>
            <w:vAlign w:val="center"/>
          </w:tcPr>
          <w:p>
            <w:r/>
            <w:r>
              <w:rPr>
                <w:b w:val="0"/>
                <w:sz w:val="14"/>
              </w:rPr>
              <w:t>Higher urgency if symptomatic</w:t>
            </w:r>
          </w:p>
        </w:tc>
      </w:tr>
      <w:tr>
        <w:tc>
          <w:tcPr>
            <w:tcW w:type="dxa" w:w="2520"/>
            <w:vAlign w:val="center"/>
          </w:tcPr>
          <w:p>
            <w:r/>
            <w:r>
              <w:rPr>
                <w:b w:val="0"/>
                <w:sz w:val="14"/>
              </w:rPr>
              <w:t>Previous stillbirth + reduced fetal movement later in pregnancy</w:t>
            </w:r>
          </w:p>
        </w:tc>
        <w:tc>
          <w:tcPr>
            <w:tcW w:type="dxa" w:w="2520"/>
            <w:vAlign w:val="center"/>
          </w:tcPr>
          <w:p>
            <w:r/>
            <w:r>
              <w:rPr>
                <w:b w:val="0"/>
                <w:sz w:val="14"/>
              </w:rPr>
              <w:t>Current symptom has immediate importance.</w:t>
            </w:r>
          </w:p>
        </w:tc>
        <w:tc>
          <w:tcPr>
            <w:tcW w:type="dxa" w:w="2520"/>
            <w:vAlign w:val="center"/>
          </w:tcPr>
          <w:p>
            <w:r/>
            <w:r>
              <w:rPr>
                <w:b w:val="0"/>
                <w:sz w:val="14"/>
              </w:rPr>
              <w:t>Activate fetal-movement pathway, not a historical score.</w:t>
            </w:r>
          </w:p>
        </w:tc>
        <w:tc>
          <w:tcPr>
            <w:tcW w:type="dxa" w:w="2520"/>
            <w:vAlign w:val="center"/>
          </w:tcPr>
          <w:p>
            <w:r/>
            <w:r>
              <w:rPr>
                <w:b w:val="0"/>
                <w:sz w:val="14"/>
              </w:rPr>
              <w:t>Urgent</w:t>
            </w:r>
          </w:p>
        </w:tc>
      </w:tr>
      <w:tr>
        <w:tc>
          <w:tcPr>
            <w:tcW w:type="dxa" w:w="2520"/>
            <w:vAlign w:val="center"/>
          </w:tcPr>
          <w:p>
            <w:r/>
            <w:r>
              <w:rPr>
                <w:b w:val="0"/>
                <w:sz w:val="14"/>
              </w:rPr>
              <w:t>Prior ectopic + unconfirmed pregnancy location</w:t>
            </w:r>
          </w:p>
        </w:tc>
        <w:tc>
          <w:tcPr>
            <w:tcW w:type="dxa" w:w="2520"/>
            <w:vAlign w:val="center"/>
          </w:tcPr>
          <w:p>
            <w:r/>
            <w:r>
              <w:rPr>
                <w:b w:val="0"/>
                <w:sz w:val="14"/>
              </w:rPr>
              <w:t>Risk of delayed ectopic recognition.</w:t>
            </w:r>
          </w:p>
        </w:tc>
        <w:tc>
          <w:tcPr>
            <w:tcW w:type="dxa" w:w="2520"/>
            <w:vAlign w:val="center"/>
          </w:tcPr>
          <w:p>
            <w:r/>
            <w:r>
              <w:rPr>
                <w:b w:val="0"/>
                <w:sz w:val="14"/>
              </w:rPr>
              <w:t>Prompt early localisation/urgent review if symptomatic.</w:t>
            </w:r>
          </w:p>
        </w:tc>
        <w:tc>
          <w:tcPr>
            <w:tcW w:type="dxa" w:w="2520"/>
            <w:vAlign w:val="center"/>
          </w:tcPr>
          <w:p>
            <w:r/>
            <w:r>
              <w:rPr>
                <w:b w:val="0"/>
                <w:sz w:val="14"/>
              </w:rPr>
              <w:t>Urgent</w:t>
            </w:r>
          </w:p>
        </w:tc>
      </w:tr>
      <w:tr>
        <w:tc>
          <w:tcPr>
            <w:tcW w:type="dxa" w:w="2520"/>
            <w:vAlign w:val="center"/>
          </w:tcPr>
          <w:p>
            <w:r/>
            <w:r>
              <w:rPr>
                <w:b w:val="0"/>
                <w:sz w:val="14"/>
              </w:rPr>
              <w:t>Loss history + psychological distress</w:t>
            </w:r>
          </w:p>
        </w:tc>
        <w:tc>
          <w:tcPr>
            <w:tcW w:type="dxa" w:w="2520"/>
            <w:vAlign w:val="center"/>
          </w:tcPr>
          <w:p>
            <w:r/>
            <w:r>
              <w:rPr>
                <w:b w:val="0"/>
                <w:sz w:val="14"/>
              </w:rPr>
              <w:t>Repeated loss can intensify grief and anxiety.</w:t>
            </w:r>
          </w:p>
        </w:tc>
        <w:tc>
          <w:tcPr>
            <w:tcW w:type="dxa" w:w="2520"/>
            <w:vAlign w:val="center"/>
          </w:tcPr>
          <w:p>
            <w:r/>
            <w:r>
              <w:rPr>
                <w:b w:val="0"/>
                <w:sz w:val="14"/>
              </w:rPr>
              <w:t>Offer sensitive communication and referral for psychosocial support.</w:t>
            </w:r>
          </w:p>
        </w:tc>
        <w:tc>
          <w:tcPr>
            <w:tcW w:type="dxa" w:w="2520"/>
            <w:vAlign w:val="center"/>
          </w:tcPr>
          <w:p>
            <w:r/>
            <w:r>
              <w:rPr>
                <w:b w:val="0"/>
                <w:sz w:val="14"/>
              </w:rPr>
              <w:t>Supportive care</w:t>
            </w:r>
          </w:p>
        </w:tc>
      </w:tr>
    </w:tbl>
    <w:p>
      <w:pPr>
        <w:pStyle w:val="Heading1"/>
      </w:pPr>
      <w:r>
        <w:t>9. Database Redesign</w:t>
      </w:r>
    </w:p>
    <w:p>
      <w:r>
        <w:t>The existing fields previous_cs and miscarriage_count are insufficient for this pathway. A normalised obstetric-event structure is recommended.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F4E79"/>
          </w:tcPr>
          <w:p>
            <w:r>
              <w:rPr>
                <w:color w:val="FFFFFF"/>
              </w:rPr>
            </w:r>
            <w:r>
              <w:rPr>
                <w:b/>
                <w:sz w:val="16"/>
              </w:rPr>
              <w:t>Entity / field</w:t>
            </w:r>
          </w:p>
        </w:tc>
        <w:tc>
          <w:tcPr>
            <w:tcW w:type="dxa" w:w="2520"/>
            <w:vAlign w:val="center"/>
            <w:shd w:fill="1F4E79"/>
          </w:tcPr>
          <w:p>
            <w:r>
              <w:rPr>
                <w:color w:val="FFFFFF"/>
              </w:rPr>
            </w:r>
            <w:r>
              <w:rPr>
                <w:b/>
                <w:sz w:val="16"/>
              </w:rPr>
              <w:t>Type</w:t>
            </w:r>
          </w:p>
        </w:tc>
        <w:tc>
          <w:tcPr>
            <w:tcW w:type="dxa" w:w="2520"/>
            <w:vAlign w:val="center"/>
            <w:shd w:fill="1F4E79"/>
          </w:tcPr>
          <w:p>
            <w:r>
              <w:rPr>
                <w:color w:val="FFFFFF"/>
              </w:rPr>
            </w:r>
            <w:r>
              <w:rPr>
                <w:b/>
                <w:sz w:val="16"/>
              </w:rPr>
              <w:t>Purpose</w:t>
            </w:r>
          </w:p>
        </w:tc>
        <w:tc>
          <w:tcPr>
            <w:tcW w:type="dxa" w:w="2520"/>
            <w:vAlign w:val="center"/>
            <w:shd w:fill="1F4E79"/>
          </w:tcPr>
          <w:p>
            <w:r>
              <w:rPr>
                <w:color w:val="FFFFFF"/>
              </w:rPr>
            </w:r>
            <w:r>
              <w:rPr>
                <w:b/>
                <w:sz w:val="16"/>
              </w:rPr>
              <w:t>Validation</w:t>
            </w:r>
          </w:p>
        </w:tc>
      </w:tr>
      <w:tr>
        <w:tc>
          <w:tcPr>
            <w:tcW w:type="dxa" w:w="2520"/>
            <w:vAlign w:val="center"/>
          </w:tcPr>
          <w:p>
            <w:r/>
            <w:r>
              <w:rPr>
                <w:b w:val="0"/>
                <w:sz w:val="14"/>
              </w:rPr>
              <w:t>obstetric_events.id</w:t>
            </w:r>
          </w:p>
        </w:tc>
        <w:tc>
          <w:tcPr>
            <w:tcW w:type="dxa" w:w="2520"/>
            <w:vAlign w:val="center"/>
          </w:tcPr>
          <w:p>
            <w:r/>
            <w:r>
              <w:rPr>
                <w:b w:val="0"/>
                <w:sz w:val="14"/>
              </w:rPr>
              <w:t>PK</w:t>
            </w:r>
          </w:p>
        </w:tc>
        <w:tc>
          <w:tcPr>
            <w:tcW w:type="dxa" w:w="2520"/>
            <w:vAlign w:val="center"/>
          </w:tcPr>
          <w:p>
            <w:r/>
            <w:r>
              <w:rPr>
                <w:b w:val="0"/>
                <w:sz w:val="14"/>
              </w:rPr>
              <w:t>One row per prior pregnancy outcome.</w:t>
            </w:r>
          </w:p>
        </w:tc>
        <w:tc>
          <w:tcPr>
            <w:tcW w:type="dxa" w:w="2520"/>
            <w:vAlign w:val="center"/>
          </w:tcPr>
          <w:p>
            <w:r/>
            <w:r>
              <w:rPr>
                <w:b w:val="0"/>
                <w:sz w:val="14"/>
              </w:rPr>
              <w:t>Immutable audit identity.</w:t>
            </w:r>
          </w:p>
        </w:tc>
      </w:tr>
      <w:tr>
        <w:tc>
          <w:tcPr>
            <w:tcW w:type="dxa" w:w="2520"/>
            <w:vAlign w:val="center"/>
          </w:tcPr>
          <w:p>
            <w:r/>
            <w:r>
              <w:rPr>
                <w:b w:val="0"/>
                <w:sz w:val="14"/>
              </w:rPr>
              <w:t>event_type</w:t>
            </w:r>
          </w:p>
        </w:tc>
        <w:tc>
          <w:tcPr>
            <w:tcW w:type="dxa" w:w="2520"/>
            <w:vAlign w:val="center"/>
          </w:tcPr>
          <w:p>
            <w:r/>
            <w:r>
              <w:rPr>
                <w:b w:val="0"/>
                <w:sz w:val="14"/>
              </w:rPr>
              <w:t>enum</w:t>
            </w:r>
          </w:p>
        </w:tc>
        <w:tc>
          <w:tcPr>
            <w:tcW w:type="dxa" w:w="2520"/>
            <w:vAlign w:val="center"/>
          </w:tcPr>
          <w:p>
            <w:r/>
            <w:r>
              <w:rPr>
                <w:b w:val="0"/>
                <w:sz w:val="14"/>
              </w:rPr>
              <w:t>miscarriage, ectopic, molar, stillbirth, neonatal_death, live_birth, preterm_birth, abruption, severe_pph, fetal_anomaly, other.</w:t>
            </w:r>
          </w:p>
        </w:tc>
        <w:tc>
          <w:tcPr>
            <w:tcW w:type="dxa" w:w="2520"/>
            <w:vAlign w:val="center"/>
          </w:tcPr>
          <w:p>
            <w:r/>
            <w:r>
              <w:rPr>
                <w:b w:val="0"/>
                <w:sz w:val="14"/>
              </w:rPr>
              <w:t>Required; never infer from free text.</w:t>
            </w:r>
          </w:p>
        </w:tc>
      </w:tr>
      <w:tr>
        <w:tc>
          <w:tcPr>
            <w:tcW w:type="dxa" w:w="2520"/>
            <w:vAlign w:val="center"/>
          </w:tcPr>
          <w:p>
            <w:r/>
            <w:r>
              <w:rPr>
                <w:b w:val="0"/>
                <w:sz w:val="14"/>
              </w:rPr>
              <w:t>gestational_age_weeks/days</w:t>
            </w:r>
          </w:p>
        </w:tc>
        <w:tc>
          <w:tcPr>
            <w:tcW w:type="dxa" w:w="2520"/>
            <w:vAlign w:val="center"/>
          </w:tcPr>
          <w:p>
            <w:r/>
            <w:r>
              <w:rPr>
                <w:b w:val="0"/>
                <w:sz w:val="14"/>
              </w:rPr>
              <w:t>integer</w:t>
            </w:r>
          </w:p>
        </w:tc>
        <w:tc>
          <w:tcPr>
            <w:tcW w:type="dxa" w:w="2520"/>
            <w:vAlign w:val="center"/>
          </w:tcPr>
          <w:p>
            <w:r/>
            <w:r>
              <w:rPr>
                <w:b w:val="0"/>
                <w:sz w:val="14"/>
              </w:rPr>
              <w:t>Timing and classification.</w:t>
            </w:r>
          </w:p>
        </w:tc>
        <w:tc>
          <w:tcPr>
            <w:tcW w:type="dxa" w:w="2520"/>
            <w:vAlign w:val="center"/>
          </w:tcPr>
          <w:p>
            <w:r/>
            <w:r>
              <w:rPr>
                <w:b w:val="0"/>
                <w:sz w:val="14"/>
              </w:rPr>
              <w:t>Nullable only with unknown_reason.</w:t>
            </w:r>
          </w:p>
        </w:tc>
      </w:tr>
      <w:tr>
        <w:tc>
          <w:tcPr>
            <w:tcW w:type="dxa" w:w="2520"/>
            <w:vAlign w:val="center"/>
          </w:tcPr>
          <w:p>
            <w:r/>
            <w:r>
              <w:rPr>
                <w:b w:val="0"/>
                <w:sz w:val="14"/>
              </w:rPr>
              <w:t>event_date / year</w:t>
            </w:r>
          </w:p>
        </w:tc>
        <w:tc>
          <w:tcPr>
            <w:tcW w:type="dxa" w:w="2520"/>
            <w:vAlign w:val="center"/>
          </w:tcPr>
          <w:p>
            <w:r/>
            <w:r>
              <w:rPr>
                <w:b w:val="0"/>
                <w:sz w:val="14"/>
              </w:rPr>
              <w:t>date/int</w:t>
            </w:r>
          </w:p>
        </w:tc>
        <w:tc>
          <w:tcPr>
            <w:tcW w:type="dxa" w:w="2520"/>
            <w:vAlign w:val="center"/>
          </w:tcPr>
          <w:p>
            <w:r/>
            <w:r>
              <w:rPr>
                <w:b w:val="0"/>
                <w:sz w:val="14"/>
              </w:rPr>
              <w:t>Sequence and recency.</w:t>
            </w:r>
          </w:p>
        </w:tc>
        <w:tc>
          <w:tcPr>
            <w:tcW w:type="dxa" w:w="2520"/>
            <w:vAlign w:val="center"/>
          </w:tcPr>
          <w:p>
            <w:r/>
            <w:r>
              <w:rPr>
                <w:b w:val="0"/>
                <w:sz w:val="14"/>
              </w:rPr>
              <w:t>Allow approximate year with provenance.</w:t>
            </w:r>
          </w:p>
        </w:tc>
      </w:tr>
      <w:tr>
        <w:tc>
          <w:tcPr>
            <w:tcW w:type="dxa" w:w="2520"/>
            <w:vAlign w:val="center"/>
          </w:tcPr>
          <w:p>
            <w:r/>
            <w:r>
              <w:rPr>
                <w:b w:val="0"/>
                <w:sz w:val="14"/>
              </w:rPr>
              <w:t>intrauterine_confirmed</w:t>
            </w:r>
          </w:p>
        </w:tc>
        <w:tc>
          <w:tcPr>
            <w:tcW w:type="dxa" w:w="2520"/>
            <w:vAlign w:val="center"/>
          </w:tcPr>
          <w:p>
            <w:r/>
            <w:r>
              <w:rPr>
                <w:b w:val="0"/>
                <w:sz w:val="14"/>
              </w:rPr>
              <w:t>boolean/unknown</w:t>
            </w:r>
          </w:p>
        </w:tc>
        <w:tc>
          <w:tcPr>
            <w:tcW w:type="dxa" w:w="2520"/>
            <w:vAlign w:val="center"/>
          </w:tcPr>
          <w:p>
            <w:r/>
            <w:r>
              <w:rPr>
                <w:b w:val="0"/>
                <w:sz w:val="14"/>
              </w:rPr>
              <w:t>Separates miscarriage from pregnancy of unknown location.</w:t>
            </w:r>
          </w:p>
        </w:tc>
        <w:tc>
          <w:tcPr>
            <w:tcW w:type="dxa" w:w="2520"/>
            <w:vAlign w:val="center"/>
          </w:tcPr>
          <w:p>
            <w:r/>
            <w:r>
              <w:rPr>
                <w:b w:val="0"/>
                <w:sz w:val="14"/>
              </w:rPr>
              <w:t>Three-state value.</w:t>
            </w:r>
          </w:p>
        </w:tc>
      </w:tr>
      <w:tr>
        <w:tc>
          <w:tcPr>
            <w:tcW w:type="dxa" w:w="2520"/>
            <w:vAlign w:val="center"/>
          </w:tcPr>
          <w:p>
            <w:r/>
            <w:r>
              <w:rPr>
                <w:b w:val="0"/>
                <w:sz w:val="14"/>
              </w:rPr>
              <w:t>confirmation_method</w:t>
            </w:r>
          </w:p>
        </w:tc>
        <w:tc>
          <w:tcPr>
            <w:tcW w:type="dxa" w:w="2520"/>
            <w:vAlign w:val="center"/>
          </w:tcPr>
          <w:p>
            <w:r/>
            <w:r>
              <w:rPr>
                <w:b w:val="0"/>
                <w:sz w:val="14"/>
              </w:rPr>
              <w:t>enum/text</w:t>
            </w:r>
          </w:p>
        </w:tc>
        <w:tc>
          <w:tcPr>
            <w:tcW w:type="dxa" w:w="2520"/>
            <w:vAlign w:val="center"/>
          </w:tcPr>
          <w:p>
            <w:r/>
            <w:r>
              <w:rPr>
                <w:b w:val="0"/>
                <w:sz w:val="14"/>
              </w:rPr>
              <w:t>Ultrasound, pathology, clinical record, patient report.</w:t>
            </w:r>
          </w:p>
        </w:tc>
        <w:tc>
          <w:tcPr>
            <w:tcW w:type="dxa" w:w="2520"/>
            <w:vAlign w:val="center"/>
          </w:tcPr>
          <w:p>
            <w:r/>
            <w:r>
              <w:rPr>
                <w:b w:val="0"/>
                <w:sz w:val="14"/>
              </w:rPr>
              <w:t>Store source reliability.</w:t>
            </w:r>
          </w:p>
        </w:tc>
      </w:tr>
      <w:tr>
        <w:tc>
          <w:tcPr>
            <w:tcW w:type="dxa" w:w="2520"/>
            <w:vAlign w:val="center"/>
          </w:tcPr>
          <w:p>
            <w:r/>
            <w:r>
              <w:rPr>
                <w:b w:val="0"/>
                <w:sz w:val="14"/>
              </w:rPr>
              <w:t>management_type</w:t>
            </w:r>
          </w:p>
        </w:tc>
        <w:tc>
          <w:tcPr>
            <w:tcW w:type="dxa" w:w="2520"/>
            <w:vAlign w:val="center"/>
          </w:tcPr>
          <w:p>
            <w:r/>
            <w:r>
              <w:rPr>
                <w:b w:val="0"/>
                <w:sz w:val="14"/>
              </w:rPr>
              <w:t>enum</w:t>
            </w:r>
          </w:p>
        </w:tc>
        <w:tc>
          <w:tcPr>
            <w:tcW w:type="dxa" w:w="2520"/>
            <w:vAlign w:val="center"/>
          </w:tcPr>
          <w:p>
            <w:r/>
            <w:r>
              <w:rPr>
                <w:b w:val="0"/>
                <w:sz w:val="14"/>
              </w:rPr>
              <w:t>Expectant, medical, surgical, unknown.</w:t>
            </w:r>
          </w:p>
        </w:tc>
        <w:tc>
          <w:tcPr>
            <w:tcW w:type="dxa" w:w="2520"/>
            <w:vAlign w:val="center"/>
          </w:tcPr>
          <w:p>
            <w:r/>
            <w:r>
              <w:rPr>
                <w:b w:val="0"/>
                <w:sz w:val="14"/>
              </w:rPr>
              <w:t>Historical documentation only.</w:t>
            </w:r>
          </w:p>
        </w:tc>
      </w:tr>
      <w:tr>
        <w:tc>
          <w:tcPr>
            <w:tcW w:type="dxa" w:w="2520"/>
            <w:vAlign w:val="center"/>
          </w:tcPr>
          <w:p>
            <w:r/>
            <w:r>
              <w:rPr>
                <w:b w:val="0"/>
                <w:sz w:val="14"/>
              </w:rPr>
              <w:t>complications</w:t>
            </w:r>
          </w:p>
        </w:tc>
        <w:tc>
          <w:tcPr>
            <w:tcW w:type="dxa" w:w="2520"/>
            <w:vAlign w:val="center"/>
          </w:tcPr>
          <w:p>
            <w:r/>
            <w:r>
              <w:rPr>
                <w:b w:val="0"/>
                <w:sz w:val="14"/>
              </w:rPr>
              <w:t>structured flags</w:t>
            </w:r>
          </w:p>
        </w:tc>
        <w:tc>
          <w:tcPr>
            <w:tcW w:type="dxa" w:w="2520"/>
            <w:vAlign w:val="center"/>
          </w:tcPr>
          <w:p>
            <w:r/>
            <w:r>
              <w:rPr>
                <w:b w:val="0"/>
                <w:sz w:val="14"/>
              </w:rPr>
              <w:t>Haemorrhage, transfusion, infection, surgery, ICU.</w:t>
            </w:r>
          </w:p>
        </w:tc>
        <w:tc>
          <w:tcPr>
            <w:tcW w:type="dxa" w:w="2520"/>
            <w:vAlign w:val="center"/>
          </w:tcPr>
          <w:p>
            <w:r/>
            <w:r>
              <w:rPr>
                <w:b w:val="0"/>
                <w:sz w:val="14"/>
              </w:rPr>
              <w:t>Multiple values allowed.</w:t>
            </w:r>
          </w:p>
        </w:tc>
      </w:tr>
      <w:tr>
        <w:tc>
          <w:tcPr>
            <w:tcW w:type="dxa" w:w="2520"/>
            <w:vAlign w:val="center"/>
          </w:tcPr>
          <w:p>
            <w:r/>
            <w:r>
              <w:rPr>
                <w:b w:val="0"/>
                <w:sz w:val="14"/>
              </w:rPr>
              <w:t>cause_status</w:t>
            </w:r>
          </w:p>
        </w:tc>
        <w:tc>
          <w:tcPr>
            <w:tcW w:type="dxa" w:w="2520"/>
            <w:vAlign w:val="center"/>
          </w:tcPr>
          <w:p>
            <w:r/>
            <w:r>
              <w:rPr>
                <w:b w:val="0"/>
                <w:sz w:val="14"/>
              </w:rPr>
              <w:t>enum</w:t>
            </w:r>
          </w:p>
        </w:tc>
        <w:tc>
          <w:tcPr>
            <w:tcW w:type="dxa" w:w="2520"/>
            <w:vAlign w:val="center"/>
          </w:tcPr>
          <w:p>
            <w:r/>
            <w:r>
              <w:rPr>
                <w:b w:val="0"/>
                <w:sz w:val="14"/>
              </w:rPr>
              <w:t>Known, suspected, unexplained, not evaluated.</w:t>
            </w:r>
          </w:p>
        </w:tc>
        <w:tc>
          <w:tcPr>
            <w:tcW w:type="dxa" w:w="2520"/>
            <w:vAlign w:val="center"/>
          </w:tcPr>
          <w:p>
            <w:r/>
            <w:r>
              <w:rPr>
                <w:b w:val="0"/>
                <w:sz w:val="14"/>
              </w:rPr>
              <w:t>Do not turn “unknown” into “none.”</w:t>
            </w:r>
          </w:p>
        </w:tc>
      </w:tr>
      <w:tr>
        <w:tc>
          <w:tcPr>
            <w:tcW w:type="dxa" w:w="2520"/>
            <w:vAlign w:val="center"/>
          </w:tcPr>
          <w:p>
            <w:r/>
            <w:r>
              <w:rPr>
                <w:b w:val="0"/>
                <w:sz w:val="14"/>
              </w:rPr>
              <w:t>cause_code / cause_text</w:t>
            </w:r>
          </w:p>
        </w:tc>
        <w:tc>
          <w:tcPr>
            <w:tcW w:type="dxa" w:w="2520"/>
            <w:vAlign w:val="center"/>
          </w:tcPr>
          <w:p>
            <w:r/>
            <w:r>
              <w:rPr>
                <w:b w:val="0"/>
                <w:sz w:val="14"/>
              </w:rPr>
              <w:t>coded+text</w:t>
            </w:r>
          </w:p>
        </w:tc>
        <w:tc>
          <w:tcPr>
            <w:tcW w:type="dxa" w:w="2520"/>
            <w:vAlign w:val="center"/>
          </w:tcPr>
          <w:p>
            <w:r/>
            <w:r>
              <w:rPr>
                <w:b w:val="0"/>
                <w:sz w:val="14"/>
              </w:rPr>
              <w:t>APS, uterine anomaly, cervical insufficiency, genetic, endocrine, fetal, placental, other.</w:t>
            </w:r>
          </w:p>
        </w:tc>
        <w:tc>
          <w:tcPr>
            <w:tcW w:type="dxa" w:w="2520"/>
            <w:vAlign w:val="center"/>
          </w:tcPr>
          <w:p>
            <w:r/>
            <w:r>
              <w:rPr>
                <w:b w:val="0"/>
                <w:sz w:val="14"/>
              </w:rPr>
              <w:t>Clinician-entered/verified.</w:t>
            </w:r>
          </w:p>
        </w:tc>
      </w:tr>
      <w:tr>
        <w:tc>
          <w:tcPr>
            <w:tcW w:type="dxa" w:w="2520"/>
            <w:vAlign w:val="center"/>
          </w:tcPr>
          <w:p>
            <w:r/>
            <w:r>
              <w:rPr>
                <w:b w:val="0"/>
                <w:sz w:val="14"/>
              </w:rPr>
              <w:t>specialist_evaluation_status</w:t>
            </w:r>
          </w:p>
        </w:tc>
        <w:tc>
          <w:tcPr>
            <w:tcW w:type="dxa" w:w="2520"/>
            <w:vAlign w:val="center"/>
          </w:tcPr>
          <w:p>
            <w:r/>
            <w:r>
              <w:rPr>
                <w:b w:val="0"/>
                <w:sz w:val="14"/>
              </w:rPr>
              <w:t>enum</w:t>
            </w:r>
          </w:p>
        </w:tc>
        <w:tc>
          <w:tcPr>
            <w:tcW w:type="dxa" w:w="2520"/>
            <w:vAlign w:val="center"/>
          </w:tcPr>
          <w:p>
            <w:r/>
            <w:r>
              <w:rPr>
                <w:b w:val="0"/>
                <w:sz w:val="14"/>
              </w:rPr>
              <w:t>Not indicated, pending, completed, declined, unknown.</w:t>
            </w:r>
          </w:p>
        </w:tc>
        <w:tc>
          <w:tcPr>
            <w:tcW w:type="dxa" w:w="2520"/>
            <w:vAlign w:val="center"/>
          </w:tcPr>
          <w:p>
            <w:r/>
            <w:r>
              <w:rPr>
                <w:b w:val="0"/>
                <w:sz w:val="14"/>
              </w:rPr>
              <w:t>Reason required when declined.</w:t>
            </w:r>
          </w:p>
        </w:tc>
      </w:tr>
      <w:tr>
        <w:tc>
          <w:tcPr>
            <w:tcW w:type="dxa" w:w="2520"/>
            <w:vAlign w:val="center"/>
          </w:tcPr>
          <w:p>
            <w:r/>
            <w:r>
              <w:rPr>
                <w:b w:val="0"/>
                <w:sz w:val="14"/>
              </w:rPr>
              <w:t>current_plan</w:t>
            </w:r>
          </w:p>
        </w:tc>
        <w:tc>
          <w:tcPr>
            <w:tcW w:type="dxa" w:w="2520"/>
            <w:vAlign w:val="center"/>
          </w:tcPr>
          <w:p>
            <w:r/>
            <w:r>
              <w:rPr>
                <w:b w:val="0"/>
                <w:sz w:val="14"/>
              </w:rPr>
              <w:t>text/reference</w:t>
            </w:r>
          </w:p>
        </w:tc>
        <w:tc>
          <w:tcPr>
            <w:tcW w:type="dxa" w:w="2520"/>
            <w:vAlign w:val="center"/>
          </w:tcPr>
          <w:p>
            <w:r/>
            <w:r>
              <w:rPr>
                <w:b w:val="0"/>
                <w:sz w:val="14"/>
              </w:rPr>
              <w:t>Documented plan for subsequent pregnancy.</w:t>
            </w:r>
          </w:p>
        </w:tc>
        <w:tc>
          <w:tcPr>
            <w:tcW w:type="dxa" w:w="2520"/>
            <w:vAlign w:val="center"/>
          </w:tcPr>
          <w:p>
            <w:r/>
            <w:r>
              <w:rPr>
                <w:b w:val="0"/>
                <w:sz w:val="14"/>
              </w:rPr>
              <w:t>Source and author required.</w:t>
            </w:r>
          </w:p>
        </w:tc>
      </w:tr>
      <w:tr>
        <w:tc>
          <w:tcPr>
            <w:tcW w:type="dxa" w:w="2520"/>
            <w:vAlign w:val="center"/>
          </w:tcPr>
          <w:p>
            <w:r/>
            <w:r>
              <w:rPr>
                <w:b w:val="0"/>
                <w:sz w:val="14"/>
              </w:rPr>
              <w:t>definition_standard</w:t>
            </w:r>
          </w:p>
        </w:tc>
        <w:tc>
          <w:tcPr>
            <w:tcW w:type="dxa" w:w="2520"/>
            <w:vAlign w:val="center"/>
          </w:tcPr>
          <w:p>
            <w:r/>
            <w:r>
              <w:rPr>
                <w:b w:val="0"/>
                <w:sz w:val="14"/>
              </w:rPr>
              <w:t>enum/version</w:t>
            </w:r>
          </w:p>
        </w:tc>
        <w:tc>
          <w:tcPr>
            <w:tcW w:type="dxa" w:w="2520"/>
            <w:vAlign w:val="center"/>
          </w:tcPr>
          <w:p>
            <w:r/>
            <w:r>
              <w:rPr>
                <w:b w:val="0"/>
                <w:sz w:val="14"/>
              </w:rPr>
              <w:t>ACOG, ESHRE, RCOG, local policy.</w:t>
            </w:r>
          </w:p>
        </w:tc>
        <w:tc>
          <w:tcPr>
            <w:tcW w:type="dxa" w:w="2520"/>
            <w:vAlign w:val="center"/>
          </w:tcPr>
          <w:p>
            <w:r/>
            <w:r>
              <w:rPr>
                <w:b w:val="0"/>
                <w:sz w:val="14"/>
              </w:rPr>
              <w:t>Version/date mandatory.</w:t>
            </w:r>
          </w:p>
        </w:tc>
      </w:tr>
      <w:tr>
        <w:tc>
          <w:tcPr>
            <w:tcW w:type="dxa" w:w="2520"/>
            <w:vAlign w:val="center"/>
          </w:tcPr>
          <w:p>
            <w:r/>
            <w:r>
              <w:rPr>
                <w:b w:val="0"/>
                <w:sz w:val="14"/>
              </w:rPr>
              <w:t>psychosocial_support_offered</w:t>
            </w:r>
          </w:p>
        </w:tc>
        <w:tc>
          <w:tcPr>
            <w:tcW w:type="dxa" w:w="2520"/>
            <w:vAlign w:val="center"/>
          </w:tcPr>
          <w:p>
            <w:r/>
            <w:r>
              <w:rPr>
                <w:b w:val="0"/>
                <w:sz w:val="14"/>
              </w:rPr>
              <w:t>boolean/date</w:t>
            </w:r>
          </w:p>
        </w:tc>
        <w:tc>
          <w:tcPr>
            <w:tcW w:type="dxa" w:w="2520"/>
            <w:vAlign w:val="center"/>
          </w:tcPr>
          <w:p>
            <w:r/>
            <w:r>
              <w:rPr>
                <w:b w:val="0"/>
                <w:sz w:val="14"/>
              </w:rPr>
              <w:t>Sensitive follow-up and continuity.</w:t>
            </w:r>
          </w:p>
        </w:tc>
        <w:tc>
          <w:tcPr>
            <w:tcW w:type="dxa" w:w="2520"/>
            <w:vAlign w:val="center"/>
          </w:tcPr>
          <w:p>
            <w:r/>
            <w:r>
              <w:rPr>
                <w:b w:val="0"/>
                <w:sz w:val="14"/>
              </w:rPr>
              <w:t>Record offer, not assumption.</w:t>
            </w:r>
          </w:p>
        </w:tc>
      </w:tr>
      <w:tr>
        <w:tc>
          <w:tcPr>
            <w:tcW w:type="dxa" w:w="2520"/>
            <w:vAlign w:val="center"/>
          </w:tcPr>
          <w:p>
            <w:r/>
            <w:r>
              <w:rPr>
                <w:b w:val="0"/>
                <w:sz w:val="14"/>
              </w:rPr>
              <w:t>source_document_id</w:t>
            </w:r>
          </w:p>
        </w:tc>
        <w:tc>
          <w:tcPr>
            <w:tcW w:type="dxa" w:w="2520"/>
            <w:vAlign w:val="center"/>
          </w:tcPr>
          <w:p>
            <w:r/>
            <w:r>
              <w:rPr>
                <w:b w:val="0"/>
                <w:sz w:val="14"/>
              </w:rPr>
              <w:t>FK</w:t>
            </w:r>
          </w:p>
        </w:tc>
        <w:tc>
          <w:tcPr>
            <w:tcW w:type="dxa" w:w="2520"/>
            <w:vAlign w:val="center"/>
          </w:tcPr>
          <w:p>
            <w:r/>
            <w:r>
              <w:rPr>
                <w:b w:val="0"/>
                <w:sz w:val="14"/>
              </w:rPr>
              <w:t>Links evidence to uploaded record.</w:t>
            </w:r>
          </w:p>
        </w:tc>
        <w:tc>
          <w:tcPr>
            <w:tcW w:type="dxa" w:w="2520"/>
            <w:vAlign w:val="center"/>
          </w:tcPr>
          <w:p>
            <w:r/>
            <w:r>
              <w:rPr>
                <w:b w:val="0"/>
                <w:sz w:val="14"/>
              </w:rPr>
              <w:t>No automated interpretation of unverified PDFs.</w:t>
            </w:r>
          </w:p>
        </w:tc>
      </w:tr>
      <w:tr>
        <w:tc>
          <w:tcPr>
            <w:tcW w:type="dxa" w:w="2520"/>
            <w:vAlign w:val="center"/>
          </w:tcPr>
          <w:p>
            <w:r/>
            <w:r>
              <w:rPr>
                <w:b w:val="0"/>
                <w:sz w:val="14"/>
              </w:rPr>
              <w:t>entered_by / verified_by / timestamps</w:t>
            </w:r>
          </w:p>
        </w:tc>
        <w:tc>
          <w:tcPr>
            <w:tcW w:type="dxa" w:w="2520"/>
            <w:vAlign w:val="center"/>
          </w:tcPr>
          <w:p>
            <w:r/>
            <w:r>
              <w:rPr>
                <w:b w:val="0"/>
                <w:sz w:val="14"/>
              </w:rPr>
              <w:t>audit</w:t>
            </w:r>
          </w:p>
        </w:tc>
        <w:tc>
          <w:tcPr>
            <w:tcW w:type="dxa" w:w="2520"/>
            <w:vAlign w:val="center"/>
          </w:tcPr>
          <w:p>
            <w:r/>
            <w:r>
              <w:rPr>
                <w:b w:val="0"/>
                <w:sz w:val="14"/>
              </w:rPr>
              <w:t>Traceability.</w:t>
            </w:r>
          </w:p>
        </w:tc>
        <w:tc>
          <w:tcPr>
            <w:tcW w:type="dxa" w:w="2520"/>
            <w:vAlign w:val="center"/>
          </w:tcPr>
          <w:p>
            <w:r/>
            <w:r>
              <w:rPr>
                <w:b w:val="0"/>
                <w:sz w:val="14"/>
              </w:rPr>
              <w:t>Required for clinical fields.</w:t>
            </w:r>
          </w:p>
        </w:tc>
      </w:tr>
    </w:tbl>
    <w:p>
      <w:pPr>
        <w:pStyle w:val="Heading1"/>
      </w:pPr>
      <w:r>
        <w:t>10. Explainable Recommendation Templates</w:t>
      </w:r>
    </w:p>
    <w:p>
      <w:r>
        <w:rPr>
          <w:b/>
        </w:rPr>
        <w:t xml:space="preserve">One prior early miscarriage, asymptomatic: </w:t>
      </w:r>
      <w:r>
        <w:t>“One previous early miscarriage is documented. This history alone does not automatically indicate a high-risk pregnancy. Continue routine antenatal assessment while reviewing any available records and current symptoms.”</w:t>
      </w:r>
    </w:p>
    <w:p>
      <w:r>
        <w:rPr>
          <w:b/>
        </w:rPr>
        <w:t xml:space="preserve">Two losses: </w:t>
      </w:r>
      <w:r>
        <w:t>“Two previous pregnancy losses are documented. ACOG and ESHRE consider evaluation for recurrent pregnancy loss after two losses; RCOG uses a formal threshold of three first-trimester miscarriages but allows earlier evaluation when clinically indicated. Refer for clinician review according to local policy.”</w:t>
      </w:r>
    </w:p>
    <w:p>
      <w:r>
        <w:rPr>
          <w:b/>
        </w:rPr>
        <w:t xml:space="preserve">Second-trimester loss: </w:t>
      </w:r>
      <w:r>
        <w:t>“A previous second-trimester loss is documented. Because this differs from an isolated early miscarriage, obstetric review of the prior cause and the current pregnancy plan is recommended.”</w:t>
      </w:r>
    </w:p>
    <w:p>
      <w:r>
        <w:rPr>
          <w:b/>
        </w:rPr>
        <w:t xml:space="preserve">Current emergency symptoms: </w:t>
      </w:r>
      <w:r>
        <w:t>“Urgent assessment is recommended because current symptoms may represent haemorrhage, ectopic pregnancy, infection, or another early-pregnancy complication. Do not delay transfer while completing routine risk scoring.”</w:t>
      </w:r>
    </w:p>
    <w:p>
      <w:r>
        <w:rPr>
          <w:b/>
        </w:rPr>
        <w:t xml:space="preserve">Missing data: </w:t>
      </w:r>
      <w:r>
        <w:t>“The obstetric-history assessment is incomplete because the type or gestational age of a previous loss is unknown. Verify the record before applying a recurrent-loss definition.”</w:t>
      </w:r>
    </w:p>
    <w:p>
      <w:r>
        <w:rPr>
          <w:b/>
        </w:rPr>
        <w:t xml:space="preserve">Psychosocial support: </w:t>
      </w:r>
      <w:r>
        <w:t>“Pregnancy loss can have significant emotional effects. Use sensitive, non-blaming communication and offer appropriate psychosocial support or referral.”</w:t>
      </w:r>
    </w:p>
    <w:p>
      <w:pPr>
        <w:pStyle w:val="Heading1"/>
      </w:pPr>
      <w:r>
        <w:t>11. Prohibited or Unsafe Outputs</w:t>
      </w:r>
    </w:p>
    <w:p>
      <w:pPr>
        <w:pStyle w:val="ListBullet"/>
      </w:pPr>
      <w:r>
        <w:t>“Previous miscarriage means this pregnancy is high risk.”</w:t>
      </w:r>
    </w:p>
    <w:p>
      <w:pPr>
        <w:pStyle w:val="ListBullet"/>
      </w:pPr>
      <w:r>
        <w:t>“Three miscarriages prove antiphospholipid syndrome.”</w:t>
      </w:r>
    </w:p>
    <w:p>
      <w:pPr>
        <w:pStyle w:val="ListBullet"/>
      </w:pPr>
      <w:r>
        <w:t>“Start aspirin/heparin/progesterone because of miscarriage history.”</w:t>
      </w:r>
    </w:p>
    <w:p>
      <w:pPr>
        <w:pStyle w:val="ListBullet"/>
      </w:pPr>
      <w:r>
        <w:t>“A previous miscarriage was caused by stress, work, exercise, sexual activity, or patient behaviour.”</w:t>
      </w:r>
    </w:p>
    <w:p>
      <w:pPr>
        <w:pStyle w:val="ListBullet"/>
      </w:pPr>
      <w:r>
        <w:t>“No miscarriage history” when the field is blank or unverified.</w:t>
      </w:r>
    </w:p>
    <w:p>
      <w:pPr>
        <w:pStyle w:val="ListBullet"/>
      </w:pPr>
      <w:r>
        <w:t>“Ectopic pregnancy counts as a miscarriage” for RPL calculation.</w:t>
      </w:r>
    </w:p>
    <w:p>
      <w:pPr>
        <w:pStyle w:val="ListBullet"/>
      </w:pPr>
      <w:r>
        <w:t>“Stillbirth and miscarriage are the same condition.”</w:t>
      </w:r>
    </w:p>
    <w:p>
      <w:pPr>
        <w:pStyle w:val="ListBullet"/>
      </w:pPr>
      <w:r>
        <w:t>“The patient can safely remain in the lying-in clinic” when emergency symptoms or facility limitations are present.</w:t>
      </w:r>
    </w:p>
    <w:p>
      <w:pPr>
        <w:pStyle w:val="ListBullet"/>
      </w:pPr>
      <w:r>
        <w:t>Any autonomous diagnosis, prescription, procedure selection, or guarantee of pregnancy outcome.</w:t>
      </w:r>
    </w:p>
    <w:p>
      <w:pPr>
        <w:pStyle w:val="Heading1"/>
      </w:pPr>
      <w:r>
        <w:t>12. Missing-Data and Conflict Rules</w:t>
      </w:r>
    </w:p>
    <w:p>
      <w:pPr>
        <w:pStyle w:val="ListBullet"/>
      </w:pPr>
      <w:r>
        <w:t>Blank history is UNKNOWN, not zero.</w:t>
      </w:r>
    </w:p>
    <w:p>
      <w:pPr>
        <w:pStyle w:val="ListBullet"/>
      </w:pPr>
      <w:r>
        <w:t>Patient-reported events should be preserved with a source-quality flag rather than discarded.</w:t>
      </w:r>
    </w:p>
    <w:p>
      <w:pPr>
        <w:pStyle w:val="ListBullet"/>
      </w:pPr>
      <w:r>
        <w:t>Conflicting gestational ages or event types must trigger verification.</w:t>
      </w:r>
    </w:p>
    <w:p>
      <w:pPr>
        <w:pStyle w:val="ListBullet"/>
      </w:pPr>
      <w:r>
        <w:t>An uploaded ultrasound or discharge summary is not considered interpreted until reviewed by an authorised clinician.</w:t>
      </w:r>
    </w:p>
    <w:p>
      <w:pPr>
        <w:pStyle w:val="ListBullet"/>
      </w:pPr>
      <w:r>
        <w:t>When guideline thresholds differ, show the threshold and source used.</w:t>
      </w:r>
    </w:p>
    <w:p>
      <w:pPr>
        <w:pStyle w:val="ListBullet"/>
      </w:pPr>
      <w:r>
        <w:t>Current emergency signs take precedence over incomplete historical data.</w:t>
      </w:r>
    </w:p>
    <w:p>
      <w:pPr>
        <w:pStyle w:val="ListBullet"/>
      </w:pPr>
      <w:r>
        <w:t>If a specialist diagnosis or treatment plan is documented, the CDSS should display it but must not independently modify it.</w:t>
      </w:r>
    </w:p>
    <w:p>
      <w:pPr>
        <w:pStyle w:val="Heading1"/>
      </w:pPr>
      <w:r>
        <w:t>13. Validation Requirements</w:t>
      </w:r>
    </w:p>
    <w:p>
      <w:pPr>
        <w:pStyle w:val="ListBullet"/>
      </w:pPr>
      <w:r>
        <w:t>Clinical content review by an obstetrician familiar with Philippine referral and lying-in practice.</w:t>
      </w:r>
    </w:p>
    <w:p>
      <w:pPr>
        <w:pStyle w:val="ListBullet"/>
      </w:pPr>
      <w:r>
        <w:t>Legal and policy review for scope of midwifery practice, medication prompts, emergency transfer, consent, and privacy.</w:t>
      </w:r>
    </w:p>
    <w:p>
      <w:pPr>
        <w:pStyle w:val="ListBullet"/>
      </w:pPr>
      <w:r>
        <w:t>Unit tests for all OH-0 to OH-10 rules, including unknown and conflicting data.</w:t>
      </w:r>
    </w:p>
    <w:p>
      <w:pPr>
        <w:pStyle w:val="ListBullet"/>
      </w:pPr>
      <w:r>
        <w:t>Scenario testing that proves one miscarriage alone does not produce HIGH.</w:t>
      </w:r>
    </w:p>
    <w:p>
      <w:pPr>
        <w:pStyle w:val="ListBullet"/>
      </w:pPr>
      <w:r>
        <w:t>Emergency override tests showing symptoms bypass ordinary scoring.</w:t>
      </w:r>
    </w:p>
    <w:p>
      <w:pPr>
        <w:pStyle w:val="ListBullet"/>
      </w:pPr>
      <w:r>
        <w:t>Guideline-version regression tests when NICE, ACOG, RCOG, ESHRE, WHO, or Philippine policy changes.</w:t>
      </w:r>
    </w:p>
    <w:p>
      <w:pPr>
        <w:pStyle w:val="ListBullet"/>
      </w:pPr>
      <w:r>
        <w:t>Usability testing with midwives to ensure explanations are understandable and non-blaming.</w:t>
      </w:r>
    </w:p>
    <w:p>
      <w:pPr>
        <w:pStyle w:val="ListBullet"/>
      </w:pPr>
      <w:r>
        <w:t>Audit-log tests for source, author, timestamp, rule version, and overridden recommendations.</w:t>
      </w:r>
    </w:p>
    <w:p>
      <w:pPr>
        <w:pStyle w:val="ListBullet"/>
      </w:pPr>
      <w:r>
        <w:t>Prospective silent-mode evaluation before clinical deployment; no direct patient-care reliance until governance approval.</w:t>
      </w:r>
    </w:p>
    <w:p>
      <w:pPr>
        <w:pStyle w:val="Heading1"/>
      </w:pPr>
      <w:r>
        <w:t>14. Final Knowledge-Base Position</w:t>
      </w:r>
    </w:p>
    <w:p>
      <w:r>
        <w:t>Miscarriage and adverse obstetric history should be included in the CDSS, but not as a crude numeric trigger. The system must preserve the type, timing, sequence, cause, complications, and evidence source for every prior pregnancy outcome. A single previous early miscarriage is contextual history. Two losses justify clinician review under ACOG/ESHRE and may justify evaluation under RCOG discretion. Three or more first-trimester miscarriages satisfy the RCOG definition. One or more second-trimester losses, previous ectopic or molar pregnancy, stillbirth, neonatal death, major preterm birth, placental abruption, and severe PPH each require separate pathways.</w:t>
      </w:r>
    </w:p>
    <w:p>
      <w:r>
        <w:t>The strongest design principle is temporal priority: current instability, pain, bleeding, syncope, fever, or suspected ectopic pregnancy overrides historical scoring and activates urgent referral. The CDSS must support clinical judgment, not replace it; provide provenance for every rule; communicate uncertainty; and use sensitive, respectful language.</w:t>
      </w:r>
    </w:p>
    <w:p>
      <w:pPr>
        <w:pStyle w:val="Heading1"/>
      </w:pPr>
      <w:r>
        <w:t>15. Evidence Traceability Table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F4E79"/>
          </w:tcPr>
          <w:p>
            <w:r>
              <w:rPr>
                <w:color w:val="FFFFFF"/>
              </w:rPr>
            </w:r>
            <w:r>
              <w:rPr>
                <w:b/>
                <w:sz w:val="15"/>
              </w:rPr>
              <w:t>Knowledge claim</w:t>
            </w:r>
          </w:p>
        </w:tc>
        <w:tc>
          <w:tcPr>
            <w:tcW w:type="dxa" w:w="2520"/>
            <w:vAlign w:val="center"/>
            <w:shd w:fill="1F4E79"/>
          </w:tcPr>
          <w:p>
            <w:r>
              <w:rPr>
                <w:color w:val="FFFFFF"/>
              </w:rPr>
            </w:r>
            <w:r>
              <w:rPr>
                <w:b/>
                <w:sz w:val="15"/>
              </w:rPr>
              <w:t>Primary source</w:t>
            </w:r>
          </w:p>
        </w:tc>
        <w:tc>
          <w:tcPr>
            <w:tcW w:type="dxa" w:w="2520"/>
            <w:vAlign w:val="center"/>
            <w:shd w:fill="1F4E79"/>
          </w:tcPr>
          <w:p>
            <w:r>
              <w:rPr>
                <w:color w:val="FFFFFF"/>
              </w:rPr>
            </w:r>
            <w:r>
              <w:rPr>
                <w:b/>
                <w:sz w:val="15"/>
              </w:rPr>
              <w:t>CDSS use</w:t>
            </w:r>
          </w:p>
        </w:tc>
        <w:tc>
          <w:tcPr>
            <w:tcW w:type="dxa" w:w="2520"/>
            <w:vAlign w:val="center"/>
            <w:shd w:fill="1F4E79"/>
          </w:tcPr>
          <w:p>
            <w:r>
              <w:rPr>
                <w:color w:val="FFFFFF"/>
              </w:rPr>
            </w:r>
            <w:r>
              <w:rPr>
                <w:b/>
                <w:sz w:val="15"/>
              </w:rPr>
              <w:t>Limit</w:t>
            </w:r>
          </w:p>
        </w:tc>
      </w:tr>
      <w:tr>
        <w:tc>
          <w:tcPr>
            <w:tcW w:type="dxa" w:w="2520"/>
            <w:vAlign w:val="center"/>
          </w:tcPr>
          <w:p>
            <w:r/>
            <w:r>
              <w:rPr>
                <w:b w:val="0"/>
                <w:sz w:val="14"/>
              </w:rPr>
              <w:t>RPL can be considered after two losses</w:t>
            </w:r>
          </w:p>
        </w:tc>
        <w:tc>
          <w:tcPr>
            <w:tcW w:type="dxa" w:w="2520"/>
            <w:vAlign w:val="center"/>
          </w:tcPr>
          <w:p>
            <w:r/>
            <w:r>
              <w:rPr>
                <w:b w:val="0"/>
                <w:sz w:val="14"/>
              </w:rPr>
              <w:t>ACOG; ESHRE 2023</w:t>
            </w:r>
          </w:p>
        </w:tc>
        <w:tc>
          <w:tcPr>
            <w:tcW w:type="dxa" w:w="2520"/>
            <w:vAlign w:val="center"/>
          </w:tcPr>
          <w:p>
            <w:r/>
            <w:r>
              <w:rPr>
                <w:b w:val="0"/>
                <w:sz w:val="14"/>
              </w:rPr>
              <w:t>Configurable review threshold</w:t>
            </w:r>
          </w:p>
        </w:tc>
        <w:tc>
          <w:tcPr>
            <w:tcW w:type="dxa" w:w="2520"/>
            <w:vAlign w:val="center"/>
          </w:tcPr>
          <w:p>
            <w:r/>
            <w:r>
              <w:rPr>
                <w:b w:val="0"/>
                <w:sz w:val="14"/>
              </w:rPr>
              <w:t>Not an autonomous diagnosis.</w:t>
            </w:r>
          </w:p>
        </w:tc>
      </w:tr>
      <w:tr>
        <w:tc>
          <w:tcPr>
            <w:tcW w:type="dxa" w:w="2520"/>
            <w:vAlign w:val="center"/>
          </w:tcPr>
          <w:p>
            <w:r/>
            <w:r>
              <w:rPr>
                <w:b w:val="0"/>
                <w:sz w:val="14"/>
              </w:rPr>
              <w:t>RCOG formal definition is three first-trimester miscarriages with discretion after two</w:t>
            </w:r>
          </w:p>
        </w:tc>
        <w:tc>
          <w:tcPr>
            <w:tcW w:type="dxa" w:w="2520"/>
            <w:vAlign w:val="center"/>
          </w:tcPr>
          <w:p>
            <w:r/>
            <w:r>
              <w:rPr>
                <w:b w:val="0"/>
                <w:sz w:val="14"/>
              </w:rPr>
              <w:t>RCOG Green-top 17 (2023)</w:t>
            </w:r>
          </w:p>
        </w:tc>
        <w:tc>
          <w:tcPr>
            <w:tcW w:type="dxa" w:w="2520"/>
            <w:vAlign w:val="center"/>
          </w:tcPr>
          <w:p>
            <w:r/>
            <w:r>
              <w:rPr>
                <w:b w:val="0"/>
                <w:sz w:val="14"/>
              </w:rPr>
              <w:t>Display definition disagreement</w:t>
            </w:r>
          </w:p>
        </w:tc>
        <w:tc>
          <w:tcPr>
            <w:tcW w:type="dxa" w:w="2520"/>
            <w:vAlign w:val="center"/>
          </w:tcPr>
          <w:p>
            <w:r/>
            <w:r>
              <w:rPr>
                <w:b w:val="0"/>
                <w:sz w:val="14"/>
              </w:rPr>
              <w:t>Local specialist policy decides implementation.</w:t>
            </w:r>
          </w:p>
        </w:tc>
      </w:tr>
      <w:tr>
        <w:tc>
          <w:tcPr>
            <w:tcW w:type="dxa" w:w="2520"/>
            <w:vAlign w:val="center"/>
          </w:tcPr>
          <w:p>
            <w:r/>
            <w:r>
              <w:rPr>
                <w:b w:val="0"/>
                <w:sz w:val="14"/>
              </w:rPr>
              <w:t>Current instability or concerning pain/bleeding requires direct emergency assessment</w:t>
            </w:r>
          </w:p>
        </w:tc>
        <w:tc>
          <w:tcPr>
            <w:tcW w:type="dxa" w:w="2520"/>
            <w:vAlign w:val="center"/>
          </w:tcPr>
          <w:p>
            <w:r/>
            <w:r>
              <w:rPr>
                <w:b w:val="0"/>
                <w:sz w:val="14"/>
              </w:rPr>
              <w:t>NICE NG126</w:t>
            </w:r>
          </w:p>
        </w:tc>
        <w:tc>
          <w:tcPr>
            <w:tcW w:type="dxa" w:w="2520"/>
            <w:vAlign w:val="center"/>
          </w:tcPr>
          <w:p>
            <w:r/>
            <w:r>
              <w:rPr>
                <w:b w:val="0"/>
                <w:sz w:val="14"/>
              </w:rPr>
              <w:t>Emergency override</w:t>
            </w:r>
          </w:p>
        </w:tc>
        <w:tc>
          <w:tcPr>
            <w:tcW w:type="dxa" w:w="2520"/>
            <w:vAlign w:val="center"/>
          </w:tcPr>
          <w:p>
            <w:r/>
            <w:r>
              <w:rPr>
                <w:b w:val="0"/>
                <w:sz w:val="14"/>
              </w:rPr>
              <w:t>Adapt destination and transfer protocol locally.</w:t>
            </w:r>
          </w:p>
        </w:tc>
      </w:tr>
      <w:tr>
        <w:tc>
          <w:tcPr>
            <w:tcW w:type="dxa" w:w="2520"/>
            <w:vAlign w:val="center"/>
          </w:tcPr>
          <w:p>
            <w:r/>
            <w:r>
              <w:rPr>
                <w:b w:val="0"/>
                <w:sz w:val="14"/>
              </w:rPr>
              <w:t>Progesterone recommendation applies only to scan-confirmed intrauterine pregnancy, bleeding, and prior miscarriage</w:t>
            </w:r>
          </w:p>
        </w:tc>
        <w:tc>
          <w:tcPr>
            <w:tcW w:type="dxa" w:w="2520"/>
            <w:vAlign w:val="center"/>
          </w:tcPr>
          <w:p>
            <w:r/>
            <w:r>
              <w:rPr>
                <w:b w:val="0"/>
                <w:sz w:val="14"/>
              </w:rPr>
              <w:t>NICE NG126</w:t>
            </w:r>
          </w:p>
        </w:tc>
        <w:tc>
          <w:tcPr>
            <w:tcW w:type="dxa" w:w="2520"/>
            <w:vAlign w:val="center"/>
          </w:tcPr>
          <w:p>
            <w:r/>
            <w:r>
              <w:rPr>
                <w:b w:val="0"/>
                <w:sz w:val="14"/>
              </w:rPr>
              <w:t>Clinician review prompt only</w:t>
            </w:r>
          </w:p>
        </w:tc>
        <w:tc>
          <w:tcPr>
            <w:tcW w:type="dxa" w:w="2520"/>
            <w:vAlign w:val="center"/>
          </w:tcPr>
          <w:p>
            <w:r/>
            <w:r>
              <w:rPr>
                <w:b w:val="0"/>
                <w:sz w:val="14"/>
              </w:rPr>
              <w:t>No autonomous prescribing.</w:t>
            </w:r>
          </w:p>
        </w:tc>
      </w:tr>
      <w:tr>
        <w:tc>
          <w:tcPr>
            <w:tcW w:type="dxa" w:w="2520"/>
            <w:vAlign w:val="center"/>
          </w:tcPr>
          <w:p>
            <w:r/>
            <w:r>
              <w:rPr>
                <w:b w:val="0"/>
                <w:sz w:val="14"/>
              </w:rPr>
              <w:t>RPL work-up should be selective; APS, thyroid, and uterine assessment are supported, many broad tests are not routine</w:t>
            </w:r>
          </w:p>
        </w:tc>
        <w:tc>
          <w:tcPr>
            <w:tcW w:type="dxa" w:w="2520"/>
            <w:vAlign w:val="center"/>
          </w:tcPr>
          <w:p>
            <w:r/>
            <w:r>
              <w:rPr>
                <w:b w:val="0"/>
                <w:sz w:val="14"/>
              </w:rPr>
              <w:t>ESHRE 2023</w:t>
            </w:r>
          </w:p>
        </w:tc>
        <w:tc>
          <w:tcPr>
            <w:tcW w:type="dxa" w:w="2520"/>
            <w:vAlign w:val="center"/>
          </w:tcPr>
          <w:p>
            <w:r/>
            <w:r>
              <w:rPr>
                <w:b w:val="0"/>
                <w:sz w:val="14"/>
              </w:rPr>
              <w:t>Specialist evaluation checklist</w:t>
            </w:r>
          </w:p>
        </w:tc>
        <w:tc>
          <w:tcPr>
            <w:tcW w:type="dxa" w:w="2520"/>
            <w:vAlign w:val="center"/>
          </w:tcPr>
          <w:p>
            <w:r/>
            <w:r>
              <w:rPr>
                <w:b w:val="0"/>
                <w:sz w:val="14"/>
              </w:rPr>
              <w:t>Not all tests are available or appropriate locally.</w:t>
            </w:r>
          </w:p>
        </w:tc>
      </w:tr>
      <w:tr>
        <w:tc>
          <w:tcPr>
            <w:tcW w:type="dxa" w:w="2520"/>
            <w:vAlign w:val="center"/>
          </w:tcPr>
          <w:p>
            <w:r/>
            <w:r>
              <w:rPr>
                <w:b w:val="0"/>
                <w:sz w:val="14"/>
              </w:rPr>
              <w:t>Respectful, non-judgmental, person-centred care and competent service delivery</w:t>
            </w:r>
          </w:p>
        </w:tc>
        <w:tc>
          <w:tcPr>
            <w:tcW w:type="dxa" w:w="2520"/>
            <w:vAlign w:val="center"/>
          </w:tcPr>
          <w:p>
            <w:r/>
            <w:r>
              <w:rPr>
                <w:b w:val="0"/>
                <w:sz w:val="14"/>
              </w:rPr>
              <w:t>WHO abortion-care and maternal-health guidance</w:t>
            </w:r>
          </w:p>
        </w:tc>
        <w:tc>
          <w:tcPr>
            <w:tcW w:type="dxa" w:w="2520"/>
            <w:vAlign w:val="center"/>
          </w:tcPr>
          <w:p>
            <w:r/>
            <w:r>
              <w:rPr>
                <w:b w:val="0"/>
                <w:sz w:val="14"/>
              </w:rPr>
              <w:t>Communication and governance requirements</w:t>
            </w:r>
          </w:p>
        </w:tc>
        <w:tc>
          <w:tcPr>
            <w:tcW w:type="dxa" w:w="2520"/>
            <w:vAlign w:val="center"/>
          </w:tcPr>
          <w:p>
            <w:r/>
            <w:r>
              <w:rPr>
                <w:b w:val="0"/>
                <w:sz w:val="14"/>
              </w:rPr>
              <w:t>Legal/service context must be localised.</w:t>
            </w:r>
          </w:p>
        </w:tc>
      </w:tr>
    </w:tbl>
    <w:p>
      <w:pPr>
        <w:pStyle w:val="Heading1"/>
      </w:pPr>
      <w:r>
        <w:t>References</w:t>
      </w:r>
    </w:p>
    <w:p>
      <w:r>
        <w:t>1. American College of Obstetricians and Gynecologists. Repeated Miscarriages. ACOG Women’s Health FAQ. Accessed 19 July 2026.</w:t>
      </w:r>
    </w:p>
    <w:p>
      <w:r>
        <w:t>2. American College of Obstetricians and Gynecologists. Early Pregnancy Loss. ACOG Women’s Health FAQ. Accessed 19 July 2026.</w:t>
      </w:r>
    </w:p>
    <w:p>
      <w:r>
        <w:t>3. European Society of Human Reproduction and Embryology. Recurrent Pregnancy Loss: Guideline of the European Society of Human Reproduction and Embryology. Update 2022; issued February 2023.</w:t>
      </w:r>
    </w:p>
    <w:p>
      <w:r>
        <w:t>4. National Institute for Health and Care Excellence. Ectopic pregnancy and miscarriage: diagnosis and initial management. NICE Guideline NG126. Published 2019; updated 17 June 2026.</w:t>
      </w:r>
    </w:p>
    <w:p>
      <w:r>
        <w:t>5. Royal College of Obstetricians and Gynaecologists. Recurrent Miscarriage. Green-top Guideline No. 17. Fourth edition. Published 19 June 2023.</w:t>
      </w:r>
    </w:p>
    <w:p>
      <w:r>
        <w:t>6. World Health Organization. Abortion care guideline. 2nd ed. Geneva: WHO; 2025.</w:t>
      </w:r>
    </w:p>
    <w:p>
      <w:r>
        <w:t>7. World Health Organization. WHO recommendations on maternal health: guidelines approved by the WHO Guidelines Review Committee. 2nd ed. Geneva: WHO; 2025.</w:t>
      </w:r>
    </w:p>
    <w:p>
      <w:r>
        <w:t>8. World Health Organization. Pregnancy, childbirth, postpartum and newborn care: a guide for essential practice. 3rd ed. Geneva: WHO; 2015.</w:t>
      </w:r>
    </w:p>
    <w:p>
      <w:r>
        <w:t>9. Philippine Health Insurance Corporation. Maternity and maternal-care benefit information and coordinated-referral benefit descriptions. Accessed 19 July 2026.</w:t>
      </w:r>
    </w:p>
    <w:p>
      <w:r>
        <w:t>10. Republic of the Philippines. Republic Act No. 7392 (Philippine Midwifery Act of 1992), as applicable to professional scope and referral responsibilities.</w:t>
      </w:r>
    </w:p>
    <w:p>
      <w:r>
        <w:t>11. Republic of the Philippines. Republic Act No. 11148 (Kalusugan at Nutrisyon ng Mag-Nanay Act), as applicable to maternal and newborn health-system context.</w:t>
      </w:r>
    </w:p>
    <w:p>
      <w:pPr>
        <w:pStyle w:val="Heading1"/>
      </w:pPr>
      <w:r>
        <w:t>Appendix A. Minimum Test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color w:val="FFFFFF"/>
              </w:rPr>
            </w:r>
            <w:r>
              <w:rPr>
                <w:b/>
                <w:sz w:val="16"/>
              </w:rPr>
              <w:t>ID</w:t>
            </w:r>
          </w:p>
        </w:tc>
        <w:tc>
          <w:tcPr>
            <w:tcW w:type="dxa" w:w="3360"/>
            <w:vAlign w:val="center"/>
            <w:shd w:fill="1F4E79"/>
          </w:tcPr>
          <w:p>
            <w:r>
              <w:rPr>
                <w:color w:val="FFFFFF"/>
              </w:rPr>
            </w:r>
            <w:r>
              <w:rPr>
                <w:b/>
                <w:sz w:val="16"/>
              </w:rPr>
              <w:t>Scenario</w:t>
            </w:r>
          </w:p>
        </w:tc>
        <w:tc>
          <w:tcPr>
            <w:tcW w:type="dxa" w:w="3360"/>
            <w:vAlign w:val="center"/>
            <w:shd w:fill="1F4E79"/>
          </w:tcPr>
          <w:p>
            <w:r>
              <w:rPr>
                <w:color w:val="FFFFFF"/>
              </w:rPr>
            </w:r>
            <w:r>
              <w:rPr>
                <w:b/>
                <w:sz w:val="16"/>
              </w:rPr>
              <w:t>Expected CDSS result</w:t>
            </w:r>
          </w:p>
        </w:tc>
      </w:tr>
      <w:tr>
        <w:tc>
          <w:tcPr>
            <w:tcW w:type="dxa" w:w="3360"/>
            <w:vAlign w:val="center"/>
          </w:tcPr>
          <w:p>
            <w:r/>
            <w:r>
              <w:rPr>
                <w:b w:val="0"/>
                <w:sz w:val="14"/>
              </w:rPr>
              <w:t>A1</w:t>
            </w:r>
          </w:p>
        </w:tc>
        <w:tc>
          <w:tcPr>
            <w:tcW w:type="dxa" w:w="3360"/>
            <w:vAlign w:val="center"/>
          </w:tcPr>
          <w:p>
            <w:r/>
            <w:r>
              <w:rPr>
                <w:b w:val="0"/>
                <w:sz w:val="14"/>
              </w:rPr>
              <w:t>One early miscarriage, asymptomatic, complete records</w:t>
            </w:r>
          </w:p>
        </w:tc>
        <w:tc>
          <w:tcPr>
            <w:tcW w:type="dxa" w:w="3360"/>
            <w:vAlign w:val="center"/>
          </w:tcPr>
          <w:p>
            <w:r/>
            <w:r>
              <w:rPr>
                <w:b w:val="0"/>
                <w:sz w:val="14"/>
              </w:rPr>
              <w:t>Contextual history; no automatic HIGH.</w:t>
            </w:r>
          </w:p>
        </w:tc>
      </w:tr>
      <w:tr>
        <w:tc>
          <w:tcPr>
            <w:tcW w:type="dxa" w:w="3360"/>
            <w:vAlign w:val="center"/>
          </w:tcPr>
          <w:p>
            <w:r/>
            <w:r>
              <w:rPr>
                <w:b w:val="0"/>
                <w:sz w:val="14"/>
              </w:rPr>
              <w:t>A2</w:t>
            </w:r>
          </w:p>
        </w:tc>
        <w:tc>
          <w:tcPr>
            <w:tcW w:type="dxa" w:w="3360"/>
            <w:vAlign w:val="center"/>
          </w:tcPr>
          <w:p>
            <w:r/>
            <w:r>
              <w:rPr>
                <w:b w:val="0"/>
                <w:sz w:val="14"/>
              </w:rPr>
              <w:t>Two early miscarriages, no current symptoms</w:t>
            </w:r>
          </w:p>
        </w:tc>
        <w:tc>
          <w:tcPr>
            <w:tcW w:type="dxa" w:w="3360"/>
            <w:vAlign w:val="center"/>
          </w:tcPr>
          <w:p>
            <w:r/>
            <w:r>
              <w:rPr>
                <w:b w:val="0"/>
                <w:sz w:val="14"/>
              </w:rPr>
              <w:t>Clinician review; show definition-source disagreement.</w:t>
            </w:r>
          </w:p>
        </w:tc>
      </w:tr>
      <w:tr>
        <w:tc>
          <w:tcPr>
            <w:tcW w:type="dxa" w:w="3360"/>
            <w:vAlign w:val="center"/>
          </w:tcPr>
          <w:p>
            <w:r/>
            <w:r>
              <w:rPr>
                <w:b w:val="0"/>
                <w:sz w:val="14"/>
              </w:rPr>
              <w:t>A3</w:t>
            </w:r>
          </w:p>
        </w:tc>
        <w:tc>
          <w:tcPr>
            <w:tcW w:type="dxa" w:w="3360"/>
            <w:vAlign w:val="center"/>
          </w:tcPr>
          <w:p>
            <w:r/>
            <w:r>
              <w:rPr>
                <w:b w:val="0"/>
                <w:sz w:val="14"/>
              </w:rPr>
              <w:t>Three first-trimester miscarriages</w:t>
            </w:r>
          </w:p>
        </w:tc>
        <w:tc>
          <w:tcPr>
            <w:tcW w:type="dxa" w:w="3360"/>
            <w:vAlign w:val="center"/>
          </w:tcPr>
          <w:p>
            <w:r/>
            <w:r>
              <w:rPr>
                <w:b w:val="0"/>
                <w:sz w:val="14"/>
              </w:rPr>
              <w:t>Recurrent-loss pathway; verify specialist evaluation.</w:t>
            </w:r>
          </w:p>
        </w:tc>
      </w:tr>
      <w:tr>
        <w:tc>
          <w:tcPr>
            <w:tcW w:type="dxa" w:w="3360"/>
            <w:vAlign w:val="center"/>
          </w:tcPr>
          <w:p>
            <w:r/>
            <w:r>
              <w:rPr>
                <w:b w:val="0"/>
                <w:sz w:val="14"/>
              </w:rPr>
              <w:t>A4</w:t>
            </w:r>
          </w:p>
        </w:tc>
        <w:tc>
          <w:tcPr>
            <w:tcW w:type="dxa" w:w="3360"/>
            <w:vAlign w:val="center"/>
          </w:tcPr>
          <w:p>
            <w:r/>
            <w:r>
              <w:rPr>
                <w:b w:val="0"/>
                <w:sz w:val="14"/>
              </w:rPr>
              <w:t>One second-trimester loss</w:t>
            </w:r>
          </w:p>
        </w:tc>
        <w:tc>
          <w:tcPr>
            <w:tcW w:type="dxa" w:w="3360"/>
            <w:vAlign w:val="center"/>
          </w:tcPr>
          <w:p>
            <w:r/>
            <w:r>
              <w:rPr>
                <w:b w:val="0"/>
                <w:sz w:val="14"/>
              </w:rPr>
              <w:t>Specialist obstetric review regardless of low numeric count.</w:t>
            </w:r>
          </w:p>
        </w:tc>
      </w:tr>
      <w:tr>
        <w:tc>
          <w:tcPr>
            <w:tcW w:type="dxa" w:w="3360"/>
            <w:vAlign w:val="center"/>
          </w:tcPr>
          <w:p>
            <w:r/>
            <w:r>
              <w:rPr>
                <w:b w:val="0"/>
                <w:sz w:val="14"/>
              </w:rPr>
              <w:t>A5</w:t>
            </w:r>
          </w:p>
        </w:tc>
        <w:tc>
          <w:tcPr>
            <w:tcW w:type="dxa" w:w="3360"/>
            <w:vAlign w:val="center"/>
          </w:tcPr>
          <w:p>
            <w:r/>
            <w:r>
              <w:rPr>
                <w:b w:val="0"/>
                <w:sz w:val="14"/>
              </w:rPr>
              <w:t>Previous ectopic; current unilateral pain and bleeding</w:t>
            </w:r>
          </w:p>
        </w:tc>
        <w:tc>
          <w:tcPr>
            <w:tcW w:type="dxa" w:w="3360"/>
            <w:vAlign w:val="center"/>
          </w:tcPr>
          <w:p>
            <w:r/>
            <w:r>
              <w:rPr>
                <w:b w:val="0"/>
                <w:sz w:val="14"/>
              </w:rPr>
              <w:t>Emergency override; urgent assessment.</w:t>
            </w:r>
          </w:p>
        </w:tc>
      </w:tr>
      <w:tr>
        <w:tc>
          <w:tcPr>
            <w:tcW w:type="dxa" w:w="3360"/>
            <w:vAlign w:val="center"/>
          </w:tcPr>
          <w:p>
            <w:r/>
            <w:r>
              <w:rPr>
                <w:b w:val="0"/>
                <w:sz w:val="14"/>
              </w:rPr>
              <w:t>A6</w:t>
            </w:r>
          </w:p>
        </w:tc>
        <w:tc>
          <w:tcPr>
            <w:tcW w:type="dxa" w:w="3360"/>
            <w:vAlign w:val="center"/>
          </w:tcPr>
          <w:p>
            <w:r/>
            <w:r>
              <w:rPr>
                <w:b w:val="0"/>
                <w:sz w:val="14"/>
              </w:rPr>
              <w:t>Previous miscarriage; current bleeding; intrauterine pregnancy not yet confirmed</w:t>
            </w:r>
          </w:p>
        </w:tc>
        <w:tc>
          <w:tcPr>
            <w:tcW w:type="dxa" w:w="3360"/>
            <w:vAlign w:val="center"/>
          </w:tcPr>
          <w:p>
            <w:r/>
            <w:r>
              <w:rPr>
                <w:b w:val="0"/>
                <w:sz w:val="14"/>
              </w:rPr>
              <w:t>Urgent assessment/localisation; no progesterone prompt yet.</w:t>
            </w:r>
          </w:p>
        </w:tc>
      </w:tr>
      <w:tr>
        <w:tc>
          <w:tcPr>
            <w:tcW w:type="dxa" w:w="3360"/>
            <w:vAlign w:val="center"/>
          </w:tcPr>
          <w:p>
            <w:r/>
            <w:r>
              <w:rPr>
                <w:b w:val="0"/>
                <w:sz w:val="14"/>
              </w:rPr>
              <w:t>A7</w:t>
            </w:r>
          </w:p>
        </w:tc>
        <w:tc>
          <w:tcPr>
            <w:tcW w:type="dxa" w:w="3360"/>
            <w:vAlign w:val="center"/>
          </w:tcPr>
          <w:p>
            <w:r/>
            <w:r>
              <w:rPr>
                <w:b w:val="0"/>
                <w:sz w:val="14"/>
              </w:rPr>
              <w:t>Scan-confirmed intrauterine pregnancy, bleeding, prior miscarriage</w:t>
            </w:r>
          </w:p>
        </w:tc>
        <w:tc>
          <w:tcPr>
            <w:tcW w:type="dxa" w:w="3360"/>
            <w:vAlign w:val="center"/>
          </w:tcPr>
          <w:p>
            <w:r/>
            <w:r>
              <w:rPr>
                <w:b w:val="0"/>
                <w:sz w:val="14"/>
              </w:rPr>
              <w:t>Qualified-clinician review prompt referencing NICE; no prescription.</w:t>
            </w:r>
          </w:p>
        </w:tc>
      </w:tr>
      <w:tr>
        <w:tc>
          <w:tcPr>
            <w:tcW w:type="dxa" w:w="3360"/>
            <w:vAlign w:val="center"/>
          </w:tcPr>
          <w:p>
            <w:r/>
            <w:r>
              <w:rPr>
                <w:b w:val="0"/>
                <w:sz w:val="14"/>
              </w:rPr>
              <w:t>A8</w:t>
            </w:r>
          </w:p>
        </w:tc>
        <w:tc>
          <w:tcPr>
            <w:tcW w:type="dxa" w:w="3360"/>
            <w:vAlign w:val="center"/>
          </w:tcPr>
          <w:p>
            <w:r/>
            <w:r>
              <w:rPr>
                <w:b w:val="0"/>
                <w:sz w:val="14"/>
              </w:rPr>
              <w:t>Miscarriage_count blank</w:t>
            </w:r>
          </w:p>
        </w:tc>
        <w:tc>
          <w:tcPr>
            <w:tcW w:type="dxa" w:w="3360"/>
            <w:vAlign w:val="center"/>
          </w:tcPr>
          <w:p>
            <w:r/>
            <w:r>
              <w:rPr>
                <w:b w:val="0"/>
                <w:sz w:val="14"/>
              </w:rPr>
              <w:t>Assessment incomplete, not zero.</w:t>
            </w:r>
          </w:p>
        </w:tc>
      </w:tr>
      <w:tr>
        <w:tc>
          <w:tcPr>
            <w:tcW w:type="dxa" w:w="3360"/>
            <w:vAlign w:val="center"/>
          </w:tcPr>
          <w:p>
            <w:r/>
            <w:r>
              <w:rPr>
                <w:b w:val="0"/>
                <w:sz w:val="14"/>
              </w:rPr>
              <w:t>A9</w:t>
            </w:r>
          </w:p>
        </w:tc>
        <w:tc>
          <w:tcPr>
            <w:tcW w:type="dxa" w:w="3360"/>
            <w:vAlign w:val="center"/>
          </w:tcPr>
          <w:p>
            <w:r/>
            <w:r>
              <w:rPr>
                <w:b w:val="0"/>
                <w:sz w:val="14"/>
              </w:rPr>
              <w:t>Patient says “miscarriage” but record says ectopic</w:t>
            </w:r>
          </w:p>
        </w:tc>
        <w:tc>
          <w:tcPr>
            <w:tcW w:type="dxa" w:w="3360"/>
            <w:vAlign w:val="center"/>
          </w:tcPr>
          <w:p>
            <w:r/>
            <w:r>
              <w:rPr>
                <w:b w:val="0"/>
                <w:sz w:val="14"/>
              </w:rPr>
              <w:t>Conflict requiring verification; exclude from RPL count until resolved.</w:t>
            </w:r>
          </w:p>
        </w:tc>
      </w:tr>
      <w:tr>
        <w:tc>
          <w:tcPr>
            <w:tcW w:type="dxa" w:w="3360"/>
            <w:vAlign w:val="center"/>
          </w:tcPr>
          <w:p>
            <w:r/>
            <w:r>
              <w:rPr>
                <w:b w:val="0"/>
                <w:sz w:val="14"/>
              </w:rPr>
              <w:t>A10</w:t>
            </w:r>
          </w:p>
        </w:tc>
        <w:tc>
          <w:tcPr>
            <w:tcW w:type="dxa" w:w="3360"/>
            <w:vAlign w:val="center"/>
          </w:tcPr>
          <w:p>
            <w:r/>
            <w:r>
              <w:rPr>
                <w:b w:val="0"/>
                <w:sz w:val="14"/>
              </w:rPr>
              <w:t>Known APS with documented specialist plan</w:t>
            </w:r>
          </w:p>
        </w:tc>
        <w:tc>
          <w:tcPr>
            <w:tcW w:type="dxa" w:w="3360"/>
            <w:vAlign w:val="center"/>
          </w:tcPr>
          <w:p>
            <w:r/>
            <w:r>
              <w:rPr>
                <w:b w:val="0"/>
                <w:sz w:val="14"/>
              </w:rPr>
              <w:t>Display cause-specific plan; no independent medication change.</w:t>
            </w:r>
          </w:p>
        </w:tc>
      </w:tr>
      <w:tr>
        <w:tc>
          <w:tcPr>
            <w:tcW w:type="dxa" w:w="3360"/>
            <w:vAlign w:val="center"/>
          </w:tcPr>
          <w:p>
            <w:r/>
            <w:r>
              <w:rPr>
                <w:b w:val="0"/>
                <w:sz w:val="14"/>
              </w:rPr>
              <w:t>A11</w:t>
            </w:r>
          </w:p>
        </w:tc>
        <w:tc>
          <w:tcPr>
            <w:tcW w:type="dxa" w:w="3360"/>
            <w:vAlign w:val="center"/>
          </w:tcPr>
          <w:p>
            <w:r/>
            <w:r>
              <w:rPr>
                <w:b w:val="0"/>
                <w:sz w:val="14"/>
              </w:rPr>
              <w:t>Prior stillbirth with current reduced fetal movement</w:t>
            </w:r>
          </w:p>
        </w:tc>
        <w:tc>
          <w:tcPr>
            <w:tcW w:type="dxa" w:w="3360"/>
            <w:vAlign w:val="center"/>
          </w:tcPr>
          <w:p>
            <w:r/>
            <w:r>
              <w:rPr>
                <w:b w:val="0"/>
                <w:sz w:val="14"/>
              </w:rPr>
              <w:t>Urgent fetal-movement pathway, not generic history scoring.</w:t>
            </w:r>
          </w:p>
        </w:tc>
      </w:tr>
      <w:tr>
        <w:tc>
          <w:tcPr>
            <w:tcW w:type="dxa" w:w="3360"/>
            <w:vAlign w:val="center"/>
          </w:tcPr>
          <w:p>
            <w:r/>
            <w:r>
              <w:rPr>
                <w:b w:val="0"/>
                <w:sz w:val="14"/>
              </w:rPr>
              <w:t>A12</w:t>
            </w:r>
          </w:p>
        </w:tc>
        <w:tc>
          <w:tcPr>
            <w:tcW w:type="dxa" w:w="3360"/>
            <w:vAlign w:val="center"/>
          </w:tcPr>
          <w:p>
            <w:r/>
            <w:r>
              <w:rPr>
                <w:b w:val="0"/>
                <w:sz w:val="14"/>
              </w:rPr>
              <w:t>Heavy bleeding, syncope, fever</w:t>
            </w:r>
          </w:p>
        </w:tc>
        <w:tc>
          <w:tcPr>
            <w:tcW w:type="dxa" w:w="3360"/>
            <w:vAlign w:val="center"/>
          </w:tcPr>
          <w:p>
            <w:r/>
            <w:r>
              <w:rPr>
                <w:b w:val="0"/>
                <w:sz w:val="14"/>
              </w:rPr>
              <w:t>Emergency transfer before history completion.</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Clinical Knowledge Base | Part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Clinical Knowledge Base Part 6 - Miscarriage and Adverse Obstetric History</dc:title>
  <dc:subject>Evidence-based CDSS knowledge base for a Philippine lying-in clinic</dc:subject>
  <dc:creator>Capstone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