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28"/>
        </w:rPr>
        <w:t>DOCUMENT 1</w:t>
      </w:r>
    </w:p>
    <w:p>
      <w:pPr>
        <w:jc w:val="center"/>
      </w:pPr>
      <w:r>
        <w:rPr>
          <w:b/>
          <w:color w:val="17365D"/>
          <w:sz w:val="48"/>
        </w:rPr>
        <w:t>CLINICAL KNOWLEDGE BASE</w:t>
      </w:r>
    </w:p>
    <w:p>
      <w:pPr>
        <w:spacing w:before="360"/>
        <w:jc w:val="center"/>
      </w:pPr>
      <w:r>
        <w:rPr>
          <w:b/>
          <w:color w:val="1F4E79"/>
          <w:sz w:val="36"/>
        </w:rPr>
        <w:t>Part 7</w:t>
      </w:r>
    </w:p>
    <w:p>
      <w:pPr>
        <w:jc w:val="center"/>
      </w:pPr>
      <w:r>
        <w:rPr>
          <w:b/>
          <w:color w:val="17365D"/>
          <w:sz w:val="54"/>
        </w:rPr>
        <w:t>Gravida, Para, and First Pregnancy</w:t>
      </w:r>
    </w:p>
    <w:p>
      <w:pPr>
        <w:spacing w:before="360"/>
        <w:jc w:val="center"/>
      </w:pPr>
      <w:r>
        <w:rPr>
          <w:i/>
        </w:rPr>
        <w:t>Evidence synthesis and CDSS translation for a Philippine lying-in maternity management system</w:t>
      </w:r>
    </w:p>
    <w:p>
      <w:pPr>
        <w:spacing w:before="800"/>
        <w:jc w:val="center"/>
      </w:pPr>
      <w:r>
        <w:rPr>
          <w:b/>
          <w:color w:val="1F4E79"/>
        </w:rPr>
        <w:t>Purpose</w:t>
      </w:r>
    </w:p>
    <w:p>
      <w:pPr>
        <w:ind w:left="1152" w:right="1152"/>
        <w:jc w:val="center"/>
      </w:pPr>
      <w:r>
        <w:t>To determine how gravidity, parity, nulliparity, grand multiparity, pregnancy spacing, and prior pregnancy outcomes should be represented and used in an explainable clinical decision support system without turning reproductive history into an unsupported diagnosis or automatic mode-of-birth decision.</w:t>
      </w:r>
    </w:p>
    <w:p>
      <w:pPr>
        <w:spacing w:before="1200"/>
        <w:jc w:val="center"/>
      </w:pPr>
      <w:r>
        <w:rPr>
          <w:b/>
          <w:color w:val="B43C2D"/>
        </w:rPr>
        <w:t>Clinical safety statement</w:t>
      </w:r>
    </w:p>
    <w:p>
      <w:pPr>
        <w:ind w:left="1008" w:right="1008"/>
        <w:jc w:val="center"/>
      </w:pPr>
      <w:r>
        <w:t>This document supports structured assessment, documentation, escalation, and referral. It does not diagnose, prescribe, determine eligibility for home or lying-in birth, or replace professional judgment and local policy.</w:t>
      </w:r>
    </w:p>
    <w:p>
      <w:r>
        <w:br w:type="page"/>
      </w:r>
    </w:p>
    <w:p>
      <w:pPr>
        <w:pStyle w:val="Heading1"/>
      </w:pPr>
      <w:r>
        <w:t>1. Executive Clinical Decision</w:t>
      </w:r>
    </w:p>
    <w:tbl>
      <w:tblPr>
        <w:tblW w:type="auto" w:w="0"/>
        <w:jc w:val="center"/>
        <w:tblLook w:firstColumn="1" w:firstRow="1" w:lastColumn="0" w:lastRow="0" w:noHBand="0" w:noVBand="1" w:val="04A0"/>
      </w:tblPr>
      <w:tblGrid>
        <w:gridCol w:w="10080"/>
      </w:tblGrid>
      <w:tr>
        <w:tc>
          <w:tcPr>
            <w:tcW w:type="dxa" w:w="10080"/>
            <w:shd w:fill="D9EAF7"/>
            <w:tcMar>
              <w:top w:w="120" w:type="dxa"/>
              <w:start w:w="140" w:type="dxa"/>
              <w:bottom w:w="120" w:type="dxa"/>
              <w:end w:w="140" w:type="dxa"/>
            </w:tcMar>
          </w:tcPr>
          <w:p>
            <w:r>
              <w:rPr>
                <w:b/>
                <w:color w:val="17365D"/>
              </w:rPr>
              <w:t xml:space="preserve">Core decision: </w:t>
            </w:r>
            <w:r>
              <w:t>Gravida and para are foundational descriptors of obstetric history, not standalone diagnoses. Nulliparity or grand multiparity alone should not automatically produce HIGH risk. The CDSS should use parity as context, change care scheduling or education where supported, and combine it with current findings, previous outcomes, age, interval, and facility capability.</w:t>
            </w:r>
          </w:p>
        </w:tc>
      </w:tr>
    </w:tbl>
    <w:p>
      <w:pPr>
        <w:spacing w:after="20"/>
      </w:pPr>
    </w:p>
    <w:p>
      <w:r>
        <w:t>The existing approach of treating “first pregnancy” or a high pregnancy count as a direct risk category is too blunt for a research-grade CDSS. The evidence supports a layered model:</w:t>
      </w:r>
    </w:p>
    <w:p>
      <w:pPr>
        <w:pStyle w:val="ListBullet"/>
      </w:pPr>
      <w:r>
        <w:t>Record gravidity and parity accurately and transparently.</w:t>
      </w:r>
    </w:p>
    <w:p>
      <w:pPr>
        <w:pStyle w:val="ListBullet"/>
      </w:pPr>
      <w:r>
        <w:t>Identify whether the current pregnancy is the first pregnancy, the first pregnancy reaching viability, or a pregnancy after previous losses.</w:t>
      </w:r>
    </w:p>
    <w:p>
      <w:pPr>
        <w:pStyle w:val="ListBullet"/>
      </w:pPr>
      <w:r>
        <w:t>Treat nulliparity as a contextual factor for selected conditions and care needs, not as an automatic high-risk label.</w:t>
      </w:r>
    </w:p>
    <w:p>
      <w:pPr>
        <w:pStyle w:val="ListBullet"/>
      </w:pPr>
      <w:r>
        <w:t>Treat grand multiparity as a prompt for review of age, anaemia, prior haemorrhage, placental history, medical conditions, and current findings.</w:t>
      </w:r>
    </w:p>
    <w:p>
      <w:pPr>
        <w:pStyle w:val="ListBullet"/>
      </w:pPr>
      <w:r>
        <w:t>Calculate interpregnancy interval from dated outcomes rather than asking staff to select “short” or “long” manually.</w:t>
      </w:r>
    </w:p>
    <w:p>
      <w:pPr>
        <w:pStyle w:val="ListBullet"/>
      </w:pPr>
      <w:r>
        <w:t>Let specific current danger signs and previous adverse outcomes drive escalation; parity alone must not bypass clinical assessment.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F4E78"/>
            <w:tcMar>
              <w:top w:w="60" w:type="dxa"/>
              <w:start w:w="80" w:type="dxa"/>
              <w:bottom w:w="60" w:type="dxa"/>
              <w:end w:w="80" w:type="dxa"/>
            </w:tcMar>
          </w:tcPr>
          <w:p>
            <w:r>
              <w:rPr>
                <w:b/>
                <w:color w:val="FFFFFF"/>
                <w:sz w:val="16"/>
              </w:rPr>
              <w:t>Item</w:t>
            </w:r>
          </w:p>
        </w:tc>
        <w:tc>
          <w:tcPr>
            <w:tcW w:type="dxa" w:w="2880"/>
            <w:shd w:fill="1F4E78"/>
            <w:tcMar>
              <w:top w:w="60" w:type="dxa"/>
              <w:start w:w="80" w:type="dxa"/>
              <w:bottom w:w="60" w:type="dxa"/>
              <w:end w:w="80" w:type="dxa"/>
            </w:tcMar>
          </w:tcPr>
          <w:p>
            <w:r>
              <w:rPr>
                <w:b/>
                <w:color w:val="FFFFFF"/>
                <w:sz w:val="16"/>
              </w:rPr>
              <w:t>Decision for CDSS</w:t>
            </w:r>
          </w:p>
        </w:tc>
        <w:tc>
          <w:tcPr>
            <w:tcW w:type="dxa" w:w="5328"/>
            <w:shd w:fill="1F4E78"/>
            <w:tcMar>
              <w:top w:w="60" w:type="dxa"/>
              <w:start w:w="80" w:type="dxa"/>
              <w:bottom w:w="60" w:type="dxa"/>
              <w:end w:w="80" w:type="dxa"/>
            </w:tcMar>
          </w:tcPr>
          <w:p>
            <w:r>
              <w:rPr>
                <w:b/>
                <w:color w:val="FFFFFF"/>
                <w:sz w:val="16"/>
              </w:rPr>
              <w:t>Rationale</w:t>
            </w:r>
          </w:p>
        </w:tc>
      </w:tr>
      <w:tr>
        <w:tc>
          <w:tcPr>
            <w:tcW w:type="dxa" w:w="1872"/>
            <w:tcMar>
              <w:top w:w="60" w:type="dxa"/>
              <w:start w:w="80" w:type="dxa"/>
              <w:bottom w:w="60" w:type="dxa"/>
              <w:end w:w="80" w:type="dxa"/>
            </w:tcMar>
            <w:vAlign w:val="center"/>
          </w:tcPr>
          <w:p>
            <w:pPr>
              <w:spacing w:after="0" w:line="240" w:lineRule="auto"/>
            </w:pPr>
            <w:r>
              <w:rPr>
                <w:sz w:val="16"/>
              </w:rPr>
              <w:t>Gravida</w:t>
            </w:r>
          </w:p>
        </w:tc>
        <w:tc>
          <w:tcPr>
            <w:tcW w:type="dxa" w:w="2880"/>
            <w:tcMar>
              <w:top w:w="60" w:type="dxa"/>
              <w:start w:w="80" w:type="dxa"/>
              <w:bottom w:w="60" w:type="dxa"/>
              <w:end w:w="80" w:type="dxa"/>
            </w:tcMar>
            <w:vAlign w:val="center"/>
          </w:tcPr>
          <w:p>
            <w:pPr>
              <w:spacing w:after="0" w:line="240" w:lineRule="auto"/>
            </w:pPr>
            <w:r>
              <w:rPr>
                <w:sz w:val="16"/>
              </w:rPr>
              <w:t>Required structured descriptor</w:t>
            </w:r>
          </w:p>
        </w:tc>
        <w:tc>
          <w:tcPr>
            <w:tcW w:type="dxa" w:w="5328"/>
            <w:tcMar>
              <w:top w:w="60" w:type="dxa"/>
              <w:start w:w="80" w:type="dxa"/>
              <w:bottom w:w="60" w:type="dxa"/>
              <w:end w:w="80" w:type="dxa"/>
            </w:tcMar>
            <w:vAlign w:val="center"/>
          </w:tcPr>
          <w:p>
            <w:pPr>
              <w:spacing w:after="0" w:line="240" w:lineRule="auto"/>
            </w:pPr>
            <w:r>
              <w:rPr>
                <w:sz w:val="16"/>
              </w:rPr>
              <w:t>Counts all recognized pregnancies, including current pregnancy, but does not by itself indicate severity.</w:t>
            </w:r>
          </w:p>
        </w:tc>
      </w:tr>
      <w:tr>
        <w:tc>
          <w:tcPr>
            <w:tcW w:type="dxa" w:w="1872"/>
            <w:tcMar>
              <w:top w:w="60" w:type="dxa"/>
              <w:start w:w="80" w:type="dxa"/>
              <w:bottom w:w="60" w:type="dxa"/>
              <w:end w:w="80" w:type="dxa"/>
            </w:tcMar>
            <w:vAlign w:val="center"/>
            <w:shd w:fill="EAF1F7"/>
          </w:tcPr>
          <w:p>
            <w:pPr>
              <w:spacing w:after="0" w:line="240" w:lineRule="auto"/>
            </w:pPr>
            <w:r>
              <w:rPr>
                <w:sz w:val="16"/>
              </w:rPr>
              <w:t>Para</w:t>
            </w:r>
          </w:p>
        </w:tc>
        <w:tc>
          <w:tcPr>
            <w:tcW w:type="dxa" w:w="2880"/>
            <w:tcMar>
              <w:top w:w="60" w:type="dxa"/>
              <w:start w:w="80" w:type="dxa"/>
              <w:bottom w:w="60" w:type="dxa"/>
              <w:end w:w="80" w:type="dxa"/>
            </w:tcMar>
            <w:vAlign w:val="center"/>
            <w:shd w:fill="EAF1F7"/>
          </w:tcPr>
          <w:p>
            <w:pPr>
              <w:spacing w:after="0" w:line="240" w:lineRule="auto"/>
            </w:pPr>
            <w:r>
              <w:rPr>
                <w:sz w:val="16"/>
              </w:rPr>
              <w:t>Required structured descriptor with locally defined viability threshold</w:t>
            </w:r>
          </w:p>
        </w:tc>
        <w:tc>
          <w:tcPr>
            <w:tcW w:type="dxa" w:w="5328"/>
            <w:tcMar>
              <w:top w:w="60" w:type="dxa"/>
              <w:start w:w="80" w:type="dxa"/>
              <w:bottom w:w="60" w:type="dxa"/>
              <w:end w:w="80" w:type="dxa"/>
            </w:tcMar>
            <w:vAlign w:val="center"/>
            <w:shd w:fill="EAF1F7"/>
          </w:tcPr>
          <w:p>
            <w:pPr>
              <w:spacing w:after="0" w:line="240" w:lineRule="auto"/>
            </w:pPr>
            <w:r>
              <w:rPr>
                <w:sz w:val="16"/>
              </w:rPr>
              <w:t>Summarizes prior pregnancies reaching the selected threshold; must not be confused with number of living children.</w:t>
            </w:r>
          </w:p>
        </w:tc>
      </w:tr>
      <w:tr>
        <w:tc>
          <w:tcPr>
            <w:tcW w:type="dxa" w:w="1872"/>
            <w:tcMar>
              <w:top w:w="60" w:type="dxa"/>
              <w:start w:w="80" w:type="dxa"/>
              <w:bottom w:w="60" w:type="dxa"/>
              <w:end w:w="80" w:type="dxa"/>
            </w:tcMar>
            <w:vAlign w:val="center"/>
          </w:tcPr>
          <w:p>
            <w:pPr>
              <w:spacing w:after="0" w:line="240" w:lineRule="auto"/>
            </w:pPr>
            <w:r>
              <w:rPr>
                <w:sz w:val="16"/>
              </w:rPr>
              <w:t>Nulliparity</w:t>
            </w:r>
          </w:p>
        </w:tc>
        <w:tc>
          <w:tcPr>
            <w:tcW w:type="dxa" w:w="2880"/>
            <w:tcMar>
              <w:top w:w="60" w:type="dxa"/>
              <w:start w:w="80" w:type="dxa"/>
              <w:bottom w:w="60" w:type="dxa"/>
              <w:end w:w="80" w:type="dxa"/>
            </w:tcMar>
            <w:vAlign w:val="center"/>
          </w:tcPr>
          <w:p>
            <w:pPr>
              <w:spacing w:after="0" w:line="240" w:lineRule="auto"/>
            </w:pPr>
            <w:r>
              <w:rPr>
                <w:sz w:val="16"/>
              </w:rPr>
              <w:t>Contextual modifier</w:t>
            </w:r>
          </w:p>
        </w:tc>
        <w:tc>
          <w:tcPr>
            <w:tcW w:type="dxa" w:w="5328"/>
            <w:tcMar>
              <w:top w:w="60" w:type="dxa"/>
              <w:start w:w="80" w:type="dxa"/>
              <w:bottom w:w="60" w:type="dxa"/>
              <w:end w:w="80" w:type="dxa"/>
            </w:tcMar>
            <w:vAlign w:val="center"/>
          </w:tcPr>
          <w:p>
            <w:pPr>
              <w:spacing w:after="0" w:line="240" w:lineRule="auto"/>
            </w:pPr>
            <w:r>
              <w:rPr>
                <w:sz w:val="16"/>
              </w:rPr>
              <w:t>May affect visit scheduling, education, and risk interpretation, but is not a diagnosis.</w:t>
            </w:r>
          </w:p>
        </w:tc>
      </w:tr>
      <w:tr>
        <w:tc>
          <w:tcPr>
            <w:tcW w:type="dxa" w:w="1872"/>
            <w:tcMar>
              <w:top w:w="60" w:type="dxa"/>
              <w:start w:w="80" w:type="dxa"/>
              <w:bottom w:w="60" w:type="dxa"/>
              <w:end w:w="80" w:type="dxa"/>
            </w:tcMar>
            <w:vAlign w:val="center"/>
            <w:shd w:fill="EAF1F7"/>
          </w:tcPr>
          <w:p>
            <w:pPr>
              <w:spacing w:after="0" w:line="240" w:lineRule="auto"/>
            </w:pPr>
            <w:r>
              <w:rPr>
                <w:sz w:val="16"/>
              </w:rPr>
              <w:t>Grand multiparity</w:t>
            </w:r>
          </w:p>
        </w:tc>
        <w:tc>
          <w:tcPr>
            <w:tcW w:type="dxa" w:w="2880"/>
            <w:tcMar>
              <w:top w:w="60" w:type="dxa"/>
              <w:start w:w="80" w:type="dxa"/>
              <w:bottom w:w="60" w:type="dxa"/>
              <w:end w:w="80" w:type="dxa"/>
            </w:tcMar>
            <w:vAlign w:val="center"/>
            <w:shd w:fill="EAF1F7"/>
          </w:tcPr>
          <w:p>
            <w:pPr>
              <w:spacing w:after="0" w:line="240" w:lineRule="auto"/>
            </w:pPr>
            <w:r>
              <w:rPr>
                <w:sz w:val="16"/>
              </w:rPr>
              <w:t>Review trigger, not automatic emergency</w:t>
            </w:r>
          </w:p>
        </w:tc>
        <w:tc>
          <w:tcPr>
            <w:tcW w:type="dxa" w:w="5328"/>
            <w:tcMar>
              <w:top w:w="60" w:type="dxa"/>
              <w:start w:w="80" w:type="dxa"/>
              <w:bottom w:w="60" w:type="dxa"/>
              <w:end w:w="80" w:type="dxa"/>
            </w:tcMar>
            <w:vAlign w:val="center"/>
            <w:shd w:fill="EAF1F7"/>
          </w:tcPr>
          <w:p>
            <w:pPr>
              <w:spacing w:after="0" w:line="240" w:lineRule="auto"/>
            </w:pPr>
            <w:r>
              <w:rPr>
                <w:sz w:val="16"/>
              </w:rPr>
              <w:t>Definitions vary and confounding by age and comorbidity is substantial.</w:t>
            </w:r>
          </w:p>
        </w:tc>
      </w:tr>
      <w:tr>
        <w:tc>
          <w:tcPr>
            <w:tcW w:type="dxa" w:w="1872"/>
            <w:tcMar>
              <w:top w:w="60" w:type="dxa"/>
              <w:start w:w="80" w:type="dxa"/>
              <w:bottom w:w="60" w:type="dxa"/>
              <w:end w:w="80" w:type="dxa"/>
            </w:tcMar>
            <w:vAlign w:val="center"/>
          </w:tcPr>
          <w:p>
            <w:pPr>
              <w:spacing w:after="0" w:line="240" w:lineRule="auto"/>
            </w:pPr>
            <w:r>
              <w:rPr>
                <w:sz w:val="16"/>
              </w:rPr>
              <w:t>Interpregnancy interval</w:t>
            </w:r>
          </w:p>
        </w:tc>
        <w:tc>
          <w:tcPr>
            <w:tcW w:type="dxa" w:w="2880"/>
            <w:tcMar>
              <w:top w:w="60" w:type="dxa"/>
              <w:start w:w="80" w:type="dxa"/>
              <w:bottom w:w="60" w:type="dxa"/>
              <w:end w:w="80" w:type="dxa"/>
            </w:tcMar>
            <w:vAlign w:val="center"/>
          </w:tcPr>
          <w:p>
            <w:pPr>
              <w:spacing w:after="0" w:line="240" w:lineRule="auto"/>
            </w:pPr>
            <w:r>
              <w:rPr>
                <w:sz w:val="16"/>
              </w:rPr>
              <w:t>Calculated contextual factor</w:t>
            </w:r>
          </w:p>
        </w:tc>
        <w:tc>
          <w:tcPr>
            <w:tcW w:type="dxa" w:w="5328"/>
            <w:tcMar>
              <w:top w:w="60" w:type="dxa"/>
              <w:start w:w="80" w:type="dxa"/>
              <w:bottom w:w="60" w:type="dxa"/>
              <w:end w:w="80" w:type="dxa"/>
            </w:tcMar>
            <w:vAlign w:val="center"/>
          </w:tcPr>
          <w:p>
            <w:pPr>
              <w:spacing w:after="0" w:line="240" w:lineRule="auto"/>
            </w:pPr>
            <w:r>
              <w:rPr>
                <w:sz w:val="16"/>
              </w:rPr>
              <w:t>Extreme intervals can be associated with adverse outcomes; prior outcome type matters.</w:t>
            </w:r>
          </w:p>
        </w:tc>
      </w:tr>
      <w:tr>
        <w:tc>
          <w:tcPr>
            <w:tcW w:type="dxa" w:w="1872"/>
            <w:tcMar>
              <w:top w:w="60" w:type="dxa"/>
              <w:start w:w="80" w:type="dxa"/>
              <w:bottom w:w="60" w:type="dxa"/>
              <w:end w:w="80" w:type="dxa"/>
            </w:tcMar>
            <w:vAlign w:val="center"/>
            <w:shd w:fill="EAF1F7"/>
          </w:tcPr>
          <w:p>
            <w:pPr>
              <w:spacing w:after="0" w:line="240" w:lineRule="auto"/>
            </w:pPr>
            <w:r>
              <w:rPr>
                <w:sz w:val="16"/>
              </w:rPr>
              <w:t>Previous outcomes</w:t>
            </w:r>
          </w:p>
        </w:tc>
        <w:tc>
          <w:tcPr>
            <w:tcW w:type="dxa" w:w="2880"/>
            <w:tcMar>
              <w:top w:w="60" w:type="dxa"/>
              <w:start w:w="80" w:type="dxa"/>
              <w:bottom w:w="60" w:type="dxa"/>
              <w:end w:w="80" w:type="dxa"/>
            </w:tcMar>
            <w:vAlign w:val="center"/>
            <w:shd w:fill="EAF1F7"/>
          </w:tcPr>
          <w:p>
            <w:pPr>
              <w:spacing w:after="0" w:line="240" w:lineRule="auto"/>
            </w:pPr>
            <w:r>
              <w:rPr>
                <w:sz w:val="16"/>
              </w:rPr>
              <w:t>Specific factor pathway</w:t>
            </w:r>
          </w:p>
        </w:tc>
        <w:tc>
          <w:tcPr>
            <w:tcW w:type="dxa" w:w="5328"/>
            <w:tcMar>
              <w:top w:w="60" w:type="dxa"/>
              <w:start w:w="80" w:type="dxa"/>
              <w:bottom w:w="60" w:type="dxa"/>
              <w:end w:w="80" w:type="dxa"/>
            </w:tcMar>
            <w:vAlign w:val="center"/>
            <w:shd w:fill="EAF1F7"/>
          </w:tcPr>
          <w:p>
            <w:pPr>
              <w:spacing w:after="0" w:line="240" w:lineRule="auto"/>
            </w:pPr>
            <w:r>
              <w:rPr>
                <w:sz w:val="16"/>
              </w:rPr>
              <w:t>Preterm birth, stillbirth, haemorrhage, neonatal death, and other outcomes should be captured separately.</w:t>
            </w:r>
          </w:p>
        </w:tc>
      </w:tr>
    </w:tbl>
    <w:p>
      <w:pPr>
        <w:spacing w:after="20"/>
      </w:pPr>
    </w:p>
    <w:p>
      <w:pPr>
        <w:pStyle w:val="Heading1"/>
      </w:pPr>
      <w:r>
        <w:t>2. Clinical Scope and Questions</w:t>
      </w:r>
    </w:p>
    <w:p>
      <w:r>
        <w:t>This chapter answers the following implementation questions:</w:t>
      </w:r>
    </w:p>
    <w:p>
      <w:pPr>
        <w:pStyle w:val="ListBullet"/>
      </w:pPr>
      <w:r>
        <w:t>What do gravida, para, nulliparity, multiparity, and grand multiparity mean, and which definition must be versioned?</w:t>
      </w:r>
    </w:p>
    <w:p>
      <w:pPr>
        <w:pStyle w:val="ListBullet"/>
      </w:pPr>
      <w:r>
        <w:t>Does a first pregnancy automatically justify a HIGH classification or referral?</w:t>
      </w:r>
    </w:p>
    <w:p>
      <w:pPr>
        <w:pStyle w:val="ListBullet"/>
      </w:pPr>
      <w:r>
        <w:t>When does parity alter the recommended number or content of antenatal contacts?</w:t>
      </w:r>
    </w:p>
    <w:p>
      <w:pPr>
        <w:pStyle w:val="ListBullet"/>
      </w:pPr>
      <w:r>
        <w:t>How should a long gap or short interval between pregnancies be represented?</w:t>
      </w:r>
    </w:p>
    <w:p>
      <w:pPr>
        <w:pStyle w:val="ListBullet"/>
      </w:pPr>
      <w:r>
        <w:t>Which previous outcomes belong in Part 7 versus the miscarriage, cesarean, or future symptom pathways?</w:t>
      </w:r>
    </w:p>
    <w:p>
      <w:pPr>
        <w:pStyle w:val="ListBullet"/>
      </w:pPr>
      <w:r>
        <w:t>How should unknown, inconsistent, or incomplete obstetric history affect the output?</w:t>
      </w:r>
    </w:p>
    <w:p>
      <w:pPr>
        <w:pStyle w:val="ListBullet"/>
      </w:pPr>
      <w:r>
        <w:t>What may a lying-in clinic document and support, and when should the system request obstetric review?</w:t>
      </w:r>
    </w:p>
    <w:p>
      <w:pPr>
        <w:pStyle w:val="Heading2"/>
      </w:pPr>
      <w:r>
        <w:t>2.1 Scope boundary</w:t>
      </w:r>
    </w:p>
    <w:p>
      <w:r>
        <w:t>Part 7 provides the obstetric-history framework. It does not duplicate the detailed pathways already developed for previous cesarean birth or miscarriage/adverse obstetric history. Instead, it defines the shared counting model and the contextual interactions that those pathways consume.</w:t>
      </w:r>
    </w:p>
    <w:p>
      <w:pPr>
        <w:pStyle w:val="Heading1"/>
      </w:pPr>
      <w:r>
        <w:t>3. Definitions and Data Semantics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F4E78"/>
            <w:tcMar>
              <w:top w:w="60" w:type="dxa"/>
              <w:start w:w="80" w:type="dxa"/>
              <w:bottom w:w="60" w:type="dxa"/>
              <w:end w:w="80" w:type="dxa"/>
            </w:tcMar>
          </w:tcPr>
          <w:p>
            <w:r>
              <w:rPr>
                <w:b/>
                <w:color w:val="FFFFFF"/>
                <w:sz w:val="15"/>
              </w:rPr>
              <w:t>Term</w:t>
            </w:r>
          </w:p>
        </w:tc>
        <w:tc>
          <w:tcPr>
            <w:tcW w:type="dxa" w:w="4320"/>
            <w:shd w:fill="1F4E78"/>
            <w:tcMar>
              <w:top w:w="60" w:type="dxa"/>
              <w:start w:w="80" w:type="dxa"/>
              <w:bottom w:w="60" w:type="dxa"/>
              <w:end w:w="80" w:type="dxa"/>
            </w:tcMar>
          </w:tcPr>
          <w:p>
            <w:r>
              <w:rPr>
                <w:b/>
                <w:color w:val="FFFFFF"/>
                <w:sz w:val="15"/>
              </w:rPr>
              <w:t>Operational meaning</w:t>
            </w:r>
          </w:p>
        </w:tc>
        <w:tc>
          <w:tcPr>
            <w:tcW w:type="dxa" w:w="3960"/>
            <w:shd w:fill="1F4E78"/>
            <w:tcMar>
              <w:top w:w="60" w:type="dxa"/>
              <w:start w:w="80" w:type="dxa"/>
              <w:bottom w:w="60" w:type="dxa"/>
              <w:end w:w="80" w:type="dxa"/>
            </w:tcMar>
          </w:tcPr>
          <w:p>
            <w:r>
              <w:rPr>
                <w:b/>
                <w:color w:val="FFFFFF"/>
                <w:sz w:val="15"/>
              </w:rPr>
              <w:t>CDSS caution</w:t>
            </w:r>
          </w:p>
        </w:tc>
      </w:tr>
      <w:tr>
        <w:tc>
          <w:tcPr>
            <w:tcW w:type="dxa" w:w="1800"/>
            <w:tcMar>
              <w:top w:w="60" w:type="dxa"/>
              <w:start w:w="80" w:type="dxa"/>
              <w:bottom w:w="60" w:type="dxa"/>
              <w:end w:w="80" w:type="dxa"/>
            </w:tcMar>
            <w:vAlign w:val="center"/>
          </w:tcPr>
          <w:p>
            <w:pPr>
              <w:spacing w:after="0" w:line="240" w:lineRule="auto"/>
            </w:pPr>
            <w:r>
              <w:rPr>
                <w:sz w:val="15"/>
              </w:rPr>
              <w:t>Gravida (G)</w:t>
            </w:r>
          </w:p>
        </w:tc>
        <w:tc>
          <w:tcPr>
            <w:tcW w:type="dxa" w:w="4320"/>
            <w:tcMar>
              <w:top w:w="60" w:type="dxa"/>
              <w:start w:w="80" w:type="dxa"/>
              <w:bottom w:w="60" w:type="dxa"/>
              <w:end w:w="80" w:type="dxa"/>
            </w:tcMar>
            <w:vAlign w:val="center"/>
          </w:tcPr>
          <w:p>
            <w:pPr>
              <w:spacing w:after="0" w:line="240" w:lineRule="auto"/>
            </w:pPr>
            <w:r>
              <w:rPr>
                <w:sz w:val="15"/>
              </w:rPr>
              <w:t>Total number of recognized pregnancies, including the current pregnancy, regardless of outcome.</w:t>
            </w:r>
          </w:p>
        </w:tc>
        <w:tc>
          <w:tcPr>
            <w:tcW w:type="dxa" w:w="3960"/>
            <w:tcMar>
              <w:top w:w="60" w:type="dxa"/>
              <w:start w:w="80" w:type="dxa"/>
              <w:bottom w:w="60" w:type="dxa"/>
              <w:end w:w="80" w:type="dxa"/>
            </w:tcMar>
            <w:vAlign w:val="center"/>
          </w:tcPr>
          <w:p>
            <w:pPr>
              <w:spacing w:after="0" w:line="240" w:lineRule="auto"/>
            </w:pPr>
            <w:r>
              <w:rPr>
                <w:sz w:val="15"/>
              </w:rPr>
              <w:t>A multiple gestation counts as one pregnancy, not two gravidas.</w:t>
            </w:r>
          </w:p>
        </w:tc>
      </w:tr>
      <w:tr>
        <w:tc>
          <w:tcPr>
            <w:tcW w:type="dxa" w:w="1800"/>
            <w:tcMar>
              <w:top w:w="60" w:type="dxa"/>
              <w:start w:w="80" w:type="dxa"/>
              <w:bottom w:w="60" w:type="dxa"/>
              <w:end w:w="80" w:type="dxa"/>
            </w:tcMar>
            <w:vAlign w:val="center"/>
            <w:shd w:fill="EAF1F7"/>
          </w:tcPr>
          <w:p>
            <w:pPr>
              <w:spacing w:after="0" w:line="240" w:lineRule="auto"/>
            </w:pPr>
            <w:r>
              <w:rPr>
                <w:sz w:val="15"/>
              </w:rPr>
              <w:t>Para (P)</w:t>
            </w:r>
          </w:p>
        </w:tc>
        <w:tc>
          <w:tcPr>
            <w:tcW w:type="dxa" w:w="4320"/>
            <w:tcMar>
              <w:top w:w="60" w:type="dxa"/>
              <w:start w:w="80" w:type="dxa"/>
              <w:bottom w:w="60" w:type="dxa"/>
              <w:end w:w="80" w:type="dxa"/>
            </w:tcMar>
            <w:vAlign w:val="center"/>
            <w:shd w:fill="EAF1F7"/>
          </w:tcPr>
          <w:p>
            <w:pPr>
              <w:spacing w:after="0" w:line="240" w:lineRule="auto"/>
            </w:pPr>
            <w:r>
              <w:rPr>
                <w:sz w:val="15"/>
              </w:rPr>
              <w:t>Number of pregnancies reaching the locally adopted gestational threshold, regardless of number of fetuses or whether the infant was born alive.</w:t>
            </w:r>
          </w:p>
        </w:tc>
        <w:tc>
          <w:tcPr>
            <w:tcW w:type="dxa" w:w="3960"/>
            <w:tcMar>
              <w:top w:w="60" w:type="dxa"/>
              <w:start w:w="80" w:type="dxa"/>
              <w:bottom w:w="60" w:type="dxa"/>
              <w:end w:w="80" w:type="dxa"/>
            </w:tcMar>
            <w:vAlign w:val="center"/>
            <w:shd w:fill="EAF1F7"/>
          </w:tcPr>
          <w:p>
            <w:pPr>
              <w:spacing w:after="0" w:line="240" w:lineRule="auto"/>
            </w:pPr>
            <w:r>
              <w:rPr>
                <w:sz w:val="15"/>
              </w:rPr>
              <w:t>Thresholds differ across systems; store the standard/version.</w:t>
            </w:r>
          </w:p>
        </w:tc>
      </w:tr>
      <w:tr>
        <w:tc>
          <w:tcPr>
            <w:tcW w:type="dxa" w:w="1800"/>
            <w:tcMar>
              <w:top w:w="60" w:type="dxa"/>
              <w:start w:w="80" w:type="dxa"/>
              <w:bottom w:w="60" w:type="dxa"/>
              <w:end w:w="80" w:type="dxa"/>
            </w:tcMar>
            <w:vAlign w:val="center"/>
          </w:tcPr>
          <w:p>
            <w:pPr>
              <w:spacing w:after="0" w:line="240" w:lineRule="auto"/>
            </w:pPr>
            <w:r>
              <w:rPr>
                <w:sz w:val="15"/>
              </w:rPr>
              <w:t>Nulligravida</w:t>
            </w:r>
          </w:p>
        </w:tc>
        <w:tc>
          <w:tcPr>
            <w:tcW w:type="dxa" w:w="4320"/>
            <w:tcMar>
              <w:top w:w="60" w:type="dxa"/>
              <w:start w:w="80" w:type="dxa"/>
              <w:bottom w:w="60" w:type="dxa"/>
              <w:end w:w="80" w:type="dxa"/>
            </w:tcMar>
            <w:vAlign w:val="center"/>
          </w:tcPr>
          <w:p>
            <w:pPr>
              <w:spacing w:after="0" w:line="240" w:lineRule="auto"/>
            </w:pPr>
            <w:r>
              <w:rPr>
                <w:sz w:val="15"/>
              </w:rPr>
              <w:t>No prior or current recognized pregnancy.</w:t>
            </w:r>
          </w:p>
        </w:tc>
        <w:tc>
          <w:tcPr>
            <w:tcW w:type="dxa" w:w="3960"/>
            <w:tcMar>
              <w:top w:w="60" w:type="dxa"/>
              <w:start w:w="80" w:type="dxa"/>
              <w:bottom w:w="60" w:type="dxa"/>
              <w:end w:w="80" w:type="dxa"/>
            </w:tcMar>
            <w:vAlign w:val="center"/>
          </w:tcPr>
          <w:p>
            <w:pPr>
              <w:spacing w:after="0" w:line="240" w:lineRule="auto"/>
            </w:pPr>
            <w:r>
              <w:rPr>
                <w:sz w:val="15"/>
              </w:rPr>
              <w:t>Not applicable once a current pregnancy is confirmed.</w:t>
            </w:r>
          </w:p>
        </w:tc>
      </w:tr>
      <w:tr>
        <w:tc>
          <w:tcPr>
            <w:tcW w:type="dxa" w:w="1800"/>
            <w:tcMar>
              <w:top w:w="60" w:type="dxa"/>
              <w:start w:w="80" w:type="dxa"/>
              <w:bottom w:w="60" w:type="dxa"/>
              <w:end w:w="80" w:type="dxa"/>
            </w:tcMar>
            <w:vAlign w:val="center"/>
            <w:shd w:fill="EAF1F7"/>
          </w:tcPr>
          <w:p>
            <w:pPr>
              <w:spacing w:after="0" w:line="240" w:lineRule="auto"/>
            </w:pPr>
            <w:r>
              <w:rPr>
                <w:sz w:val="15"/>
              </w:rPr>
              <w:t>Primigravida</w:t>
            </w:r>
          </w:p>
        </w:tc>
        <w:tc>
          <w:tcPr>
            <w:tcW w:type="dxa" w:w="4320"/>
            <w:tcMar>
              <w:top w:w="60" w:type="dxa"/>
              <w:start w:w="80" w:type="dxa"/>
              <w:bottom w:w="60" w:type="dxa"/>
              <w:end w:w="80" w:type="dxa"/>
            </w:tcMar>
            <w:vAlign w:val="center"/>
            <w:shd w:fill="EAF1F7"/>
          </w:tcPr>
          <w:p>
            <w:pPr>
              <w:spacing w:after="0" w:line="240" w:lineRule="auto"/>
            </w:pPr>
            <w:r>
              <w:rPr>
                <w:sz w:val="15"/>
              </w:rPr>
              <w:t>Pregnant for the first time.</w:t>
            </w:r>
          </w:p>
        </w:tc>
        <w:tc>
          <w:tcPr>
            <w:tcW w:type="dxa" w:w="3960"/>
            <w:tcMar>
              <w:top w:w="60" w:type="dxa"/>
              <w:start w:w="80" w:type="dxa"/>
              <w:bottom w:w="60" w:type="dxa"/>
              <w:end w:w="80" w:type="dxa"/>
            </w:tcMar>
            <w:vAlign w:val="center"/>
            <w:shd w:fill="EAF1F7"/>
          </w:tcPr>
          <w:p>
            <w:pPr>
              <w:spacing w:after="0" w:line="240" w:lineRule="auto"/>
            </w:pPr>
            <w:r>
              <w:rPr>
                <w:sz w:val="15"/>
              </w:rPr>
              <w:t>Not identical to nulliparous after a previous early pregnancy loss.</w:t>
            </w:r>
          </w:p>
        </w:tc>
      </w:tr>
      <w:tr>
        <w:tc>
          <w:tcPr>
            <w:tcW w:type="dxa" w:w="1800"/>
            <w:tcMar>
              <w:top w:w="60" w:type="dxa"/>
              <w:start w:w="80" w:type="dxa"/>
              <w:bottom w:w="60" w:type="dxa"/>
              <w:end w:w="80" w:type="dxa"/>
            </w:tcMar>
            <w:vAlign w:val="center"/>
          </w:tcPr>
          <w:p>
            <w:pPr>
              <w:spacing w:after="0" w:line="240" w:lineRule="auto"/>
            </w:pPr>
            <w:r>
              <w:rPr>
                <w:sz w:val="15"/>
              </w:rPr>
              <w:t>Multigravida</w:t>
            </w:r>
          </w:p>
        </w:tc>
        <w:tc>
          <w:tcPr>
            <w:tcW w:type="dxa" w:w="4320"/>
            <w:tcMar>
              <w:top w:w="60" w:type="dxa"/>
              <w:start w:w="80" w:type="dxa"/>
              <w:bottom w:w="60" w:type="dxa"/>
              <w:end w:w="80" w:type="dxa"/>
            </w:tcMar>
            <w:vAlign w:val="center"/>
          </w:tcPr>
          <w:p>
            <w:pPr>
              <w:spacing w:after="0" w:line="240" w:lineRule="auto"/>
            </w:pPr>
            <w:r>
              <w:rPr>
                <w:sz w:val="15"/>
              </w:rPr>
              <w:t>Pregnant more than once.</w:t>
            </w:r>
          </w:p>
        </w:tc>
        <w:tc>
          <w:tcPr>
            <w:tcW w:type="dxa" w:w="3960"/>
            <w:tcMar>
              <w:top w:w="60" w:type="dxa"/>
              <w:start w:w="80" w:type="dxa"/>
              <w:bottom w:w="60" w:type="dxa"/>
              <w:end w:w="80" w:type="dxa"/>
            </w:tcMar>
            <w:vAlign w:val="center"/>
          </w:tcPr>
          <w:p>
            <w:pPr>
              <w:spacing w:after="0" w:line="240" w:lineRule="auto"/>
            </w:pPr>
            <w:r>
              <w:rPr>
                <w:sz w:val="15"/>
              </w:rPr>
              <w:t>Does not reveal prior outcomes.</w:t>
            </w:r>
          </w:p>
        </w:tc>
      </w:tr>
      <w:tr>
        <w:tc>
          <w:tcPr>
            <w:tcW w:type="dxa" w:w="1800"/>
            <w:tcMar>
              <w:top w:w="60" w:type="dxa"/>
              <w:start w:w="80" w:type="dxa"/>
              <w:bottom w:w="60" w:type="dxa"/>
              <w:end w:w="80" w:type="dxa"/>
            </w:tcMar>
            <w:vAlign w:val="center"/>
            <w:shd w:fill="EAF1F7"/>
          </w:tcPr>
          <w:p>
            <w:pPr>
              <w:spacing w:after="0" w:line="240" w:lineRule="auto"/>
            </w:pPr>
            <w:r>
              <w:rPr>
                <w:sz w:val="15"/>
              </w:rPr>
              <w:t>Nullipara</w:t>
            </w:r>
          </w:p>
        </w:tc>
        <w:tc>
          <w:tcPr>
            <w:tcW w:type="dxa" w:w="4320"/>
            <w:tcMar>
              <w:top w:w="60" w:type="dxa"/>
              <w:start w:w="80" w:type="dxa"/>
              <w:bottom w:w="60" w:type="dxa"/>
              <w:end w:w="80" w:type="dxa"/>
            </w:tcMar>
            <w:vAlign w:val="center"/>
            <w:shd w:fill="EAF1F7"/>
          </w:tcPr>
          <w:p>
            <w:pPr>
              <w:spacing w:after="0" w:line="240" w:lineRule="auto"/>
            </w:pPr>
            <w:r>
              <w:rPr>
                <w:sz w:val="15"/>
              </w:rPr>
              <w:t>No prior pregnancy reached the selected parity threshold.</w:t>
            </w:r>
          </w:p>
        </w:tc>
        <w:tc>
          <w:tcPr>
            <w:tcW w:type="dxa" w:w="3960"/>
            <w:tcMar>
              <w:top w:w="60" w:type="dxa"/>
              <w:start w:w="80" w:type="dxa"/>
              <w:bottom w:w="60" w:type="dxa"/>
              <w:end w:w="80" w:type="dxa"/>
            </w:tcMar>
            <w:vAlign w:val="center"/>
            <w:shd w:fill="EAF1F7"/>
          </w:tcPr>
          <w:p>
            <w:pPr>
              <w:spacing w:after="0" w:line="240" w:lineRule="auto"/>
            </w:pPr>
            <w:r>
              <w:rPr>
                <w:sz w:val="15"/>
              </w:rPr>
              <w:t>May include a person with prior miscarriage or ectopic pregnancy.</w:t>
            </w:r>
          </w:p>
        </w:tc>
      </w:tr>
      <w:tr>
        <w:tc>
          <w:tcPr>
            <w:tcW w:type="dxa" w:w="1800"/>
            <w:tcMar>
              <w:top w:w="60" w:type="dxa"/>
              <w:start w:w="80" w:type="dxa"/>
              <w:bottom w:w="60" w:type="dxa"/>
              <w:end w:w="80" w:type="dxa"/>
            </w:tcMar>
            <w:vAlign w:val="center"/>
          </w:tcPr>
          <w:p>
            <w:pPr>
              <w:spacing w:after="0" w:line="240" w:lineRule="auto"/>
            </w:pPr>
            <w:r>
              <w:rPr>
                <w:sz w:val="15"/>
              </w:rPr>
              <w:t>Primipara</w:t>
            </w:r>
          </w:p>
        </w:tc>
        <w:tc>
          <w:tcPr>
            <w:tcW w:type="dxa" w:w="4320"/>
            <w:tcMar>
              <w:top w:w="60" w:type="dxa"/>
              <w:start w:w="80" w:type="dxa"/>
              <w:bottom w:w="60" w:type="dxa"/>
              <w:end w:w="80" w:type="dxa"/>
            </w:tcMar>
            <w:vAlign w:val="center"/>
          </w:tcPr>
          <w:p>
            <w:pPr>
              <w:spacing w:after="0" w:line="240" w:lineRule="auto"/>
            </w:pPr>
            <w:r>
              <w:rPr>
                <w:sz w:val="15"/>
              </w:rPr>
              <w:t>One prior pregnancy reached the selected parity threshold.</w:t>
            </w:r>
          </w:p>
        </w:tc>
        <w:tc>
          <w:tcPr>
            <w:tcW w:type="dxa" w:w="3960"/>
            <w:tcMar>
              <w:top w:w="60" w:type="dxa"/>
              <w:start w:w="80" w:type="dxa"/>
              <w:bottom w:w="60" w:type="dxa"/>
              <w:end w:w="80" w:type="dxa"/>
            </w:tcMar>
            <w:vAlign w:val="center"/>
          </w:tcPr>
          <w:p>
            <w:pPr>
              <w:spacing w:after="0" w:line="240" w:lineRule="auto"/>
            </w:pPr>
            <w:r>
              <w:rPr>
                <w:sz w:val="15"/>
              </w:rPr>
              <w:t>Not necessarily one living child.</w:t>
            </w:r>
          </w:p>
        </w:tc>
      </w:tr>
      <w:tr>
        <w:tc>
          <w:tcPr>
            <w:tcW w:type="dxa" w:w="1800"/>
            <w:tcMar>
              <w:top w:w="60" w:type="dxa"/>
              <w:start w:w="80" w:type="dxa"/>
              <w:bottom w:w="60" w:type="dxa"/>
              <w:end w:w="80" w:type="dxa"/>
            </w:tcMar>
            <w:vAlign w:val="center"/>
            <w:shd w:fill="EAF1F7"/>
          </w:tcPr>
          <w:p>
            <w:pPr>
              <w:spacing w:after="0" w:line="240" w:lineRule="auto"/>
            </w:pPr>
            <w:r>
              <w:rPr>
                <w:sz w:val="15"/>
              </w:rPr>
              <w:t>Multipara</w:t>
            </w:r>
          </w:p>
        </w:tc>
        <w:tc>
          <w:tcPr>
            <w:tcW w:type="dxa" w:w="4320"/>
            <w:tcMar>
              <w:top w:w="60" w:type="dxa"/>
              <w:start w:w="80" w:type="dxa"/>
              <w:bottom w:w="60" w:type="dxa"/>
              <w:end w:w="80" w:type="dxa"/>
            </w:tcMar>
            <w:vAlign w:val="center"/>
            <w:shd w:fill="EAF1F7"/>
          </w:tcPr>
          <w:p>
            <w:pPr>
              <w:spacing w:after="0" w:line="240" w:lineRule="auto"/>
            </w:pPr>
            <w:r>
              <w:rPr>
                <w:sz w:val="15"/>
              </w:rPr>
              <w:t>Two or more prior pregnancies reached the threshold.</w:t>
            </w:r>
          </w:p>
        </w:tc>
        <w:tc>
          <w:tcPr>
            <w:tcW w:type="dxa" w:w="3960"/>
            <w:tcMar>
              <w:top w:w="60" w:type="dxa"/>
              <w:start w:w="80" w:type="dxa"/>
              <w:bottom w:w="60" w:type="dxa"/>
              <w:end w:w="80" w:type="dxa"/>
            </w:tcMar>
            <w:vAlign w:val="center"/>
            <w:shd w:fill="EAF1F7"/>
          </w:tcPr>
          <w:p>
            <w:pPr>
              <w:spacing w:after="0" w:line="240" w:lineRule="auto"/>
            </w:pPr>
            <w:r>
              <w:rPr>
                <w:sz w:val="15"/>
              </w:rPr>
              <w:t>Definition of “grand” multiparity varies.</w:t>
            </w:r>
          </w:p>
        </w:tc>
      </w:tr>
      <w:tr>
        <w:tc>
          <w:tcPr>
            <w:tcW w:type="dxa" w:w="1800"/>
            <w:tcMar>
              <w:top w:w="60" w:type="dxa"/>
              <w:start w:w="80" w:type="dxa"/>
              <w:bottom w:w="60" w:type="dxa"/>
              <w:end w:w="80" w:type="dxa"/>
            </w:tcMar>
            <w:vAlign w:val="center"/>
          </w:tcPr>
          <w:p>
            <w:pPr>
              <w:spacing w:after="0" w:line="240" w:lineRule="auto"/>
            </w:pPr>
            <w:r>
              <w:rPr>
                <w:sz w:val="15"/>
              </w:rPr>
              <w:t>Grand multiparity</w:t>
            </w:r>
          </w:p>
        </w:tc>
        <w:tc>
          <w:tcPr>
            <w:tcW w:type="dxa" w:w="4320"/>
            <w:tcMar>
              <w:top w:w="60" w:type="dxa"/>
              <w:start w:w="80" w:type="dxa"/>
              <w:bottom w:w="60" w:type="dxa"/>
              <w:end w:w="80" w:type="dxa"/>
            </w:tcMar>
            <w:vAlign w:val="center"/>
          </w:tcPr>
          <w:p>
            <w:pPr>
              <w:spacing w:after="0" w:line="240" w:lineRule="auto"/>
            </w:pPr>
            <w:r>
              <w:rPr>
                <w:sz w:val="15"/>
              </w:rPr>
              <w:t>Commonly parity 5 or more, but literature and local policy vary.</w:t>
            </w:r>
          </w:p>
        </w:tc>
        <w:tc>
          <w:tcPr>
            <w:tcW w:type="dxa" w:w="3960"/>
            <w:tcMar>
              <w:top w:w="60" w:type="dxa"/>
              <w:start w:w="80" w:type="dxa"/>
              <w:bottom w:w="60" w:type="dxa"/>
              <w:end w:w="80" w:type="dxa"/>
            </w:tcMar>
            <w:vAlign w:val="center"/>
          </w:tcPr>
          <w:p>
            <w:pPr>
              <w:spacing w:after="0" w:line="240" w:lineRule="auto"/>
            </w:pPr>
            <w:r>
              <w:rPr>
                <w:sz w:val="15"/>
              </w:rPr>
              <w:t>Never hard-code without definition metadata.</w:t>
            </w:r>
          </w:p>
        </w:tc>
      </w:tr>
      <w:tr>
        <w:tc>
          <w:tcPr>
            <w:tcW w:type="dxa" w:w="1800"/>
            <w:tcMar>
              <w:top w:w="60" w:type="dxa"/>
              <w:start w:w="80" w:type="dxa"/>
              <w:bottom w:w="60" w:type="dxa"/>
              <w:end w:w="80" w:type="dxa"/>
            </w:tcMar>
            <w:vAlign w:val="center"/>
            <w:shd w:fill="EAF1F7"/>
          </w:tcPr>
          <w:p>
            <w:pPr>
              <w:spacing w:after="0" w:line="240" w:lineRule="auto"/>
            </w:pPr>
            <w:r>
              <w:rPr>
                <w:sz w:val="15"/>
              </w:rPr>
              <w:t>Living children</w:t>
            </w:r>
          </w:p>
        </w:tc>
        <w:tc>
          <w:tcPr>
            <w:tcW w:type="dxa" w:w="4320"/>
            <w:tcMar>
              <w:top w:w="60" w:type="dxa"/>
              <w:start w:w="80" w:type="dxa"/>
              <w:bottom w:w="60" w:type="dxa"/>
              <w:end w:w="80" w:type="dxa"/>
            </w:tcMar>
            <w:vAlign w:val="center"/>
            <w:shd w:fill="EAF1F7"/>
          </w:tcPr>
          <w:p>
            <w:pPr>
              <w:spacing w:after="0" w:line="240" w:lineRule="auto"/>
            </w:pPr>
            <w:r>
              <w:rPr>
                <w:sz w:val="15"/>
              </w:rPr>
              <w:t>Number of living children.</w:t>
            </w:r>
          </w:p>
        </w:tc>
        <w:tc>
          <w:tcPr>
            <w:tcW w:type="dxa" w:w="3960"/>
            <w:tcMar>
              <w:top w:w="60" w:type="dxa"/>
              <w:start w:w="80" w:type="dxa"/>
              <w:bottom w:w="60" w:type="dxa"/>
              <w:end w:w="80" w:type="dxa"/>
            </w:tcMar>
            <w:vAlign w:val="center"/>
            <w:shd w:fill="EAF1F7"/>
          </w:tcPr>
          <w:p>
            <w:pPr>
              <w:spacing w:after="0" w:line="240" w:lineRule="auto"/>
            </w:pPr>
            <w:r>
              <w:rPr>
                <w:sz w:val="15"/>
              </w:rPr>
              <w:t>Must remain separate from parity.</w:t>
            </w:r>
          </w:p>
        </w:tc>
      </w:tr>
      <w:tr>
        <w:tc>
          <w:tcPr>
            <w:tcW w:type="dxa" w:w="1800"/>
            <w:tcMar>
              <w:top w:w="60" w:type="dxa"/>
              <w:start w:w="80" w:type="dxa"/>
              <w:bottom w:w="60" w:type="dxa"/>
              <w:end w:w="80" w:type="dxa"/>
            </w:tcMar>
            <w:vAlign w:val="center"/>
          </w:tcPr>
          <w:p>
            <w:pPr>
              <w:spacing w:after="0" w:line="240" w:lineRule="auto"/>
            </w:pPr>
            <w:r>
              <w:rPr>
                <w:sz w:val="15"/>
              </w:rPr>
              <w:t>Interpregnancy interval</w:t>
            </w:r>
          </w:p>
        </w:tc>
        <w:tc>
          <w:tcPr>
            <w:tcW w:type="dxa" w:w="4320"/>
            <w:tcMar>
              <w:top w:w="60" w:type="dxa"/>
              <w:start w:w="80" w:type="dxa"/>
              <w:bottom w:w="60" w:type="dxa"/>
              <w:end w:w="80" w:type="dxa"/>
            </w:tcMar>
            <w:vAlign w:val="center"/>
          </w:tcPr>
          <w:p>
            <w:pPr>
              <w:spacing w:after="0" w:line="240" w:lineRule="auto"/>
            </w:pPr>
            <w:r>
              <w:rPr>
                <w:sz w:val="15"/>
              </w:rPr>
              <w:t>Time from the end of one pregnancy to conception of the next.</w:t>
            </w:r>
          </w:p>
        </w:tc>
        <w:tc>
          <w:tcPr>
            <w:tcW w:type="dxa" w:w="3960"/>
            <w:tcMar>
              <w:top w:w="60" w:type="dxa"/>
              <w:start w:w="80" w:type="dxa"/>
              <w:bottom w:w="60" w:type="dxa"/>
              <w:end w:w="80" w:type="dxa"/>
            </w:tcMar>
            <w:vAlign w:val="center"/>
          </w:tcPr>
          <w:p>
            <w:pPr>
              <w:spacing w:after="0" w:line="240" w:lineRule="auto"/>
            </w:pPr>
            <w:r>
              <w:rPr>
                <w:sz w:val="15"/>
              </w:rPr>
              <w:t>Do not substitute birth-to-birth interval.</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2CC"/>
            <w:tcMar>
              <w:top w:w="120" w:type="dxa"/>
              <w:start w:w="140" w:type="dxa"/>
              <w:bottom w:w="120" w:type="dxa"/>
              <w:end w:w="140" w:type="dxa"/>
            </w:tcMar>
          </w:tcPr>
          <w:p>
            <w:r>
              <w:rPr>
                <w:b/>
                <w:color w:val="17365D"/>
              </w:rPr>
              <w:t xml:space="preserve">Critical data rule: </w:t>
            </w:r>
            <w:r>
              <w:t>Store the source facts and derive the label. Do not store only “G4P3” as an opaque string. A human-readable G/P summary may be generated, but the event records remain the source of truth.</w:t>
            </w:r>
          </w:p>
        </w:tc>
      </w:tr>
    </w:tbl>
    <w:p>
      <w:pPr>
        <w:spacing w:after="20"/>
      </w:pPr>
    </w:p>
    <w:p>
      <w:pPr>
        <w:pStyle w:val="Heading2"/>
      </w:pPr>
      <w:r>
        <w:t>3.1 Consistency rules</w:t>
      </w:r>
    </w:p>
    <w:p>
      <w:pPr>
        <w:pStyle w:val="ListBullet"/>
      </w:pPr>
      <w:r>
        <w:t>Gravida should normally equal prior pregnancy events plus the current pregnancy when confirmed.</w:t>
      </w:r>
    </w:p>
    <w:p>
      <w:pPr>
        <w:pStyle w:val="ListBullet"/>
      </w:pPr>
      <w:r>
        <w:t>Para cannot exceed prior recognized pregnancies.</w:t>
      </w:r>
    </w:p>
    <w:p>
      <w:pPr>
        <w:pStyle w:val="ListBullet"/>
      </w:pPr>
      <w:r>
        <w:t>Living children can be lower than, equal to, or occasionally greater than parity depending on multiple births; therefore it is not a substitute for para.</w:t>
      </w:r>
    </w:p>
    <w:p>
      <w:pPr>
        <w:pStyle w:val="ListBullet"/>
      </w:pPr>
      <w:r>
        <w:t>Unknown history must remain unknown. The system must not convert missing event dates, gestational ages, or outcomes into zero.</w:t>
      </w:r>
    </w:p>
    <w:p>
      <w:pPr>
        <w:pStyle w:val="ListBullet"/>
      </w:pPr>
      <w:r>
        <w:t>Any manual correction to derived G/P values requires a reason, author, timestamp, and preserved previous value.</w:t>
      </w:r>
    </w:p>
    <w:p>
      <w:pPr>
        <w:pStyle w:val="Heading1"/>
      </w:pPr>
      <w:r>
        <w:t>4. Guideline and Evidence Review</w:t>
      </w:r>
    </w:p>
    <w:p>
      <w:pPr>
        <w:pStyle w:val="Heading2"/>
      </w:pPr>
      <w:r>
        <w:t>4.1 WHO</w:t>
      </w:r>
    </w:p>
    <w:p>
      <w:r>
        <w:t>WHO antenatal-care guidance uses person-centred, evidence-informed care and recommends a minimum of eight antenatal contacts for a positive pregnancy experience. The guidance does not establish “first pregnancy = high risk.” Instead, pregnancy history belongs within assessment and individualized care. WHO family-planning guidance supports informed choice about pregnancy spacing, and WHO public guidance advises waiting at least two years after childbirth before becoming pregnant again. These statements support counselling and contextual assessment, not punitive classification.</w:t>
      </w:r>
    </w:p>
    <w:p>
      <w:pPr>
        <w:pStyle w:val="Heading2"/>
      </w:pPr>
      <w:r>
        <w:t>4.2 NICE</w:t>
      </w:r>
    </w:p>
    <w:p>
      <w:r>
        <w:t>NICE NG201 makes a direct operational distinction by parity: it plans 10 routine antenatal appointments for nulliparous women and 7 for parous women, while allowing additional or longer appointments according to medical, social, and emotional need. NICE also recommends antenatal classes for nulliparous women and considers them for multiparous women when useful, such as after a long gap. This is strong evidence that parity should influence care organization and education without becoming a disease label.</w:t>
      </w:r>
    </w:p>
    <w:p>
      <w:pPr>
        <w:pStyle w:val="Heading2"/>
      </w:pPr>
      <w:r>
        <w:t>4.3 ACOG and SMFM</w:t>
      </w:r>
    </w:p>
    <w:p>
      <w:r>
        <w:t>ACOG/SMFM interpregnancy-care guidance emphasizes detailed review of all previous pregnancies, regardless of whether they ended in miscarriage, abortion, preterm birth, or term delivery. It treats prior outcomes as inputs for future screening and management. For spacing, ACOG advises avoiding interpregnancy intervals shorter than 6 months and counselling about risks and benefits of conception sooner than 18 months. The document also recognizes that short intervals after cesarean birth have additional implications, which are handled in Part 5.</w:t>
      </w:r>
    </w:p>
    <w:p>
      <w:pPr>
        <w:pStyle w:val="Heading2"/>
      </w:pPr>
      <w:r>
        <w:t>4.4 Evidence on nulliparity and parity</w:t>
      </w:r>
    </w:p>
    <w:p>
      <w:r>
        <w:t>Observational evidence links nulliparity with some adverse outcomes, including preeclampsia and small-for-gestational-age birth, but association is not equivalent to a standalone clinical diagnosis. Older meta-analysis found increased unadjusted odds of low birthweight and small-for-gestational-age birth among nulliparous women, while grand multiparity was not consistently associated with low birthweight or preterm birth. Interpretation is limited by confounding, variable definitions, and differences in care access.</w:t>
      </w:r>
    </w:p>
    <w:p>
      <w:pPr>
        <w:pStyle w:val="Heading2"/>
      </w:pPr>
      <w:r>
        <w:t>4.5 Evidence on interpregnancy interval</w:t>
      </w:r>
    </w:p>
    <w:p>
      <w:r>
        <w:t>Recent systematic reviews generally show a J-shaped relationship after live birth: very short intervals, especially under 6 months, and very long intervals, often 60 months or more, are associated with higher odds of several adverse perinatal outcomes compared with intermediate intervals. A 2023 dose-response meta-analysis of 129 studies found the lowest-risk reference range around 18-23 months, while a 2024 Asia-Pacific meta-analysis reported higher odds of low birthweight, preterm birth, small-for-gestational-age birth, and neonatal mortality with short intervals. However, evidence after miscarriage differs: a systematic review found conception within 6 months after miscarriage was not associated with worse outcomes. The preceding outcome must therefore be part of the rule.</w:t>
      </w:r>
    </w:p>
    <w:p>
      <w:pPr>
        <w:pStyle w:val="Heading2"/>
      </w:pPr>
      <w:r>
        <w:t>4.6 Philippine applicability and scope</w:t>
      </w:r>
    </w:p>
    <w:p>
      <w:r>
        <w:t>Republic Act No. 7392 defines Philippine midwifery practice around supervision and care during pregnancy, management of normal deliveries, health education, primary health care, nutrition, family planning, and physician-directed care. For this project, parity information can support history-taking, counselling, birth preparedness, and referral documentation. It must not autonomously declare a pregnancy suitable for lying-in delivery or override local licensing, facility policy, and clinician assessment.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F4E78"/>
            <w:tcMar>
              <w:top w:w="60" w:type="dxa"/>
              <w:start w:w="80" w:type="dxa"/>
              <w:bottom w:w="60" w:type="dxa"/>
              <w:end w:w="80" w:type="dxa"/>
            </w:tcMar>
          </w:tcPr>
          <w:p>
            <w:r>
              <w:rPr>
                <w:b/>
                <w:color w:val="FFFFFF"/>
                <w:sz w:val="16"/>
              </w:rPr>
              <w:t>Source</w:t>
            </w:r>
          </w:p>
        </w:tc>
        <w:tc>
          <w:tcPr>
            <w:tcW w:type="dxa" w:w="4032"/>
            <w:shd w:fill="1F4E78"/>
            <w:tcMar>
              <w:top w:w="60" w:type="dxa"/>
              <w:start w:w="80" w:type="dxa"/>
              <w:bottom w:w="60" w:type="dxa"/>
              <w:end w:w="80" w:type="dxa"/>
            </w:tcMar>
          </w:tcPr>
          <w:p>
            <w:r>
              <w:rPr>
                <w:b/>
                <w:color w:val="FFFFFF"/>
                <w:sz w:val="16"/>
              </w:rPr>
              <w:t>Key point</w:t>
            </w:r>
          </w:p>
        </w:tc>
        <w:tc>
          <w:tcPr>
            <w:tcW w:type="dxa" w:w="4320"/>
            <w:shd w:fill="1F4E78"/>
            <w:tcMar>
              <w:top w:w="60" w:type="dxa"/>
              <w:start w:w="80" w:type="dxa"/>
              <w:bottom w:w="60" w:type="dxa"/>
              <w:end w:w="80" w:type="dxa"/>
            </w:tcMar>
          </w:tcPr>
          <w:p>
            <w:r>
              <w:rPr>
                <w:b/>
                <w:color w:val="FFFFFF"/>
                <w:sz w:val="16"/>
              </w:rPr>
              <w:t>CDSS translation</w:t>
            </w:r>
          </w:p>
        </w:tc>
      </w:tr>
      <w:tr>
        <w:tc>
          <w:tcPr>
            <w:tcW w:type="dxa" w:w="1728"/>
            <w:tcMar>
              <w:top w:w="60" w:type="dxa"/>
              <w:start w:w="80" w:type="dxa"/>
              <w:bottom w:w="60" w:type="dxa"/>
              <w:end w:w="80" w:type="dxa"/>
            </w:tcMar>
            <w:vAlign w:val="center"/>
          </w:tcPr>
          <w:p>
            <w:pPr>
              <w:spacing w:after="0" w:line="240" w:lineRule="auto"/>
            </w:pPr>
            <w:r>
              <w:rPr>
                <w:sz w:val="16"/>
              </w:rPr>
              <w:t>WHO ANC</w:t>
            </w:r>
          </w:p>
        </w:tc>
        <w:tc>
          <w:tcPr>
            <w:tcW w:type="dxa" w:w="4032"/>
            <w:tcMar>
              <w:top w:w="60" w:type="dxa"/>
              <w:start w:w="80" w:type="dxa"/>
              <w:bottom w:w="60" w:type="dxa"/>
              <w:end w:w="80" w:type="dxa"/>
            </w:tcMar>
            <w:vAlign w:val="center"/>
          </w:tcPr>
          <w:p>
            <w:pPr>
              <w:spacing w:after="0" w:line="240" w:lineRule="auto"/>
            </w:pPr>
            <w:r>
              <w:rPr>
                <w:sz w:val="16"/>
              </w:rPr>
              <w:t>Minimum eight contacts and individualized, person-centred care.</w:t>
            </w:r>
          </w:p>
        </w:tc>
        <w:tc>
          <w:tcPr>
            <w:tcW w:type="dxa" w:w="4320"/>
            <w:tcMar>
              <w:top w:w="60" w:type="dxa"/>
              <w:start w:w="80" w:type="dxa"/>
              <w:bottom w:w="60" w:type="dxa"/>
              <w:end w:w="80" w:type="dxa"/>
            </w:tcMar>
            <w:vAlign w:val="center"/>
          </w:tcPr>
          <w:p>
            <w:pPr>
              <w:spacing w:after="0" w:line="240" w:lineRule="auto"/>
            </w:pPr>
            <w:r>
              <w:rPr>
                <w:sz w:val="16"/>
              </w:rPr>
              <w:t>Do not reduce care merely because the patient is parous.</w:t>
            </w:r>
          </w:p>
        </w:tc>
      </w:tr>
      <w:tr>
        <w:tc>
          <w:tcPr>
            <w:tcW w:type="dxa" w:w="1728"/>
            <w:tcMar>
              <w:top w:w="60" w:type="dxa"/>
              <w:start w:w="80" w:type="dxa"/>
              <w:bottom w:w="60" w:type="dxa"/>
              <w:end w:w="80" w:type="dxa"/>
            </w:tcMar>
            <w:vAlign w:val="center"/>
            <w:shd w:fill="EAF1F7"/>
          </w:tcPr>
          <w:p>
            <w:pPr>
              <w:spacing w:after="0" w:line="240" w:lineRule="auto"/>
            </w:pPr>
            <w:r>
              <w:rPr>
                <w:sz w:val="16"/>
              </w:rPr>
              <w:t>NICE NG201</w:t>
            </w:r>
          </w:p>
        </w:tc>
        <w:tc>
          <w:tcPr>
            <w:tcW w:type="dxa" w:w="4032"/>
            <w:tcMar>
              <w:top w:w="60" w:type="dxa"/>
              <w:start w:w="80" w:type="dxa"/>
              <w:bottom w:w="60" w:type="dxa"/>
              <w:end w:w="80" w:type="dxa"/>
            </w:tcMar>
            <w:vAlign w:val="center"/>
            <w:shd w:fill="EAF1F7"/>
          </w:tcPr>
          <w:p>
            <w:pPr>
              <w:spacing w:after="0" w:line="240" w:lineRule="auto"/>
            </w:pPr>
            <w:r>
              <w:rPr>
                <w:sz w:val="16"/>
              </w:rPr>
              <w:t>10 routine appointments for nulliparous; 7 for parous; adapt to need.</w:t>
            </w:r>
          </w:p>
        </w:tc>
        <w:tc>
          <w:tcPr>
            <w:tcW w:type="dxa" w:w="4320"/>
            <w:tcMar>
              <w:top w:w="60" w:type="dxa"/>
              <w:start w:w="80" w:type="dxa"/>
              <w:bottom w:w="60" w:type="dxa"/>
              <w:end w:w="80" w:type="dxa"/>
            </w:tcMar>
            <w:vAlign w:val="center"/>
            <w:shd w:fill="EAF1F7"/>
          </w:tcPr>
          <w:p>
            <w:pPr>
              <w:spacing w:after="0" w:line="240" w:lineRule="auto"/>
            </w:pPr>
            <w:r>
              <w:rPr>
                <w:sz w:val="16"/>
              </w:rPr>
              <w:t>Parity can affect scheduling/education, not diagnosis.</w:t>
            </w:r>
          </w:p>
        </w:tc>
      </w:tr>
      <w:tr>
        <w:tc>
          <w:tcPr>
            <w:tcW w:type="dxa" w:w="1728"/>
            <w:tcMar>
              <w:top w:w="60" w:type="dxa"/>
              <w:start w:w="80" w:type="dxa"/>
              <w:bottom w:w="60" w:type="dxa"/>
              <w:end w:w="80" w:type="dxa"/>
            </w:tcMar>
            <w:vAlign w:val="center"/>
          </w:tcPr>
          <w:p>
            <w:pPr>
              <w:spacing w:after="0" w:line="240" w:lineRule="auto"/>
            </w:pPr>
            <w:r>
              <w:rPr>
                <w:sz w:val="16"/>
              </w:rPr>
              <w:t>ACOG/SMFM</w:t>
            </w:r>
          </w:p>
        </w:tc>
        <w:tc>
          <w:tcPr>
            <w:tcW w:type="dxa" w:w="4032"/>
            <w:tcMar>
              <w:top w:w="60" w:type="dxa"/>
              <w:start w:w="80" w:type="dxa"/>
              <w:bottom w:w="60" w:type="dxa"/>
              <w:end w:w="80" w:type="dxa"/>
            </w:tcMar>
            <w:vAlign w:val="center"/>
          </w:tcPr>
          <w:p>
            <w:pPr>
              <w:spacing w:after="0" w:line="240" w:lineRule="auto"/>
            </w:pPr>
            <w:r>
              <w:rPr>
                <w:sz w:val="16"/>
              </w:rPr>
              <w:t>Detailed prior-pregnancy review; counsel against &lt;6 months and about &lt;18 months after live birth.</w:t>
            </w:r>
          </w:p>
        </w:tc>
        <w:tc>
          <w:tcPr>
            <w:tcW w:type="dxa" w:w="4320"/>
            <w:tcMar>
              <w:top w:w="60" w:type="dxa"/>
              <w:start w:w="80" w:type="dxa"/>
              <w:bottom w:w="60" w:type="dxa"/>
              <w:end w:w="80" w:type="dxa"/>
            </w:tcMar>
            <w:vAlign w:val="center"/>
          </w:tcPr>
          <w:p>
            <w:pPr>
              <w:spacing w:after="0" w:line="240" w:lineRule="auto"/>
            </w:pPr>
            <w:r>
              <w:rPr>
                <w:sz w:val="16"/>
              </w:rPr>
              <w:t>Calculate interval and show counselling/referral prompts.</w:t>
            </w:r>
          </w:p>
        </w:tc>
      </w:tr>
      <w:tr>
        <w:tc>
          <w:tcPr>
            <w:tcW w:type="dxa" w:w="1728"/>
            <w:tcMar>
              <w:top w:w="60" w:type="dxa"/>
              <w:start w:w="80" w:type="dxa"/>
              <w:bottom w:w="60" w:type="dxa"/>
              <w:end w:w="80" w:type="dxa"/>
            </w:tcMar>
            <w:vAlign w:val="center"/>
            <w:shd w:fill="EAF1F7"/>
          </w:tcPr>
          <w:p>
            <w:pPr>
              <w:spacing w:after="0" w:line="240" w:lineRule="auto"/>
            </w:pPr>
            <w:r>
              <w:rPr>
                <w:sz w:val="16"/>
              </w:rPr>
              <w:t>Systematic reviews</w:t>
            </w:r>
          </w:p>
        </w:tc>
        <w:tc>
          <w:tcPr>
            <w:tcW w:type="dxa" w:w="4032"/>
            <w:tcMar>
              <w:top w:w="60" w:type="dxa"/>
              <w:start w:w="80" w:type="dxa"/>
              <w:bottom w:w="60" w:type="dxa"/>
              <w:end w:w="80" w:type="dxa"/>
            </w:tcMar>
            <w:vAlign w:val="center"/>
            <w:shd w:fill="EAF1F7"/>
          </w:tcPr>
          <w:p>
            <w:pPr>
              <w:spacing w:after="0" w:line="240" w:lineRule="auto"/>
            </w:pPr>
            <w:r>
              <w:rPr>
                <w:sz w:val="16"/>
              </w:rPr>
              <w:t>Extreme spacing is associated with adverse outcomes; miscarriage interval evidence differs.</w:t>
            </w:r>
          </w:p>
        </w:tc>
        <w:tc>
          <w:tcPr>
            <w:tcW w:type="dxa" w:w="4320"/>
            <w:tcMar>
              <w:top w:w="60" w:type="dxa"/>
              <w:start w:w="80" w:type="dxa"/>
              <w:bottom w:w="60" w:type="dxa"/>
              <w:end w:w="80" w:type="dxa"/>
            </w:tcMar>
            <w:vAlign w:val="center"/>
            <w:shd w:fill="EAF1F7"/>
          </w:tcPr>
          <w:p>
            <w:pPr>
              <w:spacing w:after="0" w:line="240" w:lineRule="auto"/>
            </w:pPr>
            <w:r>
              <w:rPr>
                <w:sz w:val="16"/>
              </w:rPr>
              <w:t>Outcome-specific interval logic; no universal spacing rule.</w:t>
            </w:r>
          </w:p>
        </w:tc>
      </w:tr>
      <w:tr>
        <w:tc>
          <w:tcPr>
            <w:tcW w:type="dxa" w:w="1728"/>
            <w:tcMar>
              <w:top w:w="60" w:type="dxa"/>
              <w:start w:w="80" w:type="dxa"/>
              <w:bottom w:w="60" w:type="dxa"/>
              <w:end w:w="80" w:type="dxa"/>
            </w:tcMar>
            <w:vAlign w:val="center"/>
          </w:tcPr>
          <w:p>
            <w:pPr>
              <w:spacing w:after="0" w:line="240" w:lineRule="auto"/>
            </w:pPr>
            <w:r>
              <w:rPr>
                <w:sz w:val="16"/>
              </w:rPr>
              <w:t>RA 7392</w:t>
            </w:r>
          </w:p>
        </w:tc>
        <w:tc>
          <w:tcPr>
            <w:tcW w:type="dxa" w:w="4032"/>
            <w:tcMar>
              <w:top w:w="60" w:type="dxa"/>
              <w:start w:w="80" w:type="dxa"/>
              <w:bottom w:w="60" w:type="dxa"/>
              <w:end w:w="80" w:type="dxa"/>
            </w:tcMar>
            <w:vAlign w:val="center"/>
          </w:tcPr>
          <w:p>
            <w:pPr>
              <w:spacing w:after="0" w:line="240" w:lineRule="auto"/>
            </w:pPr>
            <w:r>
              <w:rPr>
                <w:sz w:val="16"/>
              </w:rPr>
              <w:t>Midwives provide normal maternity care, education, family planning, and emergency support within scope.</w:t>
            </w:r>
          </w:p>
        </w:tc>
        <w:tc>
          <w:tcPr>
            <w:tcW w:type="dxa" w:w="4320"/>
            <w:tcMar>
              <w:top w:w="60" w:type="dxa"/>
              <w:start w:w="80" w:type="dxa"/>
              <w:bottom w:w="60" w:type="dxa"/>
              <w:end w:w="80" w:type="dxa"/>
            </w:tcMar>
            <w:vAlign w:val="center"/>
          </w:tcPr>
          <w:p>
            <w:pPr>
              <w:spacing w:after="0" w:line="240" w:lineRule="auto"/>
            </w:pPr>
            <w:r>
              <w:rPr>
                <w:sz w:val="16"/>
              </w:rPr>
              <w:t>Support, document, and escalate; do not replace clinical judgment.</w:t>
            </w:r>
          </w:p>
        </w:tc>
      </w:tr>
    </w:tbl>
    <w:p>
      <w:pPr>
        <w:spacing w:after="20"/>
      </w:pPr>
    </w:p>
    <w:p>
      <w:pPr>
        <w:pStyle w:val="Heading1"/>
      </w:pPr>
      <w:r>
        <w:t>5. Evidence Synthesis and Disagreements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F4E78"/>
            <w:tcMar>
              <w:top w:w="60" w:type="dxa"/>
              <w:start w:w="80" w:type="dxa"/>
              <w:bottom w:w="60" w:type="dxa"/>
              <w:end w:w="80" w:type="dxa"/>
            </w:tcMar>
          </w:tcPr>
          <w:p>
            <w:r>
              <w:rPr>
                <w:b/>
                <w:color w:val="FFFFFF"/>
                <w:sz w:val="15"/>
              </w:rPr>
              <w:t>Issue</w:t>
            </w:r>
          </w:p>
        </w:tc>
        <w:tc>
          <w:tcPr>
            <w:tcW w:type="dxa" w:w="4320"/>
            <w:shd w:fill="1F4E78"/>
            <w:tcMar>
              <w:top w:w="60" w:type="dxa"/>
              <w:start w:w="80" w:type="dxa"/>
              <w:bottom w:w="60" w:type="dxa"/>
              <w:end w:w="80" w:type="dxa"/>
            </w:tcMar>
          </w:tcPr>
          <w:p>
            <w:r>
              <w:rPr>
                <w:b/>
                <w:color w:val="FFFFFF"/>
                <w:sz w:val="15"/>
              </w:rPr>
              <w:t>Evidence/guideline position</w:t>
            </w:r>
          </w:p>
        </w:tc>
        <w:tc>
          <w:tcPr>
            <w:tcW w:type="dxa" w:w="3960"/>
            <w:shd w:fill="1F4E78"/>
            <w:tcMar>
              <w:top w:w="60" w:type="dxa"/>
              <w:start w:w="80" w:type="dxa"/>
              <w:bottom w:w="60" w:type="dxa"/>
              <w:end w:w="80" w:type="dxa"/>
            </w:tcMar>
          </w:tcPr>
          <w:p>
            <w:r>
              <w:rPr>
                <w:b/>
                <w:color w:val="FFFFFF"/>
                <w:sz w:val="15"/>
              </w:rPr>
              <w:t>Knowledge-base resolution</w:t>
            </w:r>
          </w:p>
        </w:tc>
      </w:tr>
      <w:tr>
        <w:tc>
          <w:tcPr>
            <w:tcW w:type="dxa" w:w="1800"/>
            <w:tcMar>
              <w:top w:w="60" w:type="dxa"/>
              <w:start w:w="80" w:type="dxa"/>
              <w:bottom w:w="60" w:type="dxa"/>
              <w:end w:w="80" w:type="dxa"/>
            </w:tcMar>
            <w:vAlign w:val="center"/>
          </w:tcPr>
          <w:p>
            <w:pPr>
              <w:spacing w:after="0" w:line="240" w:lineRule="auto"/>
            </w:pPr>
            <w:r>
              <w:rPr>
                <w:sz w:val="15"/>
              </w:rPr>
              <w:t>Is nulliparity high risk?</w:t>
            </w:r>
          </w:p>
        </w:tc>
        <w:tc>
          <w:tcPr>
            <w:tcW w:type="dxa" w:w="4320"/>
            <w:tcMar>
              <w:top w:w="60" w:type="dxa"/>
              <w:start w:w="80" w:type="dxa"/>
              <w:bottom w:w="60" w:type="dxa"/>
              <w:end w:w="80" w:type="dxa"/>
            </w:tcMar>
            <w:vAlign w:val="center"/>
          </w:tcPr>
          <w:p>
            <w:pPr>
              <w:spacing w:after="0" w:line="240" w:lineRule="auto"/>
            </w:pPr>
            <w:r>
              <w:rPr>
                <w:sz w:val="15"/>
              </w:rPr>
              <w:t>Associated with selected outcomes and receives more routine appointments in NICE, but no guideline supports automatic HIGH solely from nulliparity.</w:t>
            </w:r>
          </w:p>
        </w:tc>
        <w:tc>
          <w:tcPr>
            <w:tcW w:type="dxa" w:w="3960"/>
            <w:tcMar>
              <w:top w:w="60" w:type="dxa"/>
              <w:start w:w="80" w:type="dxa"/>
              <w:bottom w:w="60" w:type="dxa"/>
              <w:end w:w="80" w:type="dxa"/>
            </w:tcMar>
            <w:vAlign w:val="center"/>
          </w:tcPr>
          <w:p>
            <w:pPr>
              <w:spacing w:after="0" w:line="240" w:lineRule="auto"/>
            </w:pPr>
            <w:r>
              <w:rPr>
                <w:sz w:val="15"/>
              </w:rPr>
              <w:t>Contextual modifier; never standalone HIGH.</w:t>
            </w:r>
          </w:p>
        </w:tc>
      </w:tr>
      <w:tr>
        <w:tc>
          <w:tcPr>
            <w:tcW w:type="dxa" w:w="1800"/>
            <w:tcMar>
              <w:top w:w="60" w:type="dxa"/>
              <w:start w:w="80" w:type="dxa"/>
              <w:bottom w:w="60" w:type="dxa"/>
              <w:end w:w="80" w:type="dxa"/>
            </w:tcMar>
            <w:vAlign w:val="center"/>
            <w:shd w:fill="EAF1F7"/>
          </w:tcPr>
          <w:p>
            <w:pPr>
              <w:spacing w:after="0" w:line="240" w:lineRule="auto"/>
            </w:pPr>
            <w:r>
              <w:rPr>
                <w:sz w:val="15"/>
              </w:rPr>
              <w:t>Is grand multiparity high risk?</w:t>
            </w:r>
          </w:p>
        </w:tc>
        <w:tc>
          <w:tcPr>
            <w:tcW w:type="dxa" w:w="4320"/>
            <w:tcMar>
              <w:top w:w="60" w:type="dxa"/>
              <w:start w:w="80" w:type="dxa"/>
              <w:bottom w:w="60" w:type="dxa"/>
              <w:end w:w="80" w:type="dxa"/>
            </w:tcMar>
            <w:vAlign w:val="center"/>
            <w:shd w:fill="EAF1F7"/>
          </w:tcPr>
          <w:p>
            <w:pPr>
              <w:spacing w:after="0" w:line="240" w:lineRule="auto"/>
            </w:pPr>
            <w:r>
              <w:rPr>
                <w:sz w:val="15"/>
              </w:rPr>
              <w:t>Definitions vary; associations may reflect age, anaemia, access, or prior complications.</w:t>
            </w:r>
          </w:p>
        </w:tc>
        <w:tc>
          <w:tcPr>
            <w:tcW w:type="dxa" w:w="3960"/>
            <w:tcMar>
              <w:top w:w="60" w:type="dxa"/>
              <w:start w:w="80" w:type="dxa"/>
              <w:bottom w:w="60" w:type="dxa"/>
              <w:end w:w="80" w:type="dxa"/>
            </w:tcMar>
            <w:vAlign w:val="center"/>
            <w:shd w:fill="EAF1F7"/>
          </w:tcPr>
          <w:p>
            <w:pPr>
              <w:spacing w:after="0" w:line="240" w:lineRule="auto"/>
            </w:pPr>
            <w:r>
              <w:rPr>
                <w:sz w:val="15"/>
              </w:rPr>
              <w:t>Review trigger. Escalation depends on co-factors/current findings.</w:t>
            </w:r>
          </w:p>
        </w:tc>
      </w:tr>
      <w:tr>
        <w:tc>
          <w:tcPr>
            <w:tcW w:type="dxa" w:w="1800"/>
            <w:tcMar>
              <w:top w:w="60" w:type="dxa"/>
              <w:start w:w="80" w:type="dxa"/>
              <w:bottom w:w="60" w:type="dxa"/>
              <w:end w:w="80" w:type="dxa"/>
            </w:tcMar>
            <w:vAlign w:val="center"/>
          </w:tcPr>
          <w:p>
            <w:pPr>
              <w:spacing w:after="0" w:line="240" w:lineRule="auto"/>
            </w:pPr>
            <w:r>
              <w:rPr>
                <w:sz w:val="15"/>
              </w:rPr>
              <w:t>Best interval after live birth</w:t>
            </w:r>
          </w:p>
        </w:tc>
        <w:tc>
          <w:tcPr>
            <w:tcW w:type="dxa" w:w="4320"/>
            <w:tcMar>
              <w:top w:w="60" w:type="dxa"/>
              <w:start w:w="80" w:type="dxa"/>
              <w:bottom w:w="60" w:type="dxa"/>
              <w:end w:w="80" w:type="dxa"/>
            </w:tcMar>
            <w:vAlign w:val="center"/>
          </w:tcPr>
          <w:p>
            <w:pPr>
              <w:spacing w:after="0" w:line="240" w:lineRule="auto"/>
            </w:pPr>
            <w:r>
              <w:rPr>
                <w:sz w:val="15"/>
              </w:rPr>
              <w:t>WHO public guidance: at least 2 years before next pregnancy; ACOG: avoid &lt;6 months and counsel about &lt;18 months; meta-analyses often favor 18-23 months.</w:t>
            </w:r>
          </w:p>
        </w:tc>
        <w:tc>
          <w:tcPr>
            <w:tcW w:type="dxa" w:w="3960"/>
            <w:tcMar>
              <w:top w:w="60" w:type="dxa"/>
              <w:start w:w="80" w:type="dxa"/>
              <w:bottom w:w="60" w:type="dxa"/>
              <w:end w:w="80" w:type="dxa"/>
            </w:tcMar>
            <w:vAlign w:val="center"/>
          </w:tcPr>
          <w:p>
            <w:pPr>
              <w:spacing w:after="0" w:line="240" w:lineRule="auto"/>
            </w:pPr>
            <w:r>
              <w:rPr>
                <w:sz w:val="15"/>
              </w:rPr>
              <w:t>Store exact interval, source previous outcome, and display guideline-specific counselling rather than one universal “safe” cutoff.</w:t>
            </w:r>
          </w:p>
        </w:tc>
      </w:tr>
      <w:tr>
        <w:tc>
          <w:tcPr>
            <w:tcW w:type="dxa" w:w="1800"/>
            <w:tcMar>
              <w:top w:w="60" w:type="dxa"/>
              <w:start w:w="80" w:type="dxa"/>
              <w:bottom w:w="60" w:type="dxa"/>
              <w:end w:w="80" w:type="dxa"/>
            </w:tcMar>
            <w:vAlign w:val="center"/>
            <w:shd w:fill="EAF1F7"/>
          </w:tcPr>
          <w:p>
            <w:pPr>
              <w:spacing w:after="0" w:line="240" w:lineRule="auto"/>
            </w:pPr>
            <w:r>
              <w:rPr>
                <w:sz w:val="15"/>
              </w:rPr>
              <w:t>Interval after miscarriage</w:t>
            </w:r>
          </w:p>
        </w:tc>
        <w:tc>
          <w:tcPr>
            <w:tcW w:type="dxa" w:w="4320"/>
            <w:tcMar>
              <w:top w:w="60" w:type="dxa"/>
              <w:start w:w="80" w:type="dxa"/>
              <w:bottom w:w="60" w:type="dxa"/>
              <w:end w:w="80" w:type="dxa"/>
            </w:tcMar>
            <w:vAlign w:val="center"/>
            <w:shd w:fill="EAF1F7"/>
          </w:tcPr>
          <w:p>
            <w:pPr>
              <w:spacing w:after="0" w:line="240" w:lineRule="auto"/>
            </w:pPr>
            <w:r>
              <w:rPr>
                <w:sz w:val="15"/>
              </w:rPr>
              <w:t>Older WHO recommendation has advised waiting 6 months, while systematic-review evidence found no worse outcomes with &lt;6 months.</w:t>
            </w:r>
          </w:p>
        </w:tc>
        <w:tc>
          <w:tcPr>
            <w:tcW w:type="dxa" w:w="3960"/>
            <w:tcMar>
              <w:top w:w="60" w:type="dxa"/>
              <w:start w:w="80" w:type="dxa"/>
              <w:bottom w:w="60" w:type="dxa"/>
              <w:end w:w="80" w:type="dxa"/>
            </w:tcMar>
            <w:vAlign w:val="center"/>
            <w:shd w:fill="EAF1F7"/>
          </w:tcPr>
          <w:p>
            <w:pPr>
              <w:spacing w:after="0" w:line="240" w:lineRule="auto"/>
            </w:pPr>
            <w:r>
              <w:rPr>
                <w:sz w:val="15"/>
              </w:rPr>
              <w:t>Do not flag &lt;6 months after miscarriage as automatic risk; defer to Part 6 and clinician preference/context.</w:t>
            </w:r>
          </w:p>
        </w:tc>
      </w:tr>
      <w:tr>
        <w:tc>
          <w:tcPr>
            <w:tcW w:type="dxa" w:w="1800"/>
            <w:tcMar>
              <w:top w:w="60" w:type="dxa"/>
              <w:start w:w="80" w:type="dxa"/>
              <w:bottom w:w="60" w:type="dxa"/>
              <w:end w:w="80" w:type="dxa"/>
            </w:tcMar>
            <w:vAlign w:val="center"/>
          </w:tcPr>
          <w:p>
            <w:pPr>
              <w:spacing w:after="0" w:line="240" w:lineRule="auto"/>
            </w:pPr>
            <w:r>
              <w:rPr>
                <w:sz w:val="15"/>
              </w:rPr>
              <w:t>Long interval</w:t>
            </w:r>
          </w:p>
        </w:tc>
        <w:tc>
          <w:tcPr>
            <w:tcW w:type="dxa" w:w="4320"/>
            <w:tcMar>
              <w:top w:w="60" w:type="dxa"/>
              <w:start w:w="80" w:type="dxa"/>
              <w:bottom w:w="60" w:type="dxa"/>
              <w:end w:w="80" w:type="dxa"/>
            </w:tcMar>
            <w:vAlign w:val="center"/>
          </w:tcPr>
          <w:p>
            <w:pPr>
              <w:spacing w:after="0" w:line="240" w:lineRule="auto"/>
            </w:pPr>
            <w:r>
              <w:rPr>
                <w:sz w:val="15"/>
              </w:rPr>
              <w:t>Studies often identify increased risk at ≥60 months, including preeclampsia in some analyses.</w:t>
            </w:r>
          </w:p>
        </w:tc>
        <w:tc>
          <w:tcPr>
            <w:tcW w:type="dxa" w:w="3960"/>
            <w:tcMar>
              <w:top w:w="60" w:type="dxa"/>
              <w:start w:w="80" w:type="dxa"/>
              <w:bottom w:w="60" w:type="dxa"/>
              <w:end w:w="80" w:type="dxa"/>
            </w:tcMar>
            <w:vAlign w:val="center"/>
          </w:tcPr>
          <w:p>
            <w:pPr>
              <w:spacing w:after="0" w:line="240" w:lineRule="auto"/>
            </w:pPr>
            <w:r>
              <w:rPr>
                <w:sz w:val="15"/>
              </w:rPr>
              <w:t>Contextual review prompt, especially with age and medical factors.</w:t>
            </w:r>
          </w:p>
        </w:tc>
      </w:tr>
      <w:tr>
        <w:tc>
          <w:tcPr>
            <w:tcW w:type="dxa" w:w="1800"/>
            <w:tcMar>
              <w:top w:w="60" w:type="dxa"/>
              <w:start w:w="80" w:type="dxa"/>
              <w:bottom w:w="60" w:type="dxa"/>
              <w:end w:w="80" w:type="dxa"/>
            </w:tcMar>
            <w:vAlign w:val="center"/>
            <w:shd w:fill="EAF1F7"/>
          </w:tcPr>
          <w:p>
            <w:pPr>
              <w:spacing w:after="0" w:line="240" w:lineRule="auto"/>
            </w:pPr>
            <w:r>
              <w:rPr>
                <w:sz w:val="15"/>
              </w:rPr>
              <w:t>Parity threshold</w:t>
            </w:r>
          </w:p>
        </w:tc>
        <w:tc>
          <w:tcPr>
            <w:tcW w:type="dxa" w:w="4320"/>
            <w:tcMar>
              <w:top w:w="60" w:type="dxa"/>
              <w:start w:w="80" w:type="dxa"/>
              <w:bottom w:w="60" w:type="dxa"/>
              <w:end w:w="80" w:type="dxa"/>
            </w:tcMar>
            <w:vAlign w:val="center"/>
            <w:shd w:fill="EAF1F7"/>
          </w:tcPr>
          <w:p>
            <w:pPr>
              <w:spacing w:after="0" w:line="240" w:lineRule="auto"/>
            </w:pPr>
            <w:r>
              <w:rPr>
                <w:sz w:val="15"/>
              </w:rPr>
              <w:t>Viability threshold and grand-multiparity definition vary.</w:t>
            </w:r>
          </w:p>
        </w:tc>
        <w:tc>
          <w:tcPr>
            <w:tcW w:type="dxa" w:w="3960"/>
            <w:tcMar>
              <w:top w:w="60" w:type="dxa"/>
              <w:start w:w="80" w:type="dxa"/>
              <w:bottom w:w="60" w:type="dxa"/>
              <w:end w:w="80" w:type="dxa"/>
            </w:tcMar>
            <w:vAlign w:val="center"/>
            <w:shd w:fill="EAF1F7"/>
          </w:tcPr>
          <w:p>
            <w:pPr>
              <w:spacing w:after="0" w:line="240" w:lineRule="auto"/>
            </w:pPr>
            <w:r>
              <w:rPr>
                <w:sz w:val="15"/>
              </w:rPr>
              <w:t>Version the local standard and retain event-level facts.</w:t>
            </w:r>
          </w:p>
        </w:tc>
      </w:tr>
    </w:tbl>
    <w:p>
      <w:pPr>
        <w:spacing w:after="20"/>
      </w:pPr>
    </w:p>
    <w:tbl>
      <w:tblPr>
        <w:tblW w:type="auto" w:w="0"/>
        <w:jc w:val="center"/>
        <w:tblLook w:firstColumn="1" w:firstRow="1" w:lastColumn="0" w:lastRow="0" w:noHBand="0" w:noVBand="1" w:val="04A0"/>
      </w:tblPr>
      <w:tblGrid>
        <w:gridCol w:w="10080"/>
      </w:tblGrid>
      <w:tr>
        <w:tc>
          <w:tcPr>
            <w:tcW w:type="dxa" w:w="10080"/>
            <w:shd w:fill="D9EAF7"/>
            <w:tcMar>
              <w:top w:w="120" w:type="dxa"/>
              <w:start w:w="140" w:type="dxa"/>
              <w:bottom w:w="120" w:type="dxa"/>
              <w:end w:w="140" w:type="dxa"/>
            </w:tcMar>
          </w:tcPr>
          <w:p>
            <w:r>
              <w:rPr>
                <w:b/>
                <w:color w:val="17365D"/>
              </w:rPr>
              <w:t xml:space="preserve">Safety principle: </w:t>
            </w:r>
            <w:r>
              <w:t>A descriptive obstetric-history label may change what questions the system asks and what education it offers. It must not, by itself, determine diagnosis, delivery method, or emergency status.</w:t>
            </w:r>
          </w:p>
        </w:tc>
      </w:tr>
    </w:tbl>
    <w:p>
      <w:pPr>
        <w:spacing w:after="20"/>
      </w:pPr>
    </w:p>
    <w:p>
      <w:pPr>
        <w:pStyle w:val="Heading1"/>
      </w:pPr>
      <w:r>
        <w:t>6. CDSS Decision Logic</w:t>
      </w:r>
    </w:p>
    <w:p>
      <w:pPr>
        <w:pStyle w:val="Heading2"/>
      </w:pPr>
      <w:r>
        <w:t>6.1 Processing sequence</w:t>
      </w:r>
    </w:p>
    <w:p>
      <w:pPr>
        <w:pStyle w:val="ListNumber"/>
      </w:pPr>
      <w:r>
        <w:t>Validate pregnancy confirmation and identify the current pregnancy episode.</w:t>
      </w:r>
    </w:p>
    <w:p>
      <w:pPr>
        <w:pStyle w:val="ListNumber"/>
      </w:pPr>
      <w:r>
        <w:t>Retrieve prior obstetric-event records and their provenance.</w:t>
      </w:r>
    </w:p>
    <w:p>
      <w:pPr>
        <w:pStyle w:val="ListNumber"/>
      </w:pPr>
      <w:r>
        <w:t>Derive gravidity, parity, living children, and current first-pregnancy status using the configured definition standard.</w:t>
      </w:r>
    </w:p>
    <w:p>
      <w:pPr>
        <w:pStyle w:val="ListNumber"/>
      </w:pPr>
      <w:r>
        <w:t>Calculate interval from the most recent pregnancy outcome to estimated conception of the current pregnancy when dates are sufficient.</w:t>
      </w:r>
    </w:p>
    <w:p>
      <w:pPr>
        <w:pStyle w:val="ListNumber"/>
      </w:pPr>
      <w:r>
        <w:t>Identify specific previous adverse outcomes and route them to their dedicated pathways.</w:t>
      </w:r>
    </w:p>
    <w:p>
      <w:pPr>
        <w:pStyle w:val="ListNumber"/>
      </w:pPr>
      <w:r>
        <w:t>Check current symptoms, examination findings, laboratory findings, age, medical conditions, ultrasound findings, and facility limitations.</w:t>
      </w:r>
    </w:p>
    <w:p>
      <w:pPr>
        <w:pStyle w:val="ListNumber"/>
      </w:pPr>
      <w:r>
        <w:t>Generate a contextual recommendation, missing-data notice, referral prompt, or emergency override as appropriate.</w:t>
      </w:r>
    </w:p>
    <w:p>
      <w:pPr>
        <w:pStyle w:val="ListNumber"/>
      </w:pPr>
      <w:r>
        <w:t>Record the rule version, data used, data missing, and explanation shown to the user.</w:t>
      </w:r>
    </w:p>
    <w:p>
      <w:pPr>
        <w:pStyle w:val="Heading2"/>
      </w:pPr>
      <w:r>
        <w:t>6.2 Proposed rule families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shd w:fill="1F4E78"/>
            <w:tcMar>
              <w:top w:w="60" w:type="dxa"/>
              <w:start w:w="80" w:type="dxa"/>
              <w:bottom w:w="60" w:type="dxa"/>
              <w:end w:w="80" w:type="dxa"/>
            </w:tcMar>
          </w:tcPr>
          <w:p>
            <w:r>
              <w:rPr>
                <w:b/>
                <w:color w:val="FFFFFF"/>
                <w:sz w:val="14"/>
              </w:rPr>
              <w:t>Rule ID</w:t>
            </w:r>
          </w:p>
        </w:tc>
        <w:tc>
          <w:tcPr>
            <w:tcW w:type="dxa" w:w="3240"/>
            <w:shd w:fill="1F4E78"/>
            <w:tcMar>
              <w:top w:w="60" w:type="dxa"/>
              <w:start w:w="80" w:type="dxa"/>
              <w:bottom w:w="60" w:type="dxa"/>
              <w:end w:w="80" w:type="dxa"/>
            </w:tcMar>
          </w:tcPr>
          <w:p>
            <w:r>
              <w:rPr>
                <w:b/>
                <w:color w:val="FFFFFF"/>
                <w:sz w:val="14"/>
              </w:rPr>
              <w:t>Trigger</w:t>
            </w:r>
          </w:p>
        </w:tc>
        <w:tc>
          <w:tcPr>
            <w:tcW w:type="dxa" w:w="3528"/>
            <w:shd w:fill="1F4E78"/>
            <w:tcMar>
              <w:top w:w="60" w:type="dxa"/>
              <w:start w:w="80" w:type="dxa"/>
              <w:bottom w:w="60" w:type="dxa"/>
              <w:end w:w="80" w:type="dxa"/>
            </w:tcMar>
          </w:tcPr>
          <w:p>
            <w:r>
              <w:rPr>
                <w:b/>
                <w:color w:val="FFFFFF"/>
                <w:sz w:val="14"/>
              </w:rPr>
              <w:t>System action</w:t>
            </w:r>
          </w:p>
        </w:tc>
        <w:tc>
          <w:tcPr>
            <w:tcW w:type="dxa" w:w="2304"/>
            <w:shd w:fill="1F4E78"/>
            <w:tcMar>
              <w:top w:w="60" w:type="dxa"/>
              <w:start w:w="80" w:type="dxa"/>
              <w:bottom w:w="60" w:type="dxa"/>
              <w:end w:w="80" w:type="dxa"/>
            </w:tcMar>
          </w:tcPr>
          <w:p>
            <w:r>
              <w:rPr>
                <w:b/>
                <w:color w:val="FFFFFF"/>
                <w:sz w:val="14"/>
              </w:rPr>
              <w:t>Must not do</w:t>
            </w:r>
          </w:p>
        </w:tc>
      </w:tr>
      <w:tr>
        <w:tc>
          <w:tcPr>
            <w:tcW w:type="dxa" w:w="1008"/>
            <w:tcMar>
              <w:top w:w="60" w:type="dxa"/>
              <w:start w:w="80" w:type="dxa"/>
              <w:bottom w:w="60" w:type="dxa"/>
              <w:end w:w="80" w:type="dxa"/>
            </w:tcMar>
            <w:vAlign w:val="center"/>
          </w:tcPr>
          <w:p>
            <w:pPr>
              <w:spacing w:after="0" w:line="240" w:lineRule="auto"/>
            </w:pPr>
            <w:r>
              <w:rPr>
                <w:sz w:val="14"/>
              </w:rPr>
              <w:t>GP-0</w:t>
            </w:r>
          </w:p>
        </w:tc>
        <w:tc>
          <w:tcPr>
            <w:tcW w:type="dxa" w:w="3240"/>
            <w:tcMar>
              <w:top w:w="60" w:type="dxa"/>
              <w:start w:w="80" w:type="dxa"/>
              <w:bottom w:w="60" w:type="dxa"/>
              <w:end w:w="80" w:type="dxa"/>
            </w:tcMar>
            <w:vAlign w:val="center"/>
          </w:tcPr>
          <w:p>
            <w:pPr>
              <w:spacing w:after="0" w:line="240" w:lineRule="auto"/>
            </w:pPr>
            <w:r>
              <w:rPr>
                <w:sz w:val="14"/>
              </w:rPr>
              <w:t>Obstetric history missing or internally inconsistent.</w:t>
            </w:r>
          </w:p>
        </w:tc>
        <w:tc>
          <w:tcPr>
            <w:tcW w:type="dxa" w:w="3528"/>
            <w:tcMar>
              <w:top w:w="60" w:type="dxa"/>
              <w:start w:w="80" w:type="dxa"/>
              <w:bottom w:w="60" w:type="dxa"/>
              <w:end w:w="80" w:type="dxa"/>
            </w:tcMar>
            <w:vAlign w:val="center"/>
          </w:tcPr>
          <w:p>
            <w:pPr>
              <w:spacing w:after="0" w:line="240" w:lineRule="auto"/>
            </w:pPr>
            <w:r>
              <w:rPr>
                <w:sz w:val="14"/>
              </w:rPr>
              <w:t>Show ASSESSMENT INCOMPLETE for the history component; request clarification or record review.</w:t>
            </w:r>
          </w:p>
        </w:tc>
        <w:tc>
          <w:tcPr>
            <w:tcW w:type="dxa" w:w="2304"/>
            <w:tcMar>
              <w:top w:w="60" w:type="dxa"/>
              <w:start w:w="80" w:type="dxa"/>
              <w:bottom w:w="60" w:type="dxa"/>
              <w:end w:w="80" w:type="dxa"/>
            </w:tcMar>
            <w:vAlign w:val="center"/>
          </w:tcPr>
          <w:p>
            <w:pPr>
              <w:spacing w:after="0" w:line="240" w:lineRule="auto"/>
            </w:pPr>
            <w:r>
              <w:rPr>
                <w:sz w:val="14"/>
              </w:rPr>
              <w:t>Assume G1P0 or zero previous outcomes.</w:t>
            </w:r>
          </w:p>
        </w:tc>
      </w:tr>
      <w:tr>
        <w:tc>
          <w:tcPr>
            <w:tcW w:type="dxa" w:w="1008"/>
            <w:tcMar>
              <w:top w:w="60" w:type="dxa"/>
              <w:start w:w="80" w:type="dxa"/>
              <w:bottom w:w="60" w:type="dxa"/>
              <w:end w:w="80" w:type="dxa"/>
            </w:tcMar>
            <w:vAlign w:val="center"/>
            <w:shd w:fill="EAF1F7"/>
          </w:tcPr>
          <w:p>
            <w:pPr>
              <w:spacing w:after="0" w:line="240" w:lineRule="auto"/>
            </w:pPr>
            <w:r>
              <w:rPr>
                <w:sz w:val="14"/>
              </w:rPr>
              <w:t>GP-1</w:t>
            </w:r>
          </w:p>
        </w:tc>
        <w:tc>
          <w:tcPr>
            <w:tcW w:type="dxa" w:w="3240"/>
            <w:tcMar>
              <w:top w:w="60" w:type="dxa"/>
              <w:start w:w="80" w:type="dxa"/>
              <w:bottom w:w="60" w:type="dxa"/>
              <w:end w:w="80" w:type="dxa"/>
            </w:tcMar>
            <w:vAlign w:val="center"/>
            <w:shd w:fill="EAF1F7"/>
          </w:tcPr>
          <w:p>
            <w:pPr>
              <w:spacing w:after="0" w:line="240" w:lineRule="auto"/>
            </w:pPr>
            <w:r>
              <w:rPr>
                <w:sz w:val="14"/>
              </w:rPr>
              <w:t>Confirmed first pregnancy; no current warning signs.</w:t>
            </w:r>
          </w:p>
        </w:tc>
        <w:tc>
          <w:tcPr>
            <w:tcW w:type="dxa" w:w="3528"/>
            <w:tcMar>
              <w:top w:w="60" w:type="dxa"/>
              <w:start w:w="80" w:type="dxa"/>
              <w:bottom w:w="60" w:type="dxa"/>
              <w:end w:w="80" w:type="dxa"/>
            </w:tcMar>
            <w:vAlign w:val="center"/>
            <w:shd w:fill="EAF1F7"/>
          </w:tcPr>
          <w:p>
            <w:pPr>
              <w:spacing w:after="0" w:line="240" w:lineRule="auto"/>
            </w:pPr>
            <w:r>
              <w:rPr>
                <w:sz w:val="14"/>
              </w:rPr>
              <w:t>Provide nulliparous care/education prompt and routine assessment.</w:t>
            </w:r>
          </w:p>
        </w:tc>
        <w:tc>
          <w:tcPr>
            <w:tcW w:type="dxa" w:w="2304"/>
            <w:tcMar>
              <w:top w:w="60" w:type="dxa"/>
              <w:start w:w="80" w:type="dxa"/>
              <w:bottom w:w="60" w:type="dxa"/>
              <w:end w:w="80" w:type="dxa"/>
            </w:tcMar>
            <w:vAlign w:val="center"/>
            <w:shd w:fill="EAF1F7"/>
          </w:tcPr>
          <w:p>
            <w:pPr>
              <w:spacing w:after="0" w:line="240" w:lineRule="auto"/>
            </w:pPr>
            <w:r>
              <w:rPr>
                <w:sz w:val="14"/>
              </w:rPr>
              <w:t>Assign HIGH solely because it is the first pregnancy.</w:t>
            </w:r>
          </w:p>
        </w:tc>
      </w:tr>
      <w:tr>
        <w:tc>
          <w:tcPr>
            <w:tcW w:type="dxa" w:w="1008"/>
            <w:tcMar>
              <w:top w:w="60" w:type="dxa"/>
              <w:start w:w="80" w:type="dxa"/>
              <w:bottom w:w="60" w:type="dxa"/>
              <w:end w:w="80" w:type="dxa"/>
            </w:tcMar>
            <w:vAlign w:val="center"/>
          </w:tcPr>
          <w:p>
            <w:pPr>
              <w:spacing w:after="0" w:line="240" w:lineRule="auto"/>
            </w:pPr>
            <w:r>
              <w:rPr>
                <w:sz w:val="14"/>
              </w:rPr>
              <w:t>GP-2</w:t>
            </w:r>
          </w:p>
        </w:tc>
        <w:tc>
          <w:tcPr>
            <w:tcW w:type="dxa" w:w="3240"/>
            <w:tcMar>
              <w:top w:w="60" w:type="dxa"/>
              <w:start w:w="80" w:type="dxa"/>
              <w:bottom w:w="60" w:type="dxa"/>
              <w:end w:w="80" w:type="dxa"/>
            </w:tcMar>
            <w:vAlign w:val="center"/>
          </w:tcPr>
          <w:p>
            <w:pPr>
              <w:spacing w:after="0" w:line="240" w:lineRule="auto"/>
            </w:pPr>
            <w:r>
              <w:rPr>
                <w:sz w:val="14"/>
              </w:rPr>
              <w:t>Nulliparity plus another evidence-based factor, e.g., age or hypertensive-risk pathway.</w:t>
            </w:r>
          </w:p>
        </w:tc>
        <w:tc>
          <w:tcPr>
            <w:tcW w:type="dxa" w:w="3528"/>
            <w:tcMar>
              <w:top w:w="60" w:type="dxa"/>
              <w:start w:w="80" w:type="dxa"/>
              <w:bottom w:w="60" w:type="dxa"/>
              <w:end w:w="80" w:type="dxa"/>
            </w:tcMar>
            <w:vAlign w:val="center"/>
          </w:tcPr>
          <w:p>
            <w:pPr>
              <w:spacing w:after="0" w:line="240" w:lineRule="auto"/>
            </w:pPr>
            <w:r>
              <w:rPr>
                <w:sz w:val="14"/>
              </w:rPr>
              <w:t>Pass parity as an interaction modifier to the relevant pathway.</w:t>
            </w:r>
          </w:p>
        </w:tc>
        <w:tc>
          <w:tcPr>
            <w:tcW w:type="dxa" w:w="2304"/>
            <w:tcMar>
              <w:top w:w="60" w:type="dxa"/>
              <w:start w:w="80" w:type="dxa"/>
              <w:bottom w:w="60" w:type="dxa"/>
              <w:end w:w="80" w:type="dxa"/>
            </w:tcMar>
            <w:vAlign w:val="center"/>
          </w:tcPr>
          <w:p>
            <w:pPr>
              <w:spacing w:after="0" w:line="240" w:lineRule="auto"/>
            </w:pPr>
            <w:r>
              <w:rPr>
                <w:sz w:val="14"/>
              </w:rPr>
              <w:t>Double-count the same risk in a score.</w:t>
            </w:r>
          </w:p>
        </w:tc>
      </w:tr>
      <w:tr>
        <w:tc>
          <w:tcPr>
            <w:tcW w:type="dxa" w:w="1008"/>
            <w:tcMar>
              <w:top w:w="60" w:type="dxa"/>
              <w:start w:w="80" w:type="dxa"/>
              <w:bottom w:w="60" w:type="dxa"/>
              <w:end w:w="80" w:type="dxa"/>
            </w:tcMar>
            <w:vAlign w:val="center"/>
            <w:shd w:fill="EAF1F7"/>
          </w:tcPr>
          <w:p>
            <w:pPr>
              <w:spacing w:after="0" w:line="240" w:lineRule="auto"/>
            </w:pPr>
            <w:r>
              <w:rPr>
                <w:sz w:val="14"/>
              </w:rPr>
              <w:t>GP-3</w:t>
            </w:r>
          </w:p>
        </w:tc>
        <w:tc>
          <w:tcPr>
            <w:tcW w:type="dxa" w:w="3240"/>
            <w:tcMar>
              <w:top w:w="60" w:type="dxa"/>
              <w:start w:w="80" w:type="dxa"/>
              <w:bottom w:w="60" w:type="dxa"/>
              <w:end w:w="80" w:type="dxa"/>
            </w:tcMar>
            <w:vAlign w:val="center"/>
            <w:shd w:fill="EAF1F7"/>
          </w:tcPr>
          <w:p>
            <w:pPr>
              <w:spacing w:after="0" w:line="240" w:lineRule="auto"/>
            </w:pPr>
            <w:r>
              <w:rPr>
                <w:sz w:val="14"/>
              </w:rPr>
              <w:t>Parity meets configured grand-multiparity threshold.</w:t>
            </w:r>
          </w:p>
        </w:tc>
        <w:tc>
          <w:tcPr>
            <w:tcW w:type="dxa" w:w="3528"/>
            <w:tcMar>
              <w:top w:w="60" w:type="dxa"/>
              <w:start w:w="80" w:type="dxa"/>
              <w:bottom w:w="60" w:type="dxa"/>
              <w:end w:w="80" w:type="dxa"/>
            </w:tcMar>
            <w:vAlign w:val="center"/>
            <w:shd w:fill="EAF1F7"/>
          </w:tcPr>
          <w:p>
            <w:pPr>
              <w:spacing w:after="0" w:line="240" w:lineRule="auto"/>
            </w:pPr>
            <w:r>
              <w:rPr>
                <w:sz w:val="14"/>
              </w:rPr>
              <w:t>Prompt review of age, Hb/anaemia, prior PPH, placenta history, comorbidity, and birth setting.</w:t>
            </w:r>
          </w:p>
        </w:tc>
        <w:tc>
          <w:tcPr>
            <w:tcW w:type="dxa" w:w="2304"/>
            <w:tcMar>
              <w:top w:w="60" w:type="dxa"/>
              <w:start w:w="80" w:type="dxa"/>
              <w:bottom w:w="60" w:type="dxa"/>
              <w:end w:w="80" w:type="dxa"/>
            </w:tcMar>
            <w:vAlign w:val="center"/>
            <w:shd w:fill="EAF1F7"/>
          </w:tcPr>
          <w:p>
            <w:pPr>
              <w:spacing w:after="0" w:line="240" w:lineRule="auto"/>
            </w:pPr>
            <w:r>
              <w:rPr>
                <w:sz w:val="14"/>
              </w:rPr>
              <w:t>Declare emergency or mandatory CS.</w:t>
            </w:r>
          </w:p>
        </w:tc>
      </w:tr>
      <w:tr>
        <w:tc>
          <w:tcPr>
            <w:tcW w:type="dxa" w:w="1008"/>
            <w:tcMar>
              <w:top w:w="60" w:type="dxa"/>
              <w:start w:w="80" w:type="dxa"/>
              <w:bottom w:w="60" w:type="dxa"/>
              <w:end w:w="80" w:type="dxa"/>
            </w:tcMar>
            <w:vAlign w:val="center"/>
          </w:tcPr>
          <w:p>
            <w:pPr>
              <w:spacing w:after="0" w:line="240" w:lineRule="auto"/>
            </w:pPr>
            <w:r>
              <w:rPr>
                <w:sz w:val="14"/>
              </w:rPr>
              <w:t>GP-4</w:t>
            </w:r>
          </w:p>
        </w:tc>
        <w:tc>
          <w:tcPr>
            <w:tcW w:type="dxa" w:w="3240"/>
            <w:tcMar>
              <w:top w:w="60" w:type="dxa"/>
              <w:start w:w="80" w:type="dxa"/>
              <w:bottom w:w="60" w:type="dxa"/>
              <w:end w:w="80" w:type="dxa"/>
            </w:tcMar>
            <w:vAlign w:val="center"/>
          </w:tcPr>
          <w:p>
            <w:pPr>
              <w:spacing w:after="0" w:line="240" w:lineRule="auto"/>
            </w:pPr>
            <w:r>
              <w:rPr>
                <w:sz w:val="14"/>
              </w:rPr>
              <w:t>Interpregnancy interval &lt;6 months after live birth.</w:t>
            </w:r>
          </w:p>
        </w:tc>
        <w:tc>
          <w:tcPr>
            <w:tcW w:type="dxa" w:w="3528"/>
            <w:tcMar>
              <w:top w:w="60" w:type="dxa"/>
              <w:start w:w="80" w:type="dxa"/>
              <w:bottom w:w="60" w:type="dxa"/>
              <w:end w:w="80" w:type="dxa"/>
            </w:tcMar>
            <w:vAlign w:val="center"/>
          </w:tcPr>
          <w:p>
            <w:pPr>
              <w:spacing w:after="0" w:line="240" w:lineRule="auto"/>
            </w:pPr>
            <w:r>
              <w:rPr>
                <w:sz w:val="14"/>
              </w:rPr>
              <w:t>Show counselling and clinician-review prompt; strengthen review if previous CS or preterm birth.</w:t>
            </w:r>
          </w:p>
        </w:tc>
        <w:tc>
          <w:tcPr>
            <w:tcW w:type="dxa" w:w="2304"/>
            <w:tcMar>
              <w:top w:w="60" w:type="dxa"/>
              <w:start w:w="80" w:type="dxa"/>
              <w:bottom w:w="60" w:type="dxa"/>
              <w:end w:w="80" w:type="dxa"/>
            </w:tcMar>
            <w:vAlign w:val="center"/>
          </w:tcPr>
          <w:p>
            <w:pPr>
              <w:spacing w:after="0" w:line="240" w:lineRule="auto"/>
            </w:pPr>
            <w:r>
              <w:rPr>
                <w:sz w:val="14"/>
              </w:rPr>
              <w:t>Diagnose a complication.</w:t>
            </w:r>
          </w:p>
        </w:tc>
      </w:tr>
      <w:tr>
        <w:tc>
          <w:tcPr>
            <w:tcW w:type="dxa" w:w="1008"/>
            <w:tcMar>
              <w:top w:w="60" w:type="dxa"/>
              <w:start w:w="80" w:type="dxa"/>
              <w:bottom w:w="60" w:type="dxa"/>
              <w:end w:w="80" w:type="dxa"/>
            </w:tcMar>
            <w:vAlign w:val="center"/>
            <w:shd w:fill="EAF1F7"/>
          </w:tcPr>
          <w:p>
            <w:pPr>
              <w:spacing w:after="0" w:line="240" w:lineRule="auto"/>
            </w:pPr>
            <w:r>
              <w:rPr>
                <w:sz w:val="14"/>
              </w:rPr>
              <w:t>GP-5</w:t>
            </w:r>
          </w:p>
        </w:tc>
        <w:tc>
          <w:tcPr>
            <w:tcW w:type="dxa" w:w="3240"/>
            <w:tcMar>
              <w:top w:w="60" w:type="dxa"/>
              <w:start w:w="80" w:type="dxa"/>
              <w:bottom w:w="60" w:type="dxa"/>
              <w:end w:w="80" w:type="dxa"/>
            </w:tcMar>
            <w:vAlign w:val="center"/>
            <w:shd w:fill="EAF1F7"/>
          </w:tcPr>
          <w:p>
            <w:pPr>
              <w:spacing w:after="0" w:line="240" w:lineRule="auto"/>
            </w:pPr>
            <w:r>
              <w:rPr>
                <w:sz w:val="14"/>
              </w:rPr>
              <w:t>Interval 6-17 months after live birth.</w:t>
            </w:r>
          </w:p>
        </w:tc>
        <w:tc>
          <w:tcPr>
            <w:tcW w:type="dxa" w:w="3528"/>
            <w:tcMar>
              <w:top w:w="60" w:type="dxa"/>
              <w:start w:w="80" w:type="dxa"/>
              <w:bottom w:w="60" w:type="dxa"/>
              <w:end w:w="80" w:type="dxa"/>
            </w:tcMar>
            <w:vAlign w:val="center"/>
            <w:shd w:fill="EAF1F7"/>
          </w:tcPr>
          <w:p>
            <w:pPr>
              <w:spacing w:after="0" w:line="240" w:lineRule="auto"/>
            </w:pPr>
            <w:r>
              <w:rPr>
                <w:sz w:val="14"/>
              </w:rPr>
              <w:t>Contextual counselling according to local policy and patient goals.</w:t>
            </w:r>
          </w:p>
        </w:tc>
        <w:tc>
          <w:tcPr>
            <w:tcW w:type="dxa" w:w="2304"/>
            <w:tcMar>
              <w:top w:w="60" w:type="dxa"/>
              <w:start w:w="80" w:type="dxa"/>
              <w:bottom w:w="60" w:type="dxa"/>
              <w:end w:w="80" w:type="dxa"/>
            </w:tcMar>
            <w:vAlign w:val="center"/>
            <w:shd w:fill="EAF1F7"/>
          </w:tcPr>
          <w:p>
            <w:pPr>
              <w:spacing w:after="0" w:line="240" w:lineRule="auto"/>
            </w:pPr>
            <w:r>
              <w:rPr>
                <w:sz w:val="14"/>
              </w:rPr>
              <w:t>Treat as equal to &lt;6 months.</w:t>
            </w:r>
          </w:p>
        </w:tc>
      </w:tr>
      <w:tr>
        <w:tc>
          <w:tcPr>
            <w:tcW w:type="dxa" w:w="1008"/>
            <w:tcMar>
              <w:top w:w="60" w:type="dxa"/>
              <w:start w:w="80" w:type="dxa"/>
              <w:bottom w:w="60" w:type="dxa"/>
              <w:end w:w="80" w:type="dxa"/>
            </w:tcMar>
            <w:vAlign w:val="center"/>
          </w:tcPr>
          <w:p>
            <w:pPr>
              <w:spacing w:after="0" w:line="240" w:lineRule="auto"/>
            </w:pPr>
            <w:r>
              <w:rPr>
                <w:sz w:val="14"/>
              </w:rPr>
              <w:t>GP-6</w:t>
            </w:r>
          </w:p>
        </w:tc>
        <w:tc>
          <w:tcPr>
            <w:tcW w:type="dxa" w:w="3240"/>
            <w:tcMar>
              <w:top w:w="60" w:type="dxa"/>
              <w:start w:w="80" w:type="dxa"/>
              <w:bottom w:w="60" w:type="dxa"/>
              <w:end w:w="80" w:type="dxa"/>
            </w:tcMar>
            <w:vAlign w:val="center"/>
          </w:tcPr>
          <w:p>
            <w:pPr>
              <w:spacing w:after="0" w:line="240" w:lineRule="auto"/>
            </w:pPr>
            <w:r>
              <w:rPr>
                <w:sz w:val="14"/>
              </w:rPr>
              <w:t>Interval ≥60 months.</w:t>
            </w:r>
          </w:p>
        </w:tc>
        <w:tc>
          <w:tcPr>
            <w:tcW w:type="dxa" w:w="3528"/>
            <w:tcMar>
              <w:top w:w="60" w:type="dxa"/>
              <w:start w:w="80" w:type="dxa"/>
              <w:bottom w:w="60" w:type="dxa"/>
              <w:end w:w="80" w:type="dxa"/>
            </w:tcMar>
            <w:vAlign w:val="center"/>
          </w:tcPr>
          <w:p>
            <w:pPr>
              <w:spacing w:after="0" w:line="240" w:lineRule="auto"/>
            </w:pPr>
            <w:r>
              <w:rPr>
                <w:sz w:val="14"/>
              </w:rPr>
              <w:t>Prompt review of age, BP/preeclampsia risk, diabetes, and re-orientation education.</w:t>
            </w:r>
          </w:p>
        </w:tc>
        <w:tc>
          <w:tcPr>
            <w:tcW w:type="dxa" w:w="2304"/>
            <w:tcMar>
              <w:top w:w="60" w:type="dxa"/>
              <w:start w:w="80" w:type="dxa"/>
              <w:bottom w:w="60" w:type="dxa"/>
              <w:end w:w="80" w:type="dxa"/>
            </w:tcMar>
            <w:vAlign w:val="center"/>
          </w:tcPr>
          <w:p>
            <w:pPr>
              <w:spacing w:after="0" w:line="240" w:lineRule="auto"/>
            </w:pPr>
            <w:r>
              <w:rPr>
                <w:sz w:val="14"/>
              </w:rPr>
              <w:t>Automatically label HIGH.</w:t>
            </w:r>
          </w:p>
        </w:tc>
      </w:tr>
      <w:tr>
        <w:tc>
          <w:tcPr>
            <w:tcW w:type="dxa" w:w="1008"/>
            <w:tcMar>
              <w:top w:w="60" w:type="dxa"/>
              <w:start w:w="80" w:type="dxa"/>
              <w:bottom w:w="60" w:type="dxa"/>
              <w:end w:w="80" w:type="dxa"/>
            </w:tcMar>
            <w:vAlign w:val="center"/>
            <w:shd w:fill="EAF1F7"/>
          </w:tcPr>
          <w:p>
            <w:pPr>
              <w:spacing w:after="0" w:line="240" w:lineRule="auto"/>
            </w:pPr>
            <w:r>
              <w:rPr>
                <w:sz w:val="14"/>
              </w:rPr>
              <w:t>GP-7</w:t>
            </w:r>
          </w:p>
        </w:tc>
        <w:tc>
          <w:tcPr>
            <w:tcW w:type="dxa" w:w="3240"/>
            <w:tcMar>
              <w:top w:w="60" w:type="dxa"/>
              <w:start w:w="80" w:type="dxa"/>
              <w:bottom w:w="60" w:type="dxa"/>
              <w:end w:w="80" w:type="dxa"/>
            </w:tcMar>
            <w:vAlign w:val="center"/>
            <w:shd w:fill="EAF1F7"/>
          </w:tcPr>
          <w:p>
            <w:pPr>
              <w:spacing w:after="0" w:line="240" w:lineRule="auto"/>
            </w:pPr>
            <w:r>
              <w:rPr>
                <w:sz w:val="14"/>
              </w:rPr>
              <w:t>Short interval after miscarriage.</w:t>
            </w:r>
          </w:p>
        </w:tc>
        <w:tc>
          <w:tcPr>
            <w:tcW w:type="dxa" w:w="3528"/>
            <w:tcMar>
              <w:top w:w="60" w:type="dxa"/>
              <w:start w:w="80" w:type="dxa"/>
              <w:bottom w:w="60" w:type="dxa"/>
              <w:end w:w="80" w:type="dxa"/>
            </w:tcMar>
            <w:vAlign w:val="center"/>
            <w:shd w:fill="EAF1F7"/>
          </w:tcPr>
          <w:p>
            <w:pPr>
              <w:spacing w:after="0" w:line="240" w:lineRule="auto"/>
            </w:pPr>
            <w:r>
              <w:rPr>
                <w:sz w:val="14"/>
              </w:rPr>
              <w:t>Use Part 6 logic; do not apply live-birth spacing rule.</w:t>
            </w:r>
          </w:p>
        </w:tc>
        <w:tc>
          <w:tcPr>
            <w:tcW w:type="dxa" w:w="2304"/>
            <w:tcMar>
              <w:top w:w="60" w:type="dxa"/>
              <w:start w:w="80" w:type="dxa"/>
              <w:bottom w:w="60" w:type="dxa"/>
              <w:end w:w="80" w:type="dxa"/>
            </w:tcMar>
            <w:vAlign w:val="center"/>
            <w:shd w:fill="EAF1F7"/>
          </w:tcPr>
          <w:p>
            <w:pPr>
              <w:spacing w:after="0" w:line="240" w:lineRule="auto"/>
            </w:pPr>
            <w:r>
              <w:rPr>
                <w:sz w:val="14"/>
              </w:rPr>
              <w:t>Flag solely for being &lt;6 months.</w:t>
            </w:r>
          </w:p>
        </w:tc>
      </w:tr>
      <w:tr>
        <w:tc>
          <w:tcPr>
            <w:tcW w:type="dxa" w:w="1008"/>
            <w:tcMar>
              <w:top w:w="60" w:type="dxa"/>
              <w:start w:w="80" w:type="dxa"/>
              <w:bottom w:w="60" w:type="dxa"/>
              <w:end w:w="80" w:type="dxa"/>
            </w:tcMar>
            <w:vAlign w:val="center"/>
          </w:tcPr>
          <w:p>
            <w:pPr>
              <w:spacing w:after="0" w:line="240" w:lineRule="auto"/>
            </w:pPr>
            <w:r>
              <w:rPr>
                <w:sz w:val="14"/>
              </w:rPr>
              <w:t>GP-8</w:t>
            </w:r>
          </w:p>
        </w:tc>
        <w:tc>
          <w:tcPr>
            <w:tcW w:type="dxa" w:w="3240"/>
            <w:tcMar>
              <w:top w:w="60" w:type="dxa"/>
              <w:start w:w="80" w:type="dxa"/>
              <w:bottom w:w="60" w:type="dxa"/>
              <w:end w:w="80" w:type="dxa"/>
            </w:tcMar>
            <w:vAlign w:val="center"/>
          </w:tcPr>
          <w:p>
            <w:pPr>
              <w:spacing w:after="0" w:line="240" w:lineRule="auto"/>
            </w:pPr>
            <w:r>
              <w:rPr>
                <w:sz w:val="14"/>
              </w:rPr>
              <w:t>Previous preterm birth, stillbirth, neonatal death, PPH, shoulder dystocia, or other specified event.</w:t>
            </w:r>
          </w:p>
        </w:tc>
        <w:tc>
          <w:tcPr>
            <w:tcW w:type="dxa" w:w="3528"/>
            <w:tcMar>
              <w:top w:w="60" w:type="dxa"/>
              <w:start w:w="80" w:type="dxa"/>
              <w:bottom w:w="60" w:type="dxa"/>
              <w:end w:w="80" w:type="dxa"/>
            </w:tcMar>
            <w:vAlign w:val="center"/>
          </w:tcPr>
          <w:p>
            <w:pPr>
              <w:spacing w:after="0" w:line="240" w:lineRule="auto"/>
            </w:pPr>
            <w:r>
              <w:rPr>
                <w:sz w:val="14"/>
              </w:rPr>
              <w:t>Route to the specific adverse-history pathway and referral plan.</w:t>
            </w:r>
          </w:p>
        </w:tc>
        <w:tc>
          <w:tcPr>
            <w:tcW w:type="dxa" w:w="2304"/>
            <w:tcMar>
              <w:top w:w="60" w:type="dxa"/>
              <w:start w:w="80" w:type="dxa"/>
              <w:bottom w:w="60" w:type="dxa"/>
              <w:end w:w="80" w:type="dxa"/>
            </w:tcMar>
            <w:vAlign w:val="center"/>
          </w:tcPr>
          <w:p>
            <w:pPr>
              <w:spacing w:after="0" w:line="240" w:lineRule="auto"/>
            </w:pPr>
            <w:r>
              <w:rPr>
                <w:sz w:val="14"/>
              </w:rPr>
              <w:t>Collapse all outcomes into parity.</w:t>
            </w:r>
          </w:p>
        </w:tc>
      </w:tr>
      <w:tr>
        <w:tc>
          <w:tcPr>
            <w:tcW w:type="dxa" w:w="1008"/>
            <w:tcMar>
              <w:top w:w="60" w:type="dxa"/>
              <w:start w:w="80" w:type="dxa"/>
              <w:bottom w:w="60" w:type="dxa"/>
              <w:end w:w="80" w:type="dxa"/>
            </w:tcMar>
            <w:vAlign w:val="center"/>
            <w:shd w:fill="EAF1F7"/>
          </w:tcPr>
          <w:p>
            <w:pPr>
              <w:spacing w:after="0" w:line="240" w:lineRule="auto"/>
            </w:pPr>
            <w:r>
              <w:rPr>
                <w:sz w:val="14"/>
              </w:rPr>
              <w:t>GP-E</w:t>
            </w:r>
          </w:p>
        </w:tc>
        <w:tc>
          <w:tcPr>
            <w:tcW w:type="dxa" w:w="3240"/>
            <w:tcMar>
              <w:top w:w="60" w:type="dxa"/>
              <w:start w:w="80" w:type="dxa"/>
              <w:bottom w:w="60" w:type="dxa"/>
              <w:end w:w="80" w:type="dxa"/>
            </w:tcMar>
            <w:vAlign w:val="center"/>
            <w:shd w:fill="EAF1F7"/>
          </w:tcPr>
          <w:p>
            <w:pPr>
              <w:spacing w:after="0" w:line="240" w:lineRule="auto"/>
            </w:pPr>
            <w:r>
              <w:rPr>
                <w:sz w:val="14"/>
              </w:rPr>
              <w:t>Current emergency symptom/sign from another pathway.</w:t>
            </w:r>
          </w:p>
        </w:tc>
        <w:tc>
          <w:tcPr>
            <w:tcW w:type="dxa" w:w="3528"/>
            <w:tcMar>
              <w:top w:w="60" w:type="dxa"/>
              <w:start w:w="80" w:type="dxa"/>
              <w:bottom w:w="60" w:type="dxa"/>
              <w:end w:w="80" w:type="dxa"/>
            </w:tcMar>
            <w:vAlign w:val="center"/>
            <w:shd w:fill="EAF1F7"/>
          </w:tcPr>
          <w:p>
            <w:pPr>
              <w:spacing w:after="0" w:line="240" w:lineRule="auto"/>
            </w:pPr>
            <w:r>
              <w:rPr>
                <w:sz w:val="14"/>
              </w:rPr>
              <w:t>Bypass ordinary parity processing and activate emergency response.</w:t>
            </w:r>
          </w:p>
        </w:tc>
        <w:tc>
          <w:tcPr>
            <w:tcW w:type="dxa" w:w="2304"/>
            <w:tcMar>
              <w:top w:w="60" w:type="dxa"/>
              <w:start w:w="80" w:type="dxa"/>
              <w:bottom w:w="60" w:type="dxa"/>
              <w:end w:w="80" w:type="dxa"/>
            </w:tcMar>
            <w:vAlign w:val="center"/>
            <w:shd w:fill="EAF1F7"/>
          </w:tcPr>
          <w:p>
            <w:pPr>
              <w:spacing w:after="0" w:line="240" w:lineRule="auto"/>
            </w:pPr>
            <w:r>
              <w:rPr>
                <w:sz w:val="14"/>
              </w:rPr>
              <w:t>Delay escalation to complete G/P details.</w:t>
            </w:r>
          </w:p>
        </w:tc>
      </w:tr>
    </w:tbl>
    <w:p>
      <w:pPr>
        <w:spacing w:after="20"/>
      </w:pPr>
    </w:p>
    <w:p>
      <w:pPr>
        <w:pStyle w:val="Heading2"/>
      </w:pPr>
      <w:r>
        <w:t>6.3 Output categories</w:t>
      </w:r>
    </w:p>
    <w:p>
      <w:pPr>
        <w:pStyle w:val="ListBullet"/>
      </w:pPr>
      <w:r>
        <w:t>ROUTINE / CONTEXTUAL CARE: parity changes scheduling, education, or questions but no escalation criterion is present.</w:t>
      </w:r>
    </w:p>
    <w:p>
      <w:pPr>
        <w:pStyle w:val="ListBullet"/>
      </w:pPr>
      <w:r>
        <w:t>REVIEW / REFERRAL PROMPT: parity or spacing interacts with a specific prior outcome, current factor, or facility limitation.</w:t>
      </w:r>
    </w:p>
    <w:p>
      <w:pPr>
        <w:pStyle w:val="ListBullet"/>
      </w:pPr>
      <w:r>
        <w:t>ASSESSMENT INCOMPLETE: essential event history is absent, contradictory, or unsupported.</w:t>
      </w:r>
    </w:p>
    <w:p>
      <w:pPr>
        <w:pStyle w:val="ListBullet"/>
      </w:pPr>
      <w:r>
        <w:t>EMERGENCY OVERRIDE: a current danger sign from another pathway requires immediate action; parity does not create the emergency.</w:t>
      </w:r>
    </w:p>
    <w:p>
      <w:pPr>
        <w:pStyle w:val="Heading1"/>
      </w:pPr>
      <w:r>
        <w:t>7. Interaction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88"/>
            <w:shd w:fill="1F4E78"/>
            <w:tcMar>
              <w:top w:w="60" w:type="dxa"/>
              <w:start w:w="80" w:type="dxa"/>
              <w:bottom w:w="60" w:type="dxa"/>
              <w:end w:w="80" w:type="dxa"/>
            </w:tcMar>
          </w:tcPr>
          <w:p>
            <w:r>
              <w:rPr>
                <w:b/>
                <w:color w:val="FFFFFF"/>
                <w:sz w:val="14"/>
              </w:rPr>
              <w:t>Primary factor</w:t>
            </w:r>
          </w:p>
        </w:tc>
        <w:tc>
          <w:tcPr>
            <w:tcW w:type="dxa" w:w="2232"/>
            <w:shd w:fill="1F4E78"/>
            <w:tcMar>
              <w:top w:w="60" w:type="dxa"/>
              <w:start w:w="80" w:type="dxa"/>
              <w:bottom w:w="60" w:type="dxa"/>
              <w:end w:w="80" w:type="dxa"/>
            </w:tcMar>
          </w:tcPr>
          <w:p>
            <w:r>
              <w:rPr>
                <w:b/>
                <w:color w:val="FFFFFF"/>
                <w:sz w:val="14"/>
              </w:rPr>
              <w:t>Interacting factor</w:t>
            </w:r>
          </w:p>
        </w:tc>
        <w:tc>
          <w:tcPr>
            <w:tcW w:type="dxa" w:w="3168"/>
            <w:shd w:fill="1F4E78"/>
            <w:tcMar>
              <w:top w:w="60" w:type="dxa"/>
              <w:start w:w="80" w:type="dxa"/>
              <w:bottom w:w="60" w:type="dxa"/>
              <w:end w:w="80" w:type="dxa"/>
            </w:tcMar>
          </w:tcPr>
          <w:p>
            <w:r>
              <w:rPr>
                <w:b/>
                <w:color w:val="FFFFFF"/>
                <w:sz w:val="14"/>
              </w:rPr>
              <w:t>Interpretation</w:t>
            </w:r>
          </w:p>
        </w:tc>
        <w:tc>
          <w:tcPr>
            <w:tcW w:type="dxa" w:w="2880"/>
            <w:shd w:fill="1F4E78"/>
            <w:tcMar>
              <w:top w:w="60" w:type="dxa"/>
              <w:start w:w="80" w:type="dxa"/>
              <w:bottom w:w="60" w:type="dxa"/>
              <w:end w:w="80" w:type="dxa"/>
            </w:tcMar>
          </w:tcPr>
          <w:p>
            <w:r>
              <w:rPr>
                <w:b/>
                <w:color w:val="FFFFFF"/>
                <w:sz w:val="14"/>
              </w:rPr>
              <w:t>Recommended CDSS response</w:t>
            </w:r>
          </w:p>
        </w:tc>
      </w:tr>
      <w:tr>
        <w:tc>
          <w:tcPr>
            <w:tcW w:type="dxa" w:w="2088"/>
            <w:tcMar>
              <w:top w:w="60" w:type="dxa"/>
              <w:start w:w="80" w:type="dxa"/>
              <w:bottom w:w="60" w:type="dxa"/>
              <w:end w:w="80" w:type="dxa"/>
            </w:tcMar>
            <w:vAlign w:val="center"/>
          </w:tcPr>
          <w:p>
            <w:pPr>
              <w:spacing w:after="0" w:line="240" w:lineRule="auto"/>
            </w:pPr>
            <w:r>
              <w:rPr>
                <w:sz w:val="14"/>
              </w:rPr>
              <w:t>Nulliparity</w:t>
            </w:r>
          </w:p>
        </w:tc>
        <w:tc>
          <w:tcPr>
            <w:tcW w:type="dxa" w:w="2232"/>
            <w:tcMar>
              <w:top w:w="60" w:type="dxa"/>
              <w:start w:w="80" w:type="dxa"/>
              <w:bottom w:w="60" w:type="dxa"/>
              <w:end w:w="80" w:type="dxa"/>
            </w:tcMar>
            <w:vAlign w:val="center"/>
          </w:tcPr>
          <w:p>
            <w:pPr>
              <w:spacing w:after="0" w:line="240" w:lineRule="auto"/>
            </w:pPr>
            <w:r>
              <w:rPr>
                <w:sz w:val="14"/>
              </w:rPr>
              <w:t>Age &lt;19 or ≥35</w:t>
            </w:r>
          </w:p>
        </w:tc>
        <w:tc>
          <w:tcPr>
            <w:tcW w:type="dxa" w:w="3168"/>
            <w:tcMar>
              <w:top w:w="60" w:type="dxa"/>
              <w:start w:w="80" w:type="dxa"/>
              <w:bottom w:w="60" w:type="dxa"/>
              <w:end w:w="80" w:type="dxa"/>
            </w:tcMar>
            <w:vAlign w:val="center"/>
          </w:tcPr>
          <w:p>
            <w:pPr>
              <w:spacing w:after="0" w:line="240" w:lineRule="auto"/>
            </w:pPr>
            <w:r>
              <w:rPr>
                <w:sz w:val="14"/>
              </w:rPr>
              <w:t>Age and first-pregnancy context may increase need for review; not a parity-only diagnosis.</w:t>
            </w:r>
          </w:p>
        </w:tc>
        <w:tc>
          <w:tcPr>
            <w:tcW w:type="dxa" w:w="2880"/>
            <w:tcMar>
              <w:top w:w="60" w:type="dxa"/>
              <w:start w:w="80" w:type="dxa"/>
              <w:bottom w:w="60" w:type="dxa"/>
              <w:end w:w="80" w:type="dxa"/>
            </w:tcMar>
            <w:vAlign w:val="center"/>
          </w:tcPr>
          <w:p>
            <w:pPr>
              <w:spacing w:after="0" w:line="240" w:lineRule="auto"/>
            </w:pPr>
            <w:r>
              <w:rPr>
                <w:sz w:val="14"/>
              </w:rPr>
              <w:t>Use age pathway; document interaction.</w:t>
            </w:r>
          </w:p>
        </w:tc>
      </w:tr>
      <w:tr>
        <w:tc>
          <w:tcPr>
            <w:tcW w:type="dxa" w:w="2088"/>
            <w:tcMar>
              <w:top w:w="60" w:type="dxa"/>
              <w:start w:w="80" w:type="dxa"/>
              <w:bottom w:w="60" w:type="dxa"/>
              <w:end w:w="80" w:type="dxa"/>
            </w:tcMar>
            <w:vAlign w:val="center"/>
            <w:shd w:fill="EAF1F7"/>
          </w:tcPr>
          <w:p>
            <w:pPr>
              <w:spacing w:after="0" w:line="240" w:lineRule="auto"/>
            </w:pPr>
            <w:r>
              <w:rPr>
                <w:sz w:val="14"/>
              </w:rPr>
              <w:t>Nulliparity</w:t>
            </w:r>
          </w:p>
        </w:tc>
        <w:tc>
          <w:tcPr>
            <w:tcW w:type="dxa" w:w="2232"/>
            <w:tcMar>
              <w:top w:w="60" w:type="dxa"/>
              <w:start w:w="80" w:type="dxa"/>
              <w:bottom w:w="60" w:type="dxa"/>
              <w:end w:w="80" w:type="dxa"/>
            </w:tcMar>
            <w:vAlign w:val="center"/>
            <w:shd w:fill="EAF1F7"/>
          </w:tcPr>
          <w:p>
            <w:pPr>
              <w:spacing w:after="0" w:line="240" w:lineRule="auto"/>
            </w:pPr>
            <w:r>
              <w:rPr>
                <w:sz w:val="14"/>
              </w:rPr>
              <w:t>Elevated BP / hypertensive symptoms</w:t>
            </w:r>
          </w:p>
        </w:tc>
        <w:tc>
          <w:tcPr>
            <w:tcW w:type="dxa" w:w="3168"/>
            <w:tcMar>
              <w:top w:w="60" w:type="dxa"/>
              <w:start w:w="80" w:type="dxa"/>
              <w:bottom w:w="60" w:type="dxa"/>
              <w:end w:w="80" w:type="dxa"/>
            </w:tcMar>
            <w:vAlign w:val="center"/>
            <w:shd w:fill="EAF1F7"/>
          </w:tcPr>
          <w:p>
            <w:pPr>
              <w:spacing w:after="0" w:line="240" w:lineRule="auto"/>
            </w:pPr>
            <w:r>
              <w:rPr>
                <w:sz w:val="14"/>
              </w:rPr>
              <w:t>Nulliparity is a recognized contextual risk factor in preeclampsia assessment.</w:t>
            </w:r>
          </w:p>
        </w:tc>
        <w:tc>
          <w:tcPr>
            <w:tcW w:type="dxa" w:w="2880"/>
            <w:tcMar>
              <w:top w:w="60" w:type="dxa"/>
              <w:start w:w="80" w:type="dxa"/>
              <w:bottom w:w="60" w:type="dxa"/>
              <w:end w:w="80" w:type="dxa"/>
            </w:tcMar>
            <w:vAlign w:val="center"/>
            <w:shd w:fill="EAF1F7"/>
          </w:tcPr>
          <w:p>
            <w:pPr>
              <w:spacing w:after="0" w:line="240" w:lineRule="auto"/>
            </w:pPr>
            <w:r>
              <w:rPr>
                <w:sz w:val="14"/>
              </w:rPr>
              <w:t>Follow BP pathway; do not diagnose from parity.</w:t>
            </w:r>
          </w:p>
        </w:tc>
      </w:tr>
      <w:tr>
        <w:tc>
          <w:tcPr>
            <w:tcW w:type="dxa" w:w="2088"/>
            <w:tcMar>
              <w:top w:w="60" w:type="dxa"/>
              <w:start w:w="80" w:type="dxa"/>
              <w:bottom w:w="60" w:type="dxa"/>
              <w:end w:w="80" w:type="dxa"/>
            </w:tcMar>
            <w:vAlign w:val="center"/>
          </w:tcPr>
          <w:p>
            <w:pPr>
              <w:spacing w:after="0" w:line="240" w:lineRule="auto"/>
            </w:pPr>
            <w:r>
              <w:rPr>
                <w:sz w:val="14"/>
              </w:rPr>
              <w:t>Grand multiparity</w:t>
            </w:r>
          </w:p>
        </w:tc>
        <w:tc>
          <w:tcPr>
            <w:tcW w:type="dxa" w:w="2232"/>
            <w:tcMar>
              <w:top w:w="60" w:type="dxa"/>
              <w:start w:w="80" w:type="dxa"/>
              <w:bottom w:w="60" w:type="dxa"/>
              <w:end w:w="80" w:type="dxa"/>
            </w:tcMar>
            <w:vAlign w:val="center"/>
          </w:tcPr>
          <w:p>
            <w:pPr>
              <w:spacing w:after="0" w:line="240" w:lineRule="auto"/>
            </w:pPr>
            <w:r>
              <w:rPr>
                <w:sz w:val="14"/>
              </w:rPr>
              <w:t>Anaemia or unknown Hb</w:t>
            </w:r>
          </w:p>
        </w:tc>
        <w:tc>
          <w:tcPr>
            <w:tcW w:type="dxa" w:w="3168"/>
            <w:tcMar>
              <w:top w:w="60" w:type="dxa"/>
              <w:start w:w="80" w:type="dxa"/>
              <w:bottom w:w="60" w:type="dxa"/>
              <w:end w:w="80" w:type="dxa"/>
            </w:tcMar>
            <w:vAlign w:val="center"/>
          </w:tcPr>
          <w:p>
            <w:pPr>
              <w:spacing w:after="0" w:line="240" w:lineRule="auto"/>
            </w:pPr>
            <w:r>
              <w:rPr>
                <w:sz w:val="14"/>
              </w:rPr>
              <w:t>Repeated pregnancies may coexist with nutritional depletion, but anaemia requires measurement.</w:t>
            </w:r>
          </w:p>
        </w:tc>
        <w:tc>
          <w:tcPr>
            <w:tcW w:type="dxa" w:w="2880"/>
            <w:tcMar>
              <w:top w:w="60" w:type="dxa"/>
              <w:start w:w="80" w:type="dxa"/>
              <w:bottom w:w="60" w:type="dxa"/>
              <w:end w:w="80" w:type="dxa"/>
            </w:tcMar>
            <w:vAlign w:val="center"/>
          </w:tcPr>
          <w:p>
            <w:pPr>
              <w:spacing w:after="0" w:line="240" w:lineRule="auto"/>
            </w:pPr>
            <w:r>
              <w:rPr>
                <w:sz w:val="14"/>
              </w:rPr>
              <w:t>Request Hb/CBC per policy; use anaemia pathway.</w:t>
            </w:r>
          </w:p>
        </w:tc>
      </w:tr>
      <w:tr>
        <w:tc>
          <w:tcPr>
            <w:tcW w:type="dxa" w:w="2088"/>
            <w:tcMar>
              <w:top w:w="60" w:type="dxa"/>
              <w:start w:w="80" w:type="dxa"/>
              <w:bottom w:w="60" w:type="dxa"/>
              <w:end w:w="80" w:type="dxa"/>
            </w:tcMar>
            <w:vAlign w:val="center"/>
            <w:shd w:fill="EAF1F7"/>
          </w:tcPr>
          <w:p>
            <w:pPr>
              <w:spacing w:after="0" w:line="240" w:lineRule="auto"/>
            </w:pPr>
            <w:r>
              <w:rPr>
                <w:sz w:val="14"/>
              </w:rPr>
              <w:t>Grand multiparity</w:t>
            </w:r>
          </w:p>
        </w:tc>
        <w:tc>
          <w:tcPr>
            <w:tcW w:type="dxa" w:w="2232"/>
            <w:tcMar>
              <w:top w:w="60" w:type="dxa"/>
              <w:start w:w="80" w:type="dxa"/>
              <w:bottom w:w="60" w:type="dxa"/>
              <w:end w:w="80" w:type="dxa"/>
            </w:tcMar>
            <w:vAlign w:val="center"/>
            <w:shd w:fill="EAF1F7"/>
          </w:tcPr>
          <w:p>
            <w:pPr>
              <w:spacing w:after="0" w:line="240" w:lineRule="auto"/>
            </w:pPr>
            <w:r>
              <w:rPr>
                <w:sz w:val="14"/>
              </w:rPr>
              <w:t>Prior postpartum haemorrhage</w:t>
            </w:r>
          </w:p>
        </w:tc>
        <w:tc>
          <w:tcPr>
            <w:tcW w:type="dxa" w:w="3168"/>
            <w:tcMar>
              <w:top w:w="60" w:type="dxa"/>
              <w:start w:w="80" w:type="dxa"/>
              <w:bottom w:w="60" w:type="dxa"/>
              <w:end w:w="80" w:type="dxa"/>
            </w:tcMar>
            <w:vAlign w:val="center"/>
            <w:shd w:fill="EAF1F7"/>
          </w:tcPr>
          <w:p>
            <w:pPr>
              <w:spacing w:after="0" w:line="240" w:lineRule="auto"/>
            </w:pPr>
            <w:r>
              <w:rPr>
                <w:sz w:val="14"/>
              </w:rPr>
              <w:t>Specific prior PPH is more actionable than parity count.</w:t>
            </w:r>
          </w:p>
        </w:tc>
        <w:tc>
          <w:tcPr>
            <w:tcW w:type="dxa" w:w="2880"/>
            <w:tcMar>
              <w:top w:w="60" w:type="dxa"/>
              <w:start w:w="80" w:type="dxa"/>
              <w:bottom w:w="60" w:type="dxa"/>
              <w:end w:w="80" w:type="dxa"/>
            </w:tcMar>
            <w:vAlign w:val="center"/>
            <w:shd w:fill="EAF1F7"/>
          </w:tcPr>
          <w:p>
            <w:pPr>
              <w:spacing w:after="0" w:line="240" w:lineRule="auto"/>
            </w:pPr>
            <w:r>
              <w:rPr>
                <w:sz w:val="14"/>
              </w:rPr>
              <w:t>Obstetric review and birth-setting plan.</w:t>
            </w:r>
          </w:p>
        </w:tc>
      </w:tr>
      <w:tr>
        <w:tc>
          <w:tcPr>
            <w:tcW w:type="dxa" w:w="2088"/>
            <w:tcMar>
              <w:top w:w="60" w:type="dxa"/>
              <w:start w:w="80" w:type="dxa"/>
              <w:bottom w:w="60" w:type="dxa"/>
              <w:end w:w="80" w:type="dxa"/>
            </w:tcMar>
            <w:vAlign w:val="center"/>
          </w:tcPr>
          <w:p>
            <w:pPr>
              <w:spacing w:after="0" w:line="240" w:lineRule="auto"/>
            </w:pPr>
            <w:r>
              <w:rPr>
                <w:sz w:val="14"/>
              </w:rPr>
              <w:t>Grand multiparity</w:t>
            </w:r>
          </w:p>
        </w:tc>
        <w:tc>
          <w:tcPr>
            <w:tcW w:type="dxa" w:w="2232"/>
            <w:tcMar>
              <w:top w:w="60" w:type="dxa"/>
              <w:start w:w="80" w:type="dxa"/>
              <w:bottom w:w="60" w:type="dxa"/>
              <w:end w:w="80" w:type="dxa"/>
            </w:tcMar>
            <w:vAlign w:val="center"/>
          </w:tcPr>
          <w:p>
            <w:pPr>
              <w:spacing w:after="0" w:line="240" w:lineRule="auto"/>
            </w:pPr>
            <w:r>
              <w:rPr>
                <w:sz w:val="14"/>
              </w:rPr>
              <w:t>Placenta previa/suspicion</w:t>
            </w:r>
          </w:p>
        </w:tc>
        <w:tc>
          <w:tcPr>
            <w:tcW w:type="dxa" w:w="3168"/>
            <w:tcMar>
              <w:top w:w="60" w:type="dxa"/>
              <w:start w:w="80" w:type="dxa"/>
              <w:bottom w:w="60" w:type="dxa"/>
              <w:end w:w="80" w:type="dxa"/>
            </w:tcMar>
            <w:vAlign w:val="center"/>
          </w:tcPr>
          <w:p>
            <w:pPr>
              <w:spacing w:after="0" w:line="240" w:lineRule="auto"/>
            </w:pPr>
            <w:r>
              <w:rPr>
                <w:sz w:val="14"/>
              </w:rPr>
              <w:t>Placental finding, prior CS, and parity/history may alter referral urgency.</w:t>
            </w:r>
          </w:p>
        </w:tc>
        <w:tc>
          <w:tcPr>
            <w:tcW w:type="dxa" w:w="2880"/>
            <w:tcMar>
              <w:top w:w="60" w:type="dxa"/>
              <w:start w:w="80" w:type="dxa"/>
              <w:bottom w:w="60" w:type="dxa"/>
              <w:end w:w="80" w:type="dxa"/>
            </w:tcMar>
            <w:vAlign w:val="center"/>
          </w:tcPr>
          <w:p>
            <w:pPr>
              <w:spacing w:after="0" w:line="240" w:lineRule="auto"/>
            </w:pPr>
            <w:r>
              <w:rPr>
                <w:sz w:val="14"/>
              </w:rPr>
              <w:t>Use ultrasound and previous-CS pathways.</w:t>
            </w:r>
          </w:p>
        </w:tc>
      </w:tr>
      <w:tr>
        <w:tc>
          <w:tcPr>
            <w:tcW w:type="dxa" w:w="2088"/>
            <w:tcMar>
              <w:top w:w="60" w:type="dxa"/>
              <w:start w:w="80" w:type="dxa"/>
              <w:bottom w:w="60" w:type="dxa"/>
              <w:end w:w="80" w:type="dxa"/>
            </w:tcMar>
            <w:vAlign w:val="center"/>
            <w:shd w:fill="EAF1F7"/>
          </w:tcPr>
          <w:p>
            <w:pPr>
              <w:spacing w:after="0" w:line="240" w:lineRule="auto"/>
            </w:pPr>
            <w:r>
              <w:rPr>
                <w:sz w:val="14"/>
              </w:rPr>
              <w:t>Short interval after live birth</w:t>
            </w:r>
          </w:p>
        </w:tc>
        <w:tc>
          <w:tcPr>
            <w:tcW w:type="dxa" w:w="2232"/>
            <w:tcMar>
              <w:top w:w="60" w:type="dxa"/>
              <w:start w:w="80" w:type="dxa"/>
              <w:bottom w:w="60" w:type="dxa"/>
              <w:end w:w="80" w:type="dxa"/>
            </w:tcMar>
            <w:vAlign w:val="center"/>
            <w:shd w:fill="EAF1F7"/>
          </w:tcPr>
          <w:p>
            <w:pPr>
              <w:spacing w:after="0" w:line="240" w:lineRule="auto"/>
            </w:pPr>
            <w:r>
              <w:rPr>
                <w:sz w:val="14"/>
              </w:rPr>
              <w:t>Previous cesarean</w:t>
            </w:r>
          </w:p>
        </w:tc>
        <w:tc>
          <w:tcPr>
            <w:tcW w:type="dxa" w:w="3168"/>
            <w:tcMar>
              <w:top w:w="60" w:type="dxa"/>
              <w:start w:w="80" w:type="dxa"/>
              <w:bottom w:w="60" w:type="dxa"/>
              <w:end w:w="80" w:type="dxa"/>
            </w:tcMar>
            <w:vAlign w:val="center"/>
            <w:shd w:fill="EAF1F7"/>
          </w:tcPr>
          <w:p>
            <w:pPr>
              <w:spacing w:after="0" w:line="240" w:lineRule="auto"/>
            </w:pPr>
            <w:r>
              <w:rPr>
                <w:sz w:val="14"/>
              </w:rPr>
              <w:t>Short interval can increase concern in future labour planning.</w:t>
            </w:r>
          </w:p>
        </w:tc>
        <w:tc>
          <w:tcPr>
            <w:tcW w:type="dxa" w:w="2880"/>
            <w:tcMar>
              <w:top w:w="60" w:type="dxa"/>
              <w:start w:w="80" w:type="dxa"/>
              <w:bottom w:w="60" w:type="dxa"/>
              <w:end w:w="80" w:type="dxa"/>
            </w:tcMar>
            <w:vAlign w:val="center"/>
            <w:shd w:fill="EAF1F7"/>
          </w:tcPr>
          <w:p>
            <w:pPr>
              <w:spacing w:after="0" w:line="240" w:lineRule="auto"/>
            </w:pPr>
            <w:r>
              <w:rPr>
                <w:sz w:val="14"/>
              </w:rPr>
              <w:t>Obstetric review; no autonomous TOLAC/VBAC decision.</w:t>
            </w:r>
          </w:p>
        </w:tc>
      </w:tr>
      <w:tr>
        <w:tc>
          <w:tcPr>
            <w:tcW w:type="dxa" w:w="2088"/>
            <w:tcMar>
              <w:top w:w="60" w:type="dxa"/>
              <w:start w:w="80" w:type="dxa"/>
              <w:bottom w:w="60" w:type="dxa"/>
              <w:end w:w="80" w:type="dxa"/>
            </w:tcMar>
            <w:vAlign w:val="center"/>
          </w:tcPr>
          <w:p>
            <w:pPr>
              <w:spacing w:after="0" w:line="240" w:lineRule="auto"/>
            </w:pPr>
            <w:r>
              <w:rPr>
                <w:sz w:val="14"/>
              </w:rPr>
              <w:t>Short interval after live birth</w:t>
            </w:r>
          </w:p>
        </w:tc>
        <w:tc>
          <w:tcPr>
            <w:tcW w:type="dxa" w:w="2232"/>
            <w:tcMar>
              <w:top w:w="60" w:type="dxa"/>
              <w:start w:w="80" w:type="dxa"/>
              <w:bottom w:w="60" w:type="dxa"/>
              <w:end w:w="80" w:type="dxa"/>
            </w:tcMar>
            <w:vAlign w:val="center"/>
          </w:tcPr>
          <w:p>
            <w:pPr>
              <w:spacing w:after="0" w:line="240" w:lineRule="auto"/>
            </w:pPr>
            <w:r>
              <w:rPr>
                <w:sz w:val="14"/>
              </w:rPr>
              <w:t>Previous preterm birth</w:t>
            </w:r>
          </w:p>
        </w:tc>
        <w:tc>
          <w:tcPr>
            <w:tcW w:type="dxa" w:w="3168"/>
            <w:tcMar>
              <w:top w:w="60" w:type="dxa"/>
              <w:start w:w="80" w:type="dxa"/>
              <w:bottom w:w="60" w:type="dxa"/>
              <w:end w:w="80" w:type="dxa"/>
            </w:tcMar>
            <w:vAlign w:val="center"/>
          </w:tcPr>
          <w:p>
            <w:pPr>
              <w:spacing w:after="0" w:line="240" w:lineRule="auto"/>
            </w:pPr>
            <w:r>
              <w:rPr>
                <w:sz w:val="14"/>
              </w:rPr>
              <w:t>Recurrence and interval require individualized specialist plan.</w:t>
            </w:r>
          </w:p>
        </w:tc>
        <w:tc>
          <w:tcPr>
            <w:tcW w:type="dxa" w:w="2880"/>
            <w:tcMar>
              <w:top w:w="60" w:type="dxa"/>
              <w:start w:w="80" w:type="dxa"/>
              <w:bottom w:w="60" w:type="dxa"/>
              <w:end w:w="80" w:type="dxa"/>
            </w:tcMar>
            <w:vAlign w:val="center"/>
          </w:tcPr>
          <w:p>
            <w:pPr>
              <w:spacing w:after="0" w:line="240" w:lineRule="auto"/>
            </w:pPr>
            <w:r>
              <w:rPr>
                <w:sz w:val="14"/>
              </w:rPr>
              <w:t>Refer/review; preserve previous outcome details.</w:t>
            </w:r>
          </w:p>
        </w:tc>
      </w:tr>
      <w:tr>
        <w:tc>
          <w:tcPr>
            <w:tcW w:type="dxa" w:w="2088"/>
            <w:tcMar>
              <w:top w:w="60" w:type="dxa"/>
              <w:start w:w="80" w:type="dxa"/>
              <w:bottom w:w="60" w:type="dxa"/>
              <w:end w:w="80" w:type="dxa"/>
            </w:tcMar>
            <w:vAlign w:val="center"/>
            <w:shd w:fill="EAF1F7"/>
          </w:tcPr>
          <w:p>
            <w:pPr>
              <w:spacing w:after="0" w:line="240" w:lineRule="auto"/>
            </w:pPr>
            <w:r>
              <w:rPr>
                <w:sz w:val="14"/>
              </w:rPr>
              <w:t>Long interval</w:t>
            </w:r>
          </w:p>
        </w:tc>
        <w:tc>
          <w:tcPr>
            <w:tcW w:type="dxa" w:w="2232"/>
            <w:tcMar>
              <w:top w:w="60" w:type="dxa"/>
              <w:start w:w="80" w:type="dxa"/>
              <w:bottom w:w="60" w:type="dxa"/>
              <w:end w:w="80" w:type="dxa"/>
            </w:tcMar>
            <w:vAlign w:val="center"/>
            <w:shd w:fill="EAF1F7"/>
          </w:tcPr>
          <w:p>
            <w:pPr>
              <w:spacing w:after="0" w:line="240" w:lineRule="auto"/>
            </w:pPr>
            <w:r>
              <w:rPr>
                <w:sz w:val="14"/>
              </w:rPr>
              <w:t>Age ≥35</w:t>
            </w:r>
          </w:p>
        </w:tc>
        <w:tc>
          <w:tcPr>
            <w:tcW w:type="dxa" w:w="3168"/>
            <w:tcMar>
              <w:top w:w="60" w:type="dxa"/>
              <w:start w:w="80" w:type="dxa"/>
              <w:bottom w:w="60" w:type="dxa"/>
              <w:end w:w="80" w:type="dxa"/>
            </w:tcMar>
            <w:vAlign w:val="center"/>
            <w:shd w:fill="EAF1F7"/>
          </w:tcPr>
          <w:p>
            <w:pPr>
              <w:spacing w:after="0" w:line="240" w:lineRule="auto"/>
            </w:pPr>
            <w:r>
              <w:rPr>
                <w:sz w:val="14"/>
              </w:rPr>
              <w:t>Long interval and age may coexist and affect current assessment.</w:t>
            </w:r>
          </w:p>
        </w:tc>
        <w:tc>
          <w:tcPr>
            <w:tcW w:type="dxa" w:w="2880"/>
            <w:tcMar>
              <w:top w:w="60" w:type="dxa"/>
              <w:start w:w="80" w:type="dxa"/>
              <w:bottom w:w="60" w:type="dxa"/>
              <w:end w:w="80" w:type="dxa"/>
            </w:tcMar>
            <w:vAlign w:val="center"/>
            <w:shd w:fill="EAF1F7"/>
          </w:tcPr>
          <w:p>
            <w:pPr>
              <w:spacing w:after="0" w:line="240" w:lineRule="auto"/>
            </w:pPr>
            <w:r>
              <w:rPr>
                <w:sz w:val="14"/>
              </w:rPr>
              <w:t>Use age, BP, diabetes, and education pathways.</w:t>
            </w:r>
          </w:p>
        </w:tc>
      </w:tr>
      <w:tr>
        <w:tc>
          <w:tcPr>
            <w:tcW w:type="dxa" w:w="2088"/>
            <w:tcMar>
              <w:top w:w="60" w:type="dxa"/>
              <w:start w:w="80" w:type="dxa"/>
              <w:bottom w:w="60" w:type="dxa"/>
              <w:end w:w="80" w:type="dxa"/>
            </w:tcMar>
            <w:vAlign w:val="center"/>
          </w:tcPr>
          <w:p>
            <w:pPr>
              <w:spacing w:after="0" w:line="240" w:lineRule="auto"/>
            </w:pPr>
            <w:r>
              <w:rPr>
                <w:sz w:val="14"/>
              </w:rPr>
              <w:t>First pregnancy</w:t>
            </w:r>
          </w:p>
        </w:tc>
        <w:tc>
          <w:tcPr>
            <w:tcW w:type="dxa" w:w="2232"/>
            <w:tcMar>
              <w:top w:w="60" w:type="dxa"/>
              <w:start w:w="80" w:type="dxa"/>
              <w:bottom w:w="60" w:type="dxa"/>
              <w:end w:w="80" w:type="dxa"/>
            </w:tcMar>
            <w:vAlign w:val="center"/>
          </w:tcPr>
          <w:p>
            <w:pPr>
              <w:spacing w:after="0" w:line="240" w:lineRule="auto"/>
            </w:pPr>
            <w:r>
              <w:rPr>
                <w:sz w:val="14"/>
              </w:rPr>
              <w:t>No current complications</w:t>
            </w:r>
          </w:p>
        </w:tc>
        <w:tc>
          <w:tcPr>
            <w:tcW w:type="dxa" w:w="3168"/>
            <w:tcMar>
              <w:top w:w="60" w:type="dxa"/>
              <w:start w:w="80" w:type="dxa"/>
              <w:bottom w:w="60" w:type="dxa"/>
              <w:end w:w="80" w:type="dxa"/>
            </w:tcMar>
            <w:vAlign w:val="center"/>
          </w:tcPr>
          <w:p>
            <w:pPr>
              <w:spacing w:after="0" w:line="240" w:lineRule="auto"/>
            </w:pPr>
            <w:r>
              <w:rPr>
                <w:sz w:val="14"/>
              </w:rPr>
              <w:t>Needs education and potentially more scheduled contacts, not HIGH.</w:t>
            </w:r>
          </w:p>
        </w:tc>
        <w:tc>
          <w:tcPr>
            <w:tcW w:type="dxa" w:w="2880"/>
            <w:tcMar>
              <w:top w:w="60" w:type="dxa"/>
              <w:start w:w="80" w:type="dxa"/>
              <w:bottom w:w="60" w:type="dxa"/>
              <w:end w:w="80" w:type="dxa"/>
            </w:tcMar>
            <w:vAlign w:val="center"/>
          </w:tcPr>
          <w:p>
            <w:pPr>
              <w:spacing w:after="0" w:line="240" w:lineRule="auto"/>
            </w:pPr>
            <w:r>
              <w:rPr>
                <w:sz w:val="14"/>
              </w:rPr>
              <w:t>Routine ANC with nulliparous support.</w:t>
            </w:r>
          </w:p>
        </w:tc>
      </w:tr>
      <w:tr>
        <w:tc>
          <w:tcPr>
            <w:tcW w:type="dxa" w:w="2088"/>
            <w:tcMar>
              <w:top w:w="60" w:type="dxa"/>
              <w:start w:w="80" w:type="dxa"/>
              <w:bottom w:w="60" w:type="dxa"/>
              <w:end w:w="80" w:type="dxa"/>
            </w:tcMar>
            <w:vAlign w:val="center"/>
            <w:shd w:fill="EAF1F7"/>
          </w:tcPr>
          <w:p>
            <w:pPr>
              <w:spacing w:after="0" w:line="240" w:lineRule="auto"/>
            </w:pPr>
            <w:r>
              <w:rPr>
                <w:sz w:val="14"/>
              </w:rPr>
              <w:t>Any parity</w:t>
            </w:r>
          </w:p>
        </w:tc>
        <w:tc>
          <w:tcPr>
            <w:tcW w:type="dxa" w:w="2232"/>
            <w:tcMar>
              <w:top w:w="60" w:type="dxa"/>
              <w:start w:w="80" w:type="dxa"/>
              <w:bottom w:w="60" w:type="dxa"/>
              <w:end w:w="80" w:type="dxa"/>
            </w:tcMar>
            <w:vAlign w:val="center"/>
            <w:shd w:fill="EAF1F7"/>
          </w:tcPr>
          <w:p>
            <w:pPr>
              <w:spacing w:after="0" w:line="240" w:lineRule="auto"/>
            </w:pPr>
            <w:r>
              <w:rPr>
                <w:sz w:val="14"/>
              </w:rPr>
              <w:t>Bleeding, severe pain, convulsion, severe BP, reduced fetal movement as applicable</w:t>
            </w:r>
          </w:p>
        </w:tc>
        <w:tc>
          <w:tcPr>
            <w:tcW w:type="dxa" w:w="3168"/>
            <w:tcMar>
              <w:top w:w="60" w:type="dxa"/>
              <w:start w:w="80" w:type="dxa"/>
              <w:bottom w:w="60" w:type="dxa"/>
              <w:end w:w="80" w:type="dxa"/>
            </w:tcMar>
            <w:vAlign w:val="center"/>
            <w:shd w:fill="EAF1F7"/>
          </w:tcPr>
          <w:p>
            <w:pPr>
              <w:spacing w:after="0" w:line="240" w:lineRule="auto"/>
            </w:pPr>
            <w:r>
              <w:rPr>
                <w:sz w:val="14"/>
              </w:rPr>
              <w:t>Current danger sign overrides historical classification.</w:t>
            </w:r>
          </w:p>
        </w:tc>
        <w:tc>
          <w:tcPr>
            <w:tcW w:type="dxa" w:w="2880"/>
            <w:tcMar>
              <w:top w:w="60" w:type="dxa"/>
              <w:start w:w="80" w:type="dxa"/>
              <w:bottom w:w="60" w:type="dxa"/>
              <w:end w:w="80" w:type="dxa"/>
            </w:tcMar>
            <w:vAlign w:val="center"/>
            <w:shd w:fill="EAF1F7"/>
          </w:tcPr>
          <w:p>
            <w:pPr>
              <w:spacing w:after="0" w:line="240" w:lineRule="auto"/>
            </w:pPr>
            <w:r>
              <w:rPr>
                <w:sz w:val="14"/>
              </w:rPr>
              <w:t>Emergency pathway immediately.</w:t>
            </w:r>
          </w:p>
        </w:tc>
      </w:tr>
    </w:tbl>
    <w:p>
      <w:pPr>
        <w:spacing w:after="20"/>
      </w:pPr>
    </w:p>
    <w:p>
      <w:pPr>
        <w:pStyle w:val="Heading1"/>
      </w:pPr>
      <w:r>
        <w:t>8. Lying-in Clinic Applicability</w:t>
      </w:r>
    </w:p>
    <w:p>
      <w:r>
        <w:t>A lying-in clinic needs an early, understandable obstetric history, but the history must be converted into care-planning questions rather than a simplistic risk badge. The system should help midwives determine whether information is complete, whether a previous complication needs records or referral, and whether the planned birth setting remains appropriate after clinician review.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F4E78"/>
            <w:tcMar>
              <w:top w:w="60" w:type="dxa"/>
              <w:start w:w="80" w:type="dxa"/>
              <w:bottom w:w="60" w:type="dxa"/>
              <w:end w:w="80" w:type="dxa"/>
            </w:tcMar>
          </w:tcPr>
          <w:p>
            <w:r>
              <w:rPr>
                <w:b/>
                <w:color w:val="FFFFFF"/>
                <w:sz w:val="15"/>
              </w:rPr>
              <w:t>Safe support function</w:t>
            </w:r>
          </w:p>
        </w:tc>
        <w:tc>
          <w:tcPr>
            <w:tcW w:type="dxa" w:w="3456"/>
            <w:shd w:fill="1F4E78"/>
            <w:tcMar>
              <w:top w:w="60" w:type="dxa"/>
              <w:start w:w="80" w:type="dxa"/>
              <w:bottom w:w="60" w:type="dxa"/>
              <w:end w:w="80" w:type="dxa"/>
            </w:tcMar>
          </w:tcPr>
          <w:p>
            <w:r>
              <w:rPr>
                <w:b/>
                <w:color w:val="FFFFFF"/>
                <w:sz w:val="15"/>
              </w:rPr>
              <w:t>Example</w:t>
            </w:r>
          </w:p>
        </w:tc>
        <w:tc>
          <w:tcPr>
            <w:tcW w:type="dxa" w:w="3744"/>
            <w:shd w:fill="1F4E78"/>
            <w:tcMar>
              <w:top w:w="60" w:type="dxa"/>
              <w:start w:w="80" w:type="dxa"/>
              <w:bottom w:w="60" w:type="dxa"/>
              <w:end w:w="80" w:type="dxa"/>
            </w:tcMar>
          </w:tcPr>
          <w:p>
            <w:r>
              <w:rPr>
                <w:b/>
                <w:color w:val="FFFFFF"/>
                <w:sz w:val="15"/>
              </w:rPr>
              <w:t>Boundary</w:t>
            </w:r>
          </w:p>
        </w:tc>
      </w:tr>
      <w:tr>
        <w:tc>
          <w:tcPr>
            <w:tcW w:type="dxa" w:w="2880"/>
            <w:tcMar>
              <w:top w:w="60" w:type="dxa"/>
              <w:start w:w="80" w:type="dxa"/>
              <w:bottom w:w="60" w:type="dxa"/>
              <w:end w:w="80" w:type="dxa"/>
            </w:tcMar>
            <w:vAlign w:val="center"/>
          </w:tcPr>
          <w:p>
            <w:pPr>
              <w:spacing w:after="0" w:line="240" w:lineRule="auto"/>
            </w:pPr>
            <w:r>
              <w:rPr>
                <w:sz w:val="15"/>
              </w:rPr>
              <w:t>Structured history capture</w:t>
            </w:r>
          </w:p>
        </w:tc>
        <w:tc>
          <w:tcPr>
            <w:tcW w:type="dxa" w:w="3456"/>
            <w:tcMar>
              <w:top w:w="60" w:type="dxa"/>
              <w:start w:w="80" w:type="dxa"/>
              <w:bottom w:w="60" w:type="dxa"/>
              <w:end w:w="80" w:type="dxa"/>
            </w:tcMar>
            <w:vAlign w:val="center"/>
          </w:tcPr>
          <w:p>
            <w:pPr>
              <w:spacing w:after="0" w:line="240" w:lineRule="auto"/>
            </w:pPr>
            <w:r>
              <w:rPr>
                <w:sz w:val="15"/>
              </w:rPr>
              <w:t>Document each previous pregnancy outcome, gestational timing, complications, and source.</w:t>
            </w:r>
          </w:p>
        </w:tc>
        <w:tc>
          <w:tcPr>
            <w:tcW w:type="dxa" w:w="3744"/>
            <w:tcMar>
              <w:top w:w="60" w:type="dxa"/>
              <w:start w:w="80" w:type="dxa"/>
              <w:bottom w:w="60" w:type="dxa"/>
              <w:end w:w="80" w:type="dxa"/>
            </w:tcMar>
            <w:vAlign w:val="center"/>
          </w:tcPr>
          <w:p>
            <w:pPr>
              <w:spacing w:after="0" w:line="240" w:lineRule="auto"/>
            </w:pPr>
            <w:r>
              <w:rPr>
                <w:sz w:val="15"/>
              </w:rPr>
              <w:t>No automated interpretation of an uploaded PDF without verification.</w:t>
            </w:r>
          </w:p>
        </w:tc>
      </w:tr>
      <w:tr>
        <w:tc>
          <w:tcPr>
            <w:tcW w:type="dxa" w:w="2880"/>
            <w:tcMar>
              <w:top w:w="60" w:type="dxa"/>
              <w:start w:w="80" w:type="dxa"/>
              <w:bottom w:w="60" w:type="dxa"/>
              <w:end w:w="80" w:type="dxa"/>
            </w:tcMar>
            <w:vAlign w:val="center"/>
            <w:shd w:fill="EAF1F7"/>
          </w:tcPr>
          <w:p>
            <w:pPr>
              <w:spacing w:after="0" w:line="240" w:lineRule="auto"/>
            </w:pPr>
            <w:r>
              <w:rPr>
                <w:sz w:val="15"/>
              </w:rPr>
              <w:t>Care scheduling</w:t>
            </w:r>
          </w:p>
        </w:tc>
        <w:tc>
          <w:tcPr>
            <w:tcW w:type="dxa" w:w="3456"/>
            <w:tcMar>
              <w:top w:w="60" w:type="dxa"/>
              <w:start w:w="80" w:type="dxa"/>
              <w:bottom w:w="60" w:type="dxa"/>
              <w:end w:w="80" w:type="dxa"/>
            </w:tcMar>
            <w:vAlign w:val="center"/>
            <w:shd w:fill="EAF1F7"/>
          </w:tcPr>
          <w:p>
            <w:pPr>
              <w:spacing w:after="0" w:line="240" w:lineRule="auto"/>
            </w:pPr>
            <w:r>
              <w:rPr>
                <w:sz w:val="15"/>
              </w:rPr>
              <w:t>Suggest nulliparous education and appointment schedule based on adopted policy.</w:t>
            </w:r>
          </w:p>
        </w:tc>
        <w:tc>
          <w:tcPr>
            <w:tcW w:type="dxa" w:w="3744"/>
            <w:tcMar>
              <w:top w:w="60" w:type="dxa"/>
              <w:start w:w="80" w:type="dxa"/>
              <w:bottom w:w="60" w:type="dxa"/>
              <w:end w:w="80" w:type="dxa"/>
            </w:tcMar>
            <w:vAlign w:val="center"/>
            <w:shd w:fill="EAF1F7"/>
          </w:tcPr>
          <w:p>
            <w:pPr>
              <w:spacing w:after="0" w:line="240" w:lineRule="auto"/>
            </w:pPr>
            <w:r>
              <w:rPr>
                <w:sz w:val="15"/>
              </w:rPr>
              <w:t>Do not reduce WHO minimum contacts because a patient is parous.</w:t>
            </w:r>
          </w:p>
        </w:tc>
      </w:tr>
      <w:tr>
        <w:tc>
          <w:tcPr>
            <w:tcW w:type="dxa" w:w="2880"/>
            <w:tcMar>
              <w:top w:w="60" w:type="dxa"/>
              <w:start w:w="80" w:type="dxa"/>
              <w:bottom w:w="60" w:type="dxa"/>
              <w:end w:w="80" w:type="dxa"/>
            </w:tcMar>
            <w:vAlign w:val="center"/>
          </w:tcPr>
          <w:p>
            <w:pPr>
              <w:spacing w:after="0" w:line="240" w:lineRule="auto"/>
            </w:pPr>
            <w:r>
              <w:rPr>
                <w:sz w:val="15"/>
              </w:rPr>
              <w:t>Counselling prompt</w:t>
            </w:r>
          </w:p>
        </w:tc>
        <w:tc>
          <w:tcPr>
            <w:tcW w:type="dxa" w:w="3456"/>
            <w:tcMar>
              <w:top w:w="60" w:type="dxa"/>
              <w:start w:w="80" w:type="dxa"/>
              <w:bottom w:w="60" w:type="dxa"/>
              <w:end w:w="80" w:type="dxa"/>
            </w:tcMar>
            <w:vAlign w:val="center"/>
          </w:tcPr>
          <w:p>
            <w:pPr>
              <w:spacing w:after="0" w:line="240" w:lineRule="auto"/>
            </w:pPr>
            <w:r>
              <w:rPr>
                <w:sz w:val="15"/>
              </w:rPr>
              <w:t>Discuss spacing, nutrition, warning signs, and birth preparedness.</w:t>
            </w:r>
          </w:p>
        </w:tc>
        <w:tc>
          <w:tcPr>
            <w:tcW w:type="dxa" w:w="3744"/>
            <w:tcMar>
              <w:top w:w="60" w:type="dxa"/>
              <w:start w:w="80" w:type="dxa"/>
              <w:bottom w:w="60" w:type="dxa"/>
              <w:end w:w="80" w:type="dxa"/>
            </w:tcMar>
            <w:vAlign w:val="center"/>
          </w:tcPr>
          <w:p>
            <w:pPr>
              <w:spacing w:after="0" w:line="240" w:lineRule="auto"/>
            </w:pPr>
            <w:r>
              <w:rPr>
                <w:sz w:val="15"/>
              </w:rPr>
              <w:t>Respect reproductive autonomy; do not shame or coerce.</w:t>
            </w:r>
          </w:p>
        </w:tc>
      </w:tr>
      <w:tr>
        <w:tc>
          <w:tcPr>
            <w:tcW w:type="dxa" w:w="2880"/>
            <w:tcMar>
              <w:top w:w="60" w:type="dxa"/>
              <w:start w:w="80" w:type="dxa"/>
              <w:bottom w:w="60" w:type="dxa"/>
              <w:end w:w="80" w:type="dxa"/>
            </w:tcMar>
            <w:vAlign w:val="center"/>
            <w:shd w:fill="EAF1F7"/>
          </w:tcPr>
          <w:p>
            <w:pPr>
              <w:spacing w:after="0" w:line="240" w:lineRule="auto"/>
            </w:pPr>
            <w:r>
              <w:rPr>
                <w:sz w:val="15"/>
              </w:rPr>
              <w:t>Referral support</w:t>
            </w:r>
          </w:p>
        </w:tc>
        <w:tc>
          <w:tcPr>
            <w:tcW w:type="dxa" w:w="3456"/>
            <w:tcMar>
              <w:top w:w="60" w:type="dxa"/>
              <w:start w:w="80" w:type="dxa"/>
              <w:bottom w:w="60" w:type="dxa"/>
              <w:end w:w="80" w:type="dxa"/>
            </w:tcMar>
            <w:vAlign w:val="center"/>
            <w:shd w:fill="EAF1F7"/>
          </w:tcPr>
          <w:p>
            <w:pPr>
              <w:spacing w:after="0" w:line="240" w:lineRule="auto"/>
            </w:pPr>
            <w:r>
              <w:rPr>
                <w:sz w:val="15"/>
              </w:rPr>
              <w:t>Flag previous PPH, preterm birth, stillbirth, neonatal death, major complication, or interacting factors.</w:t>
            </w:r>
          </w:p>
        </w:tc>
        <w:tc>
          <w:tcPr>
            <w:tcW w:type="dxa" w:w="3744"/>
            <w:tcMar>
              <w:top w:w="60" w:type="dxa"/>
              <w:start w:w="80" w:type="dxa"/>
              <w:bottom w:w="60" w:type="dxa"/>
              <w:end w:w="80" w:type="dxa"/>
            </w:tcMar>
            <w:vAlign w:val="center"/>
            <w:shd w:fill="EAF1F7"/>
          </w:tcPr>
          <w:p>
            <w:pPr>
              <w:spacing w:after="0" w:line="240" w:lineRule="auto"/>
            </w:pPr>
            <w:r>
              <w:rPr>
                <w:sz w:val="15"/>
              </w:rPr>
              <w:t>Referral urgency must follow the specific pathway and current condition.</w:t>
            </w:r>
          </w:p>
        </w:tc>
      </w:tr>
      <w:tr>
        <w:tc>
          <w:tcPr>
            <w:tcW w:type="dxa" w:w="2880"/>
            <w:tcMar>
              <w:top w:w="60" w:type="dxa"/>
              <w:start w:w="80" w:type="dxa"/>
              <w:bottom w:w="60" w:type="dxa"/>
              <w:end w:w="80" w:type="dxa"/>
            </w:tcMar>
            <w:vAlign w:val="center"/>
          </w:tcPr>
          <w:p>
            <w:pPr>
              <w:spacing w:after="0" w:line="240" w:lineRule="auto"/>
            </w:pPr>
            <w:r>
              <w:rPr>
                <w:sz w:val="15"/>
              </w:rPr>
              <w:t>Birth-setting review</w:t>
            </w:r>
          </w:p>
        </w:tc>
        <w:tc>
          <w:tcPr>
            <w:tcW w:type="dxa" w:w="3456"/>
            <w:tcMar>
              <w:top w:w="60" w:type="dxa"/>
              <w:start w:w="80" w:type="dxa"/>
              <w:bottom w:w="60" w:type="dxa"/>
              <w:end w:w="80" w:type="dxa"/>
            </w:tcMar>
            <w:vAlign w:val="center"/>
          </w:tcPr>
          <w:p>
            <w:pPr>
              <w:spacing w:after="0" w:line="240" w:lineRule="auto"/>
            </w:pPr>
            <w:r>
              <w:rPr>
                <w:sz w:val="15"/>
              </w:rPr>
              <w:t>Show that grand multiparity or adverse history requires documented professional review when local policy requires.</w:t>
            </w:r>
          </w:p>
        </w:tc>
        <w:tc>
          <w:tcPr>
            <w:tcW w:type="dxa" w:w="3744"/>
            <w:tcMar>
              <w:top w:w="60" w:type="dxa"/>
              <w:start w:w="80" w:type="dxa"/>
              <w:bottom w:w="60" w:type="dxa"/>
              <w:end w:w="80" w:type="dxa"/>
            </w:tcMar>
            <w:vAlign w:val="center"/>
          </w:tcPr>
          <w:p>
            <w:pPr>
              <w:spacing w:after="0" w:line="240" w:lineRule="auto"/>
            </w:pPr>
            <w:r>
              <w:rPr>
                <w:sz w:val="15"/>
              </w:rPr>
              <w:t>The CDSS does not certify eligibility for lying-in delivery.</w:t>
            </w:r>
          </w:p>
        </w:tc>
      </w:tr>
    </w:tbl>
    <w:p>
      <w:pPr>
        <w:spacing w:after="20"/>
      </w:pPr>
    </w:p>
    <w:p>
      <w:pPr>
        <w:pStyle w:val="Heading1"/>
      </w:pPr>
      <w:r>
        <w:t>9. Database Redesign</w:t>
      </w:r>
    </w:p>
    <w:p>
      <w:r>
        <w:t>The database should retain event-level obstetric history and derive summary counts. The following proposal will later be reconciled with the final unified schema after Part 12; it should not be implemented in isolation.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232"/>
            <w:shd w:fill="1F4E78"/>
            <w:tcMar>
              <w:top w:w="60" w:type="dxa"/>
              <w:start w:w="80" w:type="dxa"/>
              <w:bottom w:w="60" w:type="dxa"/>
              <w:end w:w="80" w:type="dxa"/>
            </w:tcMar>
          </w:tcPr>
          <w:p>
            <w:r>
              <w:rPr>
                <w:b/>
                <w:color w:val="FFFFFF"/>
                <w:sz w:val="14"/>
              </w:rPr>
              <w:t>Entity / field</w:t>
            </w:r>
          </w:p>
        </w:tc>
        <w:tc>
          <w:tcPr>
            <w:tcW w:type="dxa" w:w="1512"/>
            <w:shd w:fill="1F4E78"/>
            <w:tcMar>
              <w:top w:w="60" w:type="dxa"/>
              <w:start w:w="80" w:type="dxa"/>
              <w:bottom w:w="60" w:type="dxa"/>
              <w:end w:w="80" w:type="dxa"/>
            </w:tcMar>
          </w:tcPr>
          <w:p>
            <w:r>
              <w:rPr>
                <w:b/>
                <w:color w:val="FFFFFF"/>
                <w:sz w:val="14"/>
              </w:rPr>
              <w:t>Type</w:t>
            </w:r>
          </w:p>
        </w:tc>
        <w:tc>
          <w:tcPr>
            <w:tcW w:type="dxa" w:w="3744"/>
            <w:shd w:fill="1F4E78"/>
            <w:tcMar>
              <w:top w:w="60" w:type="dxa"/>
              <w:start w:w="80" w:type="dxa"/>
              <w:bottom w:w="60" w:type="dxa"/>
              <w:end w:w="80" w:type="dxa"/>
            </w:tcMar>
          </w:tcPr>
          <w:p>
            <w:r>
              <w:rPr>
                <w:b/>
                <w:color w:val="FFFFFF"/>
                <w:sz w:val="14"/>
              </w:rPr>
              <w:t>Purpose</w:t>
            </w:r>
          </w:p>
        </w:tc>
        <w:tc>
          <w:tcPr>
            <w:tcW w:type="dxa" w:w="3024"/>
            <w:shd w:fill="1F4E78"/>
            <w:tcMar>
              <w:top w:w="60" w:type="dxa"/>
              <w:start w:w="80" w:type="dxa"/>
              <w:bottom w:w="60" w:type="dxa"/>
              <w:end w:w="80" w:type="dxa"/>
            </w:tcMar>
          </w:tcPr>
          <w:p>
            <w:r>
              <w:rPr>
                <w:b/>
                <w:color w:val="FFFFFF"/>
                <w:sz w:val="14"/>
              </w:rPr>
              <w:t>Validation</w:t>
            </w:r>
          </w:p>
        </w:tc>
      </w:tr>
      <w:tr>
        <w:tc>
          <w:tcPr>
            <w:tcW w:type="dxa" w:w="2232"/>
            <w:tcMar>
              <w:top w:w="60" w:type="dxa"/>
              <w:start w:w="80" w:type="dxa"/>
              <w:bottom w:w="60" w:type="dxa"/>
              <w:end w:w="80" w:type="dxa"/>
            </w:tcMar>
            <w:vAlign w:val="center"/>
          </w:tcPr>
          <w:p>
            <w:pPr>
              <w:spacing w:after="0" w:line="240" w:lineRule="auto"/>
            </w:pPr>
            <w:r>
              <w:rPr>
                <w:sz w:val="14"/>
              </w:rPr>
              <w:t>pregnancy_episodes.id</w:t>
            </w:r>
          </w:p>
        </w:tc>
        <w:tc>
          <w:tcPr>
            <w:tcW w:type="dxa" w:w="1512"/>
            <w:tcMar>
              <w:top w:w="60" w:type="dxa"/>
              <w:start w:w="80" w:type="dxa"/>
              <w:bottom w:w="60" w:type="dxa"/>
              <w:end w:w="80" w:type="dxa"/>
            </w:tcMar>
            <w:vAlign w:val="center"/>
          </w:tcPr>
          <w:p>
            <w:pPr>
              <w:spacing w:after="0" w:line="240" w:lineRule="auto"/>
            </w:pPr>
            <w:r>
              <w:rPr>
                <w:sz w:val="14"/>
              </w:rPr>
              <w:t>PK</w:t>
            </w:r>
          </w:p>
        </w:tc>
        <w:tc>
          <w:tcPr>
            <w:tcW w:type="dxa" w:w="3744"/>
            <w:tcMar>
              <w:top w:w="60" w:type="dxa"/>
              <w:start w:w="80" w:type="dxa"/>
              <w:bottom w:w="60" w:type="dxa"/>
              <w:end w:w="80" w:type="dxa"/>
            </w:tcMar>
            <w:vAlign w:val="center"/>
          </w:tcPr>
          <w:p>
            <w:pPr>
              <w:spacing w:after="0" w:line="240" w:lineRule="auto"/>
            </w:pPr>
            <w:r>
              <w:rPr>
                <w:sz w:val="14"/>
              </w:rPr>
              <w:t>One record per recognized pregnancy, including current.</w:t>
            </w:r>
          </w:p>
        </w:tc>
        <w:tc>
          <w:tcPr>
            <w:tcW w:type="dxa" w:w="3024"/>
            <w:tcMar>
              <w:top w:w="60" w:type="dxa"/>
              <w:start w:w="80" w:type="dxa"/>
              <w:bottom w:w="60" w:type="dxa"/>
              <w:end w:w="80" w:type="dxa"/>
            </w:tcMar>
            <w:vAlign w:val="center"/>
          </w:tcPr>
          <w:p>
            <w:pPr>
              <w:spacing w:after="0" w:line="240" w:lineRule="auto"/>
            </w:pPr>
            <w:r>
              <w:rPr>
                <w:sz w:val="14"/>
              </w:rPr>
              <w:t>Immutable audit identity.</w:t>
            </w:r>
          </w:p>
        </w:tc>
      </w:tr>
      <w:tr>
        <w:tc>
          <w:tcPr>
            <w:tcW w:type="dxa" w:w="2232"/>
            <w:tcMar>
              <w:top w:w="60" w:type="dxa"/>
              <w:start w:w="80" w:type="dxa"/>
              <w:bottom w:w="60" w:type="dxa"/>
              <w:end w:w="80" w:type="dxa"/>
            </w:tcMar>
            <w:vAlign w:val="center"/>
            <w:shd w:fill="EAF1F7"/>
          </w:tcPr>
          <w:p>
            <w:pPr>
              <w:spacing w:after="0" w:line="240" w:lineRule="auto"/>
            </w:pPr>
            <w:r>
              <w:rPr>
                <w:sz w:val="14"/>
              </w:rPr>
              <w:t>patient_id</w:t>
            </w:r>
          </w:p>
        </w:tc>
        <w:tc>
          <w:tcPr>
            <w:tcW w:type="dxa" w:w="1512"/>
            <w:tcMar>
              <w:top w:w="60" w:type="dxa"/>
              <w:start w:w="80" w:type="dxa"/>
              <w:bottom w:w="60" w:type="dxa"/>
              <w:end w:w="80" w:type="dxa"/>
            </w:tcMar>
            <w:vAlign w:val="center"/>
            <w:shd w:fill="EAF1F7"/>
          </w:tcPr>
          <w:p>
            <w:pPr>
              <w:spacing w:after="0" w:line="240" w:lineRule="auto"/>
            </w:pPr>
            <w:r>
              <w:rPr>
                <w:sz w:val="14"/>
              </w:rPr>
              <w:t>FK</w:t>
            </w:r>
          </w:p>
        </w:tc>
        <w:tc>
          <w:tcPr>
            <w:tcW w:type="dxa" w:w="3744"/>
            <w:tcMar>
              <w:top w:w="60" w:type="dxa"/>
              <w:start w:w="80" w:type="dxa"/>
              <w:bottom w:w="60" w:type="dxa"/>
              <w:end w:w="80" w:type="dxa"/>
            </w:tcMar>
            <w:vAlign w:val="center"/>
            <w:shd w:fill="EAF1F7"/>
          </w:tcPr>
          <w:p>
            <w:pPr>
              <w:spacing w:after="0" w:line="240" w:lineRule="auto"/>
            </w:pPr>
            <w:r>
              <w:rPr>
                <w:sz w:val="14"/>
              </w:rPr>
              <w:t>Links pregnancy episode to patient.</w:t>
            </w:r>
          </w:p>
        </w:tc>
        <w:tc>
          <w:tcPr>
            <w:tcW w:type="dxa" w:w="3024"/>
            <w:tcMar>
              <w:top w:w="60" w:type="dxa"/>
              <w:start w:w="80" w:type="dxa"/>
              <w:bottom w:w="60" w:type="dxa"/>
              <w:end w:w="80" w:type="dxa"/>
            </w:tcMar>
            <w:vAlign w:val="center"/>
            <w:shd w:fill="EAF1F7"/>
          </w:tcPr>
          <w:p>
            <w:pPr>
              <w:spacing w:after="0" w:line="240" w:lineRule="auto"/>
            </w:pPr>
            <w:r>
              <w:rPr>
                <w:sz w:val="14"/>
              </w:rPr>
              <w:t>Required.</w:t>
            </w:r>
          </w:p>
        </w:tc>
      </w:tr>
      <w:tr>
        <w:tc>
          <w:tcPr>
            <w:tcW w:type="dxa" w:w="2232"/>
            <w:tcMar>
              <w:top w:w="60" w:type="dxa"/>
              <w:start w:w="80" w:type="dxa"/>
              <w:bottom w:w="60" w:type="dxa"/>
              <w:end w:w="80" w:type="dxa"/>
            </w:tcMar>
            <w:vAlign w:val="center"/>
          </w:tcPr>
          <w:p>
            <w:pPr>
              <w:spacing w:after="0" w:line="240" w:lineRule="auto"/>
            </w:pPr>
            <w:r>
              <w:rPr>
                <w:sz w:val="14"/>
              </w:rPr>
              <w:t>episode_status</w:t>
            </w:r>
          </w:p>
        </w:tc>
        <w:tc>
          <w:tcPr>
            <w:tcW w:type="dxa" w:w="1512"/>
            <w:tcMar>
              <w:top w:w="60" w:type="dxa"/>
              <w:start w:w="80" w:type="dxa"/>
              <w:bottom w:w="60" w:type="dxa"/>
              <w:end w:w="80" w:type="dxa"/>
            </w:tcMar>
            <w:vAlign w:val="center"/>
          </w:tcPr>
          <w:p>
            <w:pPr>
              <w:spacing w:after="0" w:line="240" w:lineRule="auto"/>
            </w:pPr>
            <w:r>
              <w:rPr>
                <w:sz w:val="14"/>
              </w:rPr>
              <w:t>enum</w:t>
            </w:r>
          </w:p>
        </w:tc>
        <w:tc>
          <w:tcPr>
            <w:tcW w:type="dxa" w:w="3744"/>
            <w:tcMar>
              <w:top w:w="60" w:type="dxa"/>
              <w:start w:w="80" w:type="dxa"/>
              <w:bottom w:w="60" w:type="dxa"/>
              <w:end w:w="80" w:type="dxa"/>
            </w:tcMar>
            <w:vAlign w:val="center"/>
          </w:tcPr>
          <w:p>
            <w:pPr>
              <w:spacing w:after="0" w:line="240" w:lineRule="auto"/>
            </w:pPr>
            <w:r>
              <w:rPr>
                <w:sz w:val="14"/>
              </w:rPr>
              <w:t>current, completed, unknown outcome.</w:t>
            </w:r>
          </w:p>
        </w:tc>
        <w:tc>
          <w:tcPr>
            <w:tcW w:type="dxa" w:w="3024"/>
            <w:tcMar>
              <w:top w:w="60" w:type="dxa"/>
              <w:start w:w="80" w:type="dxa"/>
              <w:bottom w:w="60" w:type="dxa"/>
              <w:end w:w="80" w:type="dxa"/>
            </w:tcMar>
            <w:vAlign w:val="center"/>
          </w:tcPr>
          <w:p>
            <w:pPr>
              <w:spacing w:after="0" w:line="240" w:lineRule="auto"/>
            </w:pPr>
            <w:r>
              <w:rPr>
                <w:sz w:val="14"/>
              </w:rPr>
              <w:t>Current episode uniqueness rule.</w:t>
            </w:r>
          </w:p>
        </w:tc>
      </w:tr>
      <w:tr>
        <w:tc>
          <w:tcPr>
            <w:tcW w:type="dxa" w:w="2232"/>
            <w:tcMar>
              <w:top w:w="60" w:type="dxa"/>
              <w:start w:w="80" w:type="dxa"/>
              <w:bottom w:w="60" w:type="dxa"/>
              <w:end w:w="80" w:type="dxa"/>
            </w:tcMar>
            <w:vAlign w:val="center"/>
            <w:shd w:fill="EAF1F7"/>
          </w:tcPr>
          <w:p>
            <w:pPr>
              <w:spacing w:after="0" w:line="240" w:lineRule="auto"/>
            </w:pPr>
            <w:r>
              <w:rPr>
                <w:sz w:val="14"/>
              </w:rPr>
              <w:t>outcome_type</w:t>
            </w:r>
          </w:p>
        </w:tc>
        <w:tc>
          <w:tcPr>
            <w:tcW w:type="dxa" w:w="1512"/>
            <w:tcMar>
              <w:top w:w="60" w:type="dxa"/>
              <w:start w:w="80" w:type="dxa"/>
              <w:bottom w:w="60" w:type="dxa"/>
              <w:end w:w="80" w:type="dxa"/>
            </w:tcMar>
            <w:vAlign w:val="center"/>
            <w:shd w:fill="EAF1F7"/>
          </w:tcPr>
          <w:p>
            <w:pPr>
              <w:spacing w:after="0" w:line="240" w:lineRule="auto"/>
            </w:pPr>
            <w:r>
              <w:rPr>
                <w:sz w:val="14"/>
              </w:rPr>
              <w:t>enum/unknown</w:t>
            </w:r>
          </w:p>
        </w:tc>
        <w:tc>
          <w:tcPr>
            <w:tcW w:type="dxa" w:w="3744"/>
            <w:tcMar>
              <w:top w:w="60" w:type="dxa"/>
              <w:start w:w="80" w:type="dxa"/>
              <w:bottom w:w="60" w:type="dxa"/>
              <w:end w:w="80" w:type="dxa"/>
            </w:tcMar>
            <w:vAlign w:val="center"/>
            <w:shd w:fill="EAF1F7"/>
          </w:tcPr>
          <w:p>
            <w:pPr>
              <w:spacing w:after="0" w:line="240" w:lineRule="auto"/>
            </w:pPr>
            <w:r>
              <w:rPr>
                <w:sz w:val="14"/>
              </w:rPr>
              <w:t>live_birth, miscarriage, ectopic, molar, stillbirth, termination, unknown.</w:t>
            </w:r>
          </w:p>
        </w:tc>
        <w:tc>
          <w:tcPr>
            <w:tcW w:type="dxa" w:w="3024"/>
            <w:tcMar>
              <w:top w:w="60" w:type="dxa"/>
              <w:start w:w="80" w:type="dxa"/>
              <w:bottom w:w="60" w:type="dxa"/>
              <w:end w:w="80" w:type="dxa"/>
            </w:tcMar>
            <w:vAlign w:val="center"/>
            <w:shd w:fill="EAF1F7"/>
          </w:tcPr>
          <w:p>
            <w:pPr>
              <w:spacing w:after="0" w:line="240" w:lineRule="auto"/>
            </w:pPr>
            <w:r>
              <w:rPr>
                <w:sz w:val="14"/>
              </w:rPr>
              <w:t>Required for completed episode unless reason documented.</w:t>
            </w:r>
          </w:p>
        </w:tc>
      </w:tr>
      <w:tr>
        <w:tc>
          <w:tcPr>
            <w:tcW w:type="dxa" w:w="2232"/>
            <w:tcMar>
              <w:top w:w="60" w:type="dxa"/>
              <w:start w:w="80" w:type="dxa"/>
              <w:bottom w:w="60" w:type="dxa"/>
              <w:end w:w="80" w:type="dxa"/>
            </w:tcMar>
            <w:vAlign w:val="center"/>
          </w:tcPr>
          <w:p>
            <w:pPr>
              <w:spacing w:after="0" w:line="240" w:lineRule="auto"/>
            </w:pPr>
            <w:r>
              <w:rPr>
                <w:sz w:val="14"/>
              </w:rPr>
              <w:t>outcome_date</w:t>
            </w:r>
          </w:p>
        </w:tc>
        <w:tc>
          <w:tcPr>
            <w:tcW w:type="dxa" w:w="1512"/>
            <w:tcMar>
              <w:top w:w="60" w:type="dxa"/>
              <w:start w:w="80" w:type="dxa"/>
              <w:bottom w:w="60" w:type="dxa"/>
              <w:end w:w="80" w:type="dxa"/>
            </w:tcMar>
            <w:vAlign w:val="center"/>
          </w:tcPr>
          <w:p>
            <w:pPr>
              <w:spacing w:after="0" w:line="240" w:lineRule="auto"/>
            </w:pPr>
            <w:r>
              <w:rPr>
                <w:sz w:val="14"/>
              </w:rPr>
              <w:t>date/partial date</w:t>
            </w:r>
          </w:p>
        </w:tc>
        <w:tc>
          <w:tcPr>
            <w:tcW w:type="dxa" w:w="3744"/>
            <w:tcMar>
              <w:top w:w="60" w:type="dxa"/>
              <w:start w:w="80" w:type="dxa"/>
              <w:bottom w:w="60" w:type="dxa"/>
              <w:end w:w="80" w:type="dxa"/>
            </w:tcMar>
            <w:vAlign w:val="center"/>
          </w:tcPr>
          <w:p>
            <w:pPr>
              <w:spacing w:after="0" w:line="240" w:lineRule="auto"/>
            </w:pPr>
            <w:r>
              <w:rPr>
                <w:sz w:val="14"/>
              </w:rPr>
              <w:t>Supports sequence and interval calculation.</w:t>
            </w:r>
          </w:p>
        </w:tc>
        <w:tc>
          <w:tcPr>
            <w:tcW w:type="dxa" w:w="3024"/>
            <w:tcMar>
              <w:top w:w="60" w:type="dxa"/>
              <w:start w:w="80" w:type="dxa"/>
              <w:bottom w:w="60" w:type="dxa"/>
              <w:end w:w="80" w:type="dxa"/>
            </w:tcMar>
            <w:vAlign w:val="center"/>
          </w:tcPr>
          <w:p>
            <w:pPr>
              <w:spacing w:after="0" w:line="240" w:lineRule="auto"/>
            </w:pPr>
            <w:r>
              <w:rPr>
                <w:sz w:val="14"/>
              </w:rPr>
              <w:t>Partial precision stored explicitly.</w:t>
            </w:r>
          </w:p>
        </w:tc>
      </w:tr>
      <w:tr>
        <w:tc>
          <w:tcPr>
            <w:tcW w:type="dxa" w:w="2232"/>
            <w:tcMar>
              <w:top w:w="60" w:type="dxa"/>
              <w:start w:w="80" w:type="dxa"/>
              <w:bottom w:w="60" w:type="dxa"/>
              <w:end w:w="80" w:type="dxa"/>
            </w:tcMar>
            <w:vAlign w:val="center"/>
            <w:shd w:fill="EAF1F7"/>
          </w:tcPr>
          <w:p>
            <w:pPr>
              <w:spacing w:after="0" w:line="240" w:lineRule="auto"/>
            </w:pPr>
            <w:r>
              <w:rPr>
                <w:sz w:val="14"/>
              </w:rPr>
              <w:t>gestational_age_at_outcome</w:t>
            </w:r>
          </w:p>
        </w:tc>
        <w:tc>
          <w:tcPr>
            <w:tcW w:type="dxa" w:w="1512"/>
            <w:tcMar>
              <w:top w:w="60" w:type="dxa"/>
              <w:start w:w="80" w:type="dxa"/>
              <w:bottom w:w="60" w:type="dxa"/>
              <w:end w:w="80" w:type="dxa"/>
            </w:tcMar>
            <w:vAlign w:val="center"/>
            <w:shd w:fill="EAF1F7"/>
          </w:tcPr>
          <w:p>
            <w:pPr>
              <w:spacing w:after="0" w:line="240" w:lineRule="auto"/>
            </w:pPr>
            <w:r>
              <w:rPr>
                <w:sz w:val="14"/>
              </w:rPr>
              <w:t>weeks+days/unknown</w:t>
            </w:r>
          </w:p>
        </w:tc>
        <w:tc>
          <w:tcPr>
            <w:tcW w:type="dxa" w:w="3744"/>
            <w:tcMar>
              <w:top w:w="60" w:type="dxa"/>
              <w:start w:w="80" w:type="dxa"/>
              <w:bottom w:w="60" w:type="dxa"/>
              <w:end w:w="80" w:type="dxa"/>
            </w:tcMar>
            <w:vAlign w:val="center"/>
            <w:shd w:fill="EAF1F7"/>
          </w:tcPr>
          <w:p>
            <w:pPr>
              <w:spacing w:after="0" w:line="240" w:lineRule="auto"/>
            </w:pPr>
            <w:r>
              <w:rPr>
                <w:sz w:val="14"/>
              </w:rPr>
              <w:t>Supports parity and outcome classification.</w:t>
            </w:r>
          </w:p>
        </w:tc>
        <w:tc>
          <w:tcPr>
            <w:tcW w:type="dxa" w:w="3024"/>
            <w:tcMar>
              <w:top w:w="60" w:type="dxa"/>
              <w:start w:w="80" w:type="dxa"/>
              <w:bottom w:w="60" w:type="dxa"/>
              <w:end w:w="80" w:type="dxa"/>
            </w:tcMar>
            <w:vAlign w:val="center"/>
            <w:shd w:fill="EAF1F7"/>
          </w:tcPr>
          <w:p>
            <w:pPr>
              <w:spacing w:after="0" w:line="240" w:lineRule="auto"/>
            </w:pPr>
            <w:r>
              <w:rPr>
                <w:sz w:val="14"/>
              </w:rPr>
              <w:t>Never infer from free text without verification.</w:t>
            </w:r>
          </w:p>
        </w:tc>
      </w:tr>
      <w:tr>
        <w:tc>
          <w:tcPr>
            <w:tcW w:type="dxa" w:w="2232"/>
            <w:tcMar>
              <w:top w:w="60" w:type="dxa"/>
              <w:start w:w="80" w:type="dxa"/>
              <w:bottom w:w="60" w:type="dxa"/>
              <w:end w:w="80" w:type="dxa"/>
            </w:tcMar>
            <w:vAlign w:val="center"/>
          </w:tcPr>
          <w:p>
            <w:pPr>
              <w:spacing w:after="0" w:line="240" w:lineRule="auto"/>
            </w:pPr>
            <w:r>
              <w:rPr>
                <w:sz w:val="14"/>
              </w:rPr>
              <w:t>fetuses_count</w:t>
            </w:r>
          </w:p>
        </w:tc>
        <w:tc>
          <w:tcPr>
            <w:tcW w:type="dxa" w:w="1512"/>
            <w:tcMar>
              <w:top w:w="60" w:type="dxa"/>
              <w:start w:w="80" w:type="dxa"/>
              <w:bottom w:w="60" w:type="dxa"/>
              <w:end w:w="80" w:type="dxa"/>
            </w:tcMar>
            <w:vAlign w:val="center"/>
          </w:tcPr>
          <w:p>
            <w:pPr>
              <w:spacing w:after="0" w:line="240" w:lineRule="auto"/>
            </w:pPr>
            <w:r>
              <w:rPr>
                <w:sz w:val="14"/>
              </w:rPr>
              <w:t>integer/unknown</w:t>
            </w:r>
          </w:p>
        </w:tc>
        <w:tc>
          <w:tcPr>
            <w:tcW w:type="dxa" w:w="3744"/>
            <w:tcMar>
              <w:top w:w="60" w:type="dxa"/>
              <w:start w:w="80" w:type="dxa"/>
              <w:bottom w:w="60" w:type="dxa"/>
              <w:end w:w="80" w:type="dxa"/>
            </w:tcMar>
            <w:vAlign w:val="center"/>
          </w:tcPr>
          <w:p>
            <w:pPr>
              <w:spacing w:after="0" w:line="240" w:lineRule="auto"/>
            </w:pPr>
            <w:r>
              <w:rPr>
                <w:sz w:val="14"/>
              </w:rPr>
              <w:t>Represents singleton or multiple gestation.</w:t>
            </w:r>
          </w:p>
        </w:tc>
        <w:tc>
          <w:tcPr>
            <w:tcW w:type="dxa" w:w="3024"/>
            <w:tcMar>
              <w:top w:w="60" w:type="dxa"/>
              <w:start w:w="80" w:type="dxa"/>
              <w:bottom w:w="60" w:type="dxa"/>
              <w:end w:w="80" w:type="dxa"/>
            </w:tcMar>
            <w:vAlign w:val="center"/>
          </w:tcPr>
          <w:p>
            <w:pPr>
              <w:spacing w:after="0" w:line="240" w:lineRule="auto"/>
            </w:pPr>
            <w:r>
              <w:rPr>
                <w:sz w:val="14"/>
              </w:rPr>
              <w:t>Does not alter gravida count.</w:t>
            </w:r>
          </w:p>
        </w:tc>
      </w:tr>
      <w:tr>
        <w:tc>
          <w:tcPr>
            <w:tcW w:type="dxa" w:w="2232"/>
            <w:tcMar>
              <w:top w:w="60" w:type="dxa"/>
              <w:start w:w="80" w:type="dxa"/>
              <w:bottom w:w="60" w:type="dxa"/>
              <w:end w:w="80" w:type="dxa"/>
            </w:tcMar>
            <w:vAlign w:val="center"/>
            <w:shd w:fill="EAF1F7"/>
          </w:tcPr>
          <w:p>
            <w:pPr>
              <w:spacing w:after="0" w:line="240" w:lineRule="auto"/>
            </w:pPr>
            <w:r>
              <w:rPr>
                <w:sz w:val="14"/>
              </w:rPr>
              <w:t>liveborn_count</w:t>
            </w:r>
          </w:p>
        </w:tc>
        <w:tc>
          <w:tcPr>
            <w:tcW w:type="dxa" w:w="1512"/>
            <w:tcMar>
              <w:top w:w="60" w:type="dxa"/>
              <w:start w:w="80" w:type="dxa"/>
              <w:bottom w:w="60" w:type="dxa"/>
              <w:end w:w="80" w:type="dxa"/>
            </w:tcMar>
            <w:vAlign w:val="center"/>
            <w:shd w:fill="EAF1F7"/>
          </w:tcPr>
          <w:p>
            <w:pPr>
              <w:spacing w:after="0" w:line="240" w:lineRule="auto"/>
            </w:pPr>
            <w:r>
              <w:rPr>
                <w:sz w:val="14"/>
              </w:rPr>
              <w:t>integer/unknown</w:t>
            </w:r>
          </w:p>
        </w:tc>
        <w:tc>
          <w:tcPr>
            <w:tcW w:type="dxa" w:w="3744"/>
            <w:tcMar>
              <w:top w:w="60" w:type="dxa"/>
              <w:start w:w="80" w:type="dxa"/>
              <w:bottom w:w="60" w:type="dxa"/>
              <w:end w:w="80" w:type="dxa"/>
            </w:tcMar>
            <w:vAlign w:val="center"/>
            <w:shd w:fill="EAF1F7"/>
          </w:tcPr>
          <w:p>
            <w:pPr>
              <w:spacing w:after="0" w:line="240" w:lineRule="auto"/>
            </w:pPr>
            <w:r>
              <w:rPr>
                <w:sz w:val="14"/>
              </w:rPr>
              <w:t>Number born alive from episode.</w:t>
            </w:r>
          </w:p>
        </w:tc>
        <w:tc>
          <w:tcPr>
            <w:tcW w:type="dxa" w:w="3024"/>
            <w:tcMar>
              <w:top w:w="60" w:type="dxa"/>
              <w:start w:w="80" w:type="dxa"/>
              <w:bottom w:w="60" w:type="dxa"/>
              <w:end w:w="80" w:type="dxa"/>
            </w:tcMar>
            <w:vAlign w:val="center"/>
            <w:shd w:fill="EAF1F7"/>
          </w:tcPr>
          <w:p>
            <w:pPr>
              <w:spacing w:after="0" w:line="240" w:lineRule="auto"/>
            </w:pPr>
            <w:r>
              <w:rPr>
                <w:sz w:val="14"/>
              </w:rPr>
              <w:t>Separate from parity.</w:t>
            </w:r>
          </w:p>
        </w:tc>
      </w:tr>
      <w:tr>
        <w:tc>
          <w:tcPr>
            <w:tcW w:type="dxa" w:w="2232"/>
            <w:tcMar>
              <w:top w:w="60" w:type="dxa"/>
              <w:start w:w="80" w:type="dxa"/>
              <w:bottom w:w="60" w:type="dxa"/>
              <w:end w:w="80" w:type="dxa"/>
            </w:tcMar>
            <w:vAlign w:val="center"/>
          </w:tcPr>
          <w:p>
            <w:pPr>
              <w:spacing w:after="0" w:line="240" w:lineRule="auto"/>
            </w:pPr>
            <w:r>
              <w:rPr>
                <w:sz w:val="14"/>
              </w:rPr>
              <w:t>living_children_current</w:t>
            </w:r>
          </w:p>
        </w:tc>
        <w:tc>
          <w:tcPr>
            <w:tcW w:type="dxa" w:w="1512"/>
            <w:tcMar>
              <w:top w:w="60" w:type="dxa"/>
              <w:start w:w="80" w:type="dxa"/>
              <w:bottom w:w="60" w:type="dxa"/>
              <w:end w:w="80" w:type="dxa"/>
            </w:tcMar>
            <w:vAlign w:val="center"/>
          </w:tcPr>
          <w:p>
            <w:pPr>
              <w:spacing w:after="0" w:line="240" w:lineRule="auto"/>
            </w:pPr>
            <w:r>
              <w:rPr>
                <w:sz w:val="14"/>
              </w:rPr>
              <w:t>integer/unknown</w:t>
            </w:r>
          </w:p>
        </w:tc>
        <w:tc>
          <w:tcPr>
            <w:tcW w:type="dxa" w:w="3744"/>
            <w:tcMar>
              <w:top w:w="60" w:type="dxa"/>
              <w:start w:w="80" w:type="dxa"/>
              <w:bottom w:w="60" w:type="dxa"/>
              <w:end w:w="80" w:type="dxa"/>
            </w:tcMar>
            <w:vAlign w:val="center"/>
          </w:tcPr>
          <w:p>
            <w:pPr>
              <w:spacing w:after="0" w:line="240" w:lineRule="auto"/>
            </w:pPr>
            <w:r>
              <w:rPr>
                <w:sz w:val="14"/>
              </w:rPr>
              <w:t>Current living children count.</w:t>
            </w:r>
          </w:p>
        </w:tc>
        <w:tc>
          <w:tcPr>
            <w:tcW w:type="dxa" w:w="3024"/>
            <w:tcMar>
              <w:top w:w="60" w:type="dxa"/>
              <w:start w:w="80" w:type="dxa"/>
              <w:bottom w:w="60" w:type="dxa"/>
              <w:end w:w="80" w:type="dxa"/>
            </w:tcMar>
            <w:vAlign w:val="center"/>
          </w:tcPr>
          <w:p>
            <w:pPr>
              <w:spacing w:after="0" w:line="240" w:lineRule="auto"/>
            </w:pPr>
            <w:r>
              <w:rPr>
                <w:sz w:val="14"/>
              </w:rPr>
              <w:t>May change over time; timestamp/source required.</w:t>
            </w:r>
          </w:p>
        </w:tc>
      </w:tr>
      <w:tr>
        <w:tc>
          <w:tcPr>
            <w:tcW w:type="dxa" w:w="2232"/>
            <w:tcMar>
              <w:top w:w="60" w:type="dxa"/>
              <w:start w:w="80" w:type="dxa"/>
              <w:bottom w:w="60" w:type="dxa"/>
              <w:end w:w="80" w:type="dxa"/>
            </w:tcMar>
            <w:vAlign w:val="center"/>
            <w:shd w:fill="EAF1F7"/>
          </w:tcPr>
          <w:p>
            <w:pPr>
              <w:spacing w:after="0" w:line="240" w:lineRule="auto"/>
            </w:pPr>
            <w:r>
              <w:rPr>
                <w:sz w:val="14"/>
              </w:rPr>
              <w:t>parity_threshold_standard</w:t>
            </w:r>
          </w:p>
        </w:tc>
        <w:tc>
          <w:tcPr>
            <w:tcW w:type="dxa" w:w="1512"/>
            <w:tcMar>
              <w:top w:w="60" w:type="dxa"/>
              <w:start w:w="80" w:type="dxa"/>
              <w:bottom w:w="60" w:type="dxa"/>
              <w:end w:w="80" w:type="dxa"/>
            </w:tcMar>
            <w:vAlign w:val="center"/>
            <w:shd w:fill="EAF1F7"/>
          </w:tcPr>
          <w:p>
            <w:pPr>
              <w:spacing w:after="0" w:line="240" w:lineRule="auto"/>
            </w:pPr>
            <w:r>
              <w:rPr>
                <w:sz w:val="14"/>
              </w:rPr>
              <w:t>enum/version</w:t>
            </w:r>
          </w:p>
        </w:tc>
        <w:tc>
          <w:tcPr>
            <w:tcW w:type="dxa" w:w="3744"/>
            <w:tcMar>
              <w:top w:w="60" w:type="dxa"/>
              <w:start w:w="80" w:type="dxa"/>
              <w:bottom w:w="60" w:type="dxa"/>
              <w:end w:w="80" w:type="dxa"/>
            </w:tcMar>
            <w:vAlign w:val="center"/>
            <w:shd w:fill="EAF1F7"/>
          </w:tcPr>
          <w:p>
            <w:pPr>
              <w:spacing w:after="0" w:line="240" w:lineRule="auto"/>
            </w:pPr>
            <w:r>
              <w:rPr>
                <w:sz w:val="14"/>
              </w:rPr>
              <w:t>Defines local gestational threshold for derived para.</w:t>
            </w:r>
          </w:p>
        </w:tc>
        <w:tc>
          <w:tcPr>
            <w:tcW w:type="dxa" w:w="3024"/>
            <w:tcMar>
              <w:top w:w="60" w:type="dxa"/>
              <w:start w:w="80" w:type="dxa"/>
              <w:bottom w:w="60" w:type="dxa"/>
              <w:end w:w="80" w:type="dxa"/>
            </w:tcMar>
            <w:vAlign w:val="center"/>
            <w:shd w:fill="EAF1F7"/>
          </w:tcPr>
          <w:p>
            <w:pPr>
              <w:spacing w:after="0" w:line="240" w:lineRule="auto"/>
            </w:pPr>
            <w:r>
              <w:rPr>
                <w:sz w:val="14"/>
              </w:rPr>
              <w:t>Version mandatory.</w:t>
            </w:r>
          </w:p>
        </w:tc>
      </w:tr>
      <w:tr>
        <w:tc>
          <w:tcPr>
            <w:tcW w:type="dxa" w:w="2232"/>
            <w:tcMar>
              <w:top w:w="60" w:type="dxa"/>
              <w:start w:w="80" w:type="dxa"/>
              <w:bottom w:w="60" w:type="dxa"/>
              <w:end w:w="80" w:type="dxa"/>
            </w:tcMar>
            <w:vAlign w:val="center"/>
          </w:tcPr>
          <w:p>
            <w:pPr>
              <w:spacing w:after="0" w:line="240" w:lineRule="auto"/>
            </w:pPr>
            <w:r>
              <w:rPr>
                <w:sz w:val="14"/>
              </w:rPr>
              <w:t>grand_multiparity_threshold</w:t>
            </w:r>
          </w:p>
        </w:tc>
        <w:tc>
          <w:tcPr>
            <w:tcW w:type="dxa" w:w="1512"/>
            <w:tcMar>
              <w:top w:w="60" w:type="dxa"/>
              <w:start w:w="80" w:type="dxa"/>
              <w:bottom w:w="60" w:type="dxa"/>
              <w:end w:w="80" w:type="dxa"/>
            </w:tcMar>
            <w:vAlign w:val="center"/>
          </w:tcPr>
          <w:p>
            <w:pPr>
              <w:spacing w:after="0" w:line="240" w:lineRule="auto"/>
            </w:pPr>
            <w:r>
              <w:rPr>
                <w:sz w:val="14"/>
              </w:rPr>
              <w:t>integer/version</w:t>
            </w:r>
          </w:p>
        </w:tc>
        <w:tc>
          <w:tcPr>
            <w:tcW w:type="dxa" w:w="3744"/>
            <w:tcMar>
              <w:top w:w="60" w:type="dxa"/>
              <w:start w:w="80" w:type="dxa"/>
              <w:bottom w:w="60" w:type="dxa"/>
              <w:end w:w="80" w:type="dxa"/>
            </w:tcMar>
            <w:vAlign w:val="center"/>
          </w:tcPr>
          <w:p>
            <w:pPr>
              <w:spacing w:after="0" w:line="240" w:lineRule="auto"/>
            </w:pPr>
            <w:r>
              <w:rPr>
                <w:sz w:val="14"/>
              </w:rPr>
              <w:t>Locally configured threshold, commonly 5.</w:t>
            </w:r>
          </w:p>
        </w:tc>
        <w:tc>
          <w:tcPr>
            <w:tcW w:type="dxa" w:w="3024"/>
            <w:tcMar>
              <w:top w:w="60" w:type="dxa"/>
              <w:start w:w="80" w:type="dxa"/>
              <w:bottom w:w="60" w:type="dxa"/>
              <w:end w:w="80" w:type="dxa"/>
            </w:tcMar>
            <w:vAlign w:val="center"/>
          </w:tcPr>
          <w:p>
            <w:pPr>
              <w:spacing w:after="0" w:line="240" w:lineRule="auto"/>
            </w:pPr>
            <w:r>
              <w:rPr>
                <w:sz w:val="14"/>
              </w:rPr>
              <w:t>Do not hard-code in controller.</w:t>
            </w:r>
          </w:p>
        </w:tc>
      </w:tr>
      <w:tr>
        <w:tc>
          <w:tcPr>
            <w:tcW w:type="dxa" w:w="2232"/>
            <w:tcMar>
              <w:top w:w="60" w:type="dxa"/>
              <w:start w:w="80" w:type="dxa"/>
              <w:bottom w:w="60" w:type="dxa"/>
              <w:end w:w="80" w:type="dxa"/>
            </w:tcMar>
            <w:vAlign w:val="center"/>
            <w:shd w:fill="EAF1F7"/>
          </w:tcPr>
          <w:p>
            <w:pPr>
              <w:spacing w:after="0" w:line="240" w:lineRule="auto"/>
            </w:pPr>
            <w:r>
              <w:rPr>
                <w:sz w:val="14"/>
              </w:rPr>
              <w:t>estimated_conception_date</w:t>
            </w:r>
          </w:p>
        </w:tc>
        <w:tc>
          <w:tcPr>
            <w:tcW w:type="dxa" w:w="1512"/>
            <w:tcMar>
              <w:top w:w="60" w:type="dxa"/>
              <w:start w:w="80" w:type="dxa"/>
              <w:bottom w:w="60" w:type="dxa"/>
              <w:end w:w="80" w:type="dxa"/>
            </w:tcMar>
            <w:vAlign w:val="center"/>
            <w:shd w:fill="EAF1F7"/>
          </w:tcPr>
          <w:p>
            <w:pPr>
              <w:spacing w:after="0" w:line="240" w:lineRule="auto"/>
            </w:pPr>
            <w:r>
              <w:rPr>
                <w:sz w:val="14"/>
              </w:rPr>
              <w:t>date/range</w:t>
            </w:r>
          </w:p>
        </w:tc>
        <w:tc>
          <w:tcPr>
            <w:tcW w:type="dxa" w:w="3744"/>
            <w:tcMar>
              <w:top w:w="60" w:type="dxa"/>
              <w:start w:w="80" w:type="dxa"/>
              <w:bottom w:w="60" w:type="dxa"/>
              <w:end w:w="80" w:type="dxa"/>
            </w:tcMar>
            <w:vAlign w:val="center"/>
            <w:shd w:fill="EAF1F7"/>
          </w:tcPr>
          <w:p>
            <w:pPr>
              <w:spacing w:after="0" w:line="240" w:lineRule="auto"/>
            </w:pPr>
            <w:r>
              <w:rPr>
                <w:sz w:val="14"/>
              </w:rPr>
              <w:t>Supports interval calculation for current episode.</w:t>
            </w:r>
          </w:p>
        </w:tc>
        <w:tc>
          <w:tcPr>
            <w:tcW w:type="dxa" w:w="3024"/>
            <w:tcMar>
              <w:top w:w="60" w:type="dxa"/>
              <w:start w:w="80" w:type="dxa"/>
              <w:bottom w:w="60" w:type="dxa"/>
              <w:end w:w="80" w:type="dxa"/>
            </w:tcMar>
            <w:vAlign w:val="center"/>
            <w:shd w:fill="EAF1F7"/>
          </w:tcPr>
          <w:p>
            <w:pPr>
              <w:spacing w:after="0" w:line="240" w:lineRule="auto"/>
            </w:pPr>
            <w:r>
              <w:rPr>
                <w:sz w:val="14"/>
              </w:rPr>
              <w:t>Store method and uncertainty.</w:t>
            </w:r>
          </w:p>
        </w:tc>
      </w:tr>
      <w:tr>
        <w:tc>
          <w:tcPr>
            <w:tcW w:type="dxa" w:w="2232"/>
            <w:tcMar>
              <w:top w:w="60" w:type="dxa"/>
              <w:start w:w="80" w:type="dxa"/>
              <w:bottom w:w="60" w:type="dxa"/>
              <w:end w:w="80" w:type="dxa"/>
            </w:tcMar>
            <w:vAlign w:val="center"/>
          </w:tcPr>
          <w:p>
            <w:pPr>
              <w:spacing w:after="0" w:line="240" w:lineRule="auto"/>
            </w:pPr>
            <w:r>
              <w:rPr>
                <w:sz w:val="14"/>
              </w:rPr>
              <w:t>interpregnancy_interval_days</w:t>
            </w:r>
          </w:p>
        </w:tc>
        <w:tc>
          <w:tcPr>
            <w:tcW w:type="dxa" w:w="1512"/>
            <w:tcMar>
              <w:top w:w="60" w:type="dxa"/>
              <w:start w:w="80" w:type="dxa"/>
              <w:bottom w:w="60" w:type="dxa"/>
              <w:end w:w="80" w:type="dxa"/>
            </w:tcMar>
            <w:vAlign w:val="center"/>
          </w:tcPr>
          <w:p>
            <w:pPr>
              <w:spacing w:after="0" w:line="240" w:lineRule="auto"/>
            </w:pPr>
            <w:r>
              <w:rPr>
                <w:sz w:val="14"/>
              </w:rPr>
              <w:t>derived integer</w:t>
            </w:r>
          </w:p>
        </w:tc>
        <w:tc>
          <w:tcPr>
            <w:tcW w:type="dxa" w:w="3744"/>
            <w:tcMar>
              <w:top w:w="60" w:type="dxa"/>
              <w:start w:w="80" w:type="dxa"/>
              <w:bottom w:w="60" w:type="dxa"/>
              <w:end w:w="80" w:type="dxa"/>
            </w:tcMar>
            <w:vAlign w:val="center"/>
          </w:tcPr>
          <w:p>
            <w:pPr>
              <w:spacing w:after="0" w:line="240" w:lineRule="auto"/>
            </w:pPr>
            <w:r>
              <w:rPr>
                <w:sz w:val="14"/>
              </w:rPr>
              <w:t>Outcome-to-conception interval.</w:t>
            </w:r>
          </w:p>
        </w:tc>
        <w:tc>
          <w:tcPr>
            <w:tcW w:type="dxa" w:w="3024"/>
            <w:tcMar>
              <w:top w:w="60" w:type="dxa"/>
              <w:start w:w="80" w:type="dxa"/>
              <w:bottom w:w="60" w:type="dxa"/>
              <w:end w:w="80" w:type="dxa"/>
            </w:tcMar>
            <w:vAlign w:val="center"/>
          </w:tcPr>
          <w:p>
            <w:pPr>
              <w:spacing w:after="0" w:line="240" w:lineRule="auto"/>
            </w:pPr>
            <w:r>
              <w:rPr>
                <w:sz w:val="14"/>
              </w:rPr>
              <w:t>Derived, not manually typed.</w:t>
            </w:r>
          </w:p>
        </w:tc>
      </w:tr>
      <w:tr>
        <w:tc>
          <w:tcPr>
            <w:tcW w:type="dxa" w:w="2232"/>
            <w:tcMar>
              <w:top w:w="60" w:type="dxa"/>
              <w:start w:w="80" w:type="dxa"/>
              <w:bottom w:w="60" w:type="dxa"/>
              <w:end w:w="80" w:type="dxa"/>
            </w:tcMar>
            <w:vAlign w:val="center"/>
            <w:shd w:fill="EAF1F7"/>
          </w:tcPr>
          <w:p>
            <w:pPr>
              <w:spacing w:after="0" w:line="240" w:lineRule="auto"/>
            </w:pPr>
            <w:r>
              <w:rPr>
                <w:sz w:val="14"/>
              </w:rPr>
              <w:t>interval_previous_outcome_type</w:t>
            </w:r>
          </w:p>
        </w:tc>
        <w:tc>
          <w:tcPr>
            <w:tcW w:type="dxa" w:w="1512"/>
            <w:tcMar>
              <w:top w:w="60" w:type="dxa"/>
              <w:start w:w="80" w:type="dxa"/>
              <w:bottom w:w="60" w:type="dxa"/>
              <w:end w:w="80" w:type="dxa"/>
            </w:tcMar>
            <w:vAlign w:val="center"/>
            <w:shd w:fill="EAF1F7"/>
          </w:tcPr>
          <w:p>
            <w:pPr>
              <w:spacing w:after="0" w:line="240" w:lineRule="auto"/>
            </w:pPr>
            <w:r>
              <w:rPr>
                <w:sz w:val="14"/>
              </w:rPr>
              <w:t>derived/reference</w:t>
            </w:r>
          </w:p>
        </w:tc>
        <w:tc>
          <w:tcPr>
            <w:tcW w:type="dxa" w:w="3744"/>
            <w:tcMar>
              <w:top w:w="60" w:type="dxa"/>
              <w:start w:w="80" w:type="dxa"/>
              <w:bottom w:w="60" w:type="dxa"/>
              <w:end w:w="80" w:type="dxa"/>
            </w:tcMar>
            <w:vAlign w:val="center"/>
            <w:shd w:fill="EAF1F7"/>
          </w:tcPr>
          <w:p>
            <w:pPr>
              <w:spacing w:after="0" w:line="240" w:lineRule="auto"/>
            </w:pPr>
            <w:r>
              <w:rPr>
                <w:sz w:val="14"/>
              </w:rPr>
              <w:t>Selects correct evidence pathway.</w:t>
            </w:r>
          </w:p>
        </w:tc>
        <w:tc>
          <w:tcPr>
            <w:tcW w:type="dxa" w:w="3024"/>
            <w:tcMar>
              <w:top w:w="60" w:type="dxa"/>
              <w:start w:w="80" w:type="dxa"/>
              <w:bottom w:w="60" w:type="dxa"/>
              <w:end w:w="80" w:type="dxa"/>
            </w:tcMar>
            <w:vAlign w:val="center"/>
            <w:shd w:fill="EAF1F7"/>
          </w:tcPr>
          <w:p>
            <w:pPr>
              <w:spacing w:after="0" w:line="240" w:lineRule="auto"/>
            </w:pPr>
            <w:r>
              <w:rPr>
                <w:sz w:val="14"/>
              </w:rPr>
              <w:t>Must link to previous episode.</w:t>
            </w:r>
          </w:p>
        </w:tc>
      </w:tr>
      <w:tr>
        <w:tc>
          <w:tcPr>
            <w:tcW w:type="dxa" w:w="2232"/>
            <w:tcMar>
              <w:top w:w="60" w:type="dxa"/>
              <w:start w:w="80" w:type="dxa"/>
              <w:bottom w:w="60" w:type="dxa"/>
              <w:end w:w="80" w:type="dxa"/>
            </w:tcMar>
            <w:vAlign w:val="center"/>
          </w:tcPr>
          <w:p>
            <w:pPr>
              <w:spacing w:after="0" w:line="240" w:lineRule="auto"/>
            </w:pPr>
            <w:r>
              <w:rPr>
                <w:sz w:val="14"/>
              </w:rPr>
              <w:t>prior_complication_codes</w:t>
            </w:r>
          </w:p>
        </w:tc>
        <w:tc>
          <w:tcPr>
            <w:tcW w:type="dxa" w:w="1512"/>
            <w:tcMar>
              <w:top w:w="60" w:type="dxa"/>
              <w:start w:w="80" w:type="dxa"/>
              <w:bottom w:w="60" w:type="dxa"/>
              <w:end w:w="80" w:type="dxa"/>
            </w:tcMar>
            <w:vAlign w:val="center"/>
          </w:tcPr>
          <w:p>
            <w:pPr>
              <w:spacing w:after="0" w:line="240" w:lineRule="auto"/>
            </w:pPr>
            <w:r>
              <w:rPr>
                <w:sz w:val="14"/>
              </w:rPr>
              <w:t>structured relation</w:t>
            </w:r>
          </w:p>
        </w:tc>
        <w:tc>
          <w:tcPr>
            <w:tcW w:type="dxa" w:w="3744"/>
            <w:tcMar>
              <w:top w:w="60" w:type="dxa"/>
              <w:start w:w="80" w:type="dxa"/>
              <w:bottom w:w="60" w:type="dxa"/>
              <w:end w:w="80" w:type="dxa"/>
            </w:tcMar>
            <w:vAlign w:val="center"/>
          </w:tcPr>
          <w:p>
            <w:pPr>
              <w:spacing w:after="0" w:line="240" w:lineRule="auto"/>
            </w:pPr>
            <w:r>
              <w:rPr>
                <w:sz w:val="14"/>
              </w:rPr>
              <w:t>PPH, preterm birth, shoulder dystocia, hypertensive disorder, etc.</w:t>
            </w:r>
          </w:p>
        </w:tc>
        <w:tc>
          <w:tcPr>
            <w:tcW w:type="dxa" w:w="3024"/>
            <w:tcMar>
              <w:top w:w="60" w:type="dxa"/>
              <w:start w:w="80" w:type="dxa"/>
              <w:bottom w:w="60" w:type="dxa"/>
              <w:end w:w="80" w:type="dxa"/>
            </w:tcMar>
            <w:vAlign w:val="center"/>
          </w:tcPr>
          <w:p>
            <w:pPr>
              <w:spacing w:after="0" w:line="240" w:lineRule="auto"/>
            </w:pPr>
            <w:r>
              <w:rPr>
                <w:sz w:val="14"/>
              </w:rPr>
              <w:t>Multiple values; clinician-entered/verified.</w:t>
            </w:r>
          </w:p>
        </w:tc>
      </w:tr>
      <w:tr>
        <w:tc>
          <w:tcPr>
            <w:tcW w:type="dxa" w:w="2232"/>
            <w:tcMar>
              <w:top w:w="60" w:type="dxa"/>
              <w:start w:w="80" w:type="dxa"/>
              <w:bottom w:w="60" w:type="dxa"/>
              <w:end w:w="80" w:type="dxa"/>
            </w:tcMar>
            <w:vAlign w:val="center"/>
            <w:shd w:fill="EAF1F7"/>
          </w:tcPr>
          <w:p>
            <w:pPr>
              <w:spacing w:after="0" w:line="240" w:lineRule="auto"/>
            </w:pPr>
            <w:r>
              <w:rPr>
                <w:sz w:val="14"/>
              </w:rPr>
              <w:t>source_document_id</w:t>
            </w:r>
          </w:p>
        </w:tc>
        <w:tc>
          <w:tcPr>
            <w:tcW w:type="dxa" w:w="1512"/>
            <w:tcMar>
              <w:top w:w="60" w:type="dxa"/>
              <w:start w:w="80" w:type="dxa"/>
              <w:bottom w:w="60" w:type="dxa"/>
              <w:end w:w="80" w:type="dxa"/>
            </w:tcMar>
            <w:vAlign w:val="center"/>
            <w:shd w:fill="EAF1F7"/>
          </w:tcPr>
          <w:p>
            <w:pPr>
              <w:spacing w:after="0" w:line="240" w:lineRule="auto"/>
            </w:pPr>
            <w:r>
              <w:rPr>
                <w:sz w:val="14"/>
              </w:rPr>
              <w:t>FK/nullable</w:t>
            </w:r>
          </w:p>
        </w:tc>
        <w:tc>
          <w:tcPr>
            <w:tcW w:type="dxa" w:w="3744"/>
            <w:tcMar>
              <w:top w:w="60" w:type="dxa"/>
              <w:start w:w="80" w:type="dxa"/>
              <w:bottom w:w="60" w:type="dxa"/>
              <w:end w:w="80" w:type="dxa"/>
            </w:tcMar>
            <w:vAlign w:val="center"/>
            <w:shd w:fill="EAF1F7"/>
          </w:tcPr>
          <w:p>
            <w:pPr>
              <w:spacing w:after="0" w:line="240" w:lineRule="auto"/>
            </w:pPr>
            <w:r>
              <w:rPr>
                <w:sz w:val="14"/>
              </w:rPr>
              <w:t>Links evidence to record.</w:t>
            </w:r>
          </w:p>
        </w:tc>
        <w:tc>
          <w:tcPr>
            <w:tcW w:type="dxa" w:w="3024"/>
            <w:tcMar>
              <w:top w:w="60" w:type="dxa"/>
              <w:start w:w="80" w:type="dxa"/>
              <w:bottom w:w="60" w:type="dxa"/>
              <w:end w:w="80" w:type="dxa"/>
            </w:tcMar>
            <w:vAlign w:val="center"/>
            <w:shd w:fill="EAF1F7"/>
          </w:tcPr>
          <w:p>
            <w:pPr>
              <w:spacing w:after="0" w:line="240" w:lineRule="auto"/>
            </w:pPr>
            <w:r>
              <w:rPr>
                <w:sz w:val="14"/>
              </w:rPr>
              <w:t>No autonomous extraction from unverified document.</w:t>
            </w:r>
          </w:p>
        </w:tc>
      </w:tr>
      <w:tr>
        <w:tc>
          <w:tcPr>
            <w:tcW w:type="dxa" w:w="2232"/>
            <w:tcMar>
              <w:top w:w="60" w:type="dxa"/>
              <w:start w:w="80" w:type="dxa"/>
              <w:bottom w:w="60" w:type="dxa"/>
              <w:end w:w="80" w:type="dxa"/>
            </w:tcMar>
            <w:vAlign w:val="center"/>
          </w:tcPr>
          <w:p>
            <w:pPr>
              <w:spacing w:after="0" w:line="240" w:lineRule="auto"/>
            </w:pPr>
            <w:r>
              <w:rPr>
                <w:sz w:val="14"/>
              </w:rPr>
              <w:t>entered_by / verified_by / timestamps</w:t>
            </w:r>
          </w:p>
        </w:tc>
        <w:tc>
          <w:tcPr>
            <w:tcW w:type="dxa" w:w="1512"/>
            <w:tcMar>
              <w:top w:w="60" w:type="dxa"/>
              <w:start w:w="80" w:type="dxa"/>
              <w:bottom w:w="60" w:type="dxa"/>
              <w:end w:w="80" w:type="dxa"/>
            </w:tcMar>
            <w:vAlign w:val="center"/>
          </w:tcPr>
          <w:p>
            <w:pPr>
              <w:spacing w:after="0" w:line="240" w:lineRule="auto"/>
            </w:pPr>
            <w:r>
              <w:rPr>
                <w:sz w:val="14"/>
              </w:rPr>
              <w:t>audit</w:t>
            </w:r>
          </w:p>
        </w:tc>
        <w:tc>
          <w:tcPr>
            <w:tcW w:type="dxa" w:w="3744"/>
            <w:tcMar>
              <w:top w:w="60" w:type="dxa"/>
              <w:start w:w="80" w:type="dxa"/>
              <w:bottom w:w="60" w:type="dxa"/>
              <w:end w:w="80" w:type="dxa"/>
            </w:tcMar>
            <w:vAlign w:val="center"/>
          </w:tcPr>
          <w:p>
            <w:pPr>
              <w:spacing w:after="0" w:line="240" w:lineRule="auto"/>
            </w:pPr>
            <w:r>
              <w:rPr>
                <w:sz w:val="14"/>
              </w:rPr>
              <w:t>Traceability and correction history.</w:t>
            </w:r>
          </w:p>
        </w:tc>
        <w:tc>
          <w:tcPr>
            <w:tcW w:type="dxa" w:w="3024"/>
            <w:tcMar>
              <w:top w:w="60" w:type="dxa"/>
              <w:start w:w="80" w:type="dxa"/>
              <w:bottom w:w="60" w:type="dxa"/>
              <w:end w:w="80" w:type="dxa"/>
            </w:tcMar>
            <w:vAlign w:val="center"/>
          </w:tcPr>
          <w:p>
            <w:pPr>
              <w:spacing w:after="0" w:line="240" w:lineRule="auto"/>
            </w:pPr>
            <w:r>
              <w:rPr>
                <w:sz w:val="14"/>
              </w:rPr>
              <w:t>Required for clinical fields.</w:t>
            </w:r>
          </w:p>
        </w:tc>
      </w:tr>
    </w:tbl>
    <w:p>
      <w:pPr>
        <w:spacing w:after="20"/>
      </w:pPr>
    </w:p>
    <w:p>
      <w:pPr>
        <w:pStyle w:val="Heading2"/>
      </w:pPr>
      <w:r>
        <w:t>9.1 Derived values</w:t>
      </w:r>
    </w:p>
    <w:p>
      <w:pPr>
        <w:pStyle w:val="ListBullet"/>
      </w:pPr>
      <w:r>
        <w:t>gravida_count = number of recognized pregnancy episodes including the current episode.</w:t>
      </w:r>
    </w:p>
    <w:p>
      <w:pPr>
        <w:pStyle w:val="ListBullet"/>
      </w:pPr>
      <w:r>
        <w:t>para_count = number of previous episodes meeting the configured parity threshold, not number of infants.</w:t>
      </w:r>
    </w:p>
    <w:p>
      <w:pPr>
        <w:pStyle w:val="ListBullet"/>
      </w:pPr>
      <w:r>
        <w:t>is_primigravida = current episode is the first recognized pregnancy.</w:t>
      </w:r>
    </w:p>
    <w:p>
      <w:pPr>
        <w:pStyle w:val="ListBullet"/>
      </w:pPr>
      <w:r>
        <w:t>is_nulliparous = no previous episode meets the configured parity threshold.</w:t>
      </w:r>
    </w:p>
    <w:p>
      <w:pPr>
        <w:pStyle w:val="ListBullet"/>
      </w:pPr>
      <w:r>
        <w:t>is_grand_multiparous = para_count meets the configured and versioned threshold.</w:t>
      </w:r>
    </w:p>
    <w:p>
      <w:pPr>
        <w:pStyle w:val="ListBullet"/>
      </w:pPr>
      <w:r>
        <w:t>interpregnancy_interval_days = estimated conception date of current pregnancy minus outcome date of immediately preceding pregnancy.</w:t>
      </w:r>
    </w:p>
    <w:p>
      <w:pPr>
        <w:pStyle w:val="Heading1"/>
      </w:pPr>
      <w:r>
        <w:t>10. Explainable Recommendation Templates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tcMar>
              <w:top w:w="60" w:type="dxa"/>
              <w:start w:w="80" w:type="dxa"/>
              <w:bottom w:w="60" w:type="dxa"/>
              <w:end w:w="80" w:type="dxa"/>
            </w:tcMar>
          </w:tcPr>
          <w:p>
            <w:r>
              <w:rPr>
                <w:b/>
                <w:color w:val="FFFFFF"/>
                <w:sz w:val="16"/>
              </w:rPr>
              <w:t>Scenario</w:t>
            </w:r>
          </w:p>
        </w:tc>
        <w:tc>
          <w:tcPr>
            <w:tcW w:type="dxa" w:w="7200"/>
            <w:shd w:fill="1F4E78"/>
            <w:tcMar>
              <w:top w:w="60" w:type="dxa"/>
              <w:start w:w="80" w:type="dxa"/>
              <w:bottom w:w="60" w:type="dxa"/>
              <w:end w:w="80" w:type="dxa"/>
            </w:tcMar>
          </w:tcPr>
          <w:p>
            <w:r>
              <w:rPr>
                <w:b/>
                <w:color w:val="FFFFFF"/>
                <w:sz w:val="16"/>
              </w:rPr>
              <w:t>Suggested explanation</w:t>
            </w:r>
          </w:p>
        </w:tc>
      </w:tr>
      <w:tr>
        <w:tc>
          <w:tcPr>
            <w:tcW w:type="dxa" w:w="2880"/>
            <w:tcMar>
              <w:top w:w="60" w:type="dxa"/>
              <w:start w:w="80" w:type="dxa"/>
              <w:bottom w:w="60" w:type="dxa"/>
              <w:end w:w="80" w:type="dxa"/>
            </w:tcMar>
            <w:vAlign w:val="center"/>
          </w:tcPr>
          <w:p>
            <w:pPr>
              <w:spacing w:after="0" w:line="240" w:lineRule="auto"/>
            </w:pPr>
            <w:r>
              <w:rPr>
                <w:sz w:val="16"/>
              </w:rPr>
              <w:t>First pregnancy, stable</w:t>
            </w:r>
          </w:p>
        </w:tc>
        <w:tc>
          <w:tcPr>
            <w:tcW w:type="dxa" w:w="7200"/>
            <w:tcMar>
              <w:top w:w="60" w:type="dxa"/>
              <w:start w:w="80" w:type="dxa"/>
              <w:bottom w:w="60" w:type="dxa"/>
              <w:end w:w="80" w:type="dxa"/>
            </w:tcMar>
            <w:vAlign w:val="center"/>
          </w:tcPr>
          <w:p>
            <w:pPr>
              <w:spacing w:after="0" w:line="240" w:lineRule="auto"/>
            </w:pPr>
            <w:r>
              <w:rPr>
                <w:sz w:val="16"/>
              </w:rPr>
              <w:t>“This is the patient’s first recognized pregnancy. First pregnancy alone does not indicate a complication. Provide routine antenatal assessment, the nulliparous education plan, and additional review if other findings are present.”</w:t>
            </w:r>
          </w:p>
        </w:tc>
      </w:tr>
      <w:tr>
        <w:tc>
          <w:tcPr>
            <w:tcW w:type="dxa" w:w="2880"/>
            <w:tcMar>
              <w:top w:w="60" w:type="dxa"/>
              <w:start w:w="80" w:type="dxa"/>
              <w:bottom w:w="60" w:type="dxa"/>
              <w:end w:w="80" w:type="dxa"/>
            </w:tcMar>
            <w:vAlign w:val="center"/>
            <w:shd w:fill="EAF1F7"/>
          </w:tcPr>
          <w:p>
            <w:pPr>
              <w:spacing w:after="0" w:line="240" w:lineRule="auto"/>
            </w:pPr>
            <w:r>
              <w:rPr>
                <w:sz w:val="16"/>
              </w:rPr>
              <w:t>Nulliparous with BP concern</w:t>
            </w:r>
          </w:p>
        </w:tc>
        <w:tc>
          <w:tcPr>
            <w:tcW w:type="dxa" w:w="7200"/>
            <w:tcMar>
              <w:top w:w="60" w:type="dxa"/>
              <w:start w:w="80" w:type="dxa"/>
              <w:bottom w:w="60" w:type="dxa"/>
              <w:end w:w="80" w:type="dxa"/>
            </w:tcMar>
            <w:vAlign w:val="center"/>
            <w:shd w:fill="EAF1F7"/>
          </w:tcPr>
          <w:p>
            <w:pPr>
              <w:spacing w:after="0" w:line="240" w:lineRule="auto"/>
            </w:pPr>
            <w:r>
              <w:rPr>
                <w:sz w:val="16"/>
              </w:rPr>
              <w:t>“No prior pregnancy reached the configured parity threshold. Nulliparity is a contextual factor, but the recommendation is driven by the documented blood-pressure findings and associated symptoms. Follow the hypertensive-disorder pathway.”</w:t>
            </w:r>
          </w:p>
        </w:tc>
      </w:tr>
      <w:tr>
        <w:tc>
          <w:tcPr>
            <w:tcW w:type="dxa" w:w="2880"/>
            <w:tcMar>
              <w:top w:w="60" w:type="dxa"/>
              <w:start w:w="80" w:type="dxa"/>
              <w:bottom w:w="60" w:type="dxa"/>
              <w:end w:w="80" w:type="dxa"/>
            </w:tcMar>
            <w:vAlign w:val="center"/>
          </w:tcPr>
          <w:p>
            <w:pPr>
              <w:spacing w:after="0" w:line="240" w:lineRule="auto"/>
            </w:pPr>
            <w:r>
              <w:rPr>
                <w:sz w:val="16"/>
              </w:rPr>
              <w:t>Grand multiparity without current abnormality</w:t>
            </w:r>
          </w:p>
        </w:tc>
        <w:tc>
          <w:tcPr>
            <w:tcW w:type="dxa" w:w="7200"/>
            <w:tcMar>
              <w:top w:w="60" w:type="dxa"/>
              <w:start w:w="80" w:type="dxa"/>
              <w:bottom w:w="60" w:type="dxa"/>
              <w:end w:w="80" w:type="dxa"/>
            </w:tcMar>
            <w:vAlign w:val="center"/>
          </w:tcPr>
          <w:p>
            <w:pPr>
              <w:spacing w:after="0" w:line="240" w:lineRule="auto"/>
            </w:pPr>
            <w:r>
              <w:rPr>
                <w:sz w:val="16"/>
              </w:rPr>
              <w:t>“The patient meets the locally configured grand-multiparity threshold. This is a review prompt rather than a diagnosis. Confirm haemoglobin status, prior haemorrhage or placental complications, current medical findings, and the birth-setting plan.”</w:t>
            </w:r>
          </w:p>
        </w:tc>
      </w:tr>
      <w:tr>
        <w:tc>
          <w:tcPr>
            <w:tcW w:type="dxa" w:w="2880"/>
            <w:tcMar>
              <w:top w:w="60" w:type="dxa"/>
              <w:start w:w="80" w:type="dxa"/>
              <w:bottom w:w="60" w:type="dxa"/>
              <w:end w:w="80" w:type="dxa"/>
            </w:tcMar>
            <w:vAlign w:val="center"/>
            <w:shd w:fill="EAF1F7"/>
          </w:tcPr>
          <w:p>
            <w:pPr>
              <w:spacing w:after="0" w:line="240" w:lineRule="auto"/>
            </w:pPr>
            <w:r>
              <w:rPr>
                <w:sz w:val="16"/>
              </w:rPr>
              <w:t>Short interval after live birth</w:t>
            </w:r>
          </w:p>
        </w:tc>
        <w:tc>
          <w:tcPr>
            <w:tcW w:type="dxa" w:w="7200"/>
            <w:tcMar>
              <w:top w:w="60" w:type="dxa"/>
              <w:start w:w="80" w:type="dxa"/>
              <w:bottom w:w="60" w:type="dxa"/>
              <w:end w:w="80" w:type="dxa"/>
            </w:tcMar>
            <w:vAlign w:val="center"/>
            <w:shd w:fill="EAF1F7"/>
          </w:tcPr>
          <w:p>
            <w:pPr>
              <w:spacing w:after="0" w:line="240" w:lineRule="auto"/>
            </w:pPr>
            <w:r>
              <w:rPr>
                <w:sz w:val="16"/>
              </w:rPr>
              <w:t>“The calculated interpregnancy interval after the previous live birth is under 6 months. Evidence associates very short intervals with some adverse outcomes. Provide counselling and arrange clinician review according to local policy; this finding alone does not diagnose a complication.”</w:t>
            </w:r>
          </w:p>
        </w:tc>
      </w:tr>
      <w:tr>
        <w:tc>
          <w:tcPr>
            <w:tcW w:type="dxa" w:w="2880"/>
            <w:tcMar>
              <w:top w:w="60" w:type="dxa"/>
              <w:start w:w="80" w:type="dxa"/>
              <w:bottom w:w="60" w:type="dxa"/>
              <w:end w:w="80" w:type="dxa"/>
            </w:tcMar>
            <w:vAlign w:val="center"/>
          </w:tcPr>
          <w:p>
            <w:pPr>
              <w:spacing w:after="0" w:line="240" w:lineRule="auto"/>
            </w:pPr>
            <w:r>
              <w:rPr>
                <w:sz w:val="16"/>
              </w:rPr>
              <w:t>Long interval</w:t>
            </w:r>
          </w:p>
        </w:tc>
        <w:tc>
          <w:tcPr>
            <w:tcW w:type="dxa" w:w="7200"/>
            <w:tcMar>
              <w:top w:w="60" w:type="dxa"/>
              <w:start w:w="80" w:type="dxa"/>
              <w:bottom w:w="60" w:type="dxa"/>
              <w:end w:w="80" w:type="dxa"/>
            </w:tcMar>
            <w:vAlign w:val="center"/>
          </w:tcPr>
          <w:p>
            <w:pPr>
              <w:spacing w:after="0" w:line="240" w:lineRule="auto"/>
            </w:pPr>
            <w:r>
              <w:rPr>
                <w:sz w:val="16"/>
              </w:rPr>
              <w:t>“The interval since the previous pregnancy is 60 months or longer. Long intervals may be associated with selected adverse outcomes. Review current age, blood pressure, diabetes risk, and other clinical findings.”</w:t>
            </w:r>
          </w:p>
        </w:tc>
      </w:tr>
      <w:tr>
        <w:tc>
          <w:tcPr>
            <w:tcW w:type="dxa" w:w="2880"/>
            <w:tcMar>
              <w:top w:w="60" w:type="dxa"/>
              <w:start w:w="80" w:type="dxa"/>
              <w:bottom w:w="60" w:type="dxa"/>
              <w:end w:w="80" w:type="dxa"/>
            </w:tcMar>
            <w:vAlign w:val="center"/>
            <w:shd w:fill="EAF1F7"/>
          </w:tcPr>
          <w:p>
            <w:pPr>
              <w:spacing w:after="0" w:line="240" w:lineRule="auto"/>
            </w:pPr>
            <w:r>
              <w:rPr>
                <w:sz w:val="16"/>
              </w:rPr>
              <w:t>History incomplete</w:t>
            </w:r>
          </w:p>
        </w:tc>
        <w:tc>
          <w:tcPr>
            <w:tcW w:type="dxa" w:w="7200"/>
            <w:tcMar>
              <w:top w:w="60" w:type="dxa"/>
              <w:start w:w="80" w:type="dxa"/>
              <w:bottom w:w="60" w:type="dxa"/>
              <w:end w:w="80" w:type="dxa"/>
            </w:tcMar>
            <w:vAlign w:val="center"/>
            <w:shd w:fill="EAF1F7"/>
          </w:tcPr>
          <w:p>
            <w:pPr>
              <w:spacing w:after="0" w:line="240" w:lineRule="auto"/>
            </w:pPr>
            <w:r>
              <w:rPr>
                <w:sz w:val="16"/>
              </w:rPr>
              <w:t>“The obstetric-history summary cannot be validated because one or more previous outcomes, dates, or gestational ages are missing or inconsistent. Clarify the history or review source records before relying on the derived gravida/para values.”</w:t>
            </w:r>
          </w:p>
        </w:tc>
      </w:tr>
    </w:tbl>
    <w:p>
      <w:pPr>
        <w:spacing w:after="20"/>
      </w:pPr>
    </w:p>
    <w:p>
      <w:pPr>
        <w:pStyle w:val="Heading2"/>
      </w:pPr>
      <w:r>
        <w:t>10.1 Prohibited outputs</w:t>
      </w:r>
    </w:p>
    <w:p>
      <w:pPr>
        <w:pStyle w:val="ListBullet"/>
      </w:pPr>
      <w:r>
        <w:t>“First pregnancy: HIGH risk.”</w:t>
      </w:r>
    </w:p>
    <w:p>
      <w:pPr>
        <w:pStyle w:val="ListBullet"/>
      </w:pPr>
      <w:r>
        <w:t>“Grand multipara: cesarean required.”</w:t>
      </w:r>
    </w:p>
    <w:p>
      <w:pPr>
        <w:pStyle w:val="ListBullet"/>
      </w:pPr>
      <w:r>
        <w:t>“Previous normal birth means current pregnancy is low risk.”</w:t>
      </w:r>
    </w:p>
    <w:p>
      <w:pPr>
        <w:pStyle w:val="ListBullet"/>
      </w:pPr>
      <w:r>
        <w:t>“Short interval proves fetal growth restriction.”</w:t>
      </w:r>
    </w:p>
    <w:p>
      <w:pPr>
        <w:pStyle w:val="ListBullet"/>
      </w:pPr>
      <w:r>
        <w:t>“Parity confirms eligibility for lying-in delivery.”</w:t>
      </w:r>
    </w:p>
    <w:p>
      <w:pPr>
        <w:pStyle w:val="ListBullet"/>
      </w:pPr>
      <w:r>
        <w:t>Any recommendation that reduces a person to a score without showing the contributing facts, missing data, and applicable pathway.</w:t>
      </w:r>
    </w:p>
    <w:p>
      <w:pPr>
        <w:pStyle w:val="Heading1"/>
      </w:pPr>
      <w:r>
        <w:t>11. Validation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1F4E78"/>
            <w:tcMar>
              <w:top w:w="60" w:type="dxa"/>
              <w:start w:w="80" w:type="dxa"/>
              <w:bottom w:w="60" w:type="dxa"/>
              <w:end w:w="80" w:type="dxa"/>
            </w:tcMar>
          </w:tcPr>
          <w:p>
            <w:r>
              <w:rPr>
                <w:b/>
                <w:color w:val="FFFFFF"/>
                <w:sz w:val="15"/>
              </w:rPr>
              <w:t>Test case</w:t>
            </w:r>
          </w:p>
        </w:tc>
        <w:tc>
          <w:tcPr>
            <w:tcW w:type="dxa" w:w="6768"/>
            <w:shd w:fill="1F4E78"/>
            <w:tcMar>
              <w:top w:w="60" w:type="dxa"/>
              <w:start w:w="80" w:type="dxa"/>
              <w:bottom w:w="60" w:type="dxa"/>
              <w:end w:w="80" w:type="dxa"/>
            </w:tcMar>
          </w:tcPr>
          <w:p>
            <w:r>
              <w:rPr>
                <w:b/>
                <w:color w:val="FFFFFF"/>
                <w:sz w:val="15"/>
              </w:rPr>
              <w:t>Expected result</w:t>
            </w:r>
          </w:p>
        </w:tc>
      </w:tr>
      <w:tr>
        <w:tc>
          <w:tcPr>
            <w:tcW w:type="dxa" w:w="3312"/>
            <w:tcMar>
              <w:top w:w="60" w:type="dxa"/>
              <w:start w:w="80" w:type="dxa"/>
              <w:bottom w:w="60" w:type="dxa"/>
              <w:end w:w="80" w:type="dxa"/>
            </w:tcMar>
            <w:vAlign w:val="center"/>
          </w:tcPr>
          <w:p>
            <w:pPr>
              <w:spacing w:after="0" w:line="240" w:lineRule="auto"/>
            </w:pPr>
            <w:r>
              <w:rPr>
                <w:sz w:val="15"/>
              </w:rPr>
              <w:t>G1, no previous events, no danger signs</w:t>
            </w:r>
          </w:p>
        </w:tc>
        <w:tc>
          <w:tcPr>
            <w:tcW w:type="dxa" w:w="6768"/>
            <w:tcMar>
              <w:top w:w="60" w:type="dxa"/>
              <w:start w:w="80" w:type="dxa"/>
              <w:bottom w:w="60" w:type="dxa"/>
              <w:end w:w="80" w:type="dxa"/>
            </w:tcMar>
            <w:vAlign w:val="center"/>
          </w:tcPr>
          <w:p>
            <w:pPr>
              <w:spacing w:after="0" w:line="240" w:lineRule="auto"/>
            </w:pPr>
            <w:r>
              <w:rPr>
                <w:sz w:val="15"/>
              </w:rPr>
              <w:t>Derived primigravida/nulliparous; routine care and first-pregnancy education; no automatic HIGH.</w:t>
            </w:r>
          </w:p>
        </w:tc>
      </w:tr>
      <w:tr>
        <w:tc>
          <w:tcPr>
            <w:tcW w:type="dxa" w:w="3312"/>
            <w:tcMar>
              <w:top w:w="60" w:type="dxa"/>
              <w:start w:w="80" w:type="dxa"/>
              <w:bottom w:w="60" w:type="dxa"/>
              <w:end w:w="80" w:type="dxa"/>
            </w:tcMar>
            <w:vAlign w:val="center"/>
            <w:shd w:fill="EAF1F7"/>
          </w:tcPr>
          <w:p>
            <w:pPr>
              <w:spacing w:after="0" w:line="240" w:lineRule="auto"/>
            </w:pPr>
            <w:r>
              <w:rPr>
                <w:sz w:val="15"/>
              </w:rPr>
              <w:t>Previous 8-week miscarriage + current pregnancy</w:t>
            </w:r>
          </w:p>
        </w:tc>
        <w:tc>
          <w:tcPr>
            <w:tcW w:type="dxa" w:w="6768"/>
            <w:tcMar>
              <w:top w:w="60" w:type="dxa"/>
              <w:start w:w="80" w:type="dxa"/>
              <w:bottom w:w="60" w:type="dxa"/>
              <w:end w:w="80" w:type="dxa"/>
            </w:tcMar>
            <w:vAlign w:val="center"/>
            <w:shd w:fill="EAF1F7"/>
          </w:tcPr>
          <w:p>
            <w:pPr>
              <w:spacing w:after="0" w:line="240" w:lineRule="auto"/>
            </w:pPr>
            <w:r>
              <w:rPr>
                <w:sz w:val="15"/>
              </w:rPr>
              <w:t>G2 and nulliparous under usual threshold; route miscarriage history to Part 6; do not call patient primigravida.</w:t>
            </w:r>
          </w:p>
        </w:tc>
      </w:tr>
      <w:tr>
        <w:tc>
          <w:tcPr>
            <w:tcW w:type="dxa" w:w="3312"/>
            <w:tcMar>
              <w:top w:w="60" w:type="dxa"/>
              <w:start w:w="80" w:type="dxa"/>
              <w:bottom w:w="60" w:type="dxa"/>
              <w:end w:w="80" w:type="dxa"/>
            </w:tcMar>
            <w:vAlign w:val="center"/>
          </w:tcPr>
          <w:p>
            <w:pPr>
              <w:spacing w:after="0" w:line="240" w:lineRule="auto"/>
            </w:pPr>
            <w:r>
              <w:rPr>
                <w:sz w:val="15"/>
              </w:rPr>
              <w:t>Prior twins delivered at threshold</w:t>
            </w:r>
          </w:p>
        </w:tc>
        <w:tc>
          <w:tcPr>
            <w:tcW w:type="dxa" w:w="6768"/>
            <w:tcMar>
              <w:top w:w="60" w:type="dxa"/>
              <w:start w:w="80" w:type="dxa"/>
              <w:bottom w:w="60" w:type="dxa"/>
              <w:end w:w="80" w:type="dxa"/>
            </w:tcMar>
            <w:vAlign w:val="center"/>
          </w:tcPr>
          <w:p>
            <w:pPr>
              <w:spacing w:after="0" w:line="240" w:lineRule="auto"/>
            </w:pPr>
            <w:r>
              <w:rPr>
                <w:sz w:val="15"/>
              </w:rPr>
              <w:t>One prior pregnancy contributes one para; living-child count may be two.</w:t>
            </w:r>
          </w:p>
        </w:tc>
      </w:tr>
      <w:tr>
        <w:tc>
          <w:tcPr>
            <w:tcW w:type="dxa" w:w="3312"/>
            <w:tcMar>
              <w:top w:w="60" w:type="dxa"/>
              <w:start w:w="80" w:type="dxa"/>
              <w:bottom w:w="60" w:type="dxa"/>
              <w:end w:w="80" w:type="dxa"/>
            </w:tcMar>
            <w:vAlign w:val="center"/>
            <w:shd w:fill="EAF1F7"/>
          </w:tcPr>
          <w:p>
            <w:pPr>
              <w:spacing w:after="0" w:line="240" w:lineRule="auto"/>
            </w:pPr>
            <w:r>
              <w:rPr>
                <w:sz w:val="15"/>
              </w:rPr>
              <w:t>P5 with no current abnormality</w:t>
            </w:r>
          </w:p>
        </w:tc>
        <w:tc>
          <w:tcPr>
            <w:tcW w:type="dxa" w:w="6768"/>
            <w:tcMar>
              <w:top w:w="60" w:type="dxa"/>
              <w:start w:w="80" w:type="dxa"/>
              <w:bottom w:w="60" w:type="dxa"/>
              <w:end w:w="80" w:type="dxa"/>
            </w:tcMar>
            <w:vAlign w:val="center"/>
            <w:shd w:fill="EAF1F7"/>
          </w:tcPr>
          <w:p>
            <w:pPr>
              <w:spacing w:after="0" w:line="240" w:lineRule="auto"/>
            </w:pPr>
            <w:r>
              <w:rPr>
                <w:sz w:val="15"/>
              </w:rPr>
              <w:t>Grand-multiparity review prompt only; request relevant history/labs according to policy.</w:t>
            </w:r>
          </w:p>
        </w:tc>
      </w:tr>
      <w:tr>
        <w:tc>
          <w:tcPr>
            <w:tcW w:type="dxa" w:w="3312"/>
            <w:tcMar>
              <w:top w:w="60" w:type="dxa"/>
              <w:start w:w="80" w:type="dxa"/>
              <w:bottom w:w="60" w:type="dxa"/>
              <w:end w:w="80" w:type="dxa"/>
            </w:tcMar>
            <w:vAlign w:val="center"/>
          </w:tcPr>
          <w:p>
            <w:pPr>
              <w:spacing w:after="0" w:line="240" w:lineRule="auto"/>
            </w:pPr>
            <w:r>
              <w:rPr>
                <w:sz w:val="15"/>
              </w:rPr>
              <w:t>P5 + previous PPH</w:t>
            </w:r>
          </w:p>
        </w:tc>
        <w:tc>
          <w:tcPr>
            <w:tcW w:type="dxa" w:w="6768"/>
            <w:tcMar>
              <w:top w:w="60" w:type="dxa"/>
              <w:start w:w="80" w:type="dxa"/>
              <w:bottom w:w="60" w:type="dxa"/>
              <w:end w:w="80" w:type="dxa"/>
            </w:tcMar>
            <w:vAlign w:val="center"/>
          </w:tcPr>
          <w:p>
            <w:pPr>
              <w:spacing w:after="0" w:line="240" w:lineRule="auto"/>
            </w:pPr>
            <w:r>
              <w:rPr>
                <w:sz w:val="15"/>
              </w:rPr>
              <w:t>Specific prior PPH drives obstetric/birth-setting review.</w:t>
            </w:r>
          </w:p>
        </w:tc>
      </w:tr>
      <w:tr>
        <w:tc>
          <w:tcPr>
            <w:tcW w:type="dxa" w:w="3312"/>
            <w:tcMar>
              <w:top w:w="60" w:type="dxa"/>
              <w:start w:w="80" w:type="dxa"/>
              <w:bottom w:w="60" w:type="dxa"/>
              <w:end w:w="80" w:type="dxa"/>
            </w:tcMar>
            <w:vAlign w:val="center"/>
            <w:shd w:fill="EAF1F7"/>
          </w:tcPr>
          <w:p>
            <w:pPr>
              <w:spacing w:after="0" w:line="240" w:lineRule="auto"/>
            </w:pPr>
            <w:r>
              <w:rPr>
                <w:sz w:val="15"/>
              </w:rPr>
              <w:t>Current conception 4 months after live birth</w:t>
            </w:r>
          </w:p>
        </w:tc>
        <w:tc>
          <w:tcPr>
            <w:tcW w:type="dxa" w:w="6768"/>
            <w:tcMar>
              <w:top w:w="60" w:type="dxa"/>
              <w:start w:w="80" w:type="dxa"/>
              <w:bottom w:w="60" w:type="dxa"/>
              <w:end w:w="80" w:type="dxa"/>
            </w:tcMar>
            <w:vAlign w:val="center"/>
            <w:shd w:fill="EAF1F7"/>
          </w:tcPr>
          <w:p>
            <w:pPr>
              <w:spacing w:after="0" w:line="240" w:lineRule="auto"/>
            </w:pPr>
            <w:r>
              <w:rPr>
                <w:sz w:val="15"/>
              </w:rPr>
              <w:t>Short-live-birth interval prompt and counselling.</w:t>
            </w:r>
          </w:p>
        </w:tc>
      </w:tr>
      <w:tr>
        <w:tc>
          <w:tcPr>
            <w:tcW w:type="dxa" w:w="3312"/>
            <w:tcMar>
              <w:top w:w="60" w:type="dxa"/>
              <w:start w:w="80" w:type="dxa"/>
              <w:bottom w:w="60" w:type="dxa"/>
              <w:end w:w="80" w:type="dxa"/>
            </w:tcMar>
            <w:vAlign w:val="center"/>
          </w:tcPr>
          <w:p>
            <w:pPr>
              <w:spacing w:after="0" w:line="240" w:lineRule="auto"/>
            </w:pPr>
            <w:r>
              <w:rPr>
                <w:sz w:val="15"/>
              </w:rPr>
              <w:t>Current conception 4 months after miscarriage</w:t>
            </w:r>
          </w:p>
        </w:tc>
        <w:tc>
          <w:tcPr>
            <w:tcW w:type="dxa" w:w="6768"/>
            <w:tcMar>
              <w:top w:w="60" w:type="dxa"/>
              <w:start w:w="80" w:type="dxa"/>
              <w:bottom w:w="60" w:type="dxa"/>
              <w:end w:w="80" w:type="dxa"/>
            </w:tcMar>
            <w:vAlign w:val="center"/>
          </w:tcPr>
          <w:p>
            <w:pPr>
              <w:spacing w:after="0" w:line="240" w:lineRule="auto"/>
            </w:pPr>
            <w:r>
              <w:rPr>
                <w:sz w:val="15"/>
              </w:rPr>
              <w:t>Do not apply live-birth interval rule; use Part 6 evidence.</w:t>
            </w:r>
          </w:p>
        </w:tc>
      </w:tr>
      <w:tr>
        <w:tc>
          <w:tcPr>
            <w:tcW w:type="dxa" w:w="3312"/>
            <w:tcMar>
              <w:top w:w="60" w:type="dxa"/>
              <w:start w:w="80" w:type="dxa"/>
              <w:bottom w:w="60" w:type="dxa"/>
              <w:end w:w="80" w:type="dxa"/>
            </w:tcMar>
            <w:vAlign w:val="center"/>
            <w:shd w:fill="EAF1F7"/>
          </w:tcPr>
          <w:p>
            <w:pPr>
              <w:spacing w:after="0" w:line="240" w:lineRule="auto"/>
            </w:pPr>
            <w:r>
              <w:rPr>
                <w:sz w:val="15"/>
              </w:rPr>
              <w:t>Outcome date unknown</w:t>
            </w:r>
          </w:p>
        </w:tc>
        <w:tc>
          <w:tcPr>
            <w:tcW w:type="dxa" w:w="6768"/>
            <w:tcMar>
              <w:top w:w="60" w:type="dxa"/>
              <w:start w:w="80" w:type="dxa"/>
              <w:bottom w:w="60" w:type="dxa"/>
              <w:end w:w="80" w:type="dxa"/>
            </w:tcMar>
            <w:vAlign w:val="center"/>
            <w:shd w:fill="EAF1F7"/>
          </w:tcPr>
          <w:p>
            <w:pPr>
              <w:spacing w:after="0" w:line="240" w:lineRule="auto"/>
            </w:pPr>
            <w:r>
              <w:rPr>
                <w:sz w:val="15"/>
              </w:rPr>
              <w:t>Interval remains unknown; no fabricated category.</w:t>
            </w:r>
          </w:p>
        </w:tc>
      </w:tr>
      <w:tr>
        <w:tc>
          <w:tcPr>
            <w:tcW w:type="dxa" w:w="3312"/>
            <w:tcMar>
              <w:top w:w="60" w:type="dxa"/>
              <w:start w:w="80" w:type="dxa"/>
              <w:bottom w:w="60" w:type="dxa"/>
              <w:end w:w="80" w:type="dxa"/>
            </w:tcMar>
            <w:vAlign w:val="center"/>
          </w:tcPr>
          <w:p>
            <w:pPr>
              <w:spacing w:after="0" w:line="240" w:lineRule="auto"/>
            </w:pPr>
            <w:r>
              <w:rPr>
                <w:sz w:val="15"/>
              </w:rPr>
              <w:t>Manual G/P conflicts with event records</w:t>
            </w:r>
          </w:p>
        </w:tc>
        <w:tc>
          <w:tcPr>
            <w:tcW w:type="dxa" w:w="6768"/>
            <w:tcMar>
              <w:top w:w="60" w:type="dxa"/>
              <w:start w:w="80" w:type="dxa"/>
              <w:bottom w:w="60" w:type="dxa"/>
              <w:end w:w="80" w:type="dxa"/>
            </w:tcMar>
            <w:vAlign w:val="center"/>
          </w:tcPr>
          <w:p>
            <w:pPr>
              <w:spacing w:after="0" w:line="240" w:lineRule="auto"/>
            </w:pPr>
            <w:r>
              <w:rPr>
                <w:sz w:val="15"/>
              </w:rPr>
              <w:t>System blocks silent overwrite and requests reconciliation with audit trail.</w:t>
            </w:r>
          </w:p>
        </w:tc>
      </w:tr>
      <w:tr>
        <w:tc>
          <w:tcPr>
            <w:tcW w:type="dxa" w:w="3312"/>
            <w:tcMar>
              <w:top w:w="60" w:type="dxa"/>
              <w:start w:w="80" w:type="dxa"/>
              <w:bottom w:w="60" w:type="dxa"/>
              <w:end w:w="80" w:type="dxa"/>
            </w:tcMar>
            <w:vAlign w:val="center"/>
            <w:shd w:fill="EAF1F7"/>
          </w:tcPr>
          <w:p>
            <w:pPr>
              <w:spacing w:after="0" w:line="240" w:lineRule="auto"/>
            </w:pPr>
            <w:r>
              <w:rPr>
                <w:sz w:val="15"/>
              </w:rPr>
              <w:t>Current severe symptom</w:t>
            </w:r>
          </w:p>
        </w:tc>
        <w:tc>
          <w:tcPr>
            <w:tcW w:type="dxa" w:w="6768"/>
            <w:tcMar>
              <w:top w:w="60" w:type="dxa"/>
              <w:start w:w="80" w:type="dxa"/>
              <w:bottom w:w="60" w:type="dxa"/>
              <w:end w:w="80" w:type="dxa"/>
            </w:tcMar>
            <w:vAlign w:val="center"/>
            <w:shd w:fill="EAF1F7"/>
          </w:tcPr>
          <w:p>
            <w:pPr>
              <w:spacing w:after="0" w:line="240" w:lineRule="auto"/>
            </w:pPr>
            <w:r>
              <w:rPr>
                <w:sz w:val="15"/>
              </w:rPr>
              <w:t>Emergency pathway activates without waiting for complete parity history.</w:t>
            </w:r>
          </w:p>
        </w:tc>
      </w:tr>
    </w:tbl>
    <w:p>
      <w:pPr>
        <w:spacing w:after="20"/>
      </w:pPr>
    </w:p>
    <w:p>
      <w:pPr>
        <w:pStyle w:val="Heading2"/>
      </w:pPr>
      <w:r>
        <w:t>11.1 Clinical content validation</w:t>
      </w:r>
    </w:p>
    <w:p>
      <w:pPr>
        <w:pStyle w:val="ListBullet"/>
      </w:pPr>
      <w:r>
        <w:t>Have a Philippine obstetrician and registered midwife review definitions, referral thresholds, wording, and facility applicability.</w:t>
      </w:r>
    </w:p>
    <w:p>
      <w:pPr>
        <w:pStyle w:val="ListBullet"/>
      </w:pPr>
      <w:r>
        <w:t>Configure the parity viability threshold and grand-multiparity threshold from an approved local policy, not developer preference.</w:t>
      </w:r>
    </w:p>
    <w:p>
      <w:pPr>
        <w:pStyle w:val="ListBullet"/>
      </w:pPr>
      <w:r>
        <w:t>Test event counting for miscarriage, ectopic pregnancy, multiple gestation, stillbirth, neonatal death, and unknown outcomes.</w:t>
      </w:r>
    </w:p>
    <w:p>
      <w:pPr>
        <w:pStyle w:val="ListBullet"/>
      </w:pPr>
      <w:r>
        <w:t>Test spacing calculations with exact dates, month/year-only dates, uncertain conception dates, and missing dates.</w:t>
      </w:r>
    </w:p>
    <w:p>
      <w:pPr>
        <w:pStyle w:val="ListBullet"/>
      </w:pPr>
      <w:r>
        <w:t>Confirm that no parity rule independently produces a diagnosis, emergency, mode-of-birth decision, or final birth-setting approval.</w:t>
      </w:r>
    </w:p>
    <w:p>
      <w:pPr>
        <w:pStyle w:val="ListBullet"/>
      </w:pPr>
      <w:r>
        <w:t>Version every clinical rule and preserve the evidence source and date reviewed.</w:t>
      </w:r>
    </w:p>
    <w:p>
      <w:pPr>
        <w:pStyle w:val="Heading1"/>
      </w:pPr>
      <w:r>
        <w:t>12. Final Knowledge-Base Position</w:t>
      </w:r>
    </w:p>
    <w:tbl>
      <w:tblPr>
        <w:tblW w:type="auto" w:w="0"/>
        <w:jc w:val="center"/>
        <w:tblLook w:firstColumn="1" w:firstRow="1" w:lastColumn="0" w:lastRow="0" w:noHBand="0" w:noVBand="1" w:val="04A0"/>
      </w:tblPr>
      <w:tblGrid>
        <w:gridCol w:w="10080"/>
      </w:tblGrid>
      <w:tr>
        <w:tc>
          <w:tcPr>
            <w:tcW w:type="dxa" w:w="10080"/>
            <w:shd w:fill="D9EAF7"/>
            <w:tcMar>
              <w:top w:w="120" w:type="dxa"/>
              <w:start w:w="140" w:type="dxa"/>
              <w:bottom w:w="120" w:type="dxa"/>
              <w:end w:w="140" w:type="dxa"/>
            </w:tcMar>
          </w:tcPr>
          <w:p>
            <w:r>
              <w:rPr>
                <w:b/>
                <w:color w:val="17365D"/>
              </w:rPr>
              <w:t xml:space="preserve">Approved principle: </w:t>
            </w:r>
            <w:r>
              <w:t>Gravida and para are structured descriptors that organize antenatal care and contextualize other findings. First pregnancy and grand multiparity are not automatic diagnoses. Specific previous outcomes, current clinical findings, pregnancy spacing, and facility capability determine whether review, referral, or emergency action is appropriate.</w:t>
            </w:r>
          </w:p>
        </w:tc>
      </w:tr>
    </w:tbl>
    <w:p>
      <w:pPr>
        <w:spacing w:after="20"/>
      </w:pPr>
    </w:p>
    <w:p>
      <w:r>
        <w:t>The Part 7 pathway therefore rejects the following old-style rule:</w:t>
      </w:r>
    </w:p>
    <w:tbl>
      <w:tblPr>
        <w:tblW w:type="auto" w:w="0"/>
        <w:jc w:val="center"/>
        <w:tblLook w:firstColumn="1" w:firstRow="1" w:lastColumn="0" w:lastRow="0" w:noHBand="0" w:noVBand="1" w:val="04A0"/>
      </w:tblPr>
      <w:tblGrid>
        <w:gridCol w:w="10080"/>
      </w:tblGrid>
      <w:tr>
        <w:tc>
          <w:tcPr>
            <w:tcW w:type="dxa" w:w="10080"/>
            <w:shd w:fill="F4CCCC"/>
            <w:tcMar>
              <w:top w:w="120" w:type="dxa"/>
              <w:start w:w="140" w:type="dxa"/>
              <w:bottom w:w="120" w:type="dxa"/>
              <w:end w:w="140" w:type="dxa"/>
            </w:tcMar>
          </w:tcPr>
          <w:p>
            <w:r>
              <w:rPr>
                <w:b/>
                <w:color w:val="17365D"/>
              </w:rPr>
              <w:t xml:space="preserve">Rejected: </w:t>
            </w:r>
            <w:r>
              <w:t>First pregnancy OR para ≥5 → HIGH</w:t>
            </w:r>
          </w:p>
        </w:tc>
      </w:tr>
    </w:tbl>
    <w:p>
      <w:pPr>
        <w:spacing w:after="20"/>
      </w:pPr>
    </w:p>
    <w:p>
      <w:r>
        <w:t>It replaces it with an explainable model:</w:t>
      </w:r>
    </w:p>
    <w:tbl>
      <w:tblPr>
        <w:tblW w:type="auto" w:w="0"/>
        <w:jc w:val="center"/>
        <w:tblLook w:firstColumn="1" w:firstRow="1" w:lastColumn="0" w:lastRow="0" w:noHBand="0" w:noVBand="1" w:val="04A0"/>
      </w:tblPr>
      <w:tblGrid>
        <w:gridCol w:w="10080"/>
      </w:tblGrid>
      <w:tr>
        <w:tc>
          <w:tcPr>
            <w:tcW w:type="dxa" w:w="10080"/>
            <w:shd w:fill="D9EAD3"/>
            <w:tcMar>
              <w:top w:w="120" w:type="dxa"/>
              <w:start w:w="140" w:type="dxa"/>
              <w:bottom w:w="120" w:type="dxa"/>
              <w:end w:w="140" w:type="dxa"/>
            </w:tcMar>
          </w:tcPr>
          <w:p>
            <w:r>
              <w:rPr>
                <w:b/>
                <w:color w:val="17365D"/>
              </w:rPr>
              <w:t xml:space="preserve">Replacement: </w:t>
            </w:r>
            <w:r>
              <w:t>Derive accurate G/P from event history → identify first-pregnancy, parity, and interval context → route specific prior outcomes to dedicated pathways → combine with current evidence and facility limits → provide routine support, review/referral, incomplete-assessment notice, or emergency override with an explanation.</w:t>
            </w:r>
          </w:p>
        </w:tc>
      </w:tr>
    </w:tbl>
    <w:p>
      <w:pPr>
        <w:spacing w:after="20"/>
      </w:pPr>
    </w:p>
    <w:p>
      <w:pPr>
        <w:pStyle w:val="Heading2"/>
      </w:pPr>
      <w:r>
        <w:t>12.1 Knowledge statements for the decision engine</w:t>
      </w:r>
    </w:p>
    <w:p>
      <w:pPr>
        <w:pStyle w:val="ListBullet"/>
      </w:pPr>
      <w:r>
        <w:t>KS-GP-01: Gravidity and parity are descriptive clinical history variables, not diagnoses.</w:t>
      </w:r>
    </w:p>
    <w:p>
      <w:pPr>
        <w:pStyle w:val="ListBullet"/>
      </w:pPr>
      <w:r>
        <w:t>KS-GP-02: Nulliparity alone must not generate HIGH.</w:t>
      </w:r>
    </w:p>
    <w:p>
      <w:pPr>
        <w:pStyle w:val="ListBullet"/>
      </w:pPr>
      <w:r>
        <w:t>KS-GP-03: Grand multiparity alone must not generate emergency status or cesarean recommendation.</w:t>
      </w:r>
    </w:p>
    <w:p>
      <w:pPr>
        <w:pStyle w:val="ListBullet"/>
      </w:pPr>
      <w:r>
        <w:t>KS-GP-04: Parity may alter routine appointment and education planning when supported by adopted guidance.</w:t>
      </w:r>
    </w:p>
    <w:p>
      <w:pPr>
        <w:pStyle w:val="ListBullet"/>
      </w:pPr>
      <w:r>
        <w:t>KS-GP-05: Interpregnancy interval must be calculated from dated pregnancy episodes and interpreted according to the previous outcome type.</w:t>
      </w:r>
    </w:p>
    <w:p>
      <w:pPr>
        <w:pStyle w:val="ListBullet"/>
      </w:pPr>
      <w:r>
        <w:t>KS-GP-06: A short interval after miscarriage must not be treated as equivalent to a short interval after live birth.</w:t>
      </w:r>
    </w:p>
    <w:p>
      <w:pPr>
        <w:pStyle w:val="ListBullet"/>
      </w:pPr>
      <w:r>
        <w:t>KS-GP-07: Specific adverse outcomes are more actionable than summary G/P labels and must route to dedicated pathways.</w:t>
      </w:r>
    </w:p>
    <w:p>
      <w:pPr>
        <w:pStyle w:val="ListBullet"/>
      </w:pPr>
      <w:r>
        <w:t>KS-GP-08: Missing or contradictory history remains unknown and produces an explainable incomplete-assessment state.</w:t>
      </w:r>
    </w:p>
    <w:p>
      <w:pPr>
        <w:pStyle w:val="ListBullet"/>
      </w:pPr>
      <w:r>
        <w:t>KS-GP-09: Current danger signs always override ordinary obstetric-history processing.</w:t>
      </w:r>
    </w:p>
    <w:p>
      <w:pPr>
        <w:pStyle w:val="ListBullet"/>
      </w:pPr>
      <w:r>
        <w:t>KS-GP-10: All outputs remain advisory and must respect clinician judgment, local policy, and Philippine midwifery scope.</w:t>
      </w:r>
    </w:p>
    <w:p>
      <w:pPr>
        <w:pStyle w:val="Heading1"/>
      </w:pPr>
      <w:r>
        <w:t>13. References</w:t>
      </w:r>
    </w:p>
    <w:p>
      <w:pPr>
        <w:ind w:left="288" w:hanging="288"/>
      </w:pPr>
      <w:r>
        <w:t>1. World Health Organization. WHO recommendations on antenatal care for a positive pregnancy experience. Geneva: WHO; 2016, with subsequent topic updates.</w:t>
      </w:r>
    </w:p>
    <w:p>
      <w:pPr>
        <w:ind w:left="288" w:hanging="288"/>
      </w:pPr>
      <w:r>
        <w:t>2. World Health Organization. WHO recommendations on maternal health: guidelines approved by the WHO Guidelines Review Committee. 2nd ed. Geneva: WHO; 2025.</w:t>
      </w:r>
    </w:p>
    <w:p>
      <w:pPr>
        <w:ind w:left="288" w:hanging="288"/>
      </w:pPr>
      <w:r>
        <w:t>3. World Health Organization. Report of a WHO technical consultation on birth spacing: Geneva, 13-15 June 2005. Geneva: WHO; 2007.</w:t>
      </w:r>
    </w:p>
    <w:p>
      <w:pPr>
        <w:ind w:left="288" w:hanging="288"/>
      </w:pPr>
      <w:r>
        <w:t>4. World Health Organization. Family planning/contraception methods. Fact sheet. Updated 3 July 2025.</w:t>
      </w:r>
    </w:p>
    <w:p>
      <w:pPr>
        <w:ind w:left="288" w:hanging="288"/>
      </w:pPr>
      <w:r>
        <w:t>5. National Institute for Health and Care Excellence. Antenatal care. NICE guideline NG201. Published 2021; last reviewed 2024.</w:t>
      </w:r>
    </w:p>
    <w:p>
      <w:pPr>
        <w:ind w:left="288" w:hanging="288"/>
      </w:pPr>
      <w:r>
        <w:t>6. American College of Obstetricians and Gynecologists; Society for Maternal-Fetal Medicine. Interpregnancy Care. Obstetric Care Consensus No. 8. Obstet Gynecol. 2019;133:e51-e72.</w:t>
      </w:r>
    </w:p>
    <w:p>
      <w:pPr>
        <w:ind w:left="288" w:hanging="288"/>
      </w:pPr>
      <w:r>
        <w:t>7. American College of Obstetricians and Gynecologists. Prepregnancy Counseling. Committee Opinion No. 762. Obstet Gynecol. 2019.</w:t>
      </w:r>
    </w:p>
    <w:p>
      <w:pPr>
        <w:ind w:left="288" w:hanging="288"/>
      </w:pPr>
      <w:r>
        <w:t>8. Ni W, Gao X, Su X, et al. Birth spacing and risk of adverse pregnancy and birth outcomes: a systematic review and dose-response meta-analysis. Acta Obstet Gynecol Scand. 2023;102(12):1618-1633.</w:t>
      </w:r>
    </w:p>
    <w:p>
      <w:pPr>
        <w:ind w:left="288" w:hanging="288"/>
      </w:pPr>
      <w:r>
        <w:t>9. Hassen TA, Harris ML, Shifti DM, et al. Effects of short inter-pregnancy/birth interval on adverse perinatal outcomes in Asia-Pacific region: a systematic review and meta-analysis. PLoS One. 2024;19(7):e0307942.</w:t>
      </w:r>
    </w:p>
    <w:p>
      <w:pPr>
        <w:ind w:left="288" w:hanging="288"/>
      </w:pPr>
      <w:r>
        <w:t>10. Wang Y, Zeng C, Chen Y, et al. Short interpregnancy interval can lead to adverse pregnancy outcomes: a meta-analysis. Front Med (Lausanne). 2022;9:922053.</w:t>
      </w:r>
    </w:p>
    <w:p>
      <w:pPr>
        <w:ind w:left="288" w:hanging="288"/>
      </w:pPr>
      <w:r>
        <w:t>11. Kangatharan C, Labram S, Bhattacharya S. Interpregnancy interval following miscarriage and adverse pregnancy outcomes: systematic review and meta-analysis. Hum Reprod Update. 2017;23(2):221-231.</w:t>
      </w:r>
    </w:p>
    <w:p>
      <w:pPr>
        <w:ind w:left="288" w:hanging="288"/>
      </w:pPr>
      <w:r>
        <w:t>12. Shah PS. Parity and low birth weight and preterm birth: a systematic review and meta-analyses. Acta Obstet Gynecol Scand. 2010;89(7):862-875.</w:t>
      </w:r>
    </w:p>
    <w:p>
      <w:pPr>
        <w:ind w:left="288" w:hanging="288"/>
      </w:pPr>
      <w:r>
        <w:t>13. Republic of the Philippines. Republic Act No. 7392: Philippine Midwifery Act of 1992. Approved April 10, 1992.</w:t>
      </w:r>
    </w:p>
    <w:p>
      <w:pPr>
        <w:pStyle w:val="Heading1"/>
      </w:pPr>
      <w:r>
        <w:t>14. Research Limitations and Update Note</w:t>
      </w:r>
    </w:p>
    <w:p>
      <w:r>
        <w:t>Parity and spacing evidence is largely observational and affected by maternal age, socioeconomic status, access to care, previous outcome, fertility intentions, and differences in definitions. International guidance also uses different language and thresholds. Therefore, the CDSS should preserve guideline provenance, distinguish direct recommendations from associations, and require local clinical approval before implementation. This chapter should be reviewed when WHO, NICE, ACOG/SMFM, Philippine national guidance, or relevant high-quality evidence is updated.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DOCUMENT 1  |  CLINICAL KNOWLEDGE BASE  |  PART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244F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44F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ind w:left="259" w:right="259"/>
    </w:pPr>
    <w:rPr>
      <w:rFonts w:ascii="Aptos" w:hAnsi="Aptos"/>
      <w:b/>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1 - Clinical Knowledge Base - Part 7: Gravida, Para, and First Pregnancy</dc:title>
  <dc:subject>Evidence-based CDSS knowledge base for maternity management</dc:subject>
  <dc:creator>Capstone Research Team</dc:creator>
  <cp:keywords>CDSS, maternity, gravida, para, nulliparity, grand multiparity, interpregnancy interval, lying-in clinic</cp:keywords>
  <dc:description>generated by python-docx</dc:description>
  <cp:lastModifiedBy/>
  <cp:revision>1</cp:revision>
  <dcterms:created xsi:type="dcterms:W3CDTF">2013-12-23T23:15:00Z</dcterms:created>
  <dcterms:modified xsi:type="dcterms:W3CDTF">2013-12-23T23:15:00Z</dcterms:modified>
  <cp:category/>
</cp:coreProperties>
</file>