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1"/>
        </w:rPr>
        <w:t>Part 1 - Decision Engine Philosophy and System Architecture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2.0 - Expanded and Harmonized Research Draft</w:t>
      </w:r>
    </w:p>
    <w:p>
      <w:pPr>
        <w:jc w:val="center"/>
      </w:pPr>
      <w:r>
        <w:rPr>
          <w:i/>
        </w:rPr>
        <w:t>July 2026</w:t>
      </w:r>
    </w:p>
    <w:p>
      <w:r>
        <w:br w:type="page"/>
      </w:r>
    </w:p>
    <w:p>
      <w:pPr>
        <w:pStyle w:val="Heading1"/>
      </w:pPr>
      <w:r>
        <w:t>Clinical Safety Statement</w:t>
      </w:r>
    </w:p>
    <w:p>
      <w:r>
        <w:t>This part defines the governing philosophy and architecture of the Clinical Decision Support System. It does not establish diagnoses, prescribe medicines, or authorize autonomous clinical management. It defines how documented evidence is translated into transparent, testable, and reviewable software reasoning while preserving the authority of the healthcare professional.</w:t>
      </w:r>
    </w:p>
    <w:p>
      <w:r>
        <w:t>This specification must be reviewed against applicable Philippine professional, institutional, privacy, records-management, referral, and health-service requirements before real clinical deployment.</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Item</w:t>
            </w:r>
          </w:p>
        </w:tc>
        <w:tc>
          <w:tcPr>
            <w:tcW w:type="dxa" w:w="4939"/>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2 - Clinical Decision Support Decision Engine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1 of 12</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Decision Engine Philosophy and System Architecture</w:t>
            </w:r>
          </w:p>
        </w:tc>
      </w:tr>
      <w:tr>
        <w:tc>
          <w:tcPr>
            <w:tcW w:type="dxa" w:w="4939"/>
            <w:vAlign w:val="top"/>
          </w:tcPr>
          <w:p>
            <w:pPr>
              <w:spacing w:after="0"/>
            </w:pPr>
            <w:r/>
            <w:r>
              <w:rPr>
                <w:rFonts w:ascii="Arial" w:hAnsi="Arial"/>
                <w:b w:val="0"/>
                <w:sz w:val="18"/>
              </w:rPr>
              <w:t>Purpose</w:t>
            </w:r>
          </w:p>
        </w:tc>
        <w:tc>
          <w:tcPr>
            <w:tcW w:type="dxa" w:w="4939"/>
            <w:vAlign w:val="top"/>
          </w:tcPr>
          <w:p>
            <w:pPr>
              <w:spacing w:after="0"/>
            </w:pPr>
            <w:r/>
            <w:r>
              <w:rPr>
                <w:rFonts w:ascii="Arial" w:hAnsi="Arial"/>
                <w:b w:val="0"/>
                <w:sz w:val="18"/>
              </w:rPr>
              <w:t>Expanded architecture specification harmonized with Parts 10-12.</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and preceding Document 2 parts where applicable.</w:t>
            </w:r>
          </w:p>
        </w:tc>
      </w:tr>
      <w:tr>
        <w:tc>
          <w:tcPr>
            <w:tcW w:type="dxa" w:w="4939"/>
            <w:vAlign w:val="top"/>
          </w:tcPr>
          <w:p>
            <w:pPr>
              <w:spacing w:after="0"/>
            </w:pPr>
            <w:r/>
            <w:r>
              <w:rPr>
                <w:rFonts w:ascii="Arial" w:hAnsi="Arial"/>
                <w:b w:val="0"/>
                <w:sz w:val="18"/>
              </w:rPr>
              <w:t>Feeds into</w:t>
            </w:r>
          </w:p>
        </w:tc>
        <w:tc>
          <w:tcPr>
            <w:tcW w:type="dxa" w:w="4939"/>
            <w:vAlign w:val="top"/>
          </w:tcPr>
          <w:p>
            <w:pPr>
              <w:spacing w:after="0"/>
            </w:pPr>
            <w:r/>
            <w:r>
              <w:rPr>
                <w:rFonts w:ascii="Arial" w:hAnsi="Arial"/>
                <w:b w:val="0"/>
                <w:sz w:val="18"/>
              </w:rPr>
              <w:t>Document 2 Part 2</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production authorization.</w:t>
            </w:r>
          </w:p>
        </w:tc>
      </w:tr>
    </w:tbl>
    <w:p/>
    <w:p>
      <w:pPr>
        <w:pStyle w:val="Heading1"/>
      </w:pPr>
      <w:r>
        <w:t>Executive Architecture Decision</w:t>
      </w:r>
    </w:p>
    <w:p>
      <w:r>
        <w:t>The Decision Engine shall use a layered hybrid architecture in which deterministic clinical safety rules, explicit emergency overrides, structured validation, explainability, and auditability form the authoritative core. Machine learning may contribute bounded supporting information but shall not suppress rule-based HIGH findings, emergency indicators, or missing-data safeguards.</w:t>
      </w:r>
    </w:p>
    <w:p>
      <w:pPr>
        <w:pStyle w:val="Heading1"/>
      </w:pPr>
      <w:r>
        <w:t>1.0 Purpose and Scope</w:t>
      </w:r>
    </w:p>
    <w:p>
      <w:r>
        <w:t>This part defines the Decision Engine Philosophy and System Architecture as a formal component of the complete Decision Engine.</w:t>
      </w:r>
    </w:p>
    <w:p>
      <w:pPr>
        <w:pStyle w:val="ListNumber"/>
      </w:pPr>
      <w:r>
        <w:t>Define the system's intended role, users, boundaries, and safety philosophy.</w:t>
      </w:r>
    </w:p>
    <w:p>
      <w:pPr>
        <w:pStyle w:val="ListNumber"/>
      </w:pPr>
      <w:r>
        <w:t>Separate clinical knowledge from Laravel controllers and presentation code.</w:t>
      </w:r>
    </w:p>
    <w:p>
      <w:pPr>
        <w:pStyle w:val="ListNumber"/>
      </w:pPr>
      <w:r>
        <w:t>Define the major reasoning engines and the direction of information flow.</w:t>
      </w:r>
    </w:p>
    <w:p>
      <w:pPr>
        <w:pStyle w:val="ListNumber"/>
      </w:pPr>
      <w:r>
        <w:t>Establish explainability, human oversight, reproducibility, and failure-safety requirements.</w:t>
      </w:r>
    </w:p>
    <w:p>
      <w:pPr>
        <w:pStyle w:val="ListNumber"/>
      </w:pPr>
      <w:r>
        <w:t>Provide the architectural baseline for Parts 2 through 12.</w:t>
      </w:r>
    </w:p>
    <w:p>
      <w:pPr>
        <w:pStyle w:val="Heading1"/>
      </w:pPr>
      <w:r>
        <w:t>2.0 Architectural Foundations</w:t>
      </w:r>
    </w:p>
    <w:p>
      <w:r>
        <w:t>The component follows a software-neutral translation approach: clinical meaning is documented first, then implemented through governed software services. It supports the WHO SMART Guidelines direction of standards-based, machine-readable, adaptive, requirements-based, and testable digital health content.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Principle</w:t>
            </w:r>
          </w:p>
        </w:tc>
        <w:tc>
          <w:tcPr>
            <w:tcW w:type="dxa" w:w="4939"/>
            <w:shd w:fill="D9EAF7"/>
          </w:tcPr>
          <w:p>
            <w:pPr>
              <w:spacing w:after="0"/>
            </w:pPr>
            <w:r/>
            <w:r>
              <w:rPr>
                <w:rFonts w:ascii="Arial" w:hAnsi="Arial"/>
                <w:b/>
                <w:sz w:val="18"/>
              </w:rPr>
              <w:t>Required behavior</w:t>
            </w:r>
          </w:p>
        </w:tc>
      </w:tr>
      <w:tr>
        <w:tc>
          <w:tcPr>
            <w:tcW w:type="dxa" w:w="4939"/>
            <w:vAlign w:val="top"/>
          </w:tcPr>
          <w:p>
            <w:pPr>
              <w:spacing w:after="0"/>
            </w:pPr>
            <w:r/>
            <w:r>
              <w:rPr>
                <w:rFonts w:ascii="Arial" w:hAnsi="Arial"/>
                <w:b w:val="0"/>
                <w:sz w:val="18"/>
              </w:rPr>
              <w:t>Clinical assistance, not replacement</w:t>
            </w:r>
          </w:p>
        </w:tc>
        <w:tc>
          <w:tcPr>
            <w:tcW w:type="dxa" w:w="4939"/>
            <w:vAlign w:val="top"/>
          </w:tcPr>
          <w:p>
            <w:pPr>
              <w:spacing w:after="0"/>
            </w:pPr>
            <w:r/>
            <w:r>
              <w:rPr>
                <w:rFonts w:ascii="Arial" w:hAnsi="Arial"/>
                <w:b w:val="0"/>
                <w:sz w:val="18"/>
              </w:rPr>
              <w:t>The system organizes evidence and supports decisions; qualified personnel remain responsible for care.</w:t>
            </w:r>
          </w:p>
        </w:tc>
      </w:tr>
      <w:tr>
        <w:tc>
          <w:tcPr>
            <w:tcW w:type="dxa" w:w="4939"/>
            <w:vAlign w:val="top"/>
          </w:tcPr>
          <w:p>
            <w:pPr>
              <w:spacing w:after="0"/>
            </w:pPr>
            <w:r/>
            <w:r>
              <w:rPr>
                <w:rFonts w:ascii="Arial" w:hAnsi="Arial"/>
                <w:b w:val="0"/>
                <w:sz w:val="18"/>
              </w:rPr>
              <w:t>Safety before convenience</w:t>
            </w:r>
          </w:p>
        </w:tc>
        <w:tc>
          <w:tcPr>
            <w:tcW w:type="dxa" w:w="4939"/>
            <w:vAlign w:val="top"/>
          </w:tcPr>
          <w:p>
            <w:pPr>
              <w:spacing w:after="0"/>
            </w:pPr>
            <w:r/>
            <w:r>
              <w:rPr>
                <w:rFonts w:ascii="Arial" w:hAnsi="Arial"/>
                <w:b w:val="0"/>
                <w:sz w:val="18"/>
              </w:rPr>
              <w:t>Potential danger, uncertainty, and missing information are handled before routine classification.</w:t>
            </w:r>
          </w:p>
        </w:tc>
      </w:tr>
      <w:tr>
        <w:tc>
          <w:tcPr>
            <w:tcW w:type="dxa" w:w="4939"/>
            <w:vAlign w:val="top"/>
          </w:tcPr>
          <w:p>
            <w:pPr>
              <w:spacing w:after="0"/>
            </w:pPr>
            <w:r/>
            <w:r>
              <w:rPr>
                <w:rFonts w:ascii="Arial" w:hAnsi="Arial"/>
                <w:b w:val="0"/>
                <w:sz w:val="18"/>
              </w:rPr>
              <w:t>Deterministic safety core</w:t>
            </w:r>
          </w:p>
        </w:tc>
        <w:tc>
          <w:tcPr>
            <w:tcW w:type="dxa" w:w="4939"/>
            <w:vAlign w:val="top"/>
          </w:tcPr>
          <w:p>
            <w:pPr>
              <w:spacing w:after="0"/>
            </w:pPr>
            <w:r/>
            <w:r>
              <w:rPr>
                <w:rFonts w:ascii="Arial" w:hAnsi="Arial"/>
                <w:b w:val="0"/>
                <w:sz w:val="18"/>
              </w:rPr>
              <w:t>Approved rule-based logic and emergency criteria have explicit precedence.</w:t>
            </w:r>
          </w:p>
        </w:tc>
      </w:tr>
      <w:tr>
        <w:tc>
          <w:tcPr>
            <w:tcW w:type="dxa" w:w="4939"/>
            <w:vAlign w:val="top"/>
          </w:tcPr>
          <w:p>
            <w:pPr>
              <w:spacing w:after="0"/>
            </w:pPr>
            <w:r/>
            <w:r>
              <w:rPr>
                <w:rFonts w:ascii="Arial" w:hAnsi="Arial"/>
                <w:b w:val="0"/>
                <w:sz w:val="18"/>
              </w:rPr>
              <w:t>Explainability by design</w:t>
            </w:r>
          </w:p>
        </w:tc>
        <w:tc>
          <w:tcPr>
            <w:tcW w:type="dxa" w:w="4939"/>
            <w:vAlign w:val="top"/>
          </w:tcPr>
          <w:p>
            <w:pPr>
              <w:spacing w:after="0"/>
            </w:pPr>
            <w:r/>
            <w:r>
              <w:rPr>
                <w:rFonts w:ascii="Arial" w:hAnsi="Arial"/>
                <w:b w:val="0"/>
                <w:sz w:val="18"/>
              </w:rPr>
              <w:t>Every output is linked to patient-specific evidence, rules, versions, and limitations.</w:t>
            </w:r>
          </w:p>
        </w:tc>
      </w:tr>
      <w:tr>
        <w:tc>
          <w:tcPr>
            <w:tcW w:type="dxa" w:w="4939"/>
            <w:vAlign w:val="top"/>
          </w:tcPr>
          <w:p>
            <w:pPr>
              <w:spacing w:after="0"/>
            </w:pPr>
            <w:r/>
            <w:r>
              <w:rPr>
                <w:rFonts w:ascii="Arial" w:hAnsi="Arial"/>
                <w:b w:val="0"/>
                <w:sz w:val="18"/>
              </w:rPr>
              <w:t>Software-neutral knowledge</w:t>
            </w:r>
          </w:p>
        </w:tc>
        <w:tc>
          <w:tcPr>
            <w:tcW w:type="dxa" w:w="4939"/>
            <w:vAlign w:val="top"/>
          </w:tcPr>
          <w:p>
            <w:pPr>
              <w:spacing w:after="0"/>
            </w:pPr>
            <w:r/>
            <w:r>
              <w:rPr>
                <w:rFonts w:ascii="Arial" w:hAnsi="Arial"/>
                <w:b w:val="0"/>
                <w:sz w:val="18"/>
              </w:rPr>
              <w:t>Clinical meaning is documented independently from Laravel, Python, or a particular database schema.</w:t>
            </w:r>
          </w:p>
        </w:tc>
      </w:tr>
      <w:tr>
        <w:tc>
          <w:tcPr>
            <w:tcW w:type="dxa" w:w="4939"/>
            <w:vAlign w:val="top"/>
          </w:tcPr>
          <w:p>
            <w:pPr>
              <w:spacing w:after="0"/>
            </w:pPr>
            <w:r/>
            <w:r>
              <w:rPr>
                <w:rFonts w:ascii="Arial" w:hAnsi="Arial"/>
                <w:b w:val="0"/>
                <w:sz w:val="18"/>
              </w:rPr>
              <w:t>Human reviewability</w:t>
            </w:r>
          </w:p>
        </w:tc>
        <w:tc>
          <w:tcPr>
            <w:tcW w:type="dxa" w:w="4939"/>
            <w:vAlign w:val="top"/>
          </w:tcPr>
          <w:p>
            <w:pPr>
              <w:spacing w:after="0"/>
            </w:pPr>
            <w:r/>
            <w:r>
              <w:rPr>
                <w:rFonts w:ascii="Arial" w:hAnsi="Arial"/>
                <w:b w:val="0"/>
                <w:sz w:val="18"/>
              </w:rPr>
              <w:t>Users can independently inspect why an output was produced.</w:t>
            </w:r>
          </w:p>
        </w:tc>
      </w:tr>
      <w:tr>
        <w:tc>
          <w:tcPr>
            <w:tcW w:type="dxa" w:w="4939"/>
            <w:vAlign w:val="top"/>
          </w:tcPr>
          <w:p>
            <w:pPr>
              <w:spacing w:after="0"/>
            </w:pPr>
            <w:r/>
            <w:r>
              <w:rPr>
                <w:rFonts w:ascii="Arial" w:hAnsi="Arial"/>
                <w:b w:val="0"/>
                <w:sz w:val="18"/>
              </w:rPr>
              <w:t>Governed change</w:t>
            </w:r>
          </w:p>
        </w:tc>
        <w:tc>
          <w:tcPr>
            <w:tcW w:type="dxa" w:w="4939"/>
            <w:vAlign w:val="top"/>
          </w:tcPr>
          <w:p>
            <w:pPr>
              <w:spacing w:after="0"/>
            </w:pPr>
            <w:r/>
            <w:r>
              <w:rPr>
                <w:rFonts w:ascii="Arial" w:hAnsi="Arial"/>
                <w:b w:val="0"/>
                <w:sz w:val="18"/>
              </w:rPr>
              <w:t>Rules and recommendation templates are versioned, tested, approved, and auditable.</w:t>
            </w:r>
          </w:p>
        </w:tc>
      </w:tr>
    </w:tbl>
    <w:p/>
    <w:p>
      <w:pPr>
        <w:pStyle w:val="Heading1"/>
      </w:pPr>
      <w:r>
        <w:t>3.0 Inputs and Preconditions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Input group</w:t>
            </w:r>
          </w:p>
        </w:tc>
        <w:tc>
          <w:tcPr>
            <w:tcW w:type="dxa" w:w="4939"/>
            <w:shd w:fill="D9EAF7"/>
          </w:tcPr>
          <w:p>
            <w:pPr>
              <w:spacing w:after="0"/>
            </w:pPr>
            <w:r/>
            <w:r>
              <w:rPr>
                <w:rFonts w:ascii="Arial" w:hAnsi="Arial"/>
                <w:b/>
                <w:sz w:val="18"/>
              </w:rPr>
              <w:t>Required contents</w:t>
            </w:r>
          </w:p>
        </w:tc>
      </w:tr>
      <w:tr>
        <w:tc>
          <w:tcPr>
            <w:tcW w:type="dxa" w:w="4939"/>
            <w:vAlign w:val="top"/>
          </w:tcPr>
          <w:p>
            <w:pPr>
              <w:spacing w:after="0"/>
            </w:pPr>
            <w:r/>
            <w:r>
              <w:rPr>
                <w:rFonts w:ascii="Arial" w:hAnsi="Arial"/>
                <w:b w:val="0"/>
                <w:sz w:val="18"/>
              </w:rPr>
              <w:t>Clinical knowledge specification</w:t>
            </w:r>
          </w:p>
        </w:tc>
        <w:tc>
          <w:tcPr>
            <w:tcW w:type="dxa" w:w="4939"/>
            <w:vAlign w:val="top"/>
          </w:tcPr>
          <w:p>
            <w:pPr>
              <w:spacing w:after="0"/>
            </w:pPr>
            <w:r/>
            <w:r>
              <w:rPr>
                <w:rFonts w:ascii="Arial" w:hAnsi="Arial"/>
                <w:b w:val="0"/>
                <w:sz w:val="18"/>
              </w:rPr>
              <w:t>Reviewed rules, thresholds, exclusions, evidence references, recommendation mappings, and emergency criteria.</w:t>
            </w:r>
          </w:p>
        </w:tc>
      </w:tr>
      <w:tr>
        <w:tc>
          <w:tcPr>
            <w:tcW w:type="dxa" w:w="4939"/>
            <w:vAlign w:val="top"/>
          </w:tcPr>
          <w:p>
            <w:pPr>
              <w:spacing w:after="0"/>
            </w:pPr>
            <w:r/>
            <w:r>
              <w:rPr>
                <w:rFonts w:ascii="Arial" w:hAnsi="Arial"/>
                <w:b w:val="0"/>
                <w:sz w:val="18"/>
              </w:rPr>
              <w:t>Patient and pregnancy context</w:t>
            </w:r>
          </w:p>
        </w:tc>
        <w:tc>
          <w:tcPr>
            <w:tcW w:type="dxa" w:w="4939"/>
            <w:vAlign w:val="top"/>
          </w:tcPr>
          <w:p>
            <w:pPr>
              <w:spacing w:after="0"/>
            </w:pPr>
            <w:r/>
            <w:r>
              <w:rPr>
                <w:rFonts w:ascii="Arial" w:hAnsi="Arial"/>
                <w:b w:val="0"/>
                <w:sz w:val="18"/>
              </w:rPr>
              <w:t>Patient identity, active pregnancy, encounter, history, observations, and supporting records.</w:t>
            </w:r>
          </w:p>
        </w:tc>
      </w:tr>
      <w:tr>
        <w:tc>
          <w:tcPr>
            <w:tcW w:type="dxa" w:w="4939"/>
            <w:vAlign w:val="top"/>
          </w:tcPr>
          <w:p>
            <w:pPr>
              <w:spacing w:after="0"/>
            </w:pPr>
            <w:r/>
            <w:r>
              <w:rPr>
                <w:rFonts w:ascii="Arial" w:hAnsi="Arial"/>
                <w:b w:val="0"/>
                <w:sz w:val="18"/>
              </w:rPr>
              <w:t>Clinic scope</w:t>
            </w:r>
          </w:p>
        </w:tc>
        <w:tc>
          <w:tcPr>
            <w:tcW w:type="dxa" w:w="4939"/>
            <w:vAlign w:val="top"/>
          </w:tcPr>
          <w:p>
            <w:pPr>
              <w:spacing w:after="0"/>
            </w:pPr>
            <w:r/>
            <w:r>
              <w:rPr>
                <w:rFonts w:ascii="Arial" w:hAnsi="Arial"/>
                <w:b w:val="0"/>
                <w:sz w:val="18"/>
              </w:rPr>
              <w:t>Services available, referral pathways, staffing limitations, and prohibited autonomous actions.</w:t>
            </w:r>
          </w:p>
        </w:tc>
      </w:tr>
      <w:tr>
        <w:tc>
          <w:tcPr>
            <w:tcW w:type="dxa" w:w="4939"/>
            <w:vAlign w:val="top"/>
          </w:tcPr>
          <w:p>
            <w:pPr>
              <w:spacing w:after="0"/>
            </w:pPr>
            <w:r/>
            <w:r>
              <w:rPr>
                <w:rFonts w:ascii="Arial" w:hAnsi="Arial"/>
                <w:b w:val="0"/>
                <w:sz w:val="18"/>
              </w:rPr>
              <w:t>System configuration</w:t>
            </w:r>
          </w:p>
        </w:tc>
        <w:tc>
          <w:tcPr>
            <w:tcW w:type="dxa" w:w="4939"/>
            <w:vAlign w:val="top"/>
          </w:tcPr>
          <w:p>
            <w:pPr>
              <w:spacing w:after="0"/>
            </w:pPr>
            <w:r/>
            <w:r>
              <w:rPr>
                <w:rFonts w:ascii="Arial" w:hAnsi="Arial"/>
                <w:b w:val="0"/>
                <w:sz w:val="18"/>
              </w:rPr>
              <w:t>Active approved knowledge release, software version, permissions, and integration status.</w:t>
            </w:r>
          </w:p>
        </w:tc>
      </w:tr>
    </w:tbl>
    <w:p/>
    <w:p>
      <w:r>
        <w:t>All inputs must retain source identifiers, patient and pregnancy context, relevant timestamps, validation status, and the active knowledge or policy version.</w:t>
      </w:r>
    </w:p>
    <w:p>
      <w:pPr>
        <w:pStyle w:val="Heading1"/>
      </w:pPr>
      <w:r>
        <w:t>4.0 Internal Processing Workflow</w:t>
      </w:r>
    </w:p>
    <w:p>
      <w:pPr>
        <w:pStyle w:val="ListNumber"/>
      </w:pPr>
      <w:r>
        <w:t>Create a patient-specific decision execution.</w:t>
      </w:r>
    </w:p>
    <w:p>
      <w:pPr>
        <w:pStyle w:val="ListNumber"/>
      </w:pPr>
      <w:r>
        <w:t>Freeze the active approved knowledge release and software version.</w:t>
      </w:r>
    </w:p>
    <w:p>
      <w:pPr>
        <w:pStyle w:val="ListNumber"/>
      </w:pPr>
      <w:r>
        <w:t>Assemble structured data from the patient, pregnancy, prenatal visit, medical history, ultrasound, and birth-plan records.</w:t>
      </w:r>
    </w:p>
    <w:p>
      <w:pPr>
        <w:pStyle w:val="ListNumber"/>
      </w:pPr>
      <w:r>
        <w:t>Validate the assembled evidence before clinical reasoning.</w:t>
      </w:r>
    </w:p>
    <w:p>
      <w:pPr>
        <w:pStyle w:val="ListNumber"/>
      </w:pPr>
      <w:r>
        <w:t>Screen for emergency indicators at defined interruption points.</w:t>
      </w:r>
    </w:p>
    <w:p>
      <w:pPr>
        <w:pStyle w:val="ListNumber"/>
      </w:pPr>
      <w:r>
        <w:t>Evaluate deterministic rules, interactions, and conflicts.</w:t>
      </w:r>
    </w:p>
    <w:p>
      <w:pPr>
        <w:pStyle w:val="ListNumber"/>
      </w:pPr>
      <w:r>
        <w:t>Generate prioritized recommendations, explanations, confidence statements, and limitations.</w:t>
      </w:r>
    </w:p>
    <w:p>
      <w:pPr>
        <w:pStyle w:val="ListNumber"/>
      </w:pPr>
      <w:r>
        <w:t>Store the complete provenance package and present the result for human review.</w:t>
      </w:r>
    </w:p>
    <w:p>
      <w:pPr>
        <w:pStyle w:val="Heading1"/>
      </w:pPr>
      <w:r>
        <w:t>5.0 Decision Logic and Precedence</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Condition or scenario</w:t>
            </w:r>
          </w:p>
        </w:tc>
        <w:tc>
          <w:tcPr>
            <w:tcW w:type="dxa" w:w="4939"/>
            <w:shd w:fill="D9EAF7"/>
          </w:tcPr>
          <w:p>
            <w:pPr>
              <w:spacing w:after="0"/>
            </w:pPr>
            <w:r/>
            <w:r>
              <w:rPr>
                <w:rFonts w:ascii="Arial" w:hAnsi="Arial"/>
                <w:b/>
                <w:sz w:val="18"/>
              </w:rPr>
              <w:t>Required system behavior</w:t>
            </w:r>
          </w:p>
        </w:tc>
      </w:tr>
      <w:tr>
        <w:tc>
          <w:tcPr>
            <w:tcW w:type="dxa" w:w="4939"/>
            <w:vAlign w:val="top"/>
          </w:tcPr>
          <w:p>
            <w:pPr>
              <w:spacing w:after="0"/>
            </w:pPr>
            <w:r/>
            <w:r>
              <w:rPr>
                <w:rFonts w:ascii="Arial" w:hAnsi="Arial"/>
                <w:b w:val="0"/>
                <w:sz w:val="18"/>
              </w:rPr>
              <w:t>Evidence unavailable</w:t>
            </w:r>
          </w:p>
        </w:tc>
        <w:tc>
          <w:tcPr>
            <w:tcW w:type="dxa" w:w="4939"/>
            <w:vAlign w:val="top"/>
          </w:tcPr>
          <w:p>
            <w:pPr>
              <w:spacing w:after="0"/>
            </w:pPr>
            <w:r/>
            <w:r>
              <w:rPr>
                <w:rFonts w:ascii="Arial" w:hAnsi="Arial"/>
                <w:b w:val="0"/>
                <w:sz w:val="18"/>
              </w:rPr>
              <w:t>Do not infer reassurance; use ASSESSMENT INCOMPLETE unless available evidence independently requires escalation.</w:t>
            </w:r>
          </w:p>
        </w:tc>
      </w:tr>
      <w:tr>
        <w:tc>
          <w:tcPr>
            <w:tcW w:type="dxa" w:w="4939"/>
            <w:vAlign w:val="top"/>
          </w:tcPr>
          <w:p>
            <w:pPr>
              <w:spacing w:after="0"/>
            </w:pPr>
            <w:r/>
            <w:r>
              <w:rPr>
                <w:rFonts w:ascii="Arial" w:hAnsi="Arial"/>
                <w:b w:val="0"/>
                <w:sz w:val="18"/>
              </w:rPr>
              <w:t>Emergency indicator</w:t>
            </w:r>
          </w:p>
        </w:tc>
        <w:tc>
          <w:tcPr>
            <w:tcW w:type="dxa" w:w="4939"/>
            <w:vAlign w:val="top"/>
          </w:tcPr>
          <w:p>
            <w:pPr>
              <w:spacing w:after="0"/>
            </w:pPr>
            <w:r/>
            <w:r>
              <w:rPr>
                <w:rFonts w:ascii="Arial" w:hAnsi="Arial"/>
                <w:b w:val="0"/>
                <w:sz w:val="18"/>
              </w:rPr>
              <w:t>Interrupt routine ordering and prioritize escalation or referral support.</w:t>
            </w:r>
          </w:p>
        </w:tc>
      </w:tr>
      <w:tr>
        <w:tc>
          <w:tcPr>
            <w:tcW w:type="dxa" w:w="4939"/>
            <w:vAlign w:val="top"/>
          </w:tcPr>
          <w:p>
            <w:pPr>
              <w:spacing w:after="0"/>
            </w:pPr>
            <w:r/>
            <w:r>
              <w:rPr>
                <w:rFonts w:ascii="Arial" w:hAnsi="Arial"/>
                <w:b w:val="0"/>
                <w:sz w:val="18"/>
              </w:rPr>
              <w:t>Rule-based HIGH factor</w:t>
            </w:r>
          </w:p>
        </w:tc>
        <w:tc>
          <w:tcPr>
            <w:tcW w:type="dxa" w:w="4939"/>
            <w:vAlign w:val="top"/>
          </w:tcPr>
          <w:p>
            <w:pPr>
              <w:spacing w:after="0"/>
            </w:pPr>
            <w:r/>
            <w:r>
              <w:rPr>
                <w:rFonts w:ascii="Arial" w:hAnsi="Arial"/>
                <w:b w:val="0"/>
                <w:sz w:val="18"/>
              </w:rPr>
              <w:t>HIGH takes precedence over ML LOW.</w:t>
            </w:r>
          </w:p>
        </w:tc>
      </w:tr>
      <w:tr>
        <w:tc>
          <w:tcPr>
            <w:tcW w:type="dxa" w:w="4939"/>
            <w:vAlign w:val="top"/>
          </w:tcPr>
          <w:p>
            <w:pPr>
              <w:spacing w:after="0"/>
            </w:pPr>
            <w:r/>
            <w:r>
              <w:rPr>
                <w:rFonts w:ascii="Arial" w:hAnsi="Arial"/>
                <w:b w:val="0"/>
                <w:sz w:val="18"/>
              </w:rPr>
              <w:t>Valid ML HIGH</w:t>
            </w:r>
          </w:p>
        </w:tc>
        <w:tc>
          <w:tcPr>
            <w:tcW w:type="dxa" w:w="4939"/>
            <w:vAlign w:val="top"/>
          </w:tcPr>
          <w:p>
            <w:pPr>
              <w:spacing w:after="0"/>
            </w:pPr>
            <w:r/>
            <w:r>
              <w:rPr>
                <w:rFonts w:ascii="Arial" w:hAnsi="Arial"/>
                <w:b w:val="0"/>
                <w:sz w:val="18"/>
              </w:rPr>
              <w:t>May contribute to HIGH when the model is approved and the execution is otherwise valid.</w:t>
            </w:r>
          </w:p>
        </w:tc>
      </w:tr>
      <w:tr>
        <w:tc>
          <w:tcPr>
            <w:tcW w:type="dxa" w:w="4939"/>
            <w:vAlign w:val="top"/>
          </w:tcPr>
          <w:p>
            <w:pPr>
              <w:spacing w:after="0"/>
            </w:pPr>
            <w:r/>
            <w:r>
              <w:rPr>
                <w:rFonts w:ascii="Arial" w:hAnsi="Arial"/>
                <w:b w:val="0"/>
                <w:sz w:val="18"/>
              </w:rPr>
              <w:t>Valid ML LOW</w:t>
            </w:r>
          </w:p>
        </w:tc>
        <w:tc>
          <w:tcPr>
            <w:tcW w:type="dxa" w:w="4939"/>
            <w:vAlign w:val="top"/>
          </w:tcPr>
          <w:p>
            <w:pPr>
              <w:spacing w:after="0"/>
            </w:pPr>
            <w:r/>
            <w:r>
              <w:rPr>
                <w:rFonts w:ascii="Arial" w:hAnsi="Arial"/>
                <w:b w:val="0"/>
                <w:sz w:val="18"/>
              </w:rPr>
              <w:t>May support LOW only when required records are complete and no HIGH rule is present.</w:t>
            </w:r>
          </w:p>
        </w:tc>
      </w:tr>
      <w:tr>
        <w:tc>
          <w:tcPr>
            <w:tcW w:type="dxa" w:w="4939"/>
            <w:vAlign w:val="top"/>
          </w:tcPr>
          <w:p>
            <w:pPr>
              <w:spacing w:after="0"/>
            </w:pPr>
            <w:r/>
            <w:r>
              <w:rPr>
                <w:rFonts w:ascii="Arial" w:hAnsi="Arial"/>
                <w:b w:val="0"/>
                <w:sz w:val="18"/>
              </w:rPr>
              <w:t>System or audit failure</w:t>
            </w:r>
          </w:p>
        </w:tc>
        <w:tc>
          <w:tcPr>
            <w:tcW w:type="dxa" w:w="4939"/>
            <w:vAlign w:val="top"/>
          </w:tcPr>
          <w:p>
            <w:pPr>
              <w:spacing w:after="0"/>
            </w:pPr>
            <w:r/>
            <w:r>
              <w:rPr>
                <w:rFonts w:ascii="Arial" w:hAnsi="Arial"/>
                <w:b w:val="0"/>
                <w:sz w:val="18"/>
              </w:rPr>
              <w:t>Do not represent the execution as a completed trustworthy assessment.</w:t>
            </w:r>
          </w:p>
        </w:tc>
      </w:tr>
    </w:tbl>
    <w:p/>
    <w:p>
      <w:r>
        <w:t>The listed logic represents the current documented capstone architecture. Exact clinical thresholds, wording, applicability, and urgency must remain linked to qualified review and versioned evidence sources.</w:t>
      </w:r>
    </w:p>
    <w:p>
      <w:pPr>
        <w:pStyle w:val="Heading1"/>
      </w:pPr>
      <w:r>
        <w:t>6.0 Output Contract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Output field</w:t>
            </w:r>
          </w:p>
        </w:tc>
        <w:tc>
          <w:tcPr>
            <w:tcW w:type="dxa" w:w="4939"/>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execution_id</w:t>
            </w:r>
          </w:p>
        </w:tc>
        <w:tc>
          <w:tcPr>
            <w:tcW w:type="dxa" w:w="4939"/>
            <w:vAlign w:val="top"/>
          </w:tcPr>
          <w:p>
            <w:pPr>
              <w:spacing w:after="0"/>
            </w:pPr>
            <w:r/>
            <w:r>
              <w:rPr>
                <w:rFonts w:ascii="Arial" w:hAnsi="Arial"/>
                <w:b w:val="0"/>
                <w:sz w:val="18"/>
              </w:rPr>
              <w:t>Unique decision execution identifier.</w:t>
            </w:r>
          </w:p>
        </w:tc>
      </w:tr>
      <w:tr>
        <w:tc>
          <w:tcPr>
            <w:tcW w:type="dxa" w:w="4939"/>
            <w:vAlign w:val="top"/>
          </w:tcPr>
          <w:p>
            <w:pPr>
              <w:spacing w:after="0"/>
            </w:pPr>
            <w:r/>
            <w:r>
              <w:rPr>
                <w:rFonts w:ascii="Arial" w:hAnsi="Arial"/>
                <w:b w:val="0"/>
                <w:sz w:val="18"/>
              </w:rPr>
              <w:t>component_status</w:t>
            </w:r>
          </w:p>
        </w:tc>
        <w:tc>
          <w:tcPr>
            <w:tcW w:type="dxa" w:w="4939"/>
            <w:vAlign w:val="top"/>
          </w:tcPr>
          <w:p>
            <w:pPr>
              <w:spacing w:after="0"/>
            </w:pPr>
            <w:r/>
            <w:r>
              <w:rPr>
                <w:rFonts w:ascii="Arial" w:hAnsi="Arial"/>
                <w:b w:val="0"/>
                <w:sz w:val="18"/>
              </w:rPr>
              <w:t>Completed, incomplete, unable to evaluate, emergency interruption, or failed.</w:t>
            </w:r>
          </w:p>
        </w:tc>
      </w:tr>
      <w:tr>
        <w:tc>
          <w:tcPr>
            <w:tcW w:type="dxa" w:w="4939"/>
            <w:vAlign w:val="top"/>
          </w:tcPr>
          <w:p>
            <w:pPr>
              <w:spacing w:after="0"/>
            </w:pPr>
            <w:r/>
            <w:r>
              <w:rPr>
                <w:rFonts w:ascii="Arial" w:hAnsi="Arial"/>
                <w:b w:val="0"/>
                <w:sz w:val="18"/>
              </w:rPr>
              <w:t>structured_results</w:t>
            </w:r>
          </w:p>
        </w:tc>
        <w:tc>
          <w:tcPr>
            <w:tcW w:type="dxa" w:w="4939"/>
            <w:vAlign w:val="top"/>
          </w:tcPr>
          <w:p>
            <w:pPr>
              <w:spacing w:after="0"/>
            </w:pPr>
            <w:r/>
            <w:r>
              <w:rPr>
                <w:rFonts w:ascii="Arial" w:hAnsi="Arial"/>
                <w:b w:val="0"/>
                <w:sz w:val="18"/>
              </w:rPr>
              <w:t>Machine-readable findings with controlled identifiers and versions.</w:t>
            </w:r>
          </w:p>
        </w:tc>
      </w:tr>
      <w:tr>
        <w:tc>
          <w:tcPr>
            <w:tcW w:type="dxa" w:w="4939"/>
            <w:vAlign w:val="top"/>
          </w:tcPr>
          <w:p>
            <w:pPr>
              <w:spacing w:after="0"/>
            </w:pPr>
            <w:r/>
            <w:r>
              <w:rPr>
                <w:rFonts w:ascii="Arial" w:hAnsi="Arial"/>
                <w:b w:val="0"/>
                <w:sz w:val="18"/>
              </w:rPr>
              <w:t>patient_specific_rationale</w:t>
            </w:r>
          </w:p>
        </w:tc>
        <w:tc>
          <w:tcPr>
            <w:tcW w:type="dxa" w:w="4939"/>
            <w:vAlign w:val="top"/>
          </w:tcPr>
          <w:p>
            <w:pPr>
              <w:spacing w:after="0"/>
            </w:pPr>
            <w:r/>
            <w:r>
              <w:rPr>
                <w:rFonts w:ascii="Arial" w:hAnsi="Arial"/>
                <w:b w:val="0"/>
                <w:sz w:val="18"/>
              </w:rPr>
              <w:t>Values and source records that caused each result.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stale, conflicting, unavailable, or out-of-scope information.</w:t>
            </w:r>
          </w:p>
        </w:tc>
      </w:tr>
      <w:tr>
        <w:tc>
          <w:tcPr>
            <w:tcW w:type="dxa" w:w="4939"/>
            <w:vAlign w:val="top"/>
          </w:tcPr>
          <w:p>
            <w:pPr>
              <w:spacing w:after="0"/>
            </w:pPr>
            <w:r/>
            <w:r>
              <w:rPr>
                <w:rFonts w:ascii="Arial" w:hAnsi="Arial"/>
                <w:b w:val="0"/>
                <w:sz w:val="18"/>
              </w:rPr>
              <w:t>priority_effect</w:t>
            </w:r>
          </w:p>
        </w:tc>
        <w:tc>
          <w:tcPr>
            <w:tcW w:type="dxa" w:w="4939"/>
            <w:vAlign w:val="top"/>
          </w:tcPr>
          <w:p>
            <w:pPr>
              <w:spacing w:after="0"/>
            </w:pPr>
            <w:r/>
            <w:r>
              <w:rPr>
                <w:rFonts w:ascii="Arial" w:hAnsi="Arial"/>
                <w:b w:val="0"/>
                <w:sz w:val="18"/>
              </w:rPr>
              <w:t>No effect, routine, HIGH, urgent, or emergency effect as approved.</w:t>
            </w:r>
          </w:p>
        </w:tc>
      </w:tr>
      <w:tr>
        <w:tc>
          <w:tcPr>
            <w:tcW w:type="dxa" w:w="4939"/>
            <w:vAlign w:val="top"/>
          </w:tcPr>
          <w:p>
            <w:pPr>
              <w:spacing w:after="0"/>
            </w:pPr>
            <w:r/>
            <w:r>
              <w:rPr>
                <w:rFonts w:ascii="Arial" w:hAnsi="Arial"/>
                <w:b w:val="0"/>
                <w:sz w:val="18"/>
              </w:rPr>
              <w:t>next_component</w:t>
            </w:r>
          </w:p>
        </w:tc>
        <w:tc>
          <w:tcPr>
            <w:tcW w:type="dxa" w:w="4939"/>
            <w:vAlign w:val="top"/>
          </w:tcPr>
          <w:p>
            <w:pPr>
              <w:spacing w:after="0"/>
            </w:pPr>
            <w:r/>
            <w:r>
              <w:rPr>
                <w:rFonts w:ascii="Arial" w:hAnsi="Arial"/>
                <w:b w:val="0"/>
                <w:sz w:val="18"/>
              </w:rPr>
              <w:t>Named downstream engine or terminal state.</w:t>
            </w:r>
          </w:p>
        </w:tc>
      </w:tr>
      <w:tr>
        <w:tc>
          <w:tcPr>
            <w:tcW w:type="dxa" w:w="4939"/>
            <w:vAlign w:val="top"/>
          </w:tcPr>
          <w:p>
            <w:pPr>
              <w:spacing w:after="0"/>
            </w:pPr>
            <w:r/>
            <w:r>
              <w:rPr>
                <w:rFonts w:ascii="Arial" w:hAnsi="Arial"/>
                <w:b w:val="0"/>
                <w:sz w:val="18"/>
              </w:rPr>
              <w:t>audit_metadata</w:t>
            </w:r>
          </w:p>
        </w:tc>
        <w:tc>
          <w:tcPr>
            <w:tcW w:type="dxa" w:w="4939"/>
            <w:vAlign w:val="top"/>
          </w:tcPr>
          <w:p>
            <w:pPr>
              <w:spacing w:after="0"/>
            </w:pPr>
            <w:r/>
            <w:r>
              <w:rPr>
                <w:rFonts w:ascii="Arial" w:hAnsi="Arial"/>
                <w:b w:val="0"/>
                <w:sz w:val="18"/>
              </w:rPr>
              <w:t>Timestamps, actor or system process, rule/policy release, and software version.</w:t>
            </w:r>
          </w:p>
        </w:tc>
      </w:tr>
    </w:tbl>
    <w:p/>
    <w:p>
      <w:pPr>
        <w:pStyle w:val="Heading1"/>
      </w:pPr>
      <w:r>
        <w:t>7.0 Safety Mechanisms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Control</w:t>
            </w:r>
          </w:p>
        </w:tc>
        <w:tc>
          <w:tcPr>
            <w:tcW w:type="dxa" w:w="4939"/>
            <w:shd w:fill="D9EAF7"/>
          </w:tcPr>
          <w:p>
            <w:pPr>
              <w:spacing w:after="0"/>
            </w:pPr>
            <w:r/>
            <w:r>
              <w:rPr>
                <w:rFonts w:ascii="Arial" w:hAnsi="Arial"/>
                <w:b/>
                <w:sz w:val="18"/>
              </w:rPr>
              <w:t>Safety purpose</w:t>
            </w:r>
          </w:p>
        </w:tc>
      </w:tr>
      <w:tr>
        <w:tc>
          <w:tcPr>
            <w:tcW w:type="dxa" w:w="4939"/>
            <w:vAlign w:val="top"/>
          </w:tcPr>
          <w:p>
            <w:pPr>
              <w:spacing w:after="0"/>
            </w:pPr>
            <w:r/>
            <w:r>
              <w:rPr>
                <w:rFonts w:ascii="Arial" w:hAnsi="Arial"/>
                <w:b w:val="0"/>
                <w:sz w:val="18"/>
              </w:rPr>
              <w:t>Layer separation</w:t>
            </w:r>
          </w:p>
        </w:tc>
        <w:tc>
          <w:tcPr>
            <w:tcW w:type="dxa" w:w="4939"/>
            <w:vAlign w:val="top"/>
          </w:tcPr>
          <w:p>
            <w:pPr>
              <w:spacing w:after="0"/>
            </w:pPr>
            <w:r/>
            <w:r>
              <w:rPr>
                <w:rFonts w:ascii="Arial" w:hAnsi="Arial"/>
                <w:b w:val="0"/>
                <w:sz w:val="18"/>
              </w:rPr>
              <w:t>Prevents clinical meaning from being hidden inside controllers or views.</w:t>
            </w:r>
          </w:p>
        </w:tc>
      </w:tr>
      <w:tr>
        <w:tc>
          <w:tcPr>
            <w:tcW w:type="dxa" w:w="4939"/>
            <w:vAlign w:val="top"/>
          </w:tcPr>
          <w:p>
            <w:pPr>
              <w:spacing w:after="0"/>
            </w:pPr>
            <w:r/>
            <w:r>
              <w:rPr>
                <w:rFonts w:ascii="Arial" w:hAnsi="Arial"/>
                <w:b w:val="0"/>
                <w:sz w:val="18"/>
              </w:rPr>
              <w:t>Two-stage emergency screening</w:t>
            </w:r>
          </w:p>
        </w:tc>
        <w:tc>
          <w:tcPr>
            <w:tcW w:type="dxa" w:w="4939"/>
            <w:vAlign w:val="top"/>
          </w:tcPr>
          <w:p>
            <w:pPr>
              <w:spacing w:after="0"/>
            </w:pPr>
            <w:r/>
            <w:r>
              <w:rPr>
                <w:rFonts w:ascii="Arial" w:hAnsi="Arial"/>
                <w:b w:val="0"/>
                <w:sz w:val="18"/>
              </w:rPr>
              <w:t>Reduces risk that urgent evidence waits for routine processing.</w:t>
            </w:r>
          </w:p>
        </w:tc>
      </w:tr>
      <w:tr>
        <w:tc>
          <w:tcPr>
            <w:tcW w:type="dxa" w:w="4939"/>
            <w:vAlign w:val="top"/>
          </w:tcPr>
          <w:p>
            <w:pPr>
              <w:spacing w:after="0"/>
            </w:pPr>
            <w:r/>
            <w:r>
              <w:rPr>
                <w:rFonts w:ascii="Arial" w:hAnsi="Arial"/>
                <w:b w:val="0"/>
                <w:sz w:val="18"/>
              </w:rPr>
              <w:t>Missing-data state</w:t>
            </w:r>
          </w:p>
        </w:tc>
        <w:tc>
          <w:tcPr>
            <w:tcW w:type="dxa" w:w="4939"/>
            <w:vAlign w:val="top"/>
          </w:tcPr>
          <w:p>
            <w:pPr>
              <w:spacing w:after="0"/>
            </w:pPr>
            <w:r/>
            <w:r>
              <w:rPr>
                <w:rFonts w:ascii="Arial" w:hAnsi="Arial"/>
                <w:b w:val="0"/>
                <w:sz w:val="18"/>
              </w:rPr>
              <w:t>Prevents absent records from being interpreted as normal.</w:t>
            </w:r>
          </w:p>
        </w:tc>
      </w:tr>
      <w:tr>
        <w:tc>
          <w:tcPr>
            <w:tcW w:type="dxa" w:w="4939"/>
            <w:vAlign w:val="top"/>
          </w:tcPr>
          <w:p>
            <w:pPr>
              <w:spacing w:after="0"/>
            </w:pPr>
            <w:r/>
            <w:r>
              <w:rPr>
                <w:rFonts w:ascii="Arial" w:hAnsi="Arial"/>
                <w:b w:val="0"/>
                <w:sz w:val="18"/>
              </w:rPr>
              <w:t>Immutable provenance</w:t>
            </w:r>
          </w:p>
        </w:tc>
        <w:tc>
          <w:tcPr>
            <w:tcW w:type="dxa" w:w="4939"/>
            <w:vAlign w:val="top"/>
          </w:tcPr>
          <w:p>
            <w:pPr>
              <w:spacing w:after="0"/>
            </w:pPr>
            <w:r/>
            <w:r>
              <w:rPr>
                <w:rFonts w:ascii="Arial" w:hAnsi="Arial"/>
                <w:b w:val="0"/>
                <w:sz w:val="18"/>
              </w:rPr>
              <w:t>Allows later reconstruction of the exact decision context.</w:t>
            </w:r>
          </w:p>
        </w:tc>
      </w:tr>
      <w:tr>
        <w:tc>
          <w:tcPr>
            <w:tcW w:type="dxa" w:w="4939"/>
            <w:vAlign w:val="top"/>
          </w:tcPr>
          <w:p>
            <w:pPr>
              <w:spacing w:after="0"/>
            </w:pPr>
            <w:r/>
            <w:r>
              <w:rPr>
                <w:rFonts w:ascii="Arial" w:hAnsi="Arial"/>
                <w:b w:val="0"/>
                <w:sz w:val="18"/>
              </w:rPr>
              <w:t>Bounded ML role</w:t>
            </w:r>
          </w:p>
        </w:tc>
        <w:tc>
          <w:tcPr>
            <w:tcW w:type="dxa" w:w="4939"/>
            <w:vAlign w:val="top"/>
          </w:tcPr>
          <w:p>
            <w:pPr>
              <w:spacing w:after="0"/>
            </w:pPr>
            <w:r/>
            <w:r>
              <w:rPr>
                <w:rFonts w:ascii="Arial" w:hAnsi="Arial"/>
                <w:b w:val="0"/>
                <w:sz w:val="18"/>
              </w:rPr>
              <w:t>Prevents probabilistic output from replacing explicit clinical safety logic.</w:t>
            </w:r>
          </w:p>
        </w:tc>
      </w:tr>
      <w:tr>
        <w:tc>
          <w:tcPr>
            <w:tcW w:type="dxa" w:w="4939"/>
            <w:vAlign w:val="top"/>
          </w:tcPr>
          <w:p>
            <w:pPr>
              <w:spacing w:after="0"/>
            </w:pPr>
            <w:r/>
            <w:r>
              <w:rPr>
                <w:rFonts w:ascii="Arial" w:hAnsi="Arial"/>
                <w:b w:val="0"/>
                <w:sz w:val="18"/>
              </w:rPr>
              <w:t>Delivered-pregnancy guard</w:t>
            </w:r>
          </w:p>
        </w:tc>
        <w:tc>
          <w:tcPr>
            <w:tcW w:type="dxa" w:w="4939"/>
            <w:vAlign w:val="top"/>
          </w:tcPr>
          <w:p>
            <w:pPr>
              <w:spacing w:after="0"/>
            </w:pPr>
            <w:r/>
            <w:r>
              <w:rPr>
                <w:rFonts w:ascii="Arial" w:hAnsi="Arial"/>
                <w:b w:val="0"/>
                <w:sz w:val="18"/>
              </w:rPr>
              <w:t>Protects historical pregnancy records from inappropriate modification.</w:t>
            </w:r>
          </w:p>
        </w:tc>
      </w:tr>
    </w:tbl>
    <w:p/>
    <w:p>
      <w:pPr>
        <w:pStyle w:val="Heading1"/>
      </w:pPr>
      <w:r>
        <w:t>8.0 Failure and Degraded-Operation Handling</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Failure condition</w:t>
            </w:r>
          </w:p>
        </w:tc>
        <w:tc>
          <w:tcPr>
            <w:tcW w:type="dxa" w:w="4939"/>
            <w:shd w:fill="D9EAF7"/>
          </w:tcPr>
          <w:p>
            <w:pPr>
              <w:spacing w:after="0"/>
            </w:pPr>
            <w:r/>
            <w:r>
              <w:rPr>
                <w:rFonts w:ascii="Arial" w:hAnsi="Arial"/>
                <w:b/>
                <w:sz w:val="18"/>
              </w:rPr>
              <w:t>Required response</w:t>
            </w:r>
          </w:p>
        </w:tc>
      </w:tr>
      <w:tr>
        <w:tc>
          <w:tcPr>
            <w:tcW w:type="dxa" w:w="4939"/>
            <w:vAlign w:val="top"/>
          </w:tcPr>
          <w:p>
            <w:pPr>
              <w:spacing w:after="0"/>
            </w:pPr>
            <w:r/>
            <w:r>
              <w:rPr>
                <w:rFonts w:ascii="Arial" w:hAnsi="Arial"/>
                <w:b w:val="0"/>
                <w:sz w:val="18"/>
              </w:rPr>
              <w:t>Required dependency unavailable</w:t>
            </w:r>
          </w:p>
        </w:tc>
        <w:tc>
          <w:tcPr>
            <w:tcW w:type="dxa" w:w="4939"/>
            <w:vAlign w:val="top"/>
          </w:tcPr>
          <w:p>
            <w:pPr>
              <w:spacing w:after="0"/>
            </w:pPr>
            <w:r/>
            <w:r>
              <w:rPr>
                <w:rFonts w:ascii="Arial" w:hAnsi="Arial"/>
                <w:b w:val="0"/>
                <w:sz w:val="18"/>
              </w:rPr>
              <w:t>Do not invent a result; return a controlled unavailable or incomplete state.</w:t>
            </w:r>
          </w:p>
        </w:tc>
      </w:tr>
      <w:tr>
        <w:tc>
          <w:tcPr>
            <w:tcW w:type="dxa" w:w="4939"/>
            <w:vAlign w:val="top"/>
          </w:tcPr>
          <w:p>
            <w:pPr>
              <w:spacing w:after="0"/>
            </w:pPr>
            <w:r/>
            <w:r>
              <w:rPr>
                <w:rFonts w:ascii="Arial" w:hAnsi="Arial"/>
                <w:b w:val="0"/>
                <w:sz w:val="18"/>
              </w:rPr>
              <w:t>Unexpected value or schema</w:t>
            </w:r>
          </w:p>
        </w:tc>
        <w:tc>
          <w:tcPr>
            <w:tcW w:type="dxa" w:w="4939"/>
            <w:vAlign w:val="top"/>
          </w:tcPr>
          <w:p>
            <w:pPr>
              <w:spacing w:after="0"/>
            </w:pPr>
            <w:r/>
            <w:r>
              <w:rPr>
                <w:rFonts w:ascii="Arial" w:hAnsi="Arial"/>
                <w:b w:val="0"/>
                <w:sz w:val="18"/>
              </w:rPr>
              <w:t>Reject the value for clinical reasoning and record the validation or processing failure.</w:t>
            </w:r>
          </w:p>
        </w:tc>
      </w:tr>
      <w:tr>
        <w:tc>
          <w:tcPr>
            <w:tcW w:type="dxa" w:w="4939"/>
            <w:vAlign w:val="top"/>
          </w:tcPr>
          <w:p>
            <w:pPr>
              <w:spacing w:after="0"/>
            </w:pPr>
            <w:r/>
            <w:r>
              <w:rPr>
                <w:rFonts w:ascii="Arial" w:hAnsi="Arial"/>
                <w:b w:val="0"/>
                <w:sz w:val="18"/>
              </w:rPr>
              <w:t>Knowledge release missing</w:t>
            </w:r>
          </w:p>
        </w:tc>
        <w:tc>
          <w:tcPr>
            <w:tcW w:type="dxa" w:w="4939"/>
            <w:vAlign w:val="top"/>
          </w:tcPr>
          <w:p>
            <w:pPr>
              <w:spacing w:after="0"/>
            </w:pPr>
            <w:r/>
            <w:r>
              <w:rPr>
                <w:rFonts w:ascii="Arial" w:hAnsi="Arial"/>
                <w:b w:val="0"/>
                <w:sz w:val="18"/>
              </w:rPr>
              <w:t>Stop execution and display a controlled configuration error.</w:t>
            </w:r>
          </w:p>
        </w:tc>
      </w:tr>
      <w:tr>
        <w:tc>
          <w:tcPr>
            <w:tcW w:type="dxa" w:w="4939"/>
            <w:vAlign w:val="top"/>
          </w:tcPr>
          <w:p>
            <w:pPr>
              <w:spacing w:after="0"/>
            </w:pPr>
            <w:r/>
            <w:r>
              <w:rPr>
                <w:rFonts w:ascii="Arial" w:hAnsi="Arial"/>
                <w:b w:val="0"/>
                <w:sz w:val="18"/>
              </w:rPr>
              <w:t>Database write failure</w:t>
            </w:r>
          </w:p>
        </w:tc>
        <w:tc>
          <w:tcPr>
            <w:tcW w:type="dxa" w:w="4939"/>
            <w:vAlign w:val="top"/>
          </w:tcPr>
          <w:p>
            <w:pPr>
              <w:spacing w:after="0"/>
            </w:pPr>
            <w:r/>
            <w:r>
              <w:rPr>
                <w:rFonts w:ascii="Arial" w:hAnsi="Arial"/>
                <w:b w:val="0"/>
                <w:sz w:val="18"/>
              </w:rPr>
              <w:t>Do not mark the component or decision execution as completed.</w:t>
            </w:r>
          </w:p>
        </w:tc>
      </w:tr>
      <w:tr>
        <w:tc>
          <w:tcPr>
            <w:tcW w:type="dxa" w:w="4939"/>
            <w:vAlign w:val="top"/>
          </w:tcPr>
          <w:p>
            <w:pPr>
              <w:spacing w:after="0"/>
            </w:pPr>
            <w:r/>
            <w:r>
              <w:rPr>
                <w:rFonts w:ascii="Arial" w:hAnsi="Arial"/>
                <w:b w:val="0"/>
                <w:sz w:val="18"/>
              </w:rPr>
              <w:t>Audit/provenance failure</w:t>
            </w:r>
          </w:p>
        </w:tc>
        <w:tc>
          <w:tcPr>
            <w:tcW w:type="dxa" w:w="4939"/>
            <w:vAlign w:val="top"/>
          </w:tcPr>
          <w:p>
            <w:pPr>
              <w:spacing w:after="0"/>
            </w:pPr>
            <w:r/>
            <w:r>
              <w:rPr>
                <w:rFonts w:ascii="Arial" w:hAnsi="Arial"/>
                <w:b w:val="0"/>
                <w:sz w:val="18"/>
              </w:rPr>
              <w:t>Do not claim the output is fully trustworthy or auditable.</w:t>
            </w:r>
          </w:p>
        </w:tc>
      </w:tr>
      <w:tr>
        <w:tc>
          <w:tcPr>
            <w:tcW w:type="dxa" w:w="4939"/>
            <w:vAlign w:val="top"/>
          </w:tcPr>
          <w:p>
            <w:pPr>
              <w:spacing w:after="0"/>
            </w:pPr>
            <w:r/>
            <w:r>
              <w:rPr>
                <w:rFonts w:ascii="Arial" w:hAnsi="Arial"/>
                <w:b w:val="0"/>
                <w:sz w:val="18"/>
              </w:rPr>
              <w:t>Unauthorized operation</w:t>
            </w:r>
          </w:p>
        </w:tc>
        <w:tc>
          <w:tcPr>
            <w:tcW w:type="dxa" w:w="4939"/>
            <w:vAlign w:val="top"/>
          </w:tcPr>
          <w:p>
            <w:pPr>
              <w:spacing w:after="0"/>
            </w:pPr>
            <w:r/>
            <w:r>
              <w:rPr>
                <w:rFonts w:ascii="Arial" w:hAnsi="Arial"/>
                <w:b w:val="0"/>
                <w:sz w:val="18"/>
              </w:rPr>
              <w:t>Deny the action and create a security event.</w:t>
            </w:r>
          </w:p>
        </w:tc>
      </w:tr>
      <w:tr>
        <w:tc>
          <w:tcPr>
            <w:tcW w:type="dxa" w:w="4939"/>
            <w:vAlign w:val="top"/>
          </w:tcPr>
          <w:p>
            <w:pPr>
              <w:spacing w:after="0"/>
            </w:pPr>
            <w:r/>
            <w:r>
              <w:rPr>
                <w:rFonts w:ascii="Arial" w:hAnsi="Arial"/>
                <w:b w:val="0"/>
                <w:sz w:val="18"/>
              </w:rPr>
              <w:t>Unexpected exception</w:t>
            </w:r>
          </w:p>
        </w:tc>
        <w:tc>
          <w:tcPr>
            <w:tcW w:type="dxa" w:w="4939"/>
            <w:vAlign w:val="top"/>
          </w:tcPr>
          <w:p>
            <w:pPr>
              <w:spacing w:after="0"/>
            </w:pPr>
            <w:r/>
            <w:r>
              <w:rPr>
                <w:rFonts w:ascii="Arial" w:hAnsi="Arial"/>
                <w:b w:val="0"/>
                <w:sz w:val="18"/>
              </w:rPr>
              <w:t>Show a safe message, log technical details securely, and avoid exposing sensitive information.</w:t>
            </w:r>
          </w:p>
        </w:tc>
      </w:tr>
    </w:tbl>
    <w:p/>
    <w:p>
      <w:pPr>
        <w:pStyle w:val="Heading1"/>
      </w:pPr>
      <w:r>
        <w:t>9.0 Laravel-Oriented Translation</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Proposed component</w:t>
            </w:r>
          </w:p>
        </w:tc>
        <w:tc>
          <w:tcPr>
            <w:tcW w:type="dxa" w:w="4939"/>
            <w:shd w:fill="D9EAF7"/>
          </w:tcPr>
          <w:p>
            <w:pPr>
              <w:spacing w:after="0"/>
            </w:pPr>
            <w:r/>
            <w:r>
              <w:rPr>
                <w:rFonts w:ascii="Arial" w:hAnsi="Arial"/>
                <w:b/>
                <w:sz w:val="18"/>
              </w:rPr>
              <w:t>Responsibility</w:t>
            </w:r>
          </w:p>
        </w:tc>
      </w:tr>
      <w:tr>
        <w:tc>
          <w:tcPr>
            <w:tcW w:type="dxa" w:w="4939"/>
            <w:vAlign w:val="top"/>
          </w:tcPr>
          <w:p>
            <w:pPr>
              <w:spacing w:after="0"/>
            </w:pPr>
            <w:r/>
            <w:r>
              <w:rPr>
                <w:rFonts w:ascii="Arial" w:hAnsi="Arial"/>
                <w:b w:val="0"/>
                <w:sz w:val="18"/>
              </w:rPr>
              <w:t>Controllers</w:t>
            </w:r>
          </w:p>
        </w:tc>
        <w:tc>
          <w:tcPr>
            <w:tcW w:type="dxa" w:w="4939"/>
            <w:vAlign w:val="top"/>
          </w:tcPr>
          <w:p>
            <w:pPr>
              <w:spacing w:after="0"/>
            </w:pPr>
            <w:r/>
            <w:r>
              <w:rPr>
                <w:rFonts w:ascii="Arial" w:hAnsi="Arial"/>
                <w:b w:val="0"/>
                <w:sz w:val="18"/>
              </w:rPr>
              <w:t>Authorize requests, validate transport-level fields, call services, and return responses.</w:t>
            </w:r>
          </w:p>
        </w:tc>
      </w:tr>
      <w:tr>
        <w:tc>
          <w:tcPr>
            <w:tcW w:type="dxa" w:w="4939"/>
            <w:vAlign w:val="top"/>
          </w:tcPr>
          <w:p>
            <w:pPr>
              <w:spacing w:after="0"/>
            </w:pPr>
            <w:r/>
            <w:r>
              <w:rPr>
                <w:rFonts w:ascii="Arial" w:hAnsi="Arial"/>
                <w:b w:val="0"/>
                <w:sz w:val="18"/>
              </w:rPr>
              <w:t>ClinicalDecisionOrchestrator</w:t>
            </w:r>
          </w:p>
        </w:tc>
        <w:tc>
          <w:tcPr>
            <w:tcW w:type="dxa" w:w="4939"/>
            <w:vAlign w:val="top"/>
          </w:tcPr>
          <w:p>
            <w:pPr>
              <w:spacing w:after="0"/>
            </w:pPr>
            <w:r/>
            <w:r>
              <w:rPr>
                <w:rFonts w:ascii="Arial" w:hAnsi="Arial"/>
                <w:b w:val="0"/>
                <w:sz w:val="18"/>
              </w:rPr>
              <w:t>Coordinates the end-to-end state machine.</w:t>
            </w:r>
          </w:p>
        </w:tc>
      </w:tr>
      <w:tr>
        <w:tc>
          <w:tcPr>
            <w:tcW w:type="dxa" w:w="4939"/>
            <w:vAlign w:val="top"/>
          </w:tcPr>
          <w:p>
            <w:pPr>
              <w:spacing w:after="0"/>
            </w:pPr>
            <w:r/>
            <w:r>
              <w:rPr>
                <w:rFonts w:ascii="Arial" w:hAnsi="Arial"/>
                <w:b w:val="0"/>
                <w:sz w:val="18"/>
              </w:rPr>
              <w:t>KnowledgeReleaseRepository</w:t>
            </w:r>
          </w:p>
        </w:tc>
        <w:tc>
          <w:tcPr>
            <w:tcW w:type="dxa" w:w="4939"/>
            <w:vAlign w:val="top"/>
          </w:tcPr>
          <w:p>
            <w:pPr>
              <w:spacing w:after="0"/>
            </w:pPr>
            <w:r/>
            <w:r>
              <w:rPr>
                <w:rFonts w:ascii="Arial" w:hAnsi="Arial"/>
                <w:b w:val="0"/>
                <w:sz w:val="18"/>
              </w:rPr>
              <w:t>Loads the active approved rules and templates.</w:t>
            </w:r>
          </w:p>
        </w:tc>
      </w:tr>
      <w:tr>
        <w:tc>
          <w:tcPr>
            <w:tcW w:type="dxa" w:w="4939"/>
            <w:vAlign w:val="top"/>
          </w:tcPr>
          <w:p>
            <w:pPr>
              <w:spacing w:after="0"/>
            </w:pPr>
            <w:r/>
            <w:r>
              <w:rPr>
                <w:rFonts w:ascii="Arial" w:hAnsi="Arial"/>
                <w:b w:val="0"/>
                <w:sz w:val="18"/>
              </w:rPr>
              <w:t>Engine services</w:t>
            </w:r>
          </w:p>
        </w:tc>
        <w:tc>
          <w:tcPr>
            <w:tcW w:type="dxa" w:w="4939"/>
            <w:vAlign w:val="top"/>
          </w:tcPr>
          <w:p>
            <w:pPr>
              <w:spacing w:after="0"/>
            </w:pPr>
            <w:r/>
            <w:r>
              <w:rPr>
                <w:rFonts w:ascii="Arial" w:hAnsi="Arial"/>
                <w:b w:val="0"/>
                <w:sz w:val="18"/>
              </w:rPr>
              <w:t>Implement validation, rules, interactions, conflicts, emergencies, recommendations, explanation, and confidence.</w:t>
            </w:r>
          </w:p>
        </w:tc>
      </w:tr>
      <w:tr>
        <w:tc>
          <w:tcPr>
            <w:tcW w:type="dxa" w:w="4939"/>
            <w:vAlign w:val="top"/>
          </w:tcPr>
          <w:p>
            <w:pPr>
              <w:spacing w:after="0"/>
            </w:pPr>
            <w:r/>
            <w:r>
              <w:rPr>
                <w:rFonts w:ascii="Arial" w:hAnsi="Arial"/>
                <w:b w:val="0"/>
                <w:sz w:val="18"/>
              </w:rPr>
              <w:t>Provenance recorder</w:t>
            </w:r>
          </w:p>
        </w:tc>
        <w:tc>
          <w:tcPr>
            <w:tcW w:type="dxa" w:w="4939"/>
            <w:vAlign w:val="top"/>
          </w:tcPr>
          <w:p>
            <w:pPr>
              <w:spacing w:after="0"/>
            </w:pPr>
            <w:r/>
            <w:r>
              <w:rPr>
                <w:rFonts w:ascii="Arial" w:hAnsi="Arial"/>
                <w:b w:val="0"/>
                <w:sz w:val="18"/>
              </w:rPr>
              <w:t>Stores immutable execution inputs and outputs.</w:t>
            </w:r>
          </w:p>
        </w:tc>
      </w:tr>
      <w:tr>
        <w:tc>
          <w:tcPr>
            <w:tcW w:type="dxa" w:w="4939"/>
            <w:vAlign w:val="top"/>
          </w:tcPr>
          <w:p>
            <w:pPr>
              <w:spacing w:after="0"/>
            </w:pPr>
            <w:r/>
            <w:r>
              <w:rPr>
                <w:rFonts w:ascii="Arial" w:hAnsi="Arial"/>
                <w:b w:val="0"/>
                <w:sz w:val="18"/>
              </w:rPr>
              <w:t>Policies and traits</w:t>
            </w:r>
          </w:p>
        </w:tc>
        <w:tc>
          <w:tcPr>
            <w:tcW w:type="dxa" w:w="4939"/>
            <w:vAlign w:val="top"/>
          </w:tcPr>
          <w:p>
            <w:pPr>
              <w:spacing w:after="0"/>
            </w:pPr>
            <w:r/>
            <w:r>
              <w:rPr>
                <w:rFonts w:ascii="Arial" w:hAnsi="Arial"/>
                <w:b w:val="0"/>
                <w:sz w:val="18"/>
              </w:rPr>
              <w:t>Enforce delivered-patient read-only behavior and role permissions.</w:t>
            </w:r>
          </w:p>
        </w:tc>
      </w:tr>
    </w:tbl>
    <w:p/>
    <w:p>
      <w:r>
        <w:t>Controllers should not contain the complete clinical reasoning logic. They should coordinate authorization, request handling, service invocation, and presentation. Clinical meaning belongs in versioned domain services and knowledge artifacts.</w:t>
      </w:r>
    </w:p>
    <w:p>
      <w:pPr>
        <w:pStyle w:val="Heading1"/>
      </w:pPr>
      <w:r>
        <w:t>10.0 Data and Audit Blueprint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Record</w:t>
            </w:r>
          </w:p>
        </w:tc>
        <w:tc>
          <w:tcPr>
            <w:tcW w:type="dxa" w:w="4939"/>
            <w:shd w:fill="D9EAF7"/>
          </w:tcPr>
          <w:p>
            <w:pPr>
              <w:spacing w:after="0"/>
            </w:pPr>
            <w:r/>
            <w:r>
              <w:rPr>
                <w:rFonts w:ascii="Arial" w:hAnsi="Arial"/>
                <w:b/>
                <w:sz w:val="18"/>
              </w:rPr>
              <w:t>Minimum contents</w:t>
            </w:r>
          </w:p>
        </w:tc>
      </w:tr>
      <w:tr>
        <w:tc>
          <w:tcPr>
            <w:tcW w:type="dxa" w:w="4939"/>
            <w:vAlign w:val="top"/>
          </w:tcPr>
          <w:p>
            <w:pPr>
              <w:spacing w:after="0"/>
            </w:pPr>
            <w:r/>
            <w:r>
              <w:rPr>
                <w:rFonts w:ascii="Arial" w:hAnsi="Arial"/>
                <w:b w:val="0"/>
                <w:sz w:val="18"/>
              </w:rPr>
              <w:t>component_execution</w:t>
            </w:r>
          </w:p>
        </w:tc>
        <w:tc>
          <w:tcPr>
            <w:tcW w:type="dxa" w:w="4939"/>
            <w:vAlign w:val="top"/>
          </w:tcPr>
          <w:p>
            <w:pPr>
              <w:spacing w:after="0"/>
            </w:pPr>
            <w:r/>
            <w:r>
              <w:rPr>
                <w:rFonts w:ascii="Arial" w:hAnsi="Arial"/>
                <w:b w:val="0"/>
                <w:sz w:val="18"/>
              </w:rPr>
              <w:t>Decision execution ID, component name, start/end time, status, active versions, and correlation ID.</w:t>
            </w:r>
          </w:p>
        </w:tc>
      </w:tr>
      <w:tr>
        <w:tc>
          <w:tcPr>
            <w:tcW w:type="dxa" w:w="4939"/>
            <w:vAlign w:val="top"/>
          </w:tcPr>
          <w:p>
            <w:pPr>
              <w:spacing w:after="0"/>
            </w:pPr>
            <w:r/>
            <w:r>
              <w:rPr>
                <w:rFonts w:ascii="Arial" w:hAnsi="Arial"/>
                <w:b w:val="0"/>
                <w:sz w:val="18"/>
              </w:rPr>
              <w:t>input_references</w:t>
            </w:r>
          </w:p>
        </w:tc>
        <w:tc>
          <w:tcPr>
            <w:tcW w:type="dxa" w:w="4939"/>
            <w:vAlign w:val="top"/>
          </w:tcPr>
          <w:p>
            <w:pPr>
              <w:spacing w:after="0"/>
            </w:pPr>
            <w:r/>
            <w:r>
              <w:rPr>
                <w:rFonts w:ascii="Arial" w:hAnsi="Arial"/>
                <w:b w:val="0"/>
                <w:sz w:val="18"/>
              </w:rPr>
              <w:t>Source record IDs, original values, normalized values, units, and timestamps.</w:t>
            </w:r>
          </w:p>
        </w:tc>
      </w:tr>
      <w:tr>
        <w:tc>
          <w:tcPr>
            <w:tcW w:type="dxa" w:w="4939"/>
            <w:vAlign w:val="top"/>
          </w:tcPr>
          <w:p>
            <w:pPr>
              <w:spacing w:after="0"/>
            </w:pPr>
            <w:r/>
            <w:r>
              <w:rPr>
                <w:rFonts w:ascii="Arial" w:hAnsi="Arial"/>
                <w:b w:val="0"/>
                <w:sz w:val="18"/>
              </w:rPr>
              <w:t>component_results</w:t>
            </w:r>
          </w:p>
        </w:tc>
        <w:tc>
          <w:tcPr>
            <w:tcW w:type="dxa" w:w="4939"/>
            <w:vAlign w:val="top"/>
          </w:tcPr>
          <w:p>
            <w:pPr>
              <w:spacing w:after="0"/>
            </w:pPr>
            <w:r/>
            <w:r>
              <w:rPr>
                <w:rFonts w:ascii="Arial" w:hAnsi="Arial"/>
                <w:b w:val="0"/>
                <w:sz w:val="18"/>
              </w:rPr>
              <w:t>Structured outcome, rationale, priority effect, and next component.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conflicting, uncertain, or unavailable evidence.</w:t>
            </w:r>
          </w:p>
        </w:tc>
      </w:tr>
      <w:tr>
        <w:tc>
          <w:tcPr>
            <w:tcW w:type="dxa" w:w="4939"/>
            <w:vAlign w:val="top"/>
          </w:tcPr>
          <w:p>
            <w:pPr>
              <w:spacing w:after="0"/>
            </w:pPr>
            <w:r/>
            <w:r>
              <w:rPr>
                <w:rFonts w:ascii="Arial" w:hAnsi="Arial"/>
                <w:b w:val="0"/>
                <w:sz w:val="18"/>
              </w:rPr>
              <w:t>user_actions</w:t>
            </w:r>
          </w:p>
        </w:tc>
        <w:tc>
          <w:tcPr>
            <w:tcW w:type="dxa" w:w="4939"/>
            <w:vAlign w:val="top"/>
          </w:tcPr>
          <w:p>
            <w:pPr>
              <w:spacing w:after="0"/>
            </w:pPr>
            <w:r/>
            <w:r>
              <w:rPr>
                <w:rFonts w:ascii="Arial" w:hAnsi="Arial"/>
                <w:b w:val="0"/>
                <w:sz w:val="18"/>
              </w:rPr>
              <w:t>Acknowledgement, correction, referral, deferral, refusal, or override where applicable.</w:t>
            </w:r>
          </w:p>
        </w:tc>
      </w:tr>
      <w:tr>
        <w:tc>
          <w:tcPr>
            <w:tcW w:type="dxa" w:w="4939"/>
            <w:vAlign w:val="top"/>
          </w:tcPr>
          <w:p>
            <w:pPr>
              <w:spacing w:after="0"/>
            </w:pPr>
            <w:r/>
            <w:r>
              <w:rPr>
                <w:rFonts w:ascii="Arial" w:hAnsi="Arial"/>
                <w:b w:val="0"/>
                <w:sz w:val="18"/>
              </w:rPr>
              <w:t>version_metadata</w:t>
            </w:r>
          </w:p>
        </w:tc>
        <w:tc>
          <w:tcPr>
            <w:tcW w:type="dxa" w:w="4939"/>
            <w:vAlign w:val="top"/>
          </w:tcPr>
          <w:p>
            <w:pPr>
              <w:spacing w:after="0"/>
            </w:pPr>
            <w:r/>
            <w:r>
              <w:rPr>
                <w:rFonts w:ascii="Arial" w:hAnsi="Arial"/>
                <w:b w:val="0"/>
                <w:sz w:val="18"/>
              </w:rPr>
              <w:t>Knowledge, rule, policy, recommendation template, ML, software, and schema versions as applicable.</w:t>
            </w:r>
          </w:p>
        </w:tc>
      </w:tr>
    </w:tbl>
    <w:p/>
    <w:p>
      <w:pPr>
        <w:pStyle w:val="Heading1"/>
      </w:pPr>
      <w:r>
        <w:t>11.0 Verification and Test Requirements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Test category</w:t>
            </w:r>
          </w:p>
        </w:tc>
        <w:tc>
          <w:tcPr>
            <w:tcW w:type="dxa" w:w="4939"/>
            <w:shd w:fill="D9EAF7"/>
          </w:tcPr>
          <w:p>
            <w:pPr>
              <w:spacing w:after="0"/>
            </w:pPr>
            <w:r/>
            <w:r>
              <w:rPr>
                <w:rFonts w:ascii="Arial" w:hAnsi="Arial"/>
                <w:b/>
                <w:sz w:val="18"/>
              </w:rPr>
              <w:t>Minimum scenario</w:t>
            </w:r>
          </w:p>
        </w:tc>
      </w:tr>
      <w:tr>
        <w:tc>
          <w:tcPr>
            <w:tcW w:type="dxa" w:w="4939"/>
            <w:vAlign w:val="top"/>
          </w:tcPr>
          <w:p>
            <w:pPr>
              <w:spacing w:after="0"/>
            </w:pPr>
            <w:r/>
            <w:r>
              <w:rPr>
                <w:rFonts w:ascii="Arial" w:hAnsi="Arial"/>
                <w:b w:val="0"/>
                <w:sz w:val="18"/>
              </w:rPr>
              <w:t>Architecture boundary</w:t>
            </w:r>
          </w:p>
        </w:tc>
        <w:tc>
          <w:tcPr>
            <w:tcW w:type="dxa" w:w="4939"/>
            <w:vAlign w:val="top"/>
          </w:tcPr>
          <w:p>
            <w:pPr>
              <w:spacing w:after="0"/>
            </w:pPr>
            <w:r/>
            <w:r>
              <w:rPr>
                <w:rFonts w:ascii="Arial" w:hAnsi="Arial"/>
                <w:b w:val="0"/>
                <w:sz w:val="18"/>
              </w:rPr>
              <w:t>Confirm no controller directly decides final clinical state without the orchestrator.</w:t>
            </w:r>
          </w:p>
        </w:tc>
      </w:tr>
      <w:tr>
        <w:tc>
          <w:tcPr>
            <w:tcW w:type="dxa" w:w="4939"/>
            <w:vAlign w:val="top"/>
          </w:tcPr>
          <w:p>
            <w:pPr>
              <w:spacing w:after="0"/>
            </w:pPr>
            <w:r/>
            <w:r>
              <w:rPr>
                <w:rFonts w:ascii="Arial" w:hAnsi="Arial"/>
                <w:b w:val="0"/>
                <w:sz w:val="18"/>
              </w:rPr>
              <w:t>Determinism</w:t>
            </w:r>
          </w:p>
        </w:tc>
        <w:tc>
          <w:tcPr>
            <w:tcW w:type="dxa" w:w="4939"/>
            <w:vAlign w:val="top"/>
          </w:tcPr>
          <w:p>
            <w:pPr>
              <w:spacing w:after="0"/>
            </w:pPr>
            <w:r/>
            <w:r>
              <w:rPr>
                <w:rFonts w:ascii="Arial" w:hAnsi="Arial"/>
                <w:b w:val="0"/>
                <w:sz w:val="18"/>
              </w:rPr>
              <w:t>Same frozen inputs and rule release produce the same rule results.</w:t>
            </w:r>
          </w:p>
        </w:tc>
      </w:tr>
      <w:tr>
        <w:tc>
          <w:tcPr>
            <w:tcW w:type="dxa" w:w="4939"/>
            <w:vAlign w:val="top"/>
          </w:tcPr>
          <w:p>
            <w:pPr>
              <w:spacing w:after="0"/>
            </w:pPr>
            <w:r/>
            <w:r>
              <w:rPr>
                <w:rFonts w:ascii="Arial" w:hAnsi="Arial"/>
                <w:b w:val="0"/>
                <w:sz w:val="18"/>
              </w:rPr>
              <w:t>Human review</w:t>
            </w:r>
          </w:p>
        </w:tc>
        <w:tc>
          <w:tcPr>
            <w:tcW w:type="dxa" w:w="4939"/>
            <w:vAlign w:val="top"/>
          </w:tcPr>
          <w:p>
            <w:pPr>
              <w:spacing w:after="0"/>
            </w:pPr>
            <w:r/>
            <w:r>
              <w:rPr>
                <w:rFonts w:ascii="Arial" w:hAnsi="Arial"/>
                <w:b w:val="0"/>
                <w:sz w:val="18"/>
              </w:rPr>
              <w:t>Every recommendation shows contributing evidence and limitations.</w:t>
            </w:r>
          </w:p>
        </w:tc>
      </w:tr>
      <w:tr>
        <w:tc>
          <w:tcPr>
            <w:tcW w:type="dxa" w:w="4939"/>
            <w:vAlign w:val="top"/>
          </w:tcPr>
          <w:p>
            <w:pPr>
              <w:spacing w:after="0"/>
            </w:pPr>
            <w:r/>
            <w:r>
              <w:rPr>
                <w:rFonts w:ascii="Arial" w:hAnsi="Arial"/>
                <w:b w:val="0"/>
                <w:sz w:val="18"/>
              </w:rPr>
              <w:t>ML isolation</w:t>
            </w:r>
          </w:p>
        </w:tc>
        <w:tc>
          <w:tcPr>
            <w:tcW w:type="dxa" w:w="4939"/>
            <w:vAlign w:val="top"/>
          </w:tcPr>
          <w:p>
            <w:pPr>
              <w:spacing w:after="0"/>
            </w:pPr>
            <w:r/>
            <w:r>
              <w:rPr>
                <w:rFonts w:ascii="Arial" w:hAnsi="Arial"/>
                <w:b w:val="0"/>
                <w:sz w:val="18"/>
              </w:rPr>
              <w:t>Rule-based safety assessment remains functional when ML is unavailable.</w:t>
            </w:r>
          </w:p>
        </w:tc>
      </w:tr>
      <w:tr>
        <w:tc>
          <w:tcPr>
            <w:tcW w:type="dxa" w:w="4939"/>
            <w:vAlign w:val="top"/>
          </w:tcPr>
          <w:p>
            <w:pPr>
              <w:spacing w:after="0"/>
            </w:pPr>
            <w:r/>
            <w:r>
              <w:rPr>
                <w:rFonts w:ascii="Arial" w:hAnsi="Arial"/>
                <w:b w:val="0"/>
                <w:sz w:val="18"/>
              </w:rPr>
              <w:t>Historical integrity</w:t>
            </w:r>
          </w:p>
        </w:tc>
        <w:tc>
          <w:tcPr>
            <w:tcW w:type="dxa" w:w="4939"/>
            <w:vAlign w:val="top"/>
          </w:tcPr>
          <w:p>
            <w:pPr>
              <w:spacing w:after="0"/>
            </w:pPr>
            <w:r/>
            <w:r>
              <w:rPr>
                <w:rFonts w:ascii="Arial" w:hAnsi="Arial"/>
                <w:b w:val="0"/>
                <w:sz w:val="18"/>
              </w:rPr>
              <w:t>Recalculation creates a new execution rather than overwriting the previous result.</w:t>
            </w:r>
          </w:p>
        </w:tc>
      </w:tr>
    </w:tbl>
    <w:p/>
    <w:p>
      <w:r>
        <w:t>Each test must define the complete input snapshot, active version, expected component output, expected final effect, and expected audit records. Boundary and regression cases are mandatory before a knowledge release is activated.</w:t>
      </w:r>
    </w:p>
    <w:p>
      <w:pPr>
        <w:pStyle w:val="Heading1"/>
      </w:pPr>
      <w:r>
        <w:t>12.0 Acceptance Criteria</w:t>
      </w:r>
    </w:p>
    <w:p>
      <w:pPr>
        <w:pStyle w:val="ListBullet"/>
      </w:pPr>
      <w:r>
        <w:t>The component's inputs, outputs, and failure states are structured and documented.</w:t>
      </w:r>
    </w:p>
    <w:p>
      <w:pPr>
        <w:pStyle w:val="ListBullet"/>
      </w:pPr>
      <w:r>
        <w:t>Every result is traceable to exact patient-specific evidence and active versioned logic.</w:t>
      </w:r>
    </w:p>
    <w:p>
      <w:pPr>
        <w:pStyle w:val="ListBullet"/>
      </w:pPr>
      <w:r>
        <w:t>Missing or uncertain information is never silently converted into a negative finding.</w:t>
      </w:r>
    </w:p>
    <w:p>
      <w:pPr>
        <w:pStyle w:val="ListBullet"/>
      </w:pPr>
      <w:r>
        <w:t>Emergency and deterministic safety precedence are preserved.</w:t>
      </w:r>
    </w:p>
    <w:p>
      <w:pPr>
        <w:pStyle w:val="ListBullet"/>
      </w:pPr>
      <w:r>
        <w:t>The component can be tested independently from controllers and user-interface code.</w:t>
      </w:r>
    </w:p>
    <w:p>
      <w:pPr>
        <w:pStyle w:val="ListBullet"/>
      </w:pPr>
      <w:r>
        <w:t>Historical executions remain reproducible after future updates.</w:t>
      </w:r>
    </w:p>
    <w:p>
      <w:pPr>
        <w:pStyle w:val="ListBullet"/>
      </w:pPr>
      <w:r>
        <w:t>Clinician-facing wording stays within the intended lying-in clinic scope.</w:t>
      </w:r>
    </w:p>
    <w:p>
      <w:pPr>
        <w:pStyle w:val="ListBullet"/>
      </w:pPr>
      <w:r>
        <w:t>Qualified clinical and technical reviewers approve the implementation before real patient use.</w:t>
      </w:r>
    </w:p>
    <w:p>
      <w:pPr>
        <w:pStyle w:val="Heading1"/>
      </w:pPr>
      <w:r>
        <w:t>13.0 Implementation Notes and Prohibited Shortcuts</w:t>
      </w:r>
    </w:p>
    <w:p>
      <w:pPr>
        <w:pStyle w:val="ListBullet"/>
      </w:pPr>
      <w:r>
        <w:t>Do not store only a final color badge or label.</w:t>
      </w:r>
    </w:p>
    <w:p>
      <w:pPr>
        <w:pStyle w:val="ListBullet"/>
      </w:pPr>
      <w:r>
        <w:t>Do not place undocumented thresholds directly inside controllers or Blade templates.</w:t>
      </w:r>
    </w:p>
    <w:p>
      <w:pPr>
        <w:pStyle w:val="ListBullet"/>
      </w:pPr>
      <w:r>
        <w:t>Do not interpret blank, false, zero, unknown, and not applicable as interchangeable values.</w:t>
      </w:r>
    </w:p>
    <w:p>
      <w:pPr>
        <w:pStyle w:val="ListBullet"/>
      </w:pPr>
      <w:r>
        <w:t>Do not silently modify published clinical rules or historical results.</w:t>
      </w:r>
    </w:p>
    <w:p>
      <w:pPr>
        <w:pStyle w:val="ListBullet"/>
      </w:pPr>
      <w:r>
        <w:t>Do not allow ML output to suppress rule-based HIGH or emergency findings.</w:t>
      </w:r>
    </w:p>
    <w:p>
      <w:pPr>
        <w:pStyle w:val="ListBullet"/>
      </w:pPr>
      <w:r>
        <w:t>Do not claim diagnosis, treatment, or referral completion when the system only generated advice.</w:t>
      </w:r>
    </w:p>
    <w:p>
      <w:pPr>
        <w:pStyle w:val="ListBullet"/>
      </w:pPr>
      <w:r>
        <w:t>Do not use records from a previous delivered pregnancy for a new active pregnancy.</w:t>
      </w:r>
    </w:p>
    <w:p>
      <w:pPr>
        <w:pStyle w:val="Heading1"/>
      </w:pPr>
      <w:r>
        <w:t>14.0 Transition to the Next Part</w:t>
      </w:r>
    </w:p>
    <w:p>
      <w:r>
        <w:t>Part 2 operationalizes the first mandatory reasoning stage: validating whether the patient information is sufficiently complete, consistent, plausible, timely, and trustworthy for further processing.</w:t>
      </w:r>
    </w:p>
    <w:p>
      <w:pPr>
        <w:pStyle w:val="Heading1"/>
      </w:pPr>
      <w:r>
        <w:t>References</w:t>
      </w:r>
    </w:p>
    <w:p>
      <w:pPr>
        <w:pStyle w:val="ListNumber"/>
      </w:pPr>
      <w:r>
        <w:t>World Health Organization. SMART Guidelines. Standards-based, Machine-readable, Adaptive, Requirements-based, and Testable digital health guidance.</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WHO recommendations on antenatal care for a positive pregnancy experience. Geneva: WHO; 2016, with subsequent topic updates.</w:t>
      </w:r>
    </w:p>
    <w:p>
      <w:pPr>
        <w:pStyle w:val="ListNumber"/>
      </w:pPr>
      <w:r>
        <w:t>World Health Organization. Toolkit for adaptation of the WHO recommendations for a positive pregnancy and postnatal experience. Geneva: WHO; 2025.</w:t>
      </w:r>
    </w:p>
    <w:p>
      <w:pPr>
        <w:pStyle w:val="ListNumber"/>
      </w:pPr>
      <w:r>
        <w:t>U.S. Food and Drug Administration. Clinical Decision Support Software: Guidance for Industry and Food and Drug Administration Staff. Final guidance, January 2026.</w:t>
      </w:r>
    </w:p>
    <w:p>
      <w:pPr>
        <w:pStyle w:val="ListNumber"/>
      </w:pPr>
      <w:r>
        <w:t>HL7 International. FHIR Clinical Reasoning module and versioned knowledge-artifact resources. Used as an interoperability design reference, subject to local validation.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1 | Decision Engine Philosophy and System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