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DOCUMENT 2</w:t>
      </w:r>
    </w:p>
    <w:p>
      <w:pPr>
        <w:jc w:val="center"/>
      </w:pPr>
      <w:r>
        <w:rPr>
          <w:rFonts w:ascii="Arial" w:hAnsi="Arial"/>
          <w:b/>
          <w:sz w:val="44"/>
        </w:rPr>
        <w:t>Clinical Decision Support Decision Engine Specification</w:t>
      </w:r>
    </w:p>
    <w:p>
      <w:pPr>
        <w:jc w:val="center"/>
      </w:pPr>
      <w:r>
        <w:rPr>
          <w:rFonts w:ascii="Arial" w:hAnsi="Arial"/>
          <w:b/>
          <w:sz w:val="31"/>
        </w:rPr>
        <w:t>Part 6 - Emergency Override Engine</w:t>
      </w:r>
    </w:p>
    <w:p/>
    <w:p>
      <w:pPr>
        <w:jc w:val="center"/>
      </w:pPr>
      <w:r>
        <w:rPr>
          <w:rFonts w:ascii="Arial" w:hAnsi="Arial"/>
          <w:sz w:val="24"/>
        </w:rPr>
        <w:t>Development of an Explainable Clinical Decision Support System</w:t>
      </w:r>
    </w:p>
    <w:p>
      <w:pPr>
        <w:jc w:val="center"/>
      </w:pPr>
      <w:r>
        <w:rPr>
          <w:rFonts w:ascii="Arial" w:hAnsi="Arial"/>
          <w:sz w:val="24"/>
        </w:rPr>
        <w:t>for a Web-Based Maternity Management System</w:t>
      </w:r>
    </w:p>
    <w:p>
      <w:pPr>
        <w:jc w:val="center"/>
      </w:pPr>
      <w:r>
        <w:rPr>
          <w:rFonts w:ascii="Arial" w:hAnsi="Arial"/>
          <w:sz w:val="24"/>
        </w:rPr>
        <w:t>in a Philippine Lying-in Clinic</w:t>
      </w:r>
    </w:p>
    <w:p/>
    <w:p>
      <w:pPr>
        <w:jc w:val="center"/>
      </w:pPr>
      <w:r>
        <w:rPr>
          <w:i/>
        </w:rPr>
        <w:t>Version 2.0 - Expanded and Harmonized Research Draft</w:t>
      </w:r>
    </w:p>
    <w:p>
      <w:pPr>
        <w:jc w:val="center"/>
      </w:pPr>
      <w:r>
        <w:rPr>
          <w:i/>
        </w:rPr>
        <w:t>July 2026</w:t>
      </w:r>
    </w:p>
    <w:p>
      <w:r>
        <w:br w:type="page"/>
      </w:r>
    </w:p>
    <w:p>
      <w:pPr>
        <w:pStyle w:val="Heading1"/>
      </w:pPr>
      <w:r>
        <w:t>Clinical Safety Statement</w:t>
      </w:r>
    </w:p>
    <w:p>
      <w:r>
        <w:t>The Emergency Override Engine is a safety interruption mechanism. It identifies predefined urgent indicators and prioritizes escalation or referral support. It does not diagnose the cause, provide definitive treatment, or guarantee emergency service availability.</w:t>
      </w:r>
    </w:p>
    <w:p>
      <w:r>
        <w:t>This specification must be reviewed against applicable Philippine professional, institutional, privacy, records-management, referral, and health-service requirements before real clinical deployment.</w:t>
      </w:r>
    </w:p>
    <w:p>
      <w:pPr>
        <w:pStyle w:val="Heading1"/>
      </w:pPr>
      <w:r>
        <w:t>Document Status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Item</w:t>
            </w:r>
          </w:p>
        </w:tc>
        <w:tc>
          <w:tcPr>
            <w:tcW w:type="dxa" w:w="4939"/>
            <w:shd w:fill="D9EAF7"/>
          </w:tcPr>
          <w:p>
            <w:pPr>
              <w:spacing w:after="0"/>
            </w:pPr>
            <w:r/>
            <w:r>
              <w:rPr>
                <w:rFonts w:ascii="Arial" w:hAnsi="Arial"/>
                <w:b/>
                <w:sz w:val="18"/>
              </w:rPr>
              <w:t>Description</w:t>
            </w:r>
          </w:p>
        </w:tc>
      </w:tr>
      <w:tr>
        <w:tc>
          <w:tcPr>
            <w:tcW w:type="dxa" w:w="4939"/>
            <w:vAlign w:val="top"/>
          </w:tcPr>
          <w:p>
            <w:pPr>
              <w:spacing w:after="0"/>
            </w:pPr>
            <w:r/>
            <w:r>
              <w:rPr>
                <w:rFonts w:ascii="Arial" w:hAnsi="Arial"/>
                <w:b w:val="0"/>
                <w:sz w:val="18"/>
              </w:rPr>
              <w:t>Document</w:t>
            </w:r>
          </w:p>
        </w:tc>
        <w:tc>
          <w:tcPr>
            <w:tcW w:type="dxa" w:w="4939"/>
            <w:vAlign w:val="top"/>
          </w:tcPr>
          <w:p>
            <w:pPr>
              <w:spacing w:after="0"/>
            </w:pPr>
            <w:r/>
            <w:r>
              <w:rPr>
                <w:rFonts w:ascii="Arial" w:hAnsi="Arial"/>
                <w:b w:val="0"/>
                <w:sz w:val="18"/>
              </w:rPr>
              <w:t>Document 2 - Clinical Decision Support Decision Engine Specification</w:t>
            </w:r>
          </w:p>
        </w:tc>
      </w:tr>
      <w:tr>
        <w:tc>
          <w:tcPr>
            <w:tcW w:type="dxa" w:w="4939"/>
            <w:vAlign w:val="top"/>
          </w:tcPr>
          <w:p>
            <w:pPr>
              <w:spacing w:after="0"/>
            </w:pPr>
            <w:r/>
            <w:r>
              <w:rPr>
                <w:rFonts w:ascii="Arial" w:hAnsi="Arial"/>
                <w:b w:val="0"/>
                <w:sz w:val="18"/>
              </w:rPr>
              <w:t>Part</w:t>
            </w:r>
          </w:p>
        </w:tc>
        <w:tc>
          <w:tcPr>
            <w:tcW w:type="dxa" w:w="4939"/>
            <w:vAlign w:val="top"/>
          </w:tcPr>
          <w:p>
            <w:pPr>
              <w:spacing w:after="0"/>
            </w:pPr>
            <w:r/>
            <w:r>
              <w:rPr>
                <w:rFonts w:ascii="Arial" w:hAnsi="Arial"/>
                <w:b w:val="0"/>
                <w:sz w:val="18"/>
              </w:rPr>
              <w:t>Part 6 of 12</w:t>
            </w:r>
          </w:p>
        </w:tc>
      </w:tr>
      <w:tr>
        <w:tc>
          <w:tcPr>
            <w:tcW w:type="dxa" w:w="4939"/>
            <w:vAlign w:val="top"/>
          </w:tcPr>
          <w:p>
            <w:pPr>
              <w:spacing w:after="0"/>
            </w:pPr>
            <w:r/>
            <w:r>
              <w:rPr>
                <w:rFonts w:ascii="Arial" w:hAnsi="Arial"/>
                <w:b w:val="0"/>
                <w:sz w:val="18"/>
              </w:rPr>
              <w:t>Title</w:t>
            </w:r>
          </w:p>
        </w:tc>
        <w:tc>
          <w:tcPr>
            <w:tcW w:type="dxa" w:w="4939"/>
            <w:vAlign w:val="top"/>
          </w:tcPr>
          <w:p>
            <w:pPr>
              <w:spacing w:after="0"/>
            </w:pPr>
            <w:r/>
            <w:r>
              <w:rPr>
                <w:rFonts w:ascii="Arial" w:hAnsi="Arial"/>
                <w:b w:val="0"/>
                <w:sz w:val="18"/>
              </w:rPr>
              <w:t>Emergency Override Engine</w:t>
            </w:r>
          </w:p>
        </w:tc>
      </w:tr>
      <w:tr>
        <w:tc>
          <w:tcPr>
            <w:tcW w:type="dxa" w:w="4939"/>
            <w:vAlign w:val="top"/>
          </w:tcPr>
          <w:p>
            <w:pPr>
              <w:spacing w:after="0"/>
            </w:pPr>
            <w:r/>
            <w:r>
              <w:rPr>
                <w:rFonts w:ascii="Arial" w:hAnsi="Arial"/>
                <w:b w:val="0"/>
                <w:sz w:val="18"/>
              </w:rPr>
              <w:t>Purpose</w:t>
            </w:r>
          </w:p>
        </w:tc>
        <w:tc>
          <w:tcPr>
            <w:tcW w:type="dxa" w:w="4939"/>
            <w:vAlign w:val="top"/>
          </w:tcPr>
          <w:p>
            <w:pPr>
              <w:spacing w:after="0"/>
            </w:pPr>
            <w:r/>
            <w:r>
              <w:rPr>
                <w:rFonts w:ascii="Arial" w:hAnsi="Arial"/>
                <w:b w:val="0"/>
                <w:sz w:val="18"/>
              </w:rPr>
              <w:t>Expanded architecture specification harmonized with Parts 10-12.</w:t>
            </w:r>
          </w:p>
        </w:tc>
      </w:tr>
      <w:tr>
        <w:tc>
          <w:tcPr>
            <w:tcW w:type="dxa" w:w="4939"/>
            <w:vAlign w:val="top"/>
          </w:tcPr>
          <w:p>
            <w:pPr>
              <w:spacing w:after="0"/>
            </w:pPr>
            <w:r/>
            <w:r>
              <w:rPr>
                <w:rFonts w:ascii="Arial" w:hAnsi="Arial"/>
                <w:b w:val="0"/>
                <w:sz w:val="18"/>
              </w:rPr>
              <w:t>Depends on</w:t>
            </w:r>
          </w:p>
        </w:tc>
        <w:tc>
          <w:tcPr>
            <w:tcW w:type="dxa" w:w="4939"/>
            <w:vAlign w:val="top"/>
          </w:tcPr>
          <w:p>
            <w:pPr>
              <w:spacing w:after="0"/>
            </w:pPr>
            <w:r/>
            <w:r>
              <w:rPr>
                <w:rFonts w:ascii="Arial" w:hAnsi="Arial"/>
                <w:b w:val="0"/>
                <w:sz w:val="18"/>
              </w:rPr>
              <w:t>Document 0, Document 1, and preceding Document 2 parts where applicable.</w:t>
            </w:r>
          </w:p>
        </w:tc>
      </w:tr>
      <w:tr>
        <w:tc>
          <w:tcPr>
            <w:tcW w:type="dxa" w:w="4939"/>
            <w:vAlign w:val="top"/>
          </w:tcPr>
          <w:p>
            <w:pPr>
              <w:spacing w:after="0"/>
            </w:pPr>
            <w:r/>
            <w:r>
              <w:rPr>
                <w:rFonts w:ascii="Arial" w:hAnsi="Arial"/>
                <w:b w:val="0"/>
                <w:sz w:val="18"/>
              </w:rPr>
              <w:t>Feeds into</w:t>
            </w:r>
          </w:p>
        </w:tc>
        <w:tc>
          <w:tcPr>
            <w:tcW w:type="dxa" w:w="4939"/>
            <w:vAlign w:val="top"/>
          </w:tcPr>
          <w:p>
            <w:pPr>
              <w:spacing w:after="0"/>
            </w:pPr>
            <w:r/>
            <w:r>
              <w:rPr>
                <w:rFonts w:ascii="Arial" w:hAnsi="Arial"/>
                <w:b w:val="0"/>
                <w:sz w:val="18"/>
              </w:rPr>
              <w:t>Document 2 Part 7</w:t>
            </w:r>
          </w:p>
        </w:tc>
      </w:tr>
      <w:tr>
        <w:tc>
          <w:tcPr>
            <w:tcW w:type="dxa" w:w="4939"/>
            <w:vAlign w:val="top"/>
          </w:tcPr>
          <w:p>
            <w:pPr>
              <w:spacing w:after="0"/>
            </w:pPr>
            <w:r/>
            <w:r>
              <w:rPr>
                <w:rFonts w:ascii="Arial" w:hAnsi="Arial"/>
                <w:b w:val="0"/>
                <w:sz w:val="18"/>
              </w:rPr>
              <w:t>Status</w:t>
            </w:r>
          </w:p>
        </w:tc>
        <w:tc>
          <w:tcPr>
            <w:tcW w:type="dxa" w:w="4939"/>
            <w:vAlign w:val="top"/>
          </w:tcPr>
          <w:p>
            <w:pPr>
              <w:spacing w:after="0"/>
            </w:pPr>
            <w:r/>
            <w:r>
              <w:rPr>
                <w:rFonts w:ascii="Arial" w:hAnsi="Arial"/>
                <w:b w:val="0"/>
                <w:sz w:val="18"/>
              </w:rPr>
              <w:t>Research and architecture draft; not production authorization.</w:t>
            </w:r>
          </w:p>
        </w:tc>
      </w:tr>
    </w:tbl>
    <w:p/>
    <w:p>
      <w:pPr>
        <w:pStyle w:val="Heading1"/>
      </w:pPr>
      <w:r>
        <w:t>Executive Architecture Decision</w:t>
      </w:r>
    </w:p>
    <w:p>
      <w:r>
        <w:t>Emergency screening shall occur before routine reasoning when sufficient raw validated evidence is available and again after rule, interaction, and conflict processing. An emergency trigger supersedes routine recommendation ordering but does not delete other findings or limitations.</w:t>
      </w:r>
    </w:p>
    <w:p>
      <w:pPr>
        <w:pStyle w:val="Heading1"/>
      </w:pPr>
      <w:r>
        <w:t>1.0 Purpose and Scope</w:t>
      </w:r>
    </w:p>
    <w:p>
      <w:r>
        <w:t>This part defines the Emergency Override Engine as a formal component of the complete Decision Engine.</w:t>
      </w:r>
    </w:p>
    <w:p>
      <w:pPr>
        <w:pStyle w:val="ListNumber"/>
      </w:pPr>
      <w:r>
        <w:t>Detect approved emergency indicators as early as safely possible.</w:t>
      </w:r>
    </w:p>
    <w:p>
      <w:pPr>
        <w:pStyle w:val="ListNumber"/>
      </w:pPr>
      <w:r>
        <w:t>Interrupt routine classification and recommendation ordering.</w:t>
      </w:r>
    </w:p>
    <w:p>
      <w:pPr>
        <w:pStyle w:val="ListNumber"/>
      </w:pPr>
      <w:r>
        <w:t>Generate prominent, scope-aware escalation guidance.</w:t>
      </w:r>
    </w:p>
    <w:p>
      <w:pPr>
        <w:pStyle w:val="ListNumber"/>
      </w:pPr>
      <w:r>
        <w:t>Preserve the trigger, source evidence, rule version, and timing.</w:t>
      </w:r>
    </w:p>
    <w:p>
      <w:pPr>
        <w:pStyle w:val="ListNumber"/>
      </w:pPr>
      <w:r>
        <w:t>Support documentation of referral, transfer, refusal, or alternative action.</w:t>
      </w:r>
    </w:p>
    <w:p>
      <w:pPr>
        <w:pStyle w:val="Heading1"/>
      </w:pPr>
      <w:r>
        <w:t>2.0 Architectural Foundations</w:t>
      </w:r>
    </w:p>
    <w:p>
      <w:r>
        <w:t>The component follows a software-neutral translation approach: clinical meaning is documented first, then implemented through governed software services. It supports the WHO SMART Guidelines direction of standards-based, machine-readable, adaptive, requirements-based, and testable digital health content.</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Principle</w:t>
            </w:r>
          </w:p>
        </w:tc>
        <w:tc>
          <w:tcPr>
            <w:tcW w:type="dxa" w:w="4939"/>
            <w:shd w:fill="D9EAF7"/>
          </w:tcPr>
          <w:p>
            <w:pPr>
              <w:spacing w:after="0"/>
            </w:pPr>
            <w:r/>
            <w:r>
              <w:rPr>
                <w:rFonts w:ascii="Arial" w:hAnsi="Arial"/>
                <w:b/>
                <w:sz w:val="18"/>
              </w:rPr>
              <w:t>Required behavior</w:t>
            </w:r>
          </w:p>
        </w:tc>
      </w:tr>
      <w:tr>
        <w:tc>
          <w:tcPr>
            <w:tcW w:type="dxa" w:w="4939"/>
            <w:vAlign w:val="top"/>
          </w:tcPr>
          <w:p>
            <w:pPr>
              <w:spacing w:after="0"/>
            </w:pPr>
            <w:r/>
            <w:r>
              <w:rPr>
                <w:rFonts w:ascii="Arial" w:hAnsi="Arial"/>
                <w:b w:val="0"/>
                <w:sz w:val="18"/>
              </w:rPr>
              <w:t>Immediate precedence</w:t>
            </w:r>
          </w:p>
        </w:tc>
        <w:tc>
          <w:tcPr>
            <w:tcW w:type="dxa" w:w="4939"/>
            <w:vAlign w:val="top"/>
          </w:tcPr>
          <w:p>
            <w:pPr>
              <w:spacing w:after="0"/>
            </w:pPr>
            <w:r/>
            <w:r>
              <w:rPr>
                <w:rFonts w:ascii="Arial" w:hAnsi="Arial"/>
                <w:b w:val="0"/>
                <w:sz w:val="18"/>
              </w:rPr>
              <w:t>Emergency indicators are processed before routine convenience.</w:t>
            </w:r>
          </w:p>
        </w:tc>
      </w:tr>
      <w:tr>
        <w:tc>
          <w:tcPr>
            <w:tcW w:type="dxa" w:w="4939"/>
            <w:vAlign w:val="top"/>
          </w:tcPr>
          <w:p>
            <w:pPr>
              <w:spacing w:after="0"/>
            </w:pPr>
            <w:r/>
            <w:r>
              <w:rPr>
                <w:rFonts w:ascii="Arial" w:hAnsi="Arial"/>
                <w:b w:val="0"/>
                <w:sz w:val="18"/>
              </w:rPr>
              <w:t>Two-stage screening</w:t>
            </w:r>
          </w:p>
        </w:tc>
        <w:tc>
          <w:tcPr>
            <w:tcW w:type="dxa" w:w="4939"/>
            <w:vAlign w:val="top"/>
          </w:tcPr>
          <w:p>
            <w:pPr>
              <w:spacing w:after="0"/>
            </w:pPr>
            <w:r/>
            <w:r>
              <w:rPr>
                <w:rFonts w:ascii="Arial" w:hAnsi="Arial"/>
                <w:b w:val="0"/>
                <w:sz w:val="18"/>
              </w:rPr>
              <w:t>Early raw-evidence screening and final processed-evidence review reduce missed escalation.</w:t>
            </w:r>
          </w:p>
        </w:tc>
      </w:tr>
      <w:tr>
        <w:tc>
          <w:tcPr>
            <w:tcW w:type="dxa" w:w="4939"/>
            <w:vAlign w:val="top"/>
          </w:tcPr>
          <w:p>
            <w:pPr>
              <w:spacing w:after="0"/>
            </w:pPr>
            <w:r/>
            <w:r>
              <w:rPr>
                <w:rFonts w:ascii="Arial" w:hAnsi="Arial"/>
                <w:b w:val="0"/>
                <w:sz w:val="18"/>
              </w:rPr>
              <w:t>No diagnosis</w:t>
            </w:r>
          </w:p>
        </w:tc>
        <w:tc>
          <w:tcPr>
            <w:tcW w:type="dxa" w:w="4939"/>
            <w:vAlign w:val="top"/>
          </w:tcPr>
          <w:p>
            <w:pPr>
              <w:spacing w:after="0"/>
            </w:pPr>
            <w:r/>
            <w:r>
              <w:rPr>
                <w:rFonts w:ascii="Arial" w:hAnsi="Arial"/>
                <w:b w:val="0"/>
                <w:sz w:val="18"/>
              </w:rPr>
              <w:t>The engine communicates concern and action priority, not a definitive condition.</w:t>
            </w:r>
          </w:p>
        </w:tc>
      </w:tr>
      <w:tr>
        <w:tc>
          <w:tcPr>
            <w:tcW w:type="dxa" w:w="4939"/>
            <w:vAlign w:val="top"/>
          </w:tcPr>
          <w:p>
            <w:pPr>
              <w:spacing w:after="0"/>
            </w:pPr>
            <w:r/>
            <w:r>
              <w:rPr>
                <w:rFonts w:ascii="Arial" w:hAnsi="Arial"/>
                <w:b w:val="0"/>
                <w:sz w:val="18"/>
              </w:rPr>
              <w:t>Do not wait for completeness</w:t>
            </w:r>
          </w:p>
        </w:tc>
        <w:tc>
          <w:tcPr>
            <w:tcW w:type="dxa" w:w="4939"/>
            <w:vAlign w:val="top"/>
          </w:tcPr>
          <w:p>
            <w:pPr>
              <w:spacing w:after="0"/>
            </w:pPr>
            <w:r/>
            <w:r>
              <w:rPr>
                <w:rFonts w:ascii="Arial" w:hAnsi="Arial"/>
                <w:b w:val="0"/>
                <w:sz w:val="18"/>
              </w:rPr>
              <w:t>A valid emergency indicator may require action despite unrelated missing records.</w:t>
            </w:r>
          </w:p>
        </w:tc>
      </w:tr>
      <w:tr>
        <w:tc>
          <w:tcPr>
            <w:tcW w:type="dxa" w:w="4939"/>
            <w:vAlign w:val="top"/>
          </w:tcPr>
          <w:p>
            <w:pPr>
              <w:spacing w:after="0"/>
            </w:pPr>
            <w:r/>
            <w:r>
              <w:rPr>
                <w:rFonts w:ascii="Arial" w:hAnsi="Arial"/>
                <w:b w:val="0"/>
                <w:sz w:val="18"/>
              </w:rPr>
              <w:t>Visible uncertainty</w:t>
            </w:r>
          </w:p>
        </w:tc>
        <w:tc>
          <w:tcPr>
            <w:tcW w:type="dxa" w:w="4939"/>
            <w:vAlign w:val="top"/>
          </w:tcPr>
          <w:p>
            <w:pPr>
              <w:spacing w:after="0"/>
            </w:pPr>
            <w:r/>
            <w:r>
              <w:rPr>
                <w:rFonts w:ascii="Arial" w:hAnsi="Arial"/>
                <w:b w:val="0"/>
                <w:sz w:val="18"/>
              </w:rPr>
              <w:t>Incomplete or conflicting evidence remains disclosed.</w:t>
            </w:r>
          </w:p>
        </w:tc>
      </w:tr>
      <w:tr>
        <w:tc>
          <w:tcPr>
            <w:tcW w:type="dxa" w:w="4939"/>
            <w:vAlign w:val="top"/>
          </w:tcPr>
          <w:p>
            <w:pPr>
              <w:spacing w:after="0"/>
            </w:pPr>
            <w:r/>
            <w:r>
              <w:rPr>
                <w:rFonts w:ascii="Arial" w:hAnsi="Arial"/>
                <w:b w:val="0"/>
                <w:sz w:val="18"/>
              </w:rPr>
              <w:t>Human action required</w:t>
            </w:r>
          </w:p>
        </w:tc>
        <w:tc>
          <w:tcPr>
            <w:tcW w:type="dxa" w:w="4939"/>
            <w:vAlign w:val="top"/>
          </w:tcPr>
          <w:p>
            <w:pPr>
              <w:spacing w:after="0"/>
            </w:pPr>
            <w:r/>
            <w:r>
              <w:rPr>
                <w:rFonts w:ascii="Arial" w:hAnsi="Arial"/>
                <w:b w:val="0"/>
                <w:sz w:val="18"/>
              </w:rPr>
              <w:t>The system supports escalation; authorized personnel execute the real-world response.</w:t>
            </w:r>
          </w:p>
        </w:tc>
      </w:tr>
    </w:tbl>
    <w:p/>
    <w:p>
      <w:pPr>
        <w:pStyle w:val="Heading1"/>
      </w:pPr>
      <w:r>
        <w:t>3.0 Inputs and Preconditions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Input group</w:t>
            </w:r>
          </w:p>
        </w:tc>
        <w:tc>
          <w:tcPr>
            <w:tcW w:type="dxa" w:w="4939"/>
            <w:shd w:fill="D9EAF7"/>
          </w:tcPr>
          <w:p>
            <w:pPr>
              <w:spacing w:after="0"/>
            </w:pPr>
            <w:r/>
            <w:r>
              <w:rPr>
                <w:rFonts w:ascii="Arial" w:hAnsi="Arial"/>
                <w:b/>
                <w:sz w:val="18"/>
              </w:rPr>
              <w:t>Required contents</w:t>
            </w:r>
          </w:p>
        </w:tc>
      </w:tr>
      <w:tr>
        <w:tc>
          <w:tcPr>
            <w:tcW w:type="dxa" w:w="4939"/>
            <w:vAlign w:val="top"/>
          </w:tcPr>
          <w:p>
            <w:pPr>
              <w:spacing w:after="0"/>
            </w:pPr>
            <w:r/>
            <w:r>
              <w:rPr>
                <w:rFonts w:ascii="Arial" w:hAnsi="Arial"/>
                <w:b w:val="0"/>
                <w:sz w:val="18"/>
              </w:rPr>
              <w:t>Validated urgent observations</w:t>
            </w:r>
          </w:p>
        </w:tc>
        <w:tc>
          <w:tcPr>
            <w:tcW w:type="dxa" w:w="4939"/>
            <w:vAlign w:val="top"/>
          </w:tcPr>
          <w:p>
            <w:pPr>
              <w:spacing w:after="0"/>
            </w:pPr>
            <w:r/>
            <w:r>
              <w:rPr>
                <w:rFonts w:ascii="Arial" w:hAnsi="Arial"/>
                <w:b w:val="0"/>
                <w:sz w:val="18"/>
              </w:rPr>
              <w:t>Severe blood pressure or other approved warning values.</w:t>
            </w:r>
          </w:p>
        </w:tc>
      </w:tr>
      <w:tr>
        <w:tc>
          <w:tcPr>
            <w:tcW w:type="dxa" w:w="4939"/>
            <w:vAlign w:val="top"/>
          </w:tcPr>
          <w:p>
            <w:pPr>
              <w:spacing w:after="0"/>
            </w:pPr>
            <w:r/>
            <w:r>
              <w:rPr>
                <w:rFonts w:ascii="Arial" w:hAnsi="Arial"/>
                <w:b w:val="0"/>
                <w:sz w:val="18"/>
              </w:rPr>
              <w:t>Emergency rule results</w:t>
            </w:r>
          </w:p>
        </w:tc>
        <w:tc>
          <w:tcPr>
            <w:tcW w:type="dxa" w:w="4939"/>
            <w:vAlign w:val="top"/>
          </w:tcPr>
          <w:p>
            <w:pPr>
              <w:spacing w:after="0"/>
            </w:pPr>
            <w:r/>
            <w:r>
              <w:rPr>
                <w:rFonts w:ascii="Arial" w:hAnsi="Arial"/>
                <w:b w:val="0"/>
                <w:sz w:val="18"/>
              </w:rPr>
              <w:t>Triggered urgent rules with evidence links.</w:t>
            </w:r>
          </w:p>
        </w:tc>
      </w:tr>
      <w:tr>
        <w:tc>
          <w:tcPr>
            <w:tcW w:type="dxa" w:w="4939"/>
            <w:vAlign w:val="top"/>
          </w:tcPr>
          <w:p>
            <w:pPr>
              <w:spacing w:after="0"/>
            </w:pPr>
            <w:r/>
            <w:r>
              <w:rPr>
                <w:rFonts w:ascii="Arial" w:hAnsi="Arial"/>
                <w:b w:val="0"/>
                <w:sz w:val="18"/>
              </w:rPr>
              <w:t>Interaction findings</w:t>
            </w:r>
          </w:p>
        </w:tc>
        <w:tc>
          <w:tcPr>
            <w:tcW w:type="dxa" w:w="4939"/>
            <w:vAlign w:val="top"/>
          </w:tcPr>
          <w:p>
            <w:pPr>
              <w:spacing w:after="0"/>
            </w:pPr>
            <w:r/>
            <w:r>
              <w:rPr>
                <w:rFonts w:ascii="Arial" w:hAnsi="Arial"/>
                <w:b w:val="0"/>
                <w:sz w:val="18"/>
              </w:rPr>
              <w:t>Approved combinations that elevate urgency.</w:t>
            </w:r>
          </w:p>
        </w:tc>
      </w:tr>
      <w:tr>
        <w:tc>
          <w:tcPr>
            <w:tcW w:type="dxa" w:w="4939"/>
            <w:vAlign w:val="top"/>
          </w:tcPr>
          <w:p>
            <w:pPr>
              <w:spacing w:after="0"/>
            </w:pPr>
            <w:r/>
            <w:r>
              <w:rPr>
                <w:rFonts w:ascii="Arial" w:hAnsi="Arial"/>
                <w:b w:val="0"/>
                <w:sz w:val="18"/>
              </w:rPr>
              <w:t>Conflict results</w:t>
            </w:r>
          </w:p>
        </w:tc>
        <w:tc>
          <w:tcPr>
            <w:tcW w:type="dxa" w:w="4939"/>
            <w:vAlign w:val="top"/>
          </w:tcPr>
          <w:p>
            <w:pPr>
              <w:spacing w:after="0"/>
            </w:pPr>
            <w:r/>
            <w:r>
              <w:rPr>
                <w:rFonts w:ascii="Arial" w:hAnsi="Arial"/>
                <w:b w:val="0"/>
                <w:sz w:val="18"/>
              </w:rPr>
              <w:t>Resolved or unresolved evidence affecting emergency interpretation.</w:t>
            </w:r>
          </w:p>
        </w:tc>
      </w:tr>
      <w:tr>
        <w:tc>
          <w:tcPr>
            <w:tcW w:type="dxa" w:w="4939"/>
            <w:vAlign w:val="top"/>
          </w:tcPr>
          <w:p>
            <w:pPr>
              <w:spacing w:after="0"/>
            </w:pPr>
            <w:r/>
            <w:r>
              <w:rPr>
                <w:rFonts w:ascii="Arial" w:hAnsi="Arial"/>
                <w:b w:val="0"/>
                <w:sz w:val="18"/>
              </w:rPr>
              <w:t>Clinic emergency policy</w:t>
            </w:r>
          </w:p>
        </w:tc>
        <w:tc>
          <w:tcPr>
            <w:tcW w:type="dxa" w:w="4939"/>
            <w:vAlign w:val="top"/>
          </w:tcPr>
          <w:p>
            <w:pPr>
              <w:spacing w:after="0"/>
            </w:pPr>
            <w:r/>
            <w:r>
              <w:rPr>
                <w:rFonts w:ascii="Arial" w:hAnsi="Arial"/>
                <w:b w:val="0"/>
                <w:sz w:val="18"/>
              </w:rPr>
              <w:t>Referral destination, communication pathway, and authorized wording.</w:t>
            </w:r>
          </w:p>
        </w:tc>
      </w:tr>
    </w:tbl>
    <w:p/>
    <w:p>
      <w:r>
        <w:t>All inputs must retain source identifiers, patient and pregnancy context, relevant timestamps, validation status, and the active knowledge or policy version.</w:t>
      </w:r>
    </w:p>
    <w:p>
      <w:pPr>
        <w:pStyle w:val="Heading1"/>
      </w:pPr>
      <w:r>
        <w:t>4.0 Internal Processing Workflow</w:t>
      </w:r>
    </w:p>
    <w:p>
      <w:pPr>
        <w:pStyle w:val="ListNumber"/>
      </w:pPr>
      <w:r>
        <w:t>Perform early screening on available validated emergency fields.</w:t>
      </w:r>
    </w:p>
    <w:p>
      <w:pPr>
        <w:pStyle w:val="ListNumber"/>
      </w:pPr>
      <w:r>
        <w:t>If triggered, set emergency-priority state and record the interruption point.</w:t>
      </w:r>
    </w:p>
    <w:p>
      <w:pPr>
        <w:pStyle w:val="ListNumber"/>
      </w:pPr>
      <w:r>
        <w:t>Continue only the minimum processing needed to produce a safe explanation and provenance package.</w:t>
      </w:r>
    </w:p>
    <w:p>
      <w:pPr>
        <w:pStyle w:val="ListNumber"/>
      </w:pPr>
      <w:r>
        <w:t>If not triggered early, continue normal rule and interaction processing.</w:t>
      </w:r>
    </w:p>
    <w:p>
      <w:pPr>
        <w:pStyle w:val="ListNumber"/>
      </w:pPr>
      <w:r>
        <w:t>Perform final emergency review over all processed findings.</w:t>
      </w:r>
    </w:p>
    <w:p>
      <w:pPr>
        <w:pStyle w:val="ListNumber"/>
      </w:pPr>
      <w:r>
        <w:t>Generate emergency-priority recommendation and explicit trigger explanation.</w:t>
      </w:r>
    </w:p>
    <w:p>
      <w:pPr>
        <w:pStyle w:val="ListNumber"/>
      </w:pPr>
      <w:r>
        <w:t>Present immediate action controls and record subsequent human response.</w:t>
      </w:r>
    </w:p>
    <w:p>
      <w:pPr>
        <w:pStyle w:val="Heading1"/>
      </w:pPr>
      <w:r>
        <w:t>5.0 Decision Logic and Precedence</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Condition or scenario</w:t>
            </w:r>
          </w:p>
        </w:tc>
        <w:tc>
          <w:tcPr>
            <w:tcW w:type="dxa" w:w="4939"/>
            <w:shd w:fill="D9EAF7"/>
          </w:tcPr>
          <w:p>
            <w:pPr>
              <w:spacing w:after="0"/>
            </w:pPr>
            <w:r/>
            <w:r>
              <w:rPr>
                <w:rFonts w:ascii="Arial" w:hAnsi="Arial"/>
                <w:b/>
                <w:sz w:val="18"/>
              </w:rPr>
              <w:t>Required system behavior</w:t>
            </w:r>
          </w:p>
        </w:tc>
      </w:tr>
      <w:tr>
        <w:tc>
          <w:tcPr>
            <w:tcW w:type="dxa" w:w="4939"/>
            <w:vAlign w:val="top"/>
          </w:tcPr>
          <w:p>
            <w:pPr>
              <w:spacing w:after="0"/>
            </w:pPr>
            <w:r/>
            <w:r>
              <w:rPr>
                <w:rFonts w:ascii="Arial" w:hAnsi="Arial"/>
                <w:b w:val="0"/>
                <w:sz w:val="18"/>
              </w:rPr>
              <w:t>Blood pressure at least 160/110</w:t>
            </w:r>
          </w:p>
        </w:tc>
        <w:tc>
          <w:tcPr>
            <w:tcW w:type="dxa" w:w="4939"/>
            <w:vAlign w:val="top"/>
          </w:tcPr>
          <w:p>
            <w:pPr>
              <w:spacing w:after="0"/>
            </w:pPr>
            <w:r/>
            <w:r>
              <w:rPr>
                <w:rFonts w:ascii="Arial" w:hAnsi="Arial"/>
                <w:b w:val="0"/>
                <w:sz w:val="18"/>
              </w:rPr>
              <w:t>Urgent or emergency-priority escalation according to approved clinical policy.</w:t>
            </w:r>
          </w:p>
        </w:tc>
      </w:tr>
      <w:tr>
        <w:tc>
          <w:tcPr>
            <w:tcW w:type="dxa" w:w="4939"/>
            <w:vAlign w:val="top"/>
          </w:tcPr>
          <w:p>
            <w:pPr>
              <w:spacing w:after="0"/>
            </w:pPr>
            <w:r/>
            <w:r>
              <w:rPr>
                <w:rFonts w:ascii="Arial" w:hAnsi="Arial"/>
                <w:b w:val="0"/>
                <w:sz w:val="18"/>
              </w:rPr>
              <w:t>Absent or seriously abnormal fetal-heartbeat record</w:t>
            </w:r>
          </w:p>
        </w:tc>
        <w:tc>
          <w:tcPr>
            <w:tcW w:type="dxa" w:w="4939"/>
            <w:vAlign w:val="top"/>
          </w:tcPr>
          <w:p>
            <w:pPr>
              <w:spacing w:after="0"/>
            </w:pPr>
            <w:r/>
            <w:r>
              <w:rPr>
                <w:rFonts w:ascii="Arial" w:hAnsi="Arial"/>
                <w:b w:val="0"/>
                <w:sz w:val="18"/>
              </w:rPr>
              <w:t>Emergency-priority review after qualified clinical validation of wording and scope.</w:t>
            </w:r>
          </w:p>
        </w:tc>
      </w:tr>
      <w:tr>
        <w:tc>
          <w:tcPr>
            <w:tcW w:type="dxa" w:w="4939"/>
            <w:vAlign w:val="top"/>
          </w:tcPr>
          <w:p>
            <w:pPr>
              <w:spacing w:after="0"/>
            </w:pPr>
            <w:r/>
            <w:r>
              <w:rPr>
                <w:rFonts w:ascii="Arial" w:hAnsi="Arial"/>
                <w:b w:val="0"/>
                <w:sz w:val="18"/>
              </w:rPr>
              <w:t>Approved warning-symptom combination</w:t>
            </w:r>
          </w:p>
        </w:tc>
        <w:tc>
          <w:tcPr>
            <w:tcW w:type="dxa" w:w="4939"/>
            <w:vAlign w:val="top"/>
          </w:tcPr>
          <w:p>
            <w:pPr>
              <w:spacing w:after="0"/>
            </w:pPr>
            <w:r/>
            <w:r>
              <w:rPr>
                <w:rFonts w:ascii="Arial" w:hAnsi="Arial"/>
                <w:b w:val="0"/>
                <w:sz w:val="18"/>
              </w:rPr>
              <w:t>Trigger only when explicitly defined and supported by required data.</w:t>
            </w:r>
          </w:p>
        </w:tc>
      </w:tr>
      <w:tr>
        <w:tc>
          <w:tcPr>
            <w:tcW w:type="dxa" w:w="4939"/>
            <w:vAlign w:val="top"/>
          </w:tcPr>
          <w:p>
            <w:pPr>
              <w:spacing w:after="0"/>
            </w:pPr>
            <w:r/>
            <w:r>
              <w:rPr>
                <w:rFonts w:ascii="Arial" w:hAnsi="Arial"/>
                <w:b w:val="0"/>
                <w:sz w:val="18"/>
              </w:rPr>
              <w:t>Emergency evidence plus missing birth plan</w:t>
            </w:r>
          </w:p>
        </w:tc>
        <w:tc>
          <w:tcPr>
            <w:tcW w:type="dxa" w:w="4939"/>
            <w:vAlign w:val="top"/>
          </w:tcPr>
          <w:p>
            <w:pPr>
              <w:spacing w:after="0"/>
            </w:pPr>
            <w:r/>
            <w:r>
              <w:rPr>
                <w:rFonts w:ascii="Arial" w:hAnsi="Arial"/>
                <w:b w:val="0"/>
                <w:sz w:val="18"/>
              </w:rPr>
              <w:t>Escalate; do not wait for routine completeness.</w:t>
            </w:r>
          </w:p>
        </w:tc>
      </w:tr>
      <w:tr>
        <w:tc>
          <w:tcPr>
            <w:tcW w:type="dxa" w:w="4939"/>
            <w:vAlign w:val="top"/>
          </w:tcPr>
          <w:p>
            <w:pPr>
              <w:spacing w:after="0"/>
            </w:pPr>
            <w:r/>
            <w:r>
              <w:rPr>
                <w:rFonts w:ascii="Arial" w:hAnsi="Arial"/>
                <w:b w:val="0"/>
                <w:sz w:val="18"/>
              </w:rPr>
              <w:t>Emergency trigger later corrected as entry error</w:t>
            </w:r>
          </w:p>
        </w:tc>
        <w:tc>
          <w:tcPr>
            <w:tcW w:type="dxa" w:w="4939"/>
            <w:vAlign w:val="top"/>
          </w:tcPr>
          <w:p>
            <w:pPr>
              <w:spacing w:after="0"/>
            </w:pPr>
            <w:r/>
            <w:r>
              <w:rPr>
                <w:rFonts w:ascii="Arial" w:hAnsi="Arial"/>
                <w:b w:val="0"/>
                <w:sz w:val="18"/>
              </w:rPr>
              <w:t>Preserve original event, record correction, and create a new assessment execution.</w:t>
            </w:r>
          </w:p>
        </w:tc>
      </w:tr>
    </w:tbl>
    <w:p/>
    <w:p>
      <w:r>
        <w:t>The listed logic represents the current documented capstone architecture. Exact clinical thresholds, wording, applicability, and urgency must remain linked to qualified review and versioned evidence sources.</w:t>
      </w:r>
    </w:p>
    <w:p>
      <w:pPr>
        <w:pStyle w:val="Heading1"/>
      </w:pPr>
      <w:r>
        <w:t>6.0 Output Contract</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Output field</w:t>
            </w:r>
          </w:p>
        </w:tc>
        <w:tc>
          <w:tcPr>
            <w:tcW w:type="dxa" w:w="4939"/>
            <w:shd w:fill="D9EAF7"/>
          </w:tcPr>
          <w:p>
            <w:pPr>
              <w:spacing w:after="0"/>
            </w:pPr>
            <w:r/>
            <w:r>
              <w:rPr>
                <w:rFonts w:ascii="Arial" w:hAnsi="Arial"/>
                <w:b/>
                <w:sz w:val="18"/>
              </w:rPr>
              <w:t>Requirement</w:t>
            </w:r>
          </w:p>
        </w:tc>
      </w:tr>
      <w:tr>
        <w:tc>
          <w:tcPr>
            <w:tcW w:type="dxa" w:w="4939"/>
            <w:vAlign w:val="top"/>
          </w:tcPr>
          <w:p>
            <w:pPr>
              <w:spacing w:after="0"/>
            </w:pPr>
            <w:r/>
            <w:r>
              <w:rPr>
                <w:rFonts w:ascii="Arial" w:hAnsi="Arial"/>
                <w:b w:val="0"/>
                <w:sz w:val="18"/>
              </w:rPr>
              <w:t>execution_id</w:t>
            </w:r>
          </w:p>
        </w:tc>
        <w:tc>
          <w:tcPr>
            <w:tcW w:type="dxa" w:w="4939"/>
            <w:vAlign w:val="top"/>
          </w:tcPr>
          <w:p>
            <w:pPr>
              <w:spacing w:after="0"/>
            </w:pPr>
            <w:r/>
            <w:r>
              <w:rPr>
                <w:rFonts w:ascii="Arial" w:hAnsi="Arial"/>
                <w:b w:val="0"/>
                <w:sz w:val="18"/>
              </w:rPr>
              <w:t>Unique decision execution identifier.</w:t>
            </w:r>
          </w:p>
        </w:tc>
      </w:tr>
      <w:tr>
        <w:tc>
          <w:tcPr>
            <w:tcW w:type="dxa" w:w="4939"/>
            <w:vAlign w:val="top"/>
          </w:tcPr>
          <w:p>
            <w:pPr>
              <w:spacing w:after="0"/>
            </w:pPr>
            <w:r/>
            <w:r>
              <w:rPr>
                <w:rFonts w:ascii="Arial" w:hAnsi="Arial"/>
                <w:b w:val="0"/>
                <w:sz w:val="18"/>
              </w:rPr>
              <w:t>component_status</w:t>
            </w:r>
          </w:p>
        </w:tc>
        <w:tc>
          <w:tcPr>
            <w:tcW w:type="dxa" w:w="4939"/>
            <w:vAlign w:val="top"/>
          </w:tcPr>
          <w:p>
            <w:pPr>
              <w:spacing w:after="0"/>
            </w:pPr>
            <w:r/>
            <w:r>
              <w:rPr>
                <w:rFonts w:ascii="Arial" w:hAnsi="Arial"/>
                <w:b w:val="0"/>
                <w:sz w:val="18"/>
              </w:rPr>
              <w:t>Completed, incomplete, unable to evaluate, emergency interruption, or failed.</w:t>
            </w:r>
          </w:p>
        </w:tc>
      </w:tr>
      <w:tr>
        <w:tc>
          <w:tcPr>
            <w:tcW w:type="dxa" w:w="4939"/>
            <w:vAlign w:val="top"/>
          </w:tcPr>
          <w:p>
            <w:pPr>
              <w:spacing w:after="0"/>
            </w:pPr>
            <w:r/>
            <w:r>
              <w:rPr>
                <w:rFonts w:ascii="Arial" w:hAnsi="Arial"/>
                <w:b w:val="0"/>
                <w:sz w:val="18"/>
              </w:rPr>
              <w:t>structured_results</w:t>
            </w:r>
          </w:p>
        </w:tc>
        <w:tc>
          <w:tcPr>
            <w:tcW w:type="dxa" w:w="4939"/>
            <w:vAlign w:val="top"/>
          </w:tcPr>
          <w:p>
            <w:pPr>
              <w:spacing w:after="0"/>
            </w:pPr>
            <w:r/>
            <w:r>
              <w:rPr>
                <w:rFonts w:ascii="Arial" w:hAnsi="Arial"/>
                <w:b w:val="0"/>
                <w:sz w:val="18"/>
              </w:rPr>
              <w:t>Machine-readable findings with controlled identifiers and versions.</w:t>
            </w:r>
          </w:p>
        </w:tc>
      </w:tr>
      <w:tr>
        <w:tc>
          <w:tcPr>
            <w:tcW w:type="dxa" w:w="4939"/>
            <w:vAlign w:val="top"/>
          </w:tcPr>
          <w:p>
            <w:pPr>
              <w:spacing w:after="0"/>
            </w:pPr>
            <w:r/>
            <w:r>
              <w:rPr>
                <w:rFonts w:ascii="Arial" w:hAnsi="Arial"/>
                <w:b w:val="0"/>
                <w:sz w:val="18"/>
              </w:rPr>
              <w:t>patient_specific_rationale</w:t>
            </w:r>
          </w:p>
        </w:tc>
        <w:tc>
          <w:tcPr>
            <w:tcW w:type="dxa" w:w="4939"/>
            <w:vAlign w:val="top"/>
          </w:tcPr>
          <w:p>
            <w:pPr>
              <w:spacing w:after="0"/>
            </w:pPr>
            <w:r/>
            <w:r>
              <w:rPr>
                <w:rFonts w:ascii="Arial" w:hAnsi="Arial"/>
                <w:b w:val="0"/>
                <w:sz w:val="18"/>
              </w:rPr>
              <w:t>Values and source records that caused each result.</w:t>
            </w:r>
          </w:p>
        </w:tc>
      </w:tr>
      <w:tr>
        <w:tc>
          <w:tcPr>
            <w:tcW w:type="dxa" w:w="4939"/>
            <w:vAlign w:val="top"/>
          </w:tcPr>
          <w:p>
            <w:pPr>
              <w:spacing w:after="0"/>
            </w:pPr>
            <w:r/>
            <w:r>
              <w:rPr>
                <w:rFonts w:ascii="Arial" w:hAnsi="Arial"/>
                <w:b w:val="0"/>
                <w:sz w:val="18"/>
              </w:rPr>
              <w:t>limitations</w:t>
            </w:r>
          </w:p>
        </w:tc>
        <w:tc>
          <w:tcPr>
            <w:tcW w:type="dxa" w:w="4939"/>
            <w:vAlign w:val="top"/>
          </w:tcPr>
          <w:p>
            <w:pPr>
              <w:spacing w:after="0"/>
            </w:pPr>
            <w:r/>
            <w:r>
              <w:rPr>
                <w:rFonts w:ascii="Arial" w:hAnsi="Arial"/>
                <w:b w:val="0"/>
                <w:sz w:val="18"/>
              </w:rPr>
              <w:t>Missing, invalid, stale, conflicting, unavailable, or out-of-scope information.</w:t>
            </w:r>
          </w:p>
        </w:tc>
      </w:tr>
      <w:tr>
        <w:tc>
          <w:tcPr>
            <w:tcW w:type="dxa" w:w="4939"/>
            <w:vAlign w:val="top"/>
          </w:tcPr>
          <w:p>
            <w:pPr>
              <w:spacing w:after="0"/>
            </w:pPr>
            <w:r/>
            <w:r>
              <w:rPr>
                <w:rFonts w:ascii="Arial" w:hAnsi="Arial"/>
                <w:b w:val="0"/>
                <w:sz w:val="18"/>
              </w:rPr>
              <w:t>priority_effect</w:t>
            </w:r>
          </w:p>
        </w:tc>
        <w:tc>
          <w:tcPr>
            <w:tcW w:type="dxa" w:w="4939"/>
            <w:vAlign w:val="top"/>
          </w:tcPr>
          <w:p>
            <w:pPr>
              <w:spacing w:after="0"/>
            </w:pPr>
            <w:r/>
            <w:r>
              <w:rPr>
                <w:rFonts w:ascii="Arial" w:hAnsi="Arial"/>
                <w:b w:val="0"/>
                <w:sz w:val="18"/>
              </w:rPr>
              <w:t>No effect, routine, HIGH, urgent, or emergency effect as approved.</w:t>
            </w:r>
          </w:p>
        </w:tc>
      </w:tr>
      <w:tr>
        <w:tc>
          <w:tcPr>
            <w:tcW w:type="dxa" w:w="4939"/>
            <w:vAlign w:val="top"/>
          </w:tcPr>
          <w:p>
            <w:pPr>
              <w:spacing w:after="0"/>
            </w:pPr>
            <w:r/>
            <w:r>
              <w:rPr>
                <w:rFonts w:ascii="Arial" w:hAnsi="Arial"/>
                <w:b w:val="0"/>
                <w:sz w:val="18"/>
              </w:rPr>
              <w:t>next_component</w:t>
            </w:r>
          </w:p>
        </w:tc>
        <w:tc>
          <w:tcPr>
            <w:tcW w:type="dxa" w:w="4939"/>
            <w:vAlign w:val="top"/>
          </w:tcPr>
          <w:p>
            <w:pPr>
              <w:spacing w:after="0"/>
            </w:pPr>
            <w:r/>
            <w:r>
              <w:rPr>
                <w:rFonts w:ascii="Arial" w:hAnsi="Arial"/>
                <w:b w:val="0"/>
                <w:sz w:val="18"/>
              </w:rPr>
              <w:t>Named downstream engine or terminal state.</w:t>
            </w:r>
          </w:p>
        </w:tc>
      </w:tr>
      <w:tr>
        <w:tc>
          <w:tcPr>
            <w:tcW w:type="dxa" w:w="4939"/>
            <w:vAlign w:val="top"/>
          </w:tcPr>
          <w:p>
            <w:pPr>
              <w:spacing w:after="0"/>
            </w:pPr>
            <w:r/>
            <w:r>
              <w:rPr>
                <w:rFonts w:ascii="Arial" w:hAnsi="Arial"/>
                <w:b w:val="0"/>
                <w:sz w:val="18"/>
              </w:rPr>
              <w:t>audit_metadata</w:t>
            </w:r>
          </w:p>
        </w:tc>
        <w:tc>
          <w:tcPr>
            <w:tcW w:type="dxa" w:w="4939"/>
            <w:vAlign w:val="top"/>
          </w:tcPr>
          <w:p>
            <w:pPr>
              <w:spacing w:after="0"/>
            </w:pPr>
            <w:r/>
            <w:r>
              <w:rPr>
                <w:rFonts w:ascii="Arial" w:hAnsi="Arial"/>
                <w:b w:val="0"/>
                <w:sz w:val="18"/>
              </w:rPr>
              <w:t>Timestamps, actor or system process, rule/policy release, and software version.</w:t>
            </w:r>
          </w:p>
        </w:tc>
      </w:tr>
    </w:tbl>
    <w:p/>
    <w:p>
      <w:pPr>
        <w:pStyle w:val="Heading1"/>
      </w:pPr>
      <w:r>
        <w:t>7.0 Safety Mechanisms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Control</w:t>
            </w:r>
          </w:p>
        </w:tc>
        <w:tc>
          <w:tcPr>
            <w:tcW w:type="dxa" w:w="4939"/>
            <w:shd w:fill="D9EAF7"/>
          </w:tcPr>
          <w:p>
            <w:pPr>
              <w:spacing w:after="0"/>
            </w:pPr>
            <w:r/>
            <w:r>
              <w:rPr>
                <w:rFonts w:ascii="Arial" w:hAnsi="Arial"/>
                <w:b/>
                <w:sz w:val="18"/>
              </w:rPr>
              <w:t>Safety purpose</w:t>
            </w:r>
          </w:p>
        </w:tc>
      </w:tr>
      <w:tr>
        <w:tc>
          <w:tcPr>
            <w:tcW w:type="dxa" w:w="4939"/>
            <w:vAlign w:val="top"/>
          </w:tcPr>
          <w:p>
            <w:pPr>
              <w:spacing w:after="0"/>
            </w:pPr>
            <w:r/>
            <w:r>
              <w:rPr>
                <w:rFonts w:ascii="Arial" w:hAnsi="Arial"/>
                <w:b w:val="0"/>
                <w:sz w:val="18"/>
              </w:rPr>
              <w:t>Prominent display</w:t>
            </w:r>
          </w:p>
        </w:tc>
        <w:tc>
          <w:tcPr>
            <w:tcW w:type="dxa" w:w="4939"/>
            <w:vAlign w:val="top"/>
          </w:tcPr>
          <w:p>
            <w:pPr>
              <w:spacing w:after="0"/>
            </w:pPr>
            <w:r/>
            <w:r>
              <w:rPr>
                <w:rFonts w:ascii="Arial" w:hAnsi="Arial"/>
                <w:b w:val="0"/>
                <w:sz w:val="18"/>
              </w:rPr>
              <w:t>Prevents urgent output from appearing as an ordinary badge.</w:t>
            </w:r>
          </w:p>
        </w:tc>
      </w:tr>
      <w:tr>
        <w:tc>
          <w:tcPr>
            <w:tcW w:type="dxa" w:w="4939"/>
            <w:vAlign w:val="top"/>
          </w:tcPr>
          <w:p>
            <w:pPr>
              <w:spacing w:after="0"/>
            </w:pPr>
            <w:r/>
            <w:r>
              <w:rPr>
                <w:rFonts w:ascii="Arial" w:hAnsi="Arial"/>
                <w:b w:val="0"/>
                <w:sz w:val="18"/>
              </w:rPr>
              <w:t>Interruption audit</w:t>
            </w:r>
          </w:p>
        </w:tc>
        <w:tc>
          <w:tcPr>
            <w:tcW w:type="dxa" w:w="4939"/>
            <w:vAlign w:val="top"/>
          </w:tcPr>
          <w:p>
            <w:pPr>
              <w:spacing w:after="0"/>
            </w:pPr>
            <w:r/>
            <w:r>
              <w:rPr>
                <w:rFonts w:ascii="Arial" w:hAnsi="Arial"/>
                <w:b w:val="0"/>
                <w:sz w:val="18"/>
              </w:rPr>
              <w:t>Records when routine processing was stopped.</w:t>
            </w:r>
          </w:p>
        </w:tc>
      </w:tr>
      <w:tr>
        <w:tc>
          <w:tcPr>
            <w:tcW w:type="dxa" w:w="4939"/>
            <w:vAlign w:val="top"/>
          </w:tcPr>
          <w:p>
            <w:pPr>
              <w:spacing w:after="0"/>
            </w:pPr>
            <w:r/>
            <w:r>
              <w:rPr>
                <w:rFonts w:ascii="Arial" w:hAnsi="Arial"/>
                <w:b w:val="0"/>
                <w:sz w:val="18"/>
              </w:rPr>
              <w:t>Controlled wording</w:t>
            </w:r>
          </w:p>
        </w:tc>
        <w:tc>
          <w:tcPr>
            <w:tcW w:type="dxa" w:w="4939"/>
            <w:vAlign w:val="top"/>
          </w:tcPr>
          <w:p>
            <w:pPr>
              <w:spacing w:after="0"/>
            </w:pPr>
            <w:r/>
            <w:r>
              <w:rPr>
                <w:rFonts w:ascii="Arial" w:hAnsi="Arial"/>
                <w:b w:val="0"/>
                <w:sz w:val="18"/>
              </w:rPr>
              <w:t>Avoids unsupported diagnosis or treatment instructions.</w:t>
            </w:r>
          </w:p>
        </w:tc>
      </w:tr>
      <w:tr>
        <w:tc>
          <w:tcPr>
            <w:tcW w:type="dxa" w:w="4939"/>
            <w:vAlign w:val="top"/>
          </w:tcPr>
          <w:p>
            <w:pPr>
              <w:spacing w:after="0"/>
            </w:pPr>
            <w:r/>
            <w:r>
              <w:rPr>
                <w:rFonts w:ascii="Arial" w:hAnsi="Arial"/>
                <w:b w:val="0"/>
                <w:sz w:val="18"/>
              </w:rPr>
              <w:t>Referral action logging</w:t>
            </w:r>
          </w:p>
        </w:tc>
        <w:tc>
          <w:tcPr>
            <w:tcW w:type="dxa" w:w="4939"/>
            <w:vAlign w:val="top"/>
          </w:tcPr>
          <w:p>
            <w:pPr>
              <w:spacing w:after="0"/>
            </w:pPr>
            <w:r/>
            <w:r>
              <w:rPr>
                <w:rFonts w:ascii="Arial" w:hAnsi="Arial"/>
                <w:b w:val="0"/>
                <w:sz w:val="18"/>
              </w:rPr>
              <w:t>Distinguishes recommendation from actual communication or transfer.</w:t>
            </w:r>
          </w:p>
        </w:tc>
      </w:tr>
      <w:tr>
        <w:tc>
          <w:tcPr>
            <w:tcW w:type="dxa" w:w="4939"/>
            <w:vAlign w:val="top"/>
          </w:tcPr>
          <w:p>
            <w:pPr>
              <w:spacing w:after="0"/>
            </w:pPr>
            <w:r/>
            <w:r>
              <w:rPr>
                <w:rFonts w:ascii="Arial" w:hAnsi="Arial"/>
                <w:b w:val="0"/>
                <w:sz w:val="18"/>
              </w:rPr>
              <w:t>No automatic downgrade</w:t>
            </w:r>
          </w:p>
        </w:tc>
        <w:tc>
          <w:tcPr>
            <w:tcW w:type="dxa" w:w="4939"/>
            <w:vAlign w:val="top"/>
          </w:tcPr>
          <w:p>
            <w:pPr>
              <w:spacing w:after="0"/>
            </w:pPr>
            <w:r/>
            <w:r>
              <w:rPr>
                <w:rFonts w:ascii="Arial" w:hAnsi="Arial"/>
                <w:b w:val="0"/>
                <w:sz w:val="18"/>
              </w:rPr>
              <w:t>Only a corrected source record and new execution may change the result.</w:t>
            </w:r>
          </w:p>
        </w:tc>
      </w:tr>
    </w:tbl>
    <w:p/>
    <w:p>
      <w:pPr>
        <w:pStyle w:val="Heading1"/>
      </w:pPr>
      <w:r>
        <w:t>8.0 Failure and Degraded-Operation Handling</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Failure condition</w:t>
            </w:r>
          </w:p>
        </w:tc>
        <w:tc>
          <w:tcPr>
            <w:tcW w:type="dxa" w:w="4939"/>
            <w:shd w:fill="D9EAF7"/>
          </w:tcPr>
          <w:p>
            <w:pPr>
              <w:spacing w:after="0"/>
            </w:pPr>
            <w:r/>
            <w:r>
              <w:rPr>
                <w:rFonts w:ascii="Arial" w:hAnsi="Arial"/>
                <w:b/>
                <w:sz w:val="18"/>
              </w:rPr>
              <w:t>Required response</w:t>
            </w:r>
          </w:p>
        </w:tc>
      </w:tr>
      <w:tr>
        <w:tc>
          <w:tcPr>
            <w:tcW w:type="dxa" w:w="4939"/>
            <w:vAlign w:val="top"/>
          </w:tcPr>
          <w:p>
            <w:pPr>
              <w:spacing w:after="0"/>
            </w:pPr>
            <w:r/>
            <w:r>
              <w:rPr>
                <w:rFonts w:ascii="Arial" w:hAnsi="Arial"/>
                <w:b w:val="0"/>
                <w:sz w:val="18"/>
              </w:rPr>
              <w:t>Required dependency unavailable</w:t>
            </w:r>
          </w:p>
        </w:tc>
        <w:tc>
          <w:tcPr>
            <w:tcW w:type="dxa" w:w="4939"/>
            <w:vAlign w:val="top"/>
          </w:tcPr>
          <w:p>
            <w:pPr>
              <w:spacing w:after="0"/>
            </w:pPr>
            <w:r/>
            <w:r>
              <w:rPr>
                <w:rFonts w:ascii="Arial" w:hAnsi="Arial"/>
                <w:b w:val="0"/>
                <w:sz w:val="18"/>
              </w:rPr>
              <w:t>Do not invent a result; return a controlled unavailable or incomplete state.</w:t>
            </w:r>
          </w:p>
        </w:tc>
      </w:tr>
      <w:tr>
        <w:tc>
          <w:tcPr>
            <w:tcW w:type="dxa" w:w="4939"/>
            <w:vAlign w:val="top"/>
          </w:tcPr>
          <w:p>
            <w:pPr>
              <w:spacing w:after="0"/>
            </w:pPr>
            <w:r/>
            <w:r>
              <w:rPr>
                <w:rFonts w:ascii="Arial" w:hAnsi="Arial"/>
                <w:b w:val="0"/>
                <w:sz w:val="18"/>
              </w:rPr>
              <w:t>Unexpected value or schema</w:t>
            </w:r>
          </w:p>
        </w:tc>
        <w:tc>
          <w:tcPr>
            <w:tcW w:type="dxa" w:w="4939"/>
            <w:vAlign w:val="top"/>
          </w:tcPr>
          <w:p>
            <w:pPr>
              <w:spacing w:after="0"/>
            </w:pPr>
            <w:r/>
            <w:r>
              <w:rPr>
                <w:rFonts w:ascii="Arial" w:hAnsi="Arial"/>
                <w:b w:val="0"/>
                <w:sz w:val="18"/>
              </w:rPr>
              <w:t>Reject the value for clinical reasoning and record the validation or processing failure.</w:t>
            </w:r>
          </w:p>
        </w:tc>
      </w:tr>
      <w:tr>
        <w:tc>
          <w:tcPr>
            <w:tcW w:type="dxa" w:w="4939"/>
            <w:vAlign w:val="top"/>
          </w:tcPr>
          <w:p>
            <w:pPr>
              <w:spacing w:after="0"/>
            </w:pPr>
            <w:r/>
            <w:r>
              <w:rPr>
                <w:rFonts w:ascii="Arial" w:hAnsi="Arial"/>
                <w:b w:val="0"/>
                <w:sz w:val="18"/>
              </w:rPr>
              <w:t>Knowledge release missing</w:t>
            </w:r>
          </w:p>
        </w:tc>
        <w:tc>
          <w:tcPr>
            <w:tcW w:type="dxa" w:w="4939"/>
            <w:vAlign w:val="top"/>
          </w:tcPr>
          <w:p>
            <w:pPr>
              <w:spacing w:after="0"/>
            </w:pPr>
            <w:r/>
            <w:r>
              <w:rPr>
                <w:rFonts w:ascii="Arial" w:hAnsi="Arial"/>
                <w:b w:val="0"/>
                <w:sz w:val="18"/>
              </w:rPr>
              <w:t>Stop execution and display a controlled configuration error.</w:t>
            </w:r>
          </w:p>
        </w:tc>
      </w:tr>
      <w:tr>
        <w:tc>
          <w:tcPr>
            <w:tcW w:type="dxa" w:w="4939"/>
            <w:vAlign w:val="top"/>
          </w:tcPr>
          <w:p>
            <w:pPr>
              <w:spacing w:after="0"/>
            </w:pPr>
            <w:r/>
            <w:r>
              <w:rPr>
                <w:rFonts w:ascii="Arial" w:hAnsi="Arial"/>
                <w:b w:val="0"/>
                <w:sz w:val="18"/>
              </w:rPr>
              <w:t>Database write failure</w:t>
            </w:r>
          </w:p>
        </w:tc>
        <w:tc>
          <w:tcPr>
            <w:tcW w:type="dxa" w:w="4939"/>
            <w:vAlign w:val="top"/>
          </w:tcPr>
          <w:p>
            <w:pPr>
              <w:spacing w:after="0"/>
            </w:pPr>
            <w:r/>
            <w:r>
              <w:rPr>
                <w:rFonts w:ascii="Arial" w:hAnsi="Arial"/>
                <w:b w:val="0"/>
                <w:sz w:val="18"/>
              </w:rPr>
              <w:t>Do not mark the component or decision execution as completed.</w:t>
            </w:r>
          </w:p>
        </w:tc>
      </w:tr>
      <w:tr>
        <w:tc>
          <w:tcPr>
            <w:tcW w:type="dxa" w:w="4939"/>
            <w:vAlign w:val="top"/>
          </w:tcPr>
          <w:p>
            <w:pPr>
              <w:spacing w:after="0"/>
            </w:pPr>
            <w:r/>
            <w:r>
              <w:rPr>
                <w:rFonts w:ascii="Arial" w:hAnsi="Arial"/>
                <w:b w:val="0"/>
                <w:sz w:val="18"/>
              </w:rPr>
              <w:t>Audit/provenance failure</w:t>
            </w:r>
          </w:p>
        </w:tc>
        <w:tc>
          <w:tcPr>
            <w:tcW w:type="dxa" w:w="4939"/>
            <w:vAlign w:val="top"/>
          </w:tcPr>
          <w:p>
            <w:pPr>
              <w:spacing w:after="0"/>
            </w:pPr>
            <w:r/>
            <w:r>
              <w:rPr>
                <w:rFonts w:ascii="Arial" w:hAnsi="Arial"/>
                <w:b w:val="0"/>
                <w:sz w:val="18"/>
              </w:rPr>
              <w:t>Do not claim the output is fully trustworthy or auditable.</w:t>
            </w:r>
          </w:p>
        </w:tc>
      </w:tr>
      <w:tr>
        <w:tc>
          <w:tcPr>
            <w:tcW w:type="dxa" w:w="4939"/>
            <w:vAlign w:val="top"/>
          </w:tcPr>
          <w:p>
            <w:pPr>
              <w:spacing w:after="0"/>
            </w:pPr>
            <w:r/>
            <w:r>
              <w:rPr>
                <w:rFonts w:ascii="Arial" w:hAnsi="Arial"/>
                <w:b w:val="0"/>
                <w:sz w:val="18"/>
              </w:rPr>
              <w:t>Unauthorized operation</w:t>
            </w:r>
          </w:p>
        </w:tc>
        <w:tc>
          <w:tcPr>
            <w:tcW w:type="dxa" w:w="4939"/>
            <w:vAlign w:val="top"/>
          </w:tcPr>
          <w:p>
            <w:pPr>
              <w:spacing w:after="0"/>
            </w:pPr>
            <w:r/>
            <w:r>
              <w:rPr>
                <w:rFonts w:ascii="Arial" w:hAnsi="Arial"/>
                <w:b w:val="0"/>
                <w:sz w:val="18"/>
              </w:rPr>
              <w:t>Deny the action and create a security event.</w:t>
            </w:r>
          </w:p>
        </w:tc>
      </w:tr>
      <w:tr>
        <w:tc>
          <w:tcPr>
            <w:tcW w:type="dxa" w:w="4939"/>
            <w:vAlign w:val="top"/>
          </w:tcPr>
          <w:p>
            <w:pPr>
              <w:spacing w:after="0"/>
            </w:pPr>
            <w:r/>
            <w:r>
              <w:rPr>
                <w:rFonts w:ascii="Arial" w:hAnsi="Arial"/>
                <w:b w:val="0"/>
                <w:sz w:val="18"/>
              </w:rPr>
              <w:t>Unexpected exception</w:t>
            </w:r>
          </w:p>
        </w:tc>
        <w:tc>
          <w:tcPr>
            <w:tcW w:type="dxa" w:w="4939"/>
            <w:vAlign w:val="top"/>
          </w:tcPr>
          <w:p>
            <w:pPr>
              <w:spacing w:after="0"/>
            </w:pPr>
            <w:r/>
            <w:r>
              <w:rPr>
                <w:rFonts w:ascii="Arial" w:hAnsi="Arial"/>
                <w:b w:val="0"/>
                <w:sz w:val="18"/>
              </w:rPr>
              <w:t>Show a safe message, log technical details securely, and avoid exposing sensitive information.</w:t>
            </w:r>
          </w:p>
        </w:tc>
      </w:tr>
    </w:tbl>
    <w:p/>
    <w:p>
      <w:pPr>
        <w:pStyle w:val="Heading1"/>
      </w:pPr>
      <w:r>
        <w:t>9.0 Laravel-Oriented Translation</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Proposed component</w:t>
            </w:r>
          </w:p>
        </w:tc>
        <w:tc>
          <w:tcPr>
            <w:tcW w:type="dxa" w:w="4939"/>
            <w:shd w:fill="D9EAF7"/>
          </w:tcPr>
          <w:p>
            <w:pPr>
              <w:spacing w:after="0"/>
            </w:pPr>
            <w:r/>
            <w:r>
              <w:rPr>
                <w:rFonts w:ascii="Arial" w:hAnsi="Arial"/>
                <w:b/>
                <w:sz w:val="18"/>
              </w:rPr>
              <w:t>Responsibility</w:t>
            </w:r>
          </w:p>
        </w:tc>
      </w:tr>
      <w:tr>
        <w:tc>
          <w:tcPr>
            <w:tcW w:type="dxa" w:w="4939"/>
            <w:vAlign w:val="top"/>
          </w:tcPr>
          <w:p>
            <w:pPr>
              <w:spacing w:after="0"/>
            </w:pPr>
            <w:r/>
            <w:r>
              <w:rPr>
                <w:rFonts w:ascii="Arial" w:hAnsi="Arial"/>
                <w:b w:val="0"/>
                <w:sz w:val="18"/>
              </w:rPr>
              <w:t>EmergencyOverrideEngine</w:t>
            </w:r>
          </w:p>
        </w:tc>
        <w:tc>
          <w:tcPr>
            <w:tcW w:type="dxa" w:w="4939"/>
            <w:vAlign w:val="top"/>
          </w:tcPr>
          <w:p>
            <w:pPr>
              <w:spacing w:after="0"/>
            </w:pPr>
            <w:r/>
            <w:r>
              <w:rPr>
                <w:rFonts w:ascii="Arial" w:hAnsi="Arial"/>
                <w:b w:val="0"/>
                <w:sz w:val="18"/>
              </w:rPr>
              <w:t>Runs early and final screening.</w:t>
            </w:r>
          </w:p>
        </w:tc>
      </w:tr>
      <w:tr>
        <w:tc>
          <w:tcPr>
            <w:tcW w:type="dxa" w:w="4939"/>
            <w:vAlign w:val="top"/>
          </w:tcPr>
          <w:p>
            <w:pPr>
              <w:spacing w:after="0"/>
            </w:pPr>
            <w:r/>
            <w:r>
              <w:rPr>
                <w:rFonts w:ascii="Arial" w:hAnsi="Arial"/>
                <w:b w:val="0"/>
                <w:sz w:val="18"/>
              </w:rPr>
              <w:t>EmergencyPolicyRepository</w:t>
            </w:r>
          </w:p>
        </w:tc>
        <w:tc>
          <w:tcPr>
            <w:tcW w:type="dxa" w:w="4939"/>
            <w:vAlign w:val="top"/>
          </w:tcPr>
          <w:p>
            <w:pPr>
              <w:spacing w:after="0"/>
            </w:pPr>
            <w:r/>
            <w:r>
              <w:rPr>
                <w:rFonts w:ascii="Arial" w:hAnsi="Arial"/>
                <w:b w:val="0"/>
                <w:sz w:val="18"/>
              </w:rPr>
              <w:t>Loads approved triggers and action wording.</w:t>
            </w:r>
          </w:p>
        </w:tc>
      </w:tr>
      <w:tr>
        <w:tc>
          <w:tcPr>
            <w:tcW w:type="dxa" w:w="4939"/>
            <w:vAlign w:val="top"/>
          </w:tcPr>
          <w:p>
            <w:pPr>
              <w:spacing w:after="0"/>
            </w:pPr>
            <w:r/>
            <w:r>
              <w:rPr>
                <w:rFonts w:ascii="Arial" w:hAnsi="Arial"/>
                <w:b w:val="0"/>
                <w:sz w:val="18"/>
              </w:rPr>
              <w:t>Decision state machine</w:t>
            </w:r>
          </w:p>
        </w:tc>
        <w:tc>
          <w:tcPr>
            <w:tcW w:type="dxa" w:w="4939"/>
            <w:vAlign w:val="top"/>
          </w:tcPr>
          <w:p>
            <w:pPr>
              <w:spacing w:after="0"/>
            </w:pPr>
            <w:r/>
            <w:r>
              <w:rPr>
                <w:rFonts w:ascii="Arial" w:hAnsi="Arial"/>
                <w:b w:val="0"/>
                <w:sz w:val="18"/>
              </w:rPr>
              <w:t>Supports EMERGENCY transition and interruption metadata.</w:t>
            </w:r>
          </w:p>
        </w:tc>
      </w:tr>
      <w:tr>
        <w:tc>
          <w:tcPr>
            <w:tcW w:type="dxa" w:w="4939"/>
            <w:vAlign w:val="top"/>
          </w:tcPr>
          <w:p>
            <w:pPr>
              <w:spacing w:after="0"/>
            </w:pPr>
            <w:r/>
            <w:r>
              <w:rPr>
                <w:rFonts w:ascii="Arial" w:hAnsi="Arial"/>
                <w:b w:val="0"/>
                <w:sz w:val="18"/>
              </w:rPr>
              <w:t>Emergency UI component</w:t>
            </w:r>
          </w:p>
        </w:tc>
        <w:tc>
          <w:tcPr>
            <w:tcW w:type="dxa" w:w="4939"/>
            <w:vAlign w:val="top"/>
          </w:tcPr>
          <w:p>
            <w:pPr>
              <w:spacing w:after="0"/>
            </w:pPr>
            <w:r/>
            <w:r>
              <w:rPr>
                <w:rFonts w:ascii="Arial" w:hAnsi="Arial"/>
                <w:b w:val="0"/>
                <w:sz w:val="18"/>
              </w:rPr>
              <w:t>Displays trigger, urgency, limitations, and actions prominently.</w:t>
            </w:r>
          </w:p>
        </w:tc>
      </w:tr>
      <w:tr>
        <w:tc>
          <w:tcPr>
            <w:tcW w:type="dxa" w:w="4939"/>
            <w:vAlign w:val="top"/>
          </w:tcPr>
          <w:p>
            <w:pPr>
              <w:spacing w:after="0"/>
            </w:pPr>
            <w:r/>
            <w:r>
              <w:rPr>
                <w:rFonts w:ascii="Arial" w:hAnsi="Arial"/>
                <w:b w:val="0"/>
                <w:sz w:val="18"/>
              </w:rPr>
              <w:t>ReferralWorkflowService</w:t>
            </w:r>
          </w:p>
        </w:tc>
        <w:tc>
          <w:tcPr>
            <w:tcW w:type="dxa" w:w="4939"/>
            <w:vAlign w:val="top"/>
          </w:tcPr>
          <w:p>
            <w:pPr>
              <w:spacing w:after="0"/>
            </w:pPr>
            <w:r/>
            <w:r>
              <w:rPr>
                <w:rFonts w:ascii="Arial" w:hAnsi="Arial"/>
                <w:b w:val="0"/>
                <w:sz w:val="18"/>
              </w:rPr>
              <w:t>Records facility, reason, priority, status, and user action.</w:t>
            </w:r>
          </w:p>
        </w:tc>
      </w:tr>
      <w:tr>
        <w:tc>
          <w:tcPr>
            <w:tcW w:type="dxa" w:w="4939"/>
            <w:vAlign w:val="top"/>
          </w:tcPr>
          <w:p>
            <w:pPr>
              <w:spacing w:after="0"/>
            </w:pPr>
            <w:r/>
            <w:r>
              <w:rPr>
                <w:rFonts w:ascii="Arial" w:hAnsi="Arial"/>
                <w:b w:val="0"/>
                <w:sz w:val="18"/>
              </w:rPr>
              <w:t>Notification service</w:t>
            </w:r>
          </w:p>
        </w:tc>
        <w:tc>
          <w:tcPr>
            <w:tcW w:type="dxa" w:w="4939"/>
            <w:vAlign w:val="top"/>
          </w:tcPr>
          <w:p>
            <w:pPr>
              <w:spacing w:after="0"/>
            </w:pPr>
            <w:r/>
            <w:r>
              <w:rPr>
                <w:rFonts w:ascii="Arial" w:hAnsi="Arial"/>
                <w:b w:val="0"/>
                <w:sz w:val="18"/>
              </w:rPr>
              <w:t>Records success or failure separately from the clinical decision.</w:t>
            </w:r>
          </w:p>
        </w:tc>
      </w:tr>
    </w:tbl>
    <w:p/>
    <w:p>
      <w:r>
        <w:t>Controllers should not contain the complete clinical reasoning logic. They should coordinate authorization, request handling, service invocation, and presentation. Clinical meaning belongs in versioned domain services and knowledge artifacts.</w:t>
      </w:r>
    </w:p>
    <w:p>
      <w:pPr>
        <w:pStyle w:val="Heading1"/>
      </w:pPr>
      <w:r>
        <w:t>10.0 Data and Audit Blueprint</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Record</w:t>
            </w:r>
          </w:p>
        </w:tc>
        <w:tc>
          <w:tcPr>
            <w:tcW w:type="dxa" w:w="4939"/>
            <w:shd w:fill="D9EAF7"/>
          </w:tcPr>
          <w:p>
            <w:pPr>
              <w:spacing w:after="0"/>
            </w:pPr>
            <w:r/>
            <w:r>
              <w:rPr>
                <w:rFonts w:ascii="Arial" w:hAnsi="Arial"/>
                <w:b/>
                <w:sz w:val="18"/>
              </w:rPr>
              <w:t>Minimum contents</w:t>
            </w:r>
          </w:p>
        </w:tc>
      </w:tr>
      <w:tr>
        <w:tc>
          <w:tcPr>
            <w:tcW w:type="dxa" w:w="4939"/>
            <w:vAlign w:val="top"/>
          </w:tcPr>
          <w:p>
            <w:pPr>
              <w:spacing w:after="0"/>
            </w:pPr>
            <w:r/>
            <w:r>
              <w:rPr>
                <w:rFonts w:ascii="Arial" w:hAnsi="Arial"/>
                <w:b w:val="0"/>
                <w:sz w:val="18"/>
              </w:rPr>
              <w:t>component_execution</w:t>
            </w:r>
          </w:p>
        </w:tc>
        <w:tc>
          <w:tcPr>
            <w:tcW w:type="dxa" w:w="4939"/>
            <w:vAlign w:val="top"/>
          </w:tcPr>
          <w:p>
            <w:pPr>
              <w:spacing w:after="0"/>
            </w:pPr>
            <w:r/>
            <w:r>
              <w:rPr>
                <w:rFonts w:ascii="Arial" w:hAnsi="Arial"/>
                <w:b w:val="0"/>
                <w:sz w:val="18"/>
              </w:rPr>
              <w:t>Decision execution ID, component name, start/end time, status, active versions, and correlation ID.</w:t>
            </w:r>
          </w:p>
        </w:tc>
      </w:tr>
      <w:tr>
        <w:tc>
          <w:tcPr>
            <w:tcW w:type="dxa" w:w="4939"/>
            <w:vAlign w:val="top"/>
          </w:tcPr>
          <w:p>
            <w:pPr>
              <w:spacing w:after="0"/>
            </w:pPr>
            <w:r/>
            <w:r>
              <w:rPr>
                <w:rFonts w:ascii="Arial" w:hAnsi="Arial"/>
                <w:b w:val="0"/>
                <w:sz w:val="18"/>
              </w:rPr>
              <w:t>input_references</w:t>
            </w:r>
          </w:p>
        </w:tc>
        <w:tc>
          <w:tcPr>
            <w:tcW w:type="dxa" w:w="4939"/>
            <w:vAlign w:val="top"/>
          </w:tcPr>
          <w:p>
            <w:pPr>
              <w:spacing w:after="0"/>
            </w:pPr>
            <w:r/>
            <w:r>
              <w:rPr>
                <w:rFonts w:ascii="Arial" w:hAnsi="Arial"/>
                <w:b w:val="0"/>
                <w:sz w:val="18"/>
              </w:rPr>
              <w:t>Source record IDs, original values, normalized values, units, and timestamps.</w:t>
            </w:r>
          </w:p>
        </w:tc>
      </w:tr>
      <w:tr>
        <w:tc>
          <w:tcPr>
            <w:tcW w:type="dxa" w:w="4939"/>
            <w:vAlign w:val="top"/>
          </w:tcPr>
          <w:p>
            <w:pPr>
              <w:spacing w:after="0"/>
            </w:pPr>
            <w:r/>
            <w:r>
              <w:rPr>
                <w:rFonts w:ascii="Arial" w:hAnsi="Arial"/>
                <w:b w:val="0"/>
                <w:sz w:val="18"/>
              </w:rPr>
              <w:t>component_results</w:t>
            </w:r>
          </w:p>
        </w:tc>
        <w:tc>
          <w:tcPr>
            <w:tcW w:type="dxa" w:w="4939"/>
            <w:vAlign w:val="top"/>
          </w:tcPr>
          <w:p>
            <w:pPr>
              <w:spacing w:after="0"/>
            </w:pPr>
            <w:r/>
            <w:r>
              <w:rPr>
                <w:rFonts w:ascii="Arial" w:hAnsi="Arial"/>
                <w:b w:val="0"/>
                <w:sz w:val="18"/>
              </w:rPr>
              <w:t>Structured outcome, rationale, priority effect, and next component.</w:t>
            </w:r>
          </w:p>
        </w:tc>
      </w:tr>
      <w:tr>
        <w:tc>
          <w:tcPr>
            <w:tcW w:type="dxa" w:w="4939"/>
            <w:vAlign w:val="top"/>
          </w:tcPr>
          <w:p>
            <w:pPr>
              <w:spacing w:after="0"/>
            </w:pPr>
            <w:r/>
            <w:r>
              <w:rPr>
                <w:rFonts w:ascii="Arial" w:hAnsi="Arial"/>
                <w:b w:val="0"/>
                <w:sz w:val="18"/>
              </w:rPr>
              <w:t>limitations</w:t>
            </w:r>
          </w:p>
        </w:tc>
        <w:tc>
          <w:tcPr>
            <w:tcW w:type="dxa" w:w="4939"/>
            <w:vAlign w:val="top"/>
          </w:tcPr>
          <w:p>
            <w:pPr>
              <w:spacing w:after="0"/>
            </w:pPr>
            <w:r/>
            <w:r>
              <w:rPr>
                <w:rFonts w:ascii="Arial" w:hAnsi="Arial"/>
                <w:b w:val="0"/>
                <w:sz w:val="18"/>
              </w:rPr>
              <w:t>Missing, invalid, conflicting, uncertain, or unavailable evidence.</w:t>
            </w:r>
          </w:p>
        </w:tc>
      </w:tr>
      <w:tr>
        <w:tc>
          <w:tcPr>
            <w:tcW w:type="dxa" w:w="4939"/>
            <w:vAlign w:val="top"/>
          </w:tcPr>
          <w:p>
            <w:pPr>
              <w:spacing w:after="0"/>
            </w:pPr>
            <w:r/>
            <w:r>
              <w:rPr>
                <w:rFonts w:ascii="Arial" w:hAnsi="Arial"/>
                <w:b w:val="0"/>
                <w:sz w:val="18"/>
              </w:rPr>
              <w:t>user_actions</w:t>
            </w:r>
          </w:p>
        </w:tc>
        <w:tc>
          <w:tcPr>
            <w:tcW w:type="dxa" w:w="4939"/>
            <w:vAlign w:val="top"/>
          </w:tcPr>
          <w:p>
            <w:pPr>
              <w:spacing w:after="0"/>
            </w:pPr>
            <w:r/>
            <w:r>
              <w:rPr>
                <w:rFonts w:ascii="Arial" w:hAnsi="Arial"/>
                <w:b w:val="0"/>
                <w:sz w:val="18"/>
              </w:rPr>
              <w:t>Acknowledgement, correction, referral, deferral, refusal, or override where applicable.</w:t>
            </w:r>
          </w:p>
        </w:tc>
      </w:tr>
      <w:tr>
        <w:tc>
          <w:tcPr>
            <w:tcW w:type="dxa" w:w="4939"/>
            <w:vAlign w:val="top"/>
          </w:tcPr>
          <w:p>
            <w:pPr>
              <w:spacing w:after="0"/>
            </w:pPr>
            <w:r/>
            <w:r>
              <w:rPr>
                <w:rFonts w:ascii="Arial" w:hAnsi="Arial"/>
                <w:b w:val="0"/>
                <w:sz w:val="18"/>
              </w:rPr>
              <w:t>version_metadata</w:t>
            </w:r>
          </w:p>
        </w:tc>
        <w:tc>
          <w:tcPr>
            <w:tcW w:type="dxa" w:w="4939"/>
            <w:vAlign w:val="top"/>
          </w:tcPr>
          <w:p>
            <w:pPr>
              <w:spacing w:after="0"/>
            </w:pPr>
            <w:r/>
            <w:r>
              <w:rPr>
                <w:rFonts w:ascii="Arial" w:hAnsi="Arial"/>
                <w:b w:val="0"/>
                <w:sz w:val="18"/>
              </w:rPr>
              <w:t>Knowledge, rule, policy, recommendation template, ML, software, and schema versions as applicable.</w:t>
            </w:r>
          </w:p>
        </w:tc>
      </w:tr>
    </w:tbl>
    <w:p/>
    <w:p>
      <w:pPr>
        <w:pStyle w:val="Heading1"/>
      </w:pPr>
      <w:r>
        <w:t>11.0 Verification and Test Requirements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Test category</w:t>
            </w:r>
          </w:p>
        </w:tc>
        <w:tc>
          <w:tcPr>
            <w:tcW w:type="dxa" w:w="4939"/>
            <w:shd w:fill="D9EAF7"/>
          </w:tcPr>
          <w:p>
            <w:pPr>
              <w:spacing w:after="0"/>
            </w:pPr>
            <w:r/>
            <w:r>
              <w:rPr>
                <w:rFonts w:ascii="Arial" w:hAnsi="Arial"/>
                <w:b/>
                <w:sz w:val="18"/>
              </w:rPr>
              <w:t>Minimum scenario</w:t>
            </w:r>
          </w:p>
        </w:tc>
      </w:tr>
      <w:tr>
        <w:tc>
          <w:tcPr>
            <w:tcW w:type="dxa" w:w="4939"/>
            <w:vAlign w:val="top"/>
          </w:tcPr>
          <w:p>
            <w:pPr>
              <w:spacing w:after="0"/>
            </w:pPr>
            <w:r/>
            <w:r>
              <w:rPr>
                <w:rFonts w:ascii="Arial" w:hAnsi="Arial"/>
                <w:b w:val="0"/>
                <w:sz w:val="18"/>
              </w:rPr>
              <w:t>Early trigger</w:t>
            </w:r>
          </w:p>
        </w:tc>
        <w:tc>
          <w:tcPr>
            <w:tcW w:type="dxa" w:w="4939"/>
            <w:vAlign w:val="top"/>
          </w:tcPr>
          <w:p>
            <w:pPr>
              <w:spacing w:after="0"/>
            </w:pPr>
            <w:r/>
            <w:r>
              <w:rPr>
                <w:rFonts w:ascii="Arial" w:hAnsi="Arial"/>
                <w:b w:val="0"/>
                <w:sz w:val="18"/>
              </w:rPr>
              <w:t>Emergency state occurs before routine rule completion when a valid urgent field is available.</w:t>
            </w:r>
          </w:p>
        </w:tc>
      </w:tr>
      <w:tr>
        <w:tc>
          <w:tcPr>
            <w:tcW w:type="dxa" w:w="4939"/>
            <w:vAlign w:val="top"/>
          </w:tcPr>
          <w:p>
            <w:pPr>
              <w:spacing w:after="0"/>
            </w:pPr>
            <w:r/>
            <w:r>
              <w:rPr>
                <w:rFonts w:ascii="Arial" w:hAnsi="Arial"/>
                <w:b w:val="0"/>
                <w:sz w:val="18"/>
              </w:rPr>
              <w:t>Final trigger</w:t>
            </w:r>
          </w:p>
        </w:tc>
        <w:tc>
          <w:tcPr>
            <w:tcW w:type="dxa" w:w="4939"/>
            <w:vAlign w:val="top"/>
          </w:tcPr>
          <w:p>
            <w:pPr>
              <w:spacing w:after="0"/>
            </w:pPr>
            <w:r/>
            <w:r>
              <w:rPr>
                <w:rFonts w:ascii="Arial" w:hAnsi="Arial"/>
                <w:b w:val="0"/>
                <w:sz w:val="18"/>
              </w:rPr>
              <w:t>Interaction-derived emergency is detected during final review.</w:t>
            </w:r>
          </w:p>
        </w:tc>
      </w:tr>
      <w:tr>
        <w:tc>
          <w:tcPr>
            <w:tcW w:type="dxa" w:w="4939"/>
            <w:vAlign w:val="top"/>
          </w:tcPr>
          <w:p>
            <w:pPr>
              <w:spacing w:after="0"/>
            </w:pPr>
            <w:r/>
            <w:r>
              <w:rPr>
                <w:rFonts w:ascii="Arial" w:hAnsi="Arial"/>
                <w:b w:val="0"/>
                <w:sz w:val="18"/>
              </w:rPr>
              <w:t>Missing-data coexistence</w:t>
            </w:r>
          </w:p>
        </w:tc>
        <w:tc>
          <w:tcPr>
            <w:tcW w:type="dxa" w:w="4939"/>
            <w:vAlign w:val="top"/>
          </w:tcPr>
          <w:p>
            <w:pPr>
              <w:spacing w:after="0"/>
            </w:pPr>
            <w:r/>
            <w:r>
              <w:rPr>
                <w:rFonts w:ascii="Arial" w:hAnsi="Arial"/>
                <w:b w:val="0"/>
                <w:sz w:val="18"/>
              </w:rPr>
              <w:t>Emergency escalation occurs even when unrelated required records are missing.</w:t>
            </w:r>
          </w:p>
        </w:tc>
      </w:tr>
      <w:tr>
        <w:tc>
          <w:tcPr>
            <w:tcW w:type="dxa" w:w="4939"/>
            <w:vAlign w:val="top"/>
          </w:tcPr>
          <w:p>
            <w:pPr>
              <w:spacing w:after="0"/>
            </w:pPr>
            <w:r/>
            <w:r>
              <w:rPr>
                <w:rFonts w:ascii="Arial" w:hAnsi="Arial"/>
                <w:b w:val="0"/>
                <w:sz w:val="18"/>
              </w:rPr>
              <w:t>No diagnosis wording</w:t>
            </w:r>
          </w:p>
        </w:tc>
        <w:tc>
          <w:tcPr>
            <w:tcW w:type="dxa" w:w="4939"/>
            <w:vAlign w:val="top"/>
          </w:tcPr>
          <w:p>
            <w:pPr>
              <w:spacing w:after="0"/>
            </w:pPr>
            <w:r/>
            <w:r>
              <w:rPr>
                <w:rFonts w:ascii="Arial" w:hAnsi="Arial"/>
                <w:b w:val="0"/>
                <w:sz w:val="18"/>
              </w:rPr>
              <w:t>Output remains advisory and action-oriented.</w:t>
            </w:r>
          </w:p>
        </w:tc>
      </w:tr>
      <w:tr>
        <w:tc>
          <w:tcPr>
            <w:tcW w:type="dxa" w:w="4939"/>
            <w:vAlign w:val="top"/>
          </w:tcPr>
          <w:p>
            <w:pPr>
              <w:spacing w:after="0"/>
            </w:pPr>
            <w:r/>
            <w:r>
              <w:rPr>
                <w:rFonts w:ascii="Arial" w:hAnsi="Arial"/>
                <w:b w:val="0"/>
                <w:sz w:val="18"/>
              </w:rPr>
              <w:t>Correction history</w:t>
            </w:r>
          </w:p>
        </w:tc>
        <w:tc>
          <w:tcPr>
            <w:tcW w:type="dxa" w:w="4939"/>
            <w:vAlign w:val="top"/>
          </w:tcPr>
          <w:p>
            <w:pPr>
              <w:spacing w:after="0"/>
            </w:pPr>
            <w:r/>
            <w:r>
              <w:rPr>
                <w:rFonts w:ascii="Arial" w:hAnsi="Arial"/>
                <w:b w:val="0"/>
                <w:sz w:val="18"/>
              </w:rPr>
              <w:t>A corrected value creates a new execution without deleting the emergency event.</w:t>
            </w:r>
          </w:p>
        </w:tc>
      </w:tr>
      <w:tr>
        <w:tc>
          <w:tcPr>
            <w:tcW w:type="dxa" w:w="4939"/>
            <w:vAlign w:val="top"/>
          </w:tcPr>
          <w:p>
            <w:pPr>
              <w:spacing w:after="0"/>
            </w:pPr>
            <w:r/>
            <w:r>
              <w:rPr>
                <w:rFonts w:ascii="Arial" w:hAnsi="Arial"/>
                <w:b w:val="0"/>
                <w:sz w:val="18"/>
              </w:rPr>
              <w:t>Notification failure</w:t>
            </w:r>
          </w:p>
        </w:tc>
        <w:tc>
          <w:tcPr>
            <w:tcW w:type="dxa" w:w="4939"/>
            <w:vAlign w:val="top"/>
          </w:tcPr>
          <w:p>
            <w:pPr>
              <w:spacing w:after="0"/>
            </w:pPr>
            <w:r/>
            <w:r>
              <w:rPr>
                <w:rFonts w:ascii="Arial" w:hAnsi="Arial"/>
                <w:b w:val="0"/>
                <w:sz w:val="18"/>
              </w:rPr>
              <w:t>Communication failure is recorded without falsely claiming successful referral.</w:t>
            </w:r>
          </w:p>
        </w:tc>
      </w:tr>
    </w:tbl>
    <w:p/>
    <w:p>
      <w:r>
        <w:t>Each test must define the complete input snapshot, active version, expected component output, expected final effect, and expected audit records. Boundary and regression cases are mandatory before a knowledge release is activated.</w:t>
      </w:r>
    </w:p>
    <w:p>
      <w:pPr>
        <w:pStyle w:val="Heading1"/>
      </w:pPr>
      <w:r>
        <w:t>12.0 Acceptance Criteria</w:t>
      </w:r>
    </w:p>
    <w:p>
      <w:pPr>
        <w:pStyle w:val="ListBullet"/>
      </w:pPr>
      <w:r>
        <w:t>The component's inputs, outputs, and failure states are structured and documented.</w:t>
      </w:r>
    </w:p>
    <w:p>
      <w:pPr>
        <w:pStyle w:val="ListBullet"/>
      </w:pPr>
      <w:r>
        <w:t>Every result is traceable to exact patient-specific evidence and active versioned logic.</w:t>
      </w:r>
    </w:p>
    <w:p>
      <w:pPr>
        <w:pStyle w:val="ListBullet"/>
      </w:pPr>
      <w:r>
        <w:t>Missing or uncertain information is never silently converted into a negative finding.</w:t>
      </w:r>
    </w:p>
    <w:p>
      <w:pPr>
        <w:pStyle w:val="ListBullet"/>
      </w:pPr>
      <w:r>
        <w:t>Emergency and deterministic safety precedence are preserved.</w:t>
      </w:r>
    </w:p>
    <w:p>
      <w:pPr>
        <w:pStyle w:val="ListBullet"/>
      </w:pPr>
      <w:r>
        <w:t>The component can be tested independently from controllers and user-interface code.</w:t>
      </w:r>
    </w:p>
    <w:p>
      <w:pPr>
        <w:pStyle w:val="ListBullet"/>
      </w:pPr>
      <w:r>
        <w:t>Historical executions remain reproducible after future updates.</w:t>
      </w:r>
    </w:p>
    <w:p>
      <w:pPr>
        <w:pStyle w:val="ListBullet"/>
      </w:pPr>
      <w:r>
        <w:t>Clinician-facing wording stays within the intended lying-in clinic scope.</w:t>
      </w:r>
    </w:p>
    <w:p>
      <w:pPr>
        <w:pStyle w:val="ListBullet"/>
      </w:pPr>
      <w:r>
        <w:t>Qualified clinical and technical reviewers approve the implementation before real patient use.</w:t>
      </w:r>
    </w:p>
    <w:p>
      <w:pPr>
        <w:pStyle w:val="Heading1"/>
      </w:pPr>
      <w:r>
        <w:t>13.0 Implementation Notes and Prohibited Shortcuts</w:t>
      </w:r>
    </w:p>
    <w:p>
      <w:pPr>
        <w:pStyle w:val="ListBullet"/>
      </w:pPr>
      <w:r>
        <w:t>Do not store only a final color badge or label.</w:t>
      </w:r>
    </w:p>
    <w:p>
      <w:pPr>
        <w:pStyle w:val="ListBullet"/>
      </w:pPr>
      <w:r>
        <w:t>Do not place undocumented thresholds directly inside controllers or Blade templates.</w:t>
      </w:r>
    </w:p>
    <w:p>
      <w:pPr>
        <w:pStyle w:val="ListBullet"/>
      </w:pPr>
      <w:r>
        <w:t>Do not interpret blank, false, zero, unknown, and not applicable as interchangeable values.</w:t>
      </w:r>
    </w:p>
    <w:p>
      <w:pPr>
        <w:pStyle w:val="ListBullet"/>
      </w:pPr>
      <w:r>
        <w:t>Do not silently modify published clinical rules or historical results.</w:t>
      </w:r>
    </w:p>
    <w:p>
      <w:pPr>
        <w:pStyle w:val="ListBullet"/>
      </w:pPr>
      <w:r>
        <w:t>Do not allow ML output to suppress rule-based HIGH or emergency findings.</w:t>
      </w:r>
    </w:p>
    <w:p>
      <w:pPr>
        <w:pStyle w:val="ListBullet"/>
      </w:pPr>
      <w:r>
        <w:t>Do not claim diagnosis, treatment, or referral completion when the system only generated advice.</w:t>
      </w:r>
    </w:p>
    <w:p>
      <w:pPr>
        <w:pStyle w:val="ListBullet"/>
      </w:pPr>
      <w:r>
        <w:t>Do not use records from a previous delivered pregnancy for a new active pregnancy.</w:t>
      </w:r>
    </w:p>
    <w:p>
      <w:pPr>
        <w:pStyle w:val="Heading1"/>
      </w:pPr>
      <w:r>
        <w:t>14.0 Transition to the Next Part</w:t>
      </w:r>
    </w:p>
    <w:p>
      <w:r>
        <w:t>Part 7 converts the complete set of prioritized findings into controlled, scope-aware, and action-oriented recommendations suitable for review by the clinic user.</w:t>
      </w:r>
    </w:p>
    <w:p>
      <w:pPr>
        <w:pStyle w:val="Heading1"/>
      </w:pPr>
      <w:r>
        <w:t>References</w:t>
      </w:r>
    </w:p>
    <w:p>
      <w:pPr>
        <w:pStyle w:val="ListNumber"/>
      </w:pPr>
      <w:r>
        <w:t>World Health Organization. SMART Guidelines. Standards-based, Machine-readable, Adaptive, Requirements-based, and Testable digital health guidance.</w:t>
      </w:r>
    </w:p>
    <w:p>
      <w:pPr>
        <w:pStyle w:val="ListNumber"/>
      </w:pPr>
      <w:r>
        <w:t>World Health Organization. Digital Adaptation Kit for Antenatal Care: Operational requirements for implementing WHO recommendations in digital systems. Geneva: WHO; 2021. ISBN 978-92-4-002030-6.</w:t>
      </w:r>
    </w:p>
    <w:p>
      <w:pPr>
        <w:pStyle w:val="ListNumber"/>
      </w:pPr>
      <w:r>
        <w:t>World Health Organization. WHO recommendations on antenatal care for a positive pregnancy experience. Geneva: WHO; 2016, with subsequent topic updates.</w:t>
      </w:r>
    </w:p>
    <w:p>
      <w:pPr>
        <w:pStyle w:val="ListNumber"/>
      </w:pPr>
      <w:r>
        <w:t>World Health Organization. Toolkit for adaptation of the WHO recommendations for a positive pregnancy and postnatal experience. Geneva: WHO; 2025.</w:t>
      </w:r>
    </w:p>
    <w:p>
      <w:pPr>
        <w:pStyle w:val="ListNumber"/>
      </w:pPr>
      <w:r>
        <w:t>U.S. Food and Drug Administration. Clinical Decision Support Software: Guidance for Industry and Food and Drug Administration Staff. Final guidance, January 2026.</w:t>
      </w:r>
    </w:p>
    <w:p>
      <w:pPr>
        <w:pStyle w:val="ListNumber"/>
      </w:pPr>
      <w:r>
        <w:t>HL7 International. FHIR Clinical Reasoning module and versioned knowledge-artifact resources. Used as an interoperability design reference, subject to local validation.</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Document 2 - Part 6 | Emergency Override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