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</w:t>
      </w:r>
    </w:p>
    <w:p>
      <w:pPr>
        <w:jc w:val="center"/>
      </w:pPr>
      <w:r>
        <w:rPr>
          <w:rFonts w:ascii="Arial" w:hAnsi="Arial"/>
          <w:b/>
          <w:sz w:val="44"/>
        </w:rPr>
        <w:t>Clinical Decision Support Decision Engine Specification</w:t>
      </w:r>
    </w:p>
    <w:p>
      <w:pPr>
        <w:jc w:val="center"/>
      </w:pPr>
      <w:r>
        <w:rPr>
          <w:rFonts w:ascii="Arial" w:hAnsi="Arial"/>
          <w:b/>
          <w:sz w:val="31"/>
        </w:rPr>
        <w:t>Part 7 - Recommendation Generation Engine</w:t>
      </w:r>
    </w:p>
    <w:p/>
    <w:p>
      <w:pPr>
        <w:jc w:val="center"/>
      </w:pPr>
      <w:r>
        <w:rPr>
          <w:rFonts w:ascii="Arial" w:hAnsi="Arial"/>
          <w:sz w:val="24"/>
        </w:rPr>
        <w:t>Development of an Explainable Clinical Decision Support System</w:t>
      </w:r>
    </w:p>
    <w:p>
      <w:pPr>
        <w:jc w:val="center"/>
      </w:pPr>
      <w:r>
        <w:rPr>
          <w:rFonts w:ascii="Arial" w:hAnsi="Arial"/>
          <w:sz w:val="24"/>
        </w:rPr>
        <w:t>for a Web-Based Maternity Management System</w:t>
      </w:r>
    </w:p>
    <w:p>
      <w:pPr>
        <w:jc w:val="center"/>
      </w:pPr>
      <w:r>
        <w:rPr>
          <w:rFonts w:ascii="Arial" w:hAnsi="Arial"/>
          <w:sz w:val="24"/>
        </w:rPr>
        <w:t>in a Philippine Lying-in Clinic</w:t>
      </w:r>
    </w:p>
    <w:p/>
    <w:p>
      <w:pPr>
        <w:jc w:val="center"/>
      </w:pPr>
      <w:r>
        <w:rPr>
          <w:i/>
        </w:rPr>
        <w:t>Version 2.0 - Expanded and Harmonized Research Draft</w:t>
      </w:r>
    </w:p>
    <w:p>
      <w:pPr>
        <w:jc w:val="center"/>
      </w:pPr>
      <w:r>
        <w:rPr>
          <w:i/>
        </w:rPr>
        <w:t>July 2026</w:t>
      </w:r>
    </w:p>
    <w:p>
      <w:r>
        <w:br w:type="page"/>
      </w:r>
    </w:p>
    <w:p>
      <w:pPr>
        <w:pStyle w:val="Heading1"/>
      </w:pPr>
      <w:r>
        <w:t>Clinical Safety Statement</w:t>
      </w:r>
    </w:p>
    <w:p>
      <w:r>
        <w:t>The Recommendation Generation Engine converts structured findings into advisory, clinic-appropriate guidance. It does not prescribe medicines, issue autonomous orders, diagnose conditions, or claim that a referral or emergency transfer has occurred.</w:t>
      </w:r>
    </w:p>
    <w:p>
      <w:r>
        <w:t>This specification must be reviewed against applicable Philippine professional, institutional, privacy, records-management, referral, and health-service requirements before real clinical deployment.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2 - Clinical Decision Support Decision Engine Specification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 7 of 12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 Generation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Expanded architecture specification harmonized with Parts 10-12.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Depends 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0, Document 1, and preceding Document 2 parts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Feeds into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Part 8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Research and architecture draft; not production authorization.</w:t>
            </w:r>
          </w:p>
        </w:tc>
      </w:tr>
    </w:tbl>
    <w:p/>
    <w:p>
      <w:pPr>
        <w:pStyle w:val="Heading1"/>
      </w:pPr>
      <w:r>
        <w:t>Executive Architecture Decision</w:t>
      </w:r>
    </w:p>
    <w:p>
      <w:r>
        <w:t>Recommendations shall be generated from controlled versioned templates and patient-specific variables. Their priority must reflect emergency, high-risk, incomplete, and routine states. Every recommendation shall identify its basis, limitations, and the action expected from the healthcare user.</w:t>
      </w:r>
    </w:p>
    <w:p>
      <w:pPr>
        <w:pStyle w:val="Heading1"/>
      </w:pPr>
      <w:r>
        <w:t>1.0 Purpose and Scope</w:t>
      </w:r>
    </w:p>
    <w:p>
      <w:r>
        <w:t>This part defines the Recommendation Generation Engine as a formal component of the complete Decision Engine.</w:t>
      </w:r>
    </w:p>
    <w:p>
      <w:pPr>
        <w:pStyle w:val="ListNumber"/>
      </w:pPr>
      <w:r>
        <w:t>Translate technical findings into understandable and actionable clinical support.</w:t>
      </w:r>
    </w:p>
    <w:p>
      <w:pPr>
        <w:pStyle w:val="ListNumber"/>
      </w:pPr>
      <w:r>
        <w:t>Prioritize recommendations according to emergency and safety precedence.</w:t>
      </w:r>
    </w:p>
    <w:p>
      <w:pPr>
        <w:pStyle w:val="ListNumber"/>
      </w:pPr>
      <w:r>
        <w:t>Keep wording within the capability and scope of a lying-in clinic.</w:t>
      </w:r>
    </w:p>
    <w:p>
      <w:pPr>
        <w:pStyle w:val="ListNumber"/>
      </w:pPr>
      <w:r>
        <w:t>Separate recommendation from actual human action or referral completion.</w:t>
      </w:r>
    </w:p>
    <w:p>
      <w:pPr>
        <w:pStyle w:val="ListNumber"/>
      </w:pPr>
      <w:r>
        <w:t>Produce stable identifiers and exact text snapshots for audit and explanation.</w:t>
      </w:r>
    </w:p>
    <w:p>
      <w:pPr>
        <w:pStyle w:val="Heading1"/>
      </w:pPr>
      <w:r>
        <w:t>2.0 Architectural Foundations</w:t>
      </w:r>
    </w:p>
    <w:p>
      <w:r>
        <w:t>The component follows a software-neutral translation approach: clinical meaning is documented first, then implemented through governed software services. It supports the WHO SMART Guidelines direction of standards-based, machine-readable, adaptive, requirements-based, and testable digital health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Evidence-linked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Every recommendation maps to one or more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Scope-aware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system recommends monitoring, review, referral, or data completion rather than unsupported treatment.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 ordered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and urgent guidance appears before routine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Controlled language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Templates are reviewed, versioned, and protected from arbitrary code-generated prose.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Action-oriented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user can understand the next safe step.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false completion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recommendation to refer is not recorded as a completed referral.</w:t>
            </w:r>
          </w:p>
        </w:tc>
      </w:tr>
    </w:tbl>
    <w:p/>
    <w:p>
      <w:pPr>
        <w:pStyle w:val="Heading1"/>
      </w:pPr>
      <w:r>
        <w:t>3.0 Inputs and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Input group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Final decision state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Emergency, HIGH, LOW, INCOMPLETE, or technical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and interaction findings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Patient-specific reasons and priorities.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Conflict and limitation records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Resolved and unresolved uncertainty.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Clinic scope and referral configuration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Available services, destinations, and approved action wording.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 template release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Versioned text, variables, priority, and eligibility criteria.</w:t>
            </w:r>
          </w:p>
        </w:tc>
      </w:tr>
    </w:tbl>
    <w:p/>
    <w:p>
      <w:r>
        <w:t>All inputs must retain source identifiers, patient and pregnancy context, relevant timestamps, validation status, and the active knowledge or policy version.</w:t>
      </w:r>
    </w:p>
    <w:p>
      <w:pPr>
        <w:pStyle w:val="Heading1"/>
      </w:pPr>
      <w:r>
        <w:t>4.0 Internal Processing Workflow</w:t>
      </w:r>
    </w:p>
    <w:p>
      <w:pPr>
        <w:pStyle w:val="ListNumber"/>
      </w:pPr>
      <w:r>
        <w:t>Determine the highest applicable output priority.</w:t>
      </w:r>
    </w:p>
    <w:p>
      <w:pPr>
        <w:pStyle w:val="ListNumber"/>
      </w:pPr>
      <w:r>
        <w:t>Select all eligible recommendation templates.</w:t>
      </w:r>
    </w:p>
    <w:p>
      <w:pPr>
        <w:pStyle w:val="ListNumber"/>
      </w:pPr>
      <w:r>
        <w:t>Suppress duplicate wording without deleting contributing findings.</w:t>
      </w:r>
    </w:p>
    <w:p>
      <w:pPr>
        <w:pStyle w:val="ListNumber"/>
      </w:pPr>
      <w:r>
        <w:t>Order emergency, referral, monitoring, data-completion, and informational guidance.</w:t>
      </w:r>
    </w:p>
    <w:p>
      <w:pPr>
        <w:pStyle w:val="ListNumber"/>
      </w:pPr>
      <w:r>
        <w:t>Populate patient-specific variables from validated provenance.</w:t>
      </w:r>
    </w:p>
    <w:p>
      <w:pPr>
        <w:pStyle w:val="ListNumber"/>
      </w:pPr>
      <w:r>
        <w:t>Attach supporting rule IDs, evidence references, limitations, and template versions.</w:t>
      </w:r>
    </w:p>
    <w:p>
      <w:pPr>
        <w:pStyle w:val="ListNumber"/>
      </w:pPr>
      <w:r>
        <w:t>Generate structured action controls without marking actions completed.</w:t>
      </w:r>
    </w:p>
    <w:p>
      <w:pPr>
        <w:pStyle w:val="ListNumber"/>
      </w:pPr>
      <w:r>
        <w:t>Forward the package to the Explainability Engine.</w:t>
      </w:r>
    </w:p>
    <w:p>
      <w:pPr>
        <w:pStyle w:val="Heading1"/>
      </w:pPr>
      <w:r>
        <w:t>5.0 Decision Logic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Condition or scenario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system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Display immediate escalation guidance and trigger-specific reason.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 prompt clinical review and referral according to clinic protocol.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ASSESSMENT INCOMPLETE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Identify exact missing or invalid information and avoid reassurance.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Provide routine follow-up wording while disclosing the evidence scope and limitations.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Referral refusal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Support documentation of refusal or waiver without changing the original recommendation.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Delivered pregnancy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generate new prenatal recommendations; display historical context only.</w:t>
            </w:r>
          </w:p>
        </w:tc>
      </w:tr>
    </w:tbl>
    <w:p/>
    <w:p>
      <w:r>
        <w:t>The listed logic represents the current documented capstone architecture. Exact clinical thresholds, wording, applicability, and urgency must remain linked to qualified review and versioned evidence sources.</w:t>
      </w:r>
    </w:p>
    <w:p>
      <w:pPr>
        <w:pStyle w:val="Heading1"/>
      </w:pPr>
      <w:r>
        <w:t>6.0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Output field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execution_id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decision execution identifier.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Completed, incomplete, unable to evaluate, emergency interruption, or failed.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Machine-readable findings with controlled identifiers and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patient_specific_rationale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 and source records that caused each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stale, conflicting, unavailable, or out-of-scope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priority_effect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effect, routine, HIGH, urgent, or emergency effect as approved.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next_component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Named downstream engine or terminal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Timestamps, actor or system process, rule/policy release, and software version.</w:t>
            </w:r>
          </w:p>
        </w:tc>
      </w:tr>
    </w:tbl>
    <w:p/>
    <w:p>
      <w:pPr>
        <w:pStyle w:val="Heading1"/>
      </w:pPr>
      <w:r>
        <w:t>7.0 Safety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Safety purpose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Template governance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unsafe wording changes in ordinary code edits.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 sorting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routine advice from preceding urgent action.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autonomous action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Requires authorized user confirmation for referral workflows.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 attachment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recommendations from appearing more certain than the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Exact text snapshot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Preserves what the user actually saw.</w:t>
            </w:r>
          </w:p>
        </w:tc>
      </w:tr>
    </w:tbl>
    <w:p/>
    <w:p>
      <w:pPr>
        <w:pStyle w:val="Heading1"/>
      </w:pPr>
      <w:r>
        <w:t>8.0 Failure and Degraded-Operation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Failure condition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response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dependency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invent a result; return a controlled unavailable or incomplete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value or schema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 the value for clinical reasoning and record the validation or processing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release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 execution and display a controlled configuration error.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write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mark the component or decision execution as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Audit/provenance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claim the output is fully trustworthy or auditable.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Unauthorized operation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Deny the action and create a security event.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exception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 a safe message, log technical details securely, and avoid exposing sensitive information.</w:t>
            </w:r>
          </w:p>
        </w:tc>
      </w:tr>
    </w:tbl>
    <w:p/>
    <w:p>
      <w:pPr>
        <w:pStyle w:val="Heading1"/>
      </w:pPr>
      <w:r>
        <w:t>9.0 Laravel-Oriented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Proposed component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RecommendationEngine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Selects and assembles recommendation objects.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RecommendationTemplateRepository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Loads approved versioned templates.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ReferralWorkflowService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Executes a separate user-authorized referral action.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Blade components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Render priorities consistently and accessibly.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DecisionRecommendation model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identifiers, text snapshot, priority, and supporting findings.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Localization layer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May support approved language versions without changing clinical meaning.</w:t>
            </w:r>
          </w:p>
        </w:tc>
      </w:tr>
    </w:tbl>
    <w:p/>
    <w:p>
      <w:r>
        <w:t>Controllers should not contain the complete clinical reasoning logic. They should coordinate authorization, request handling, service invocation, and presentation. Clinical meaning belongs in versioned domain services and knowledge artifacts.</w:t>
      </w:r>
    </w:p>
    <w:p>
      <w:pPr>
        <w:pStyle w:val="Heading1"/>
      </w:pPr>
      <w:r>
        <w:t>10.0 Data and Audit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component_execution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execution ID, component name, start/end time, status, active versions, and correlation ID.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input_references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record IDs, original values, normalized values, units, and timestamps.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 outcome, rationale, priority effect, and next component.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conflicting, uncertain, or unavailable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user_actions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Acknowledgement, correction, referral, deferral, refusal, or override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Knowledge, rule, policy, recommendation template, ML, software, and schema versions as applicable.</w:t>
            </w:r>
          </w:p>
        </w:tc>
      </w:tr>
    </w:tbl>
    <w:p/>
    <w:p>
      <w:pPr>
        <w:pStyle w:val="Heading1"/>
      </w:pPr>
      <w:r>
        <w:t>11.0 Verification and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Test category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scenario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 order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Emergency wording always precedes routine or completion guidance.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State coverage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final state has an approved output package.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duplicate loss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Duplicate wording is consolidated while all supporting findings remain linked.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Scope wording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recommendation diagnoses or prescribes.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Referral distinction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 generation does not mark a referral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Template version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Historical execution retains the exact template version and text.</w:t>
            </w:r>
          </w:p>
        </w:tc>
      </w:tr>
    </w:tbl>
    <w:p/>
    <w:p>
      <w:r>
        <w:t>Each test must define the complete input snapshot, active version, expected component output, expected final effect, and expected audit records. Boundary and regression cases are mandatory before a knowledge release is activated.</w:t>
      </w:r>
    </w:p>
    <w:p>
      <w:pPr>
        <w:pStyle w:val="Heading1"/>
      </w:pPr>
      <w:r>
        <w:t>12.0 Acceptance Criteria</w:t>
      </w:r>
    </w:p>
    <w:p>
      <w:pPr>
        <w:pStyle w:val="ListBullet"/>
      </w:pPr>
      <w:r>
        <w:t>The component's inputs, outputs, and failure states are structured and documented.</w:t>
      </w:r>
    </w:p>
    <w:p>
      <w:pPr>
        <w:pStyle w:val="ListBullet"/>
      </w:pPr>
      <w:r>
        <w:t>Every result is traceable to exact patient-specific evidence and active versioned logic.</w:t>
      </w:r>
    </w:p>
    <w:p>
      <w:pPr>
        <w:pStyle w:val="ListBullet"/>
      </w:pPr>
      <w:r>
        <w:t>Missing or uncertain information is never silently converted into a negative finding.</w:t>
      </w:r>
    </w:p>
    <w:p>
      <w:pPr>
        <w:pStyle w:val="ListBullet"/>
      </w:pPr>
      <w:r>
        <w:t>Emergency and deterministic safety precedence are preserved.</w:t>
      </w:r>
    </w:p>
    <w:p>
      <w:pPr>
        <w:pStyle w:val="ListBullet"/>
      </w:pPr>
      <w:r>
        <w:t>The component can be tested independently from controllers and user-interface code.</w:t>
      </w:r>
    </w:p>
    <w:p>
      <w:pPr>
        <w:pStyle w:val="ListBullet"/>
      </w:pPr>
      <w:r>
        <w:t>Historical executions remain reproducible after future updates.</w:t>
      </w:r>
    </w:p>
    <w:p>
      <w:pPr>
        <w:pStyle w:val="ListBullet"/>
      </w:pPr>
      <w:r>
        <w:t>Clinician-facing wording stays within the intended lying-in clinic scope.</w:t>
      </w:r>
    </w:p>
    <w:p>
      <w:pPr>
        <w:pStyle w:val="ListBullet"/>
      </w:pPr>
      <w:r>
        <w:t>Qualified clinical and technical reviewers approve the implementation before real patient use.</w:t>
      </w:r>
    </w:p>
    <w:p>
      <w:pPr>
        <w:pStyle w:val="Heading1"/>
      </w:pPr>
      <w:r>
        <w:t>13.0 Implementation Notes and Prohibited Shortcuts</w:t>
      </w:r>
    </w:p>
    <w:p>
      <w:pPr>
        <w:pStyle w:val="ListBullet"/>
      </w:pPr>
      <w:r>
        <w:t>Do not store only a final color badge or label.</w:t>
      </w:r>
    </w:p>
    <w:p>
      <w:pPr>
        <w:pStyle w:val="ListBullet"/>
      </w:pPr>
      <w:r>
        <w:t>Do not place undocumented thresholds directly inside controllers or Blade templates.</w:t>
      </w:r>
    </w:p>
    <w:p>
      <w:pPr>
        <w:pStyle w:val="ListBullet"/>
      </w:pPr>
      <w:r>
        <w:t>Do not interpret blank, false, zero, unknown, and not applicable as interchangeable values.</w:t>
      </w:r>
    </w:p>
    <w:p>
      <w:pPr>
        <w:pStyle w:val="ListBullet"/>
      </w:pPr>
      <w:r>
        <w:t>Do not silently modify published clinical rules or historical results.</w:t>
      </w:r>
    </w:p>
    <w:p>
      <w:pPr>
        <w:pStyle w:val="ListBullet"/>
      </w:pPr>
      <w:r>
        <w:t>Do not allow ML output to suppress rule-based HIGH or emergency findings.</w:t>
      </w:r>
    </w:p>
    <w:p>
      <w:pPr>
        <w:pStyle w:val="ListBullet"/>
      </w:pPr>
      <w:r>
        <w:t>Do not claim diagnosis, treatment, or referral completion when the system only generated advice.</w:t>
      </w:r>
    </w:p>
    <w:p>
      <w:pPr>
        <w:pStyle w:val="ListBullet"/>
      </w:pPr>
      <w:r>
        <w:t>Do not use records from a previous delivered pregnancy for a new active pregnancy.</w:t>
      </w:r>
    </w:p>
    <w:p>
      <w:pPr>
        <w:pStyle w:val="Heading1"/>
      </w:pPr>
      <w:r>
        <w:t>14.0 Transition to the Next Part</w:t>
      </w:r>
    </w:p>
    <w:p>
      <w:r>
        <w:t>Part 8 converts the structured provenance and recommendation package into a clear explanation that allows the healthcare professional to understand and independently review the basis of the output.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SMART Guidelines. Standards-based, Machine-readable, Adaptive, Requirements-based, and Testable digital health guidance.</w:t>
      </w:r>
    </w:p>
    <w:p>
      <w:pPr>
        <w:pStyle w:val="ListNumber"/>
      </w:pPr>
      <w:r>
        <w:t>World Health Organization. Digital Adaptation Kit for Antenatal Care: Operational requirements for implementing WHO recommendations in digital systems. Geneva: WHO; 2021. ISBN 978-92-4-002030-6.</w:t>
      </w:r>
    </w:p>
    <w:p>
      <w:pPr>
        <w:pStyle w:val="ListNumber"/>
      </w:pPr>
      <w:r>
        <w:t>World Health Organization. WHO recommendations on antenatal care for a positive pregnancy experience. Geneva: WHO; 2016, with subsequent topic updates.</w:t>
      </w:r>
    </w:p>
    <w:p>
      <w:pPr>
        <w:pStyle w:val="ListNumber"/>
      </w:pPr>
      <w:r>
        <w:t>World Health Organization. Toolkit for adaptation of the WHO recommendations for a positive pregnancy and postnatal experience. Geneva: WHO; 2025.</w:t>
      </w:r>
    </w:p>
    <w:p>
      <w:pPr>
        <w:pStyle w:val="ListNumber"/>
      </w:pPr>
      <w:r>
        <w:t>U.S. Food and Drug Administration. Clinical Decision Support Software: Guidance for Industry and Food and Drug Administration Staff. Final guidance, January 2026.</w:t>
      </w:r>
    </w:p>
    <w:p>
      <w:pPr>
        <w:pStyle w:val="ListNumber"/>
      </w:pPr>
      <w:r>
        <w:t>HL7 International. FHIR Clinical Reasoning module and versioned knowledge-artifact resources. Used as an interoperability design reference, subject to local validation.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 2 - Part 7 | Recommendation Generation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