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60"/>
        <w:jc w:val="center"/>
      </w:pPr>
      <w:r>
        <w:rPr>
          <w:rFonts w:ascii="Aptos" w:hAnsi="Aptos" w:eastAsia="Aptos"/>
          <w:b/>
          <w:color w:val="2F5597"/>
          <w:sz w:val="28"/>
        </w:rPr>
        <w:t>DOCUMENT 3</w:t>
      </w:r>
    </w:p>
    <w:p>
      <w:pPr>
        <w:spacing w:before="120"/>
        <w:jc w:val="center"/>
      </w:pPr>
      <w:r>
        <w:rPr>
          <w:rFonts w:ascii="Aptos" w:hAnsi="Aptos" w:eastAsia="Aptos"/>
          <w:b/>
          <w:color w:val="17365D"/>
          <w:sz w:val="48"/>
        </w:rPr>
        <w:t>PART 12</w:t>
        <w:br/>
        <w:t>COMPLETE MACHINE LEARNING ARCHITECTURE SPECIFICATION</w:t>
      </w:r>
    </w:p>
    <w:p>
      <w:pPr>
        <w:spacing w:before="200"/>
        <w:jc w:val="center"/>
      </w:pPr>
      <w:r>
        <w:rPr>
          <w:rFonts w:ascii="Aptos" w:hAnsi="Aptos" w:eastAsia="Aptos"/>
          <w:b w:val="0"/>
          <w:color w:val="2F5597"/>
          <w:sz w:val="24"/>
        </w:rPr>
        <w:t>Consolidated End-to-End Design for the Explainable Maternity Clinical Decision Support System</w:t>
      </w:r>
    </w:p>
    <w:p>
      <w:pPr>
        <w:spacing w:before="520"/>
        <w:jc w:val="center"/>
      </w:pPr>
      <w:r>
        <w:rPr>
          <w:rFonts w:ascii="Aptos" w:hAnsi="Aptos" w:eastAsia="Aptos"/>
          <w:b w:val="0"/>
          <w:color w:val="1F1F1F"/>
          <w:sz w:val="22"/>
        </w:rPr>
        <w:t>Development of an Explainable Clinical Decision Support System</w:t>
        <w:br/>
        <w:t>for a Web-Based Maternity Management System in a Philippine Lying-in Clinic</w:t>
      </w:r>
    </w:p>
    <w:p>
      <w:pPr>
        <w:spacing w:before="680"/>
        <w:jc w:val="center"/>
      </w:pPr>
      <w:r>
        <w:rPr>
          <w:rFonts w:ascii="Aptos" w:hAnsi="Aptos" w:eastAsia="Aptos"/>
          <w:b/>
          <w:color w:val="17365D"/>
          <w:sz w:val="22"/>
        </w:rPr>
        <w:t>Architecture Specification</w:t>
      </w:r>
    </w:p>
    <w:p>
      <w:pPr>
        <w:jc w:val="center"/>
      </w:pPr>
      <w:r>
        <w:rPr>
          <w:rFonts w:ascii="Aptos" w:hAnsi="Aptos" w:eastAsia="Aptos"/>
          <w:b w:val="0"/>
          <w:color w:val="2F5597"/>
          <w:sz w:val="21"/>
        </w:rPr>
        <w:t>Laravel → Python → Random Forest → Deterministic Decision Engine</w:t>
      </w:r>
    </w:p>
    <w:p>
      <w:pPr>
        <w:spacing w:before="720"/>
        <w:jc w:val="center"/>
      </w:pPr>
      <w:r>
        <w:rPr>
          <w:rFonts w:ascii="Aptos" w:hAnsi="Aptos" w:eastAsia="Aptos"/>
          <w:b w:val="0"/>
          <w:color w:val="1F1F1F"/>
          <w:sz w:val="19"/>
        </w:rPr>
        <w:t>Version 1.0 | July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D9EA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ptos" w:hAnsi="Aptos" w:eastAsia="Aptos"/>
                <w:b/>
                <w:color w:val="17365D"/>
                <w:sz w:val="21"/>
              </w:rPr>
              <w:t>Consolidated architecture statement</w:t>
            </w:r>
          </w:p>
          <w:p>
            <w:pPr>
              <w:pStyle w:val="Callout"/>
            </w:pPr>
            <w:r>
              <w:t>The system is a hybrid, explainable clinical decision support architecture. Laravel manages authenticated workflow and clinical records; Python executes a frozen Random Forest model; a deterministic decision engine applies mandatory safety rules; and the interface presents HIGH, LOW, or ASSESSMENT INCOMPLETE with reasons and action-oriented guidance. The system supports, but never replaces, professional judgment and referral.</w:t>
            </w:r>
          </w:p>
        </w:tc>
      </w:tr>
    </w:tbl>
    <w:p>
      <w:pPr>
        <w:spacing w:after="0"/>
      </w:pPr>
    </w:p>
    <w:p>
      <w:pPr>
        <w:pStyle w:val="Heading1"/>
      </w:pPr>
      <w:r>
        <w:t>12.1 Executive Architecture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6"/>
        <w:gridCol w:w="1646"/>
        <w:gridCol w:w="1646"/>
        <w:gridCol w:w="1646"/>
        <w:gridCol w:w="1646"/>
        <w:gridCol w:w="1646"/>
      </w:tblGrid>
      <w:tr>
        <w:tc>
          <w:tcPr>
            <w:tcW w:type="dxa" w:w="1646"/>
            <w:shd w:fill="D9EAF7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17365D"/>
                <w:sz w:val="17"/>
              </w:rPr>
              <w:t>Clinical Records</w:t>
            </w:r>
          </w:p>
        </w:tc>
        <w:tc>
          <w:tcPr>
            <w:tcW w:type="dxa" w:w="1646"/>
            <w:shd w:fill="F4F8FC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7365D"/>
                <w:sz w:val="17"/>
              </w:rPr>
              <w:t>Feature Contract</w:t>
            </w:r>
          </w:p>
        </w:tc>
        <w:tc>
          <w:tcPr>
            <w:tcW w:type="dxa" w:w="1646"/>
            <w:shd w:fill="D9EAF7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7365D"/>
                <w:sz w:val="17"/>
              </w:rPr>
              <w:t>Python Inference</w:t>
            </w:r>
          </w:p>
        </w:tc>
        <w:tc>
          <w:tcPr>
            <w:tcW w:type="dxa" w:w="1646"/>
            <w:shd w:fill="F4F8FC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7365D"/>
                <w:sz w:val="17"/>
              </w:rPr>
              <w:t>ML HIGH/LOW</w:t>
            </w:r>
          </w:p>
        </w:tc>
        <w:tc>
          <w:tcPr>
            <w:tcW w:type="dxa" w:w="1646"/>
            <w:shd w:fill="D9EAF7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7365D"/>
                <w:sz w:val="17"/>
              </w:rPr>
              <w:t>Safety Rules</w:t>
            </w:r>
          </w:p>
        </w:tc>
        <w:tc>
          <w:tcPr>
            <w:tcW w:type="dxa" w:w="1646"/>
            <w:shd w:fill="F4F8FC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17365D"/>
                <w:sz w:val="17"/>
              </w:rPr>
              <w:t>Final Explainable State</w:t>
            </w:r>
          </w:p>
        </w:tc>
      </w:tr>
    </w:tbl>
    <w:p/>
    <w:p>
      <w:r>
        <w:t>The architecture deliberately separates prediction from decision. The Random Forest supplies a machine-learning prediction, but the final state is generated only after completeness checks, output validation, and deterministic clinical rules. This prevents a model LOW from overriding known risk factors and prevents technical failure or missing information from being presented as reassurance.</w:t>
      </w:r>
    </w:p>
    <w:p>
      <w:pPr>
        <w:pStyle w:val="Heading1"/>
      </w:pPr>
      <w:r>
        <w:t>12.2 System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44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Element</w:t>
            </w:r>
          </w:p>
        </w:tc>
        <w:tc>
          <w:tcPr>
            <w:tcW w:type="dxa" w:w="763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Architectural Role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Patient and prenatal records</w:t>
            </w:r>
          </w:p>
        </w:tc>
        <w:tc>
          <w:tcPr>
            <w:tcW w:type="dxa" w:w="76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Authoritative operational source for demographic, medical history, prenatal visit, birth plan, and structured ultrasound information.</w:t>
            </w:r>
          </w:p>
        </w:tc>
      </w:tr>
      <w:tr>
        <w:tc>
          <w:tcPr>
            <w:tcW w:type="dxa" w:w="2448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Laravel application</w:t>
            </w:r>
          </w:p>
        </w:tc>
        <w:tc>
          <w:tcPr>
            <w:tcW w:type="dxa" w:w="7632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Authentication, authorization, validation, workflow, controllers, persistence, UI, audit logging, and referral support.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Feature builder</w:t>
            </w:r>
          </w:p>
        </w:tc>
        <w:tc>
          <w:tcPr>
            <w:tcW w:type="dxa" w:w="76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Maps database values to the exact model input contract and preserves required categories, order, type, and missingness policy.</w:t>
            </w:r>
          </w:p>
        </w:tc>
      </w:tr>
      <w:tr>
        <w:tc>
          <w:tcPr>
            <w:tcW w:type="dxa" w:w="2448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Python inference component</w:t>
            </w:r>
          </w:p>
        </w:tc>
        <w:tc>
          <w:tcPr>
            <w:tcW w:type="dxa" w:w="7632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Loads the approved preprocessing/model artifact, performs prediction, and returns a strictly validated output.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Random Forest</w:t>
            </w:r>
          </w:p>
        </w:tc>
        <w:tc>
          <w:tcPr>
            <w:tcW w:type="dxa" w:w="76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Produces HIGH or LOW as a predictive signal based on the trained feature space.</w:t>
            </w:r>
          </w:p>
        </w:tc>
      </w:tr>
      <w:tr>
        <w:tc>
          <w:tcPr>
            <w:tcW w:type="dxa" w:w="2448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Deterministic decision engine</w:t>
            </w:r>
          </w:p>
        </w:tc>
        <w:tc>
          <w:tcPr>
            <w:tcW w:type="dxa" w:w="7632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Checks completeness, validates ML output, applies rule-based HIGH triggers, composes reasons, and generates the final state.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User interface</w:t>
            </w:r>
          </w:p>
        </w:tc>
        <w:tc>
          <w:tcPr>
            <w:tcW w:type="dxa" w:w="76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Displays state, explanations, limitations, urgent cues, referral actions, and incomplete requirements.</w:t>
            </w:r>
          </w:p>
        </w:tc>
      </w:tr>
      <w:tr>
        <w:tc>
          <w:tcPr>
            <w:tcW w:type="dxa" w:w="2448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Audit and governance layer</w:t>
            </w:r>
          </w:p>
        </w:tc>
        <w:tc>
          <w:tcPr>
            <w:tcW w:type="dxa" w:w="7632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Links every assessment to inputs, code/model/rule versions, actor, time, outcome, and operational events.</w:t>
            </w:r>
          </w:p>
        </w:tc>
      </w:tr>
    </w:tbl>
    <w:p>
      <w:pPr>
        <w:spacing w:after="0"/>
      </w:pPr>
    </w:p>
    <w:p>
      <w:pPr>
        <w:pStyle w:val="Heading1"/>
      </w:pPr>
      <w:r>
        <w:t>12.3 Intended Use, Users, and Limitations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777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Specification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Purpose</w:t>
            </w:r>
          </w:p>
        </w:tc>
        <w:tc>
          <w:tcPr>
            <w:tcW w:type="dxa" w:w="77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Support prenatal risk recognition, documentation, and referral decisions in a lying-in clinic.</w:t>
            </w:r>
          </w:p>
        </w:tc>
      </w:tr>
      <w:tr>
        <w:tc>
          <w:tcPr>
            <w:tcW w:type="dxa" w:w="2304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Users</w:t>
            </w:r>
          </w:p>
        </w:tc>
        <w:tc>
          <w:tcPr>
            <w:tcW w:type="dxa" w:w="7776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Authorized clinic staff and midwives who understand clinic protocols and system limitations.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Final states</w:t>
            </w:r>
          </w:p>
        </w:tc>
        <w:tc>
          <w:tcPr>
            <w:tcW w:type="dxa" w:w="77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HIGH, LOW, and ASSESSMENT INCOMPLETE. No MODERATE category is used.</w:t>
            </w:r>
          </w:p>
        </w:tc>
      </w:tr>
      <w:tr>
        <w:tc>
          <w:tcPr>
            <w:tcW w:type="dxa" w:w="2304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Human role</w:t>
            </w:r>
          </w:p>
        </w:tc>
        <w:tc>
          <w:tcPr>
            <w:tcW w:type="dxa" w:w="7776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Review patient context, confirm data accuracy, act on urgent findings, communicate with the patient, and decide referral according to policy.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Model role</w:t>
            </w:r>
          </w:p>
        </w:tc>
        <w:tc>
          <w:tcPr>
            <w:tcW w:type="dxa" w:w="77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Provide one predictive input; it does not make the autonomous final clinical decision.</w:t>
            </w:r>
          </w:p>
        </w:tc>
      </w:tr>
      <w:tr>
        <w:tc>
          <w:tcPr>
            <w:tcW w:type="dxa" w:w="2304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Ultrasound role</w:t>
            </w:r>
          </w:p>
        </w:tc>
        <w:tc>
          <w:tcPr>
            <w:tcW w:type="dxa" w:w="7776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Structured findings are recorded and may trigger explicit rules; images are not interpreted by the system.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Prohibited interpretation</w:t>
            </w:r>
          </w:p>
        </w:tc>
        <w:tc>
          <w:tcPr>
            <w:tcW w:type="dxa" w:w="77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LOW is not a diagnosis, not a guarantee of safe delivery, and not permission to ignore new symptoms or professional concern.</w:t>
            </w:r>
          </w:p>
        </w:tc>
      </w:tr>
    </w:tbl>
    <w:p>
      <w:pPr>
        <w:spacing w:after="0"/>
      </w:pPr>
    </w:p>
    <w:p>
      <w:pPr>
        <w:pStyle w:val="Heading1"/>
      </w:pPr>
      <w:r>
        <w:t>12.4 Data Architecture</w:t>
      </w:r>
    </w:p>
    <w:p>
      <w:pPr>
        <w:pStyle w:val="ListBullet"/>
        <w:spacing w:after="40"/>
      </w:pPr>
      <w:r>
        <w:t>The operational database is the source of truth for active clinical records and workflow state.</w:t>
      </w:r>
    </w:p>
    <w:p>
      <w:pPr>
        <w:pStyle w:val="ListBullet"/>
        <w:spacing w:after="40"/>
      </w:pPr>
      <w:r>
        <w:t>The model feature contract must be explicitly documented, versioned, and identical between training and inference.</w:t>
      </w:r>
    </w:p>
    <w:p>
      <w:pPr>
        <w:pStyle w:val="ListBullet"/>
        <w:spacing w:after="40"/>
      </w:pPr>
      <w:r>
        <w:t>Required records for a complete assessment are Medical History, Ultrasound, and Birth Plan, together with the prenatal visit information needed by the implemented assessment.</w:t>
      </w:r>
    </w:p>
    <w:p>
      <w:pPr>
        <w:pStyle w:val="ListBullet"/>
        <w:spacing w:after="40"/>
      </w:pPr>
      <w:r>
        <w:t>Missing required records cause ASSESSMENT INCOMPLETE; they are not silently converted into a LOW decision.</w:t>
      </w:r>
    </w:p>
    <w:p>
      <w:pPr>
        <w:pStyle w:val="ListBullet"/>
        <w:spacing w:after="40"/>
      </w:pPr>
      <w:r>
        <w:t>Research or training datasets must be governed separately from production records through de-identification, provenance, labeling, versioning, and patient-level partitioning.</w:t>
      </w:r>
    </w:p>
    <w:p>
      <w:pPr>
        <w:pStyle w:val="Heading1"/>
      </w:pPr>
      <w:r>
        <w:t>12.5 Machine Learning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08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799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Specification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Algorithm</w:t>
            </w:r>
          </w:p>
        </w:tc>
        <w:tc>
          <w:tcPr>
            <w:tcW w:type="dxa" w:w="79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Random Forest classifier selected for robust nonlinear classification, mixed feature relationships, and compatibility with tabular clinical data.</w:t>
            </w:r>
          </w:p>
        </w:tc>
      </w:tr>
      <w:tr>
        <w:tc>
          <w:tcPr>
            <w:tcW w:type="dxa" w:w="2088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Training</w:t>
            </w:r>
          </w:p>
        </w:tc>
        <w:tc>
          <w:tcPr>
            <w:tcW w:type="dxa" w:w="7992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Performed outside the live request path using a versioned, reproducible pipeline and immutable dataset snapshot.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9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Only exact HIGH or LOW values are valid predictive states. Error-like or unknown text is invalid.</w:t>
            </w:r>
          </w:p>
        </w:tc>
      </w:tr>
      <w:tr>
        <w:tc>
          <w:tcPr>
            <w:tcW w:type="dxa" w:w="2088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Threshold</w:t>
            </w:r>
          </w:p>
        </w:tc>
        <w:tc>
          <w:tcPr>
            <w:tcW w:type="dxa" w:w="7992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Documented and frozen with the model release; changes require evaluation and approval.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Serialization</w:t>
            </w:r>
          </w:p>
        </w:tc>
        <w:tc>
          <w:tcPr>
            <w:tcW w:type="dxa" w:w="79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Model and preprocessing artifacts are packaged with a manifest, checksum, software versions, feature schema, and evaluation report.</w:t>
            </w:r>
          </w:p>
        </w:tc>
      </w:tr>
      <w:tr>
        <w:tc>
          <w:tcPr>
            <w:tcW w:type="dxa" w:w="2088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Explainability</w:t>
            </w:r>
          </w:p>
        </w:tc>
        <w:tc>
          <w:tcPr>
            <w:tcW w:type="dxa" w:w="7992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Global evaluation supports development; patient-level displayed reasons primarily come from deterministic rules and the traceable decision path.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Updates</w:t>
            </w:r>
          </w:p>
        </w:tc>
        <w:tc>
          <w:tcPr>
            <w:tcW w:type="dxa" w:w="79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No uncontrolled online learning. Retraining is governed, independently evaluated, versioned, and manually approved.</w:t>
            </w:r>
          </w:p>
        </w:tc>
      </w:tr>
    </w:tbl>
    <w:p>
      <w:pPr>
        <w:spacing w:after="0"/>
      </w:pPr>
    </w:p>
    <w:p>
      <w:pPr>
        <w:pStyle w:val="Heading1"/>
      </w:pPr>
      <w:r>
        <w:t>12.6 Deterministic Decision Logic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ptos" w:hAnsi="Aptos" w:eastAsia="Aptos"/>
                <w:b/>
                <w:color w:val="17365D"/>
                <w:sz w:val="21"/>
              </w:rPr>
              <w:t>Core precedence rule</w:t>
            </w:r>
          </w:p>
          <w:p>
            <w:pPr>
              <w:pStyle w:val="Callout"/>
            </w:pPr>
            <w:r>
              <w:t>Completeness and validity are evaluated before LOW can be emitted. Any configured rule-based HIGH factor overrides a model LOW. A valid model HIGH also produces final HIGH.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93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Order</w:t>
            </w:r>
          </w:p>
        </w:tc>
        <w:tc>
          <w:tcPr>
            <w:tcW w:type="dxa" w:w="648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Decision Condition</w:t>
            </w:r>
          </w:p>
        </w:tc>
        <w:tc>
          <w:tcPr>
            <w:tcW w:type="dxa" w:w="266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Final Result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7"/>
              </w:rPr>
              <w:t>1</w:t>
            </w:r>
          </w:p>
        </w:tc>
        <w:tc>
          <w:tcPr>
            <w:tcW w:type="dxa" w:w="64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7"/>
              </w:rPr>
              <w:t>One or more required records are missing.</w:t>
            </w:r>
          </w:p>
        </w:tc>
        <w:tc>
          <w:tcPr>
            <w:tcW w:type="dxa" w:w="26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7"/>
              </w:rPr>
              <w:t>ASSESSMENT INCOMPLETE</w:t>
            </w:r>
          </w:p>
        </w:tc>
      </w:tr>
      <w:tr>
        <w:tc>
          <w:tcPr>
            <w:tcW w:type="dxa" w:w="936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7"/>
              </w:rPr>
              <w:t>2</w:t>
            </w:r>
          </w:p>
        </w:tc>
        <w:tc>
          <w:tcPr>
            <w:tcW w:type="dxa" w:w="6480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7"/>
              </w:rPr>
              <w:t>Python/model invocation fails or ML output is not exactly HIGH or LOW.</w:t>
            </w:r>
          </w:p>
        </w:tc>
        <w:tc>
          <w:tcPr>
            <w:tcW w:type="dxa" w:w="2664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7"/>
              </w:rPr>
              <w:t>ASSESSMENT INCOMPLETE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7"/>
              </w:rPr>
              <w:t>3</w:t>
            </w:r>
          </w:p>
        </w:tc>
        <w:tc>
          <w:tcPr>
            <w:tcW w:type="dxa" w:w="64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7"/>
              </w:rPr>
              <w:t>Any deterministic HIGH rule is triggered.</w:t>
            </w:r>
          </w:p>
        </w:tc>
        <w:tc>
          <w:tcPr>
            <w:tcW w:type="dxa" w:w="26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7"/>
              </w:rPr>
              <w:t>HIGH</w:t>
            </w:r>
          </w:p>
        </w:tc>
      </w:tr>
      <w:tr>
        <w:tc>
          <w:tcPr>
            <w:tcW w:type="dxa" w:w="936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7"/>
              </w:rPr>
              <w:t>4</w:t>
            </w:r>
          </w:p>
        </w:tc>
        <w:tc>
          <w:tcPr>
            <w:tcW w:type="dxa" w:w="6480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7"/>
              </w:rPr>
              <w:t>No rule is triggered and ML output is HIGH.</w:t>
            </w:r>
          </w:p>
        </w:tc>
        <w:tc>
          <w:tcPr>
            <w:tcW w:type="dxa" w:w="2664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7"/>
              </w:rPr>
              <w:t>HIGH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7"/>
              </w:rPr>
              <w:t>5</w:t>
            </w:r>
          </w:p>
        </w:tc>
        <w:tc>
          <w:tcPr>
            <w:tcW w:type="dxa" w:w="64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7"/>
              </w:rPr>
              <w:t>All required records exist, ML is valid LOW, and no HIGH rule is triggered.</w:t>
            </w:r>
          </w:p>
        </w:tc>
        <w:tc>
          <w:tcPr>
            <w:tcW w:type="dxa" w:w="26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7"/>
              </w:rPr>
              <w:t>LOW</w:t>
            </w:r>
          </w:p>
        </w:tc>
      </w:tr>
    </w:tbl>
    <w:p>
      <w:pPr>
        <w:spacing w:after="0"/>
      </w:pPr>
    </w:p>
    <w:p>
      <w:pPr>
        <w:pStyle w:val="Heading1"/>
      </w:pPr>
      <w:r>
        <w:t>12.7 Implemented Rule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52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Risk Factor</w:t>
            </w:r>
          </w:p>
        </w:tc>
        <w:tc>
          <w:tcPr>
            <w:tcW w:type="dxa" w:w="525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Condition</w:t>
            </w:r>
          </w:p>
        </w:tc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Decision Effect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Young maternal age</w:t>
            </w:r>
          </w:p>
        </w:tc>
        <w:tc>
          <w:tcPr>
            <w:tcW w:type="dxa" w:w="52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Age below 19.</w:t>
            </w:r>
          </w:p>
        </w:tc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HIGH</w:t>
            </w:r>
          </w:p>
        </w:tc>
      </w:tr>
      <w:tr>
        <w:tc>
          <w:tcPr>
            <w:tcW w:type="dxa" w:w="2520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Advanced age with first pregnancy</w:t>
            </w:r>
          </w:p>
        </w:tc>
        <w:tc>
          <w:tcPr>
            <w:tcW w:type="dxa" w:w="5256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Age at least 35 and first pregnancy.</w:t>
            </w:r>
          </w:p>
        </w:tc>
        <w:tc>
          <w:tcPr>
            <w:tcW w:type="dxa" w:w="2304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HIGH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Elevated blood pressure</w:t>
            </w:r>
          </w:p>
        </w:tc>
        <w:tc>
          <w:tcPr>
            <w:tcW w:type="dxa" w:w="52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Systolic at least 140 or diastolic at least 90.</w:t>
            </w:r>
          </w:p>
        </w:tc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HIGH</w:t>
            </w:r>
          </w:p>
        </w:tc>
      </w:tr>
      <w:tr>
        <w:tc>
          <w:tcPr>
            <w:tcW w:type="dxa" w:w="2520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Urgent blood pressure</w:t>
            </w:r>
          </w:p>
        </w:tc>
        <w:tc>
          <w:tcPr>
            <w:tcW w:type="dxa" w:w="5256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Systolic at least 160 or diastolic at least 110.</w:t>
            </w:r>
          </w:p>
        </w:tc>
        <w:tc>
          <w:tcPr>
            <w:tcW w:type="dxa" w:w="2304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HIGH with urgent reason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Diabetes or anemia</w:t>
            </w:r>
          </w:p>
        </w:tc>
        <w:tc>
          <w:tcPr>
            <w:tcW w:type="dxa" w:w="52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Recorded as present.</w:t>
            </w:r>
          </w:p>
        </w:tc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HIGH</w:t>
            </w:r>
          </w:p>
        </w:tc>
      </w:tr>
      <w:tr>
        <w:tc>
          <w:tcPr>
            <w:tcW w:type="dxa" w:w="2520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Previous cesarean section</w:t>
            </w:r>
          </w:p>
        </w:tc>
        <w:tc>
          <w:tcPr>
            <w:tcW w:type="dxa" w:w="5256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Recorded previous CS.</w:t>
            </w:r>
          </w:p>
        </w:tc>
        <w:tc>
          <w:tcPr>
            <w:tcW w:type="dxa" w:w="2304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HIGH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Recurrent miscarriage</w:t>
            </w:r>
          </w:p>
        </w:tc>
        <w:tc>
          <w:tcPr>
            <w:tcW w:type="dxa" w:w="52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Miscarriage count at least 3.</w:t>
            </w:r>
          </w:p>
        </w:tc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HIGH</w:t>
            </w:r>
          </w:p>
        </w:tc>
      </w:tr>
      <w:tr>
        <w:tc>
          <w:tcPr>
            <w:tcW w:type="dxa" w:w="2520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Non-cephalic presentation</w:t>
            </w:r>
          </w:p>
        </w:tc>
        <w:tc>
          <w:tcPr>
            <w:tcW w:type="dxa" w:w="5256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Breech, transverse, or oblique.</w:t>
            </w:r>
          </w:p>
        </w:tc>
        <w:tc>
          <w:tcPr>
            <w:tcW w:type="dxa" w:w="2304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HIGH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Abnormal amniotic fluid</w:t>
            </w:r>
          </w:p>
        </w:tc>
        <w:tc>
          <w:tcPr>
            <w:tcW w:type="dxa" w:w="52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Low or high.</w:t>
            </w:r>
          </w:p>
        </w:tc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HIGH</w:t>
            </w:r>
          </w:p>
        </w:tc>
      </w:tr>
      <w:tr>
        <w:tc>
          <w:tcPr>
            <w:tcW w:type="dxa" w:w="2520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Abnormal fetal heartbeat</w:t>
            </w:r>
          </w:p>
        </w:tc>
        <w:tc>
          <w:tcPr>
            <w:tcW w:type="dxa" w:w="5256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Weak, abnormal, or absent.</w:t>
            </w:r>
          </w:p>
        </w:tc>
        <w:tc>
          <w:tcPr>
            <w:tcW w:type="dxa" w:w="2304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HIGH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Model signal</w:t>
            </w:r>
          </w:p>
        </w:tc>
        <w:tc>
          <w:tcPr>
            <w:tcW w:type="dxa" w:w="52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Valid ML output HIGH.</w:t>
            </w:r>
          </w:p>
        </w:tc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HIGH</w:t>
            </w:r>
          </w:p>
        </w:tc>
      </w:tr>
    </w:tbl>
    <w:p>
      <w:pPr>
        <w:spacing w:after="0"/>
      </w:pPr>
    </w:p>
    <w:p>
      <w:pPr>
        <w:pStyle w:val="Heading1"/>
      </w:pPr>
      <w:r>
        <w:t>12.8 End-to-End Runtime Sequence</w:t>
      </w:r>
    </w:p>
    <w:p>
      <w:pPr>
        <w:pStyle w:val="ListNumber"/>
        <w:spacing w:after="40"/>
      </w:pPr>
      <w:r>
        <w:t>An authorized user creates or updates the relevant patient, prenatal visit, medical history, birth plan, or ultrasound record.</w:t>
      </w:r>
    </w:p>
    <w:p>
      <w:pPr>
        <w:pStyle w:val="ListNumber"/>
        <w:spacing w:after="40"/>
      </w:pPr>
      <w:r>
        <w:t>Laravel validates input, enforces delivered-patient restrictions, and saves the clinical record.</w:t>
      </w:r>
    </w:p>
    <w:p>
      <w:pPr>
        <w:pStyle w:val="ListNumber"/>
        <w:spacing w:after="40"/>
      </w:pPr>
      <w:r>
        <w:t>The assessment service gathers the latest required data and checks completeness.</w:t>
      </w:r>
    </w:p>
    <w:p>
      <w:pPr>
        <w:pStyle w:val="ListNumber"/>
        <w:spacing w:after="40"/>
      </w:pPr>
      <w:r>
        <w:t>If required information is missing, the final state becomes ASSESSMENT INCOMPLETE and the missing requirements are identified.</w:t>
      </w:r>
    </w:p>
    <w:p>
      <w:pPr>
        <w:pStyle w:val="ListNumber"/>
        <w:spacing w:after="40"/>
      </w:pPr>
      <w:r>
        <w:t>If complete, Laravel constructs the versioned feature payload and securely invokes the configured Python runtime.</w:t>
      </w:r>
    </w:p>
    <w:p>
      <w:pPr>
        <w:pStyle w:val="ListNumber"/>
        <w:spacing w:after="40"/>
      </w:pPr>
      <w:r>
        <w:t>Python loads the approved preprocessing/model artifact, validates the feature schema, performs inference, and emits the allowed result.</w:t>
      </w:r>
    </w:p>
    <w:p>
      <w:pPr>
        <w:pStyle w:val="ListNumber"/>
        <w:spacing w:after="40"/>
      </w:pPr>
      <w:r>
        <w:t>Laravel rejects any output that is not exactly HIGH or LOW or that contains evidence of an error.</w:t>
      </w:r>
    </w:p>
    <w:p>
      <w:pPr>
        <w:pStyle w:val="ListNumber"/>
        <w:spacing w:after="40"/>
      </w:pPr>
      <w:r>
        <w:t>The deterministic decision engine applies rule precedence, generates reasons, and returns HIGH, LOW, or ASSESSMENT INCOMPLETE.</w:t>
      </w:r>
    </w:p>
    <w:p>
      <w:pPr>
        <w:pStyle w:val="ListNumber"/>
        <w:spacing w:after="40"/>
      </w:pPr>
      <w:r>
        <w:t>The result, recommendation, reasons, model/rule versions, and audit information are persisted or logged according to the implementation.</w:t>
      </w:r>
    </w:p>
    <w:p>
      <w:pPr>
        <w:pStyle w:val="ListNumber"/>
        <w:spacing w:after="40"/>
      </w:pPr>
      <w:r>
        <w:t>The interface displays the result to the user and enables appropriate referral or follow-up workflow.</w:t>
      </w:r>
    </w:p>
    <w:p>
      <w:pPr>
        <w:pStyle w:val="Heading1"/>
      </w:pPr>
      <w:r>
        <w:t>12.9 Output and Explanation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94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Final State</w:t>
            </w:r>
          </w:p>
        </w:tc>
        <w:tc>
          <w:tcPr>
            <w:tcW w:type="dxa" w:w="468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345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Minimum User-Facing Content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HIGH</w:t>
            </w:r>
          </w:p>
        </w:tc>
        <w:tc>
          <w:tcPr>
            <w:tcW w:type="dxa" w:w="46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At least one deterministic risk factor or a valid ML HIGH signal is present.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Visible HIGH badge, all applicable reasons, safe referral/escalation wording, and urgent emphasis when applicable.</w:t>
            </w:r>
          </w:p>
        </w:tc>
      </w:tr>
      <w:tr>
        <w:tc>
          <w:tcPr>
            <w:tcW w:type="dxa" w:w="1944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LOW</w:t>
            </w:r>
          </w:p>
        </w:tc>
        <w:tc>
          <w:tcPr>
            <w:tcW w:type="dxa" w:w="4680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Assessment is complete, ML output is valid LOW, and no configured HIGH rule is present.</w:t>
            </w:r>
          </w:p>
        </w:tc>
        <w:tc>
          <w:tcPr>
            <w:tcW w:type="dxa" w:w="3456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LOW badge, cautious wording, reminder that new symptoms or professional concern require reassessment.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ASSESSMENT INCOMPLETE</w:t>
            </w:r>
          </w:p>
        </w:tc>
        <w:tc>
          <w:tcPr>
            <w:tcW w:type="dxa" w:w="46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Required information is missing or the ML component is invalid/unavailable.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Neutral badge, missing/failed components, instruction to complete records or resolve the technical issue; no false reassurance.</w:t>
            </w:r>
          </w:p>
        </w:tc>
      </w:tr>
    </w:tbl>
    <w:p>
      <w:pPr>
        <w:spacing w:after="0"/>
      </w:pPr>
    </w:p>
    <w:p>
      <w:pPr>
        <w:pStyle w:val="Heading1"/>
      </w:pPr>
      <w:r>
        <w:t>12.10 Laravel-Python Interface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194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Contract Area</w:t>
            </w:r>
          </w:p>
        </w:tc>
        <w:tc>
          <w:tcPr>
            <w:tcW w:type="dxa" w:w="813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Invocation</w:t>
            </w:r>
          </w:p>
        </w:tc>
        <w:tc>
          <w:tcPr>
            <w:tcW w:type="dxa" w:w="81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Use a configured Python executable and script path; construct commands safely and avoid uncontrolled shell input.</w:t>
            </w:r>
          </w:p>
        </w:tc>
      </w:tr>
      <w:tr>
        <w:tc>
          <w:tcPr>
            <w:tcW w:type="dxa" w:w="1944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8136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Provide only the documented feature schema with stable names/order/types and validated values.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81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Prefer a small structured response. Regardless of format, accept only the defined prediction values and explicit status.</w:t>
            </w:r>
          </w:p>
        </w:tc>
      </w:tr>
      <w:tr>
        <w:tc>
          <w:tcPr>
            <w:tcW w:type="dxa" w:w="1944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Timeout</w:t>
            </w:r>
          </w:p>
        </w:tc>
        <w:tc>
          <w:tcPr>
            <w:tcW w:type="dxa" w:w="8136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A timeout is a technical failure and must lead to ASSESSMENT INCOMPLETE, not LOW.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Logging</w:t>
            </w:r>
          </w:p>
        </w:tc>
        <w:tc>
          <w:tcPr>
            <w:tcW w:type="dxa" w:w="81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Store technical diagnostics separately from user-facing clinical language; avoid exposing sensitive paths or stack traces.</w:t>
            </w:r>
          </w:p>
        </w:tc>
      </w:tr>
      <w:tr>
        <w:tc>
          <w:tcPr>
            <w:tcW w:type="dxa" w:w="1944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Versioning</w:t>
            </w:r>
          </w:p>
        </w:tc>
        <w:tc>
          <w:tcPr>
            <w:tcW w:type="dxa" w:w="8136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Record model, preprocessing, feature schema, rule set, and application release versions.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Recalculation</w:t>
            </w:r>
          </w:p>
        </w:tc>
        <w:tc>
          <w:tcPr>
            <w:tcW w:type="dxa" w:w="81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Reassess incomplete or affected visits after relevant record creation or update.</w:t>
            </w:r>
          </w:p>
        </w:tc>
      </w:tr>
    </w:tbl>
    <w:p>
      <w:pPr>
        <w:spacing w:after="0"/>
      </w:pPr>
    </w:p>
    <w:p>
      <w:pPr>
        <w:pStyle w:val="Heading1"/>
      </w:pPr>
      <w:r>
        <w:t>12.11 Safety Architecture</w:t>
      </w:r>
    </w:p>
    <w:p>
      <w:pPr>
        <w:pStyle w:val="ListBullet"/>
        <w:spacing w:after="40"/>
      </w:pPr>
      <w:r>
        <w:t>Fail-safe incomplete state for missing information, invalid model output, or technical failure.</w:t>
      </w:r>
    </w:p>
    <w:p>
      <w:pPr>
        <w:pStyle w:val="ListBullet"/>
        <w:spacing w:after="40"/>
      </w:pPr>
      <w:r>
        <w:t>Rule-based HIGH precedence over model LOW.</w:t>
      </w:r>
    </w:p>
    <w:p>
      <w:pPr>
        <w:pStyle w:val="ListBullet"/>
        <w:spacing w:after="40"/>
      </w:pPr>
      <w:r>
        <w:t>Urgent distinction for severe blood pressure findings.</w:t>
      </w:r>
    </w:p>
    <w:p>
      <w:pPr>
        <w:pStyle w:val="ListBullet"/>
        <w:spacing w:after="40"/>
      </w:pPr>
      <w:r>
        <w:t>Human oversight and visible limitations at the point of use.</w:t>
      </w:r>
    </w:p>
    <w:p>
      <w:pPr>
        <w:pStyle w:val="ListBullet"/>
        <w:spacing w:after="40"/>
      </w:pPr>
      <w:r>
        <w:t>Referral support appropriate to a clinic that cannot manage serious cases.</w:t>
      </w:r>
    </w:p>
    <w:p>
      <w:pPr>
        <w:pStyle w:val="ListBullet"/>
        <w:spacing w:after="40"/>
      </w:pPr>
      <w:r>
        <w:t>Documented referral refusal or waiver workflow where applicable to clinic policy.</w:t>
      </w:r>
    </w:p>
    <w:p>
      <w:pPr>
        <w:pStyle w:val="ListBullet"/>
        <w:spacing w:after="40"/>
      </w:pPr>
      <w:r>
        <w:t>Read-only historical pregnancy after delivery and creation of a separate new pregnancy record.</w:t>
      </w:r>
    </w:p>
    <w:p>
      <w:pPr>
        <w:pStyle w:val="ListBullet"/>
        <w:spacing w:after="40"/>
      </w:pPr>
      <w:r>
        <w:t>Auditability and rollback for model, rule, integration, and interface changes.</w:t>
      </w:r>
    </w:p>
    <w:p>
      <w:pPr>
        <w:pStyle w:val="Heading1"/>
      </w:pPr>
      <w:r>
        <w:t>12.12 Explainability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44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Explanation Layer</w:t>
            </w:r>
          </w:p>
        </w:tc>
        <w:tc>
          <w:tcPr>
            <w:tcW w:type="dxa" w:w="208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Audience</w:t>
            </w:r>
          </w:p>
        </w:tc>
        <w:tc>
          <w:tcPr>
            <w:tcW w:type="dxa" w:w="554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Content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Clinical decision explanation</w:t>
            </w:r>
          </w:p>
        </w:tc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Midwife / clinic user</w:t>
            </w:r>
          </w:p>
        </w:tc>
        <w:tc>
          <w:tcPr>
            <w:tcW w:type="dxa" w:w="55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Specific rule factors, incomplete requirements, valid ML contribution, and recommended next action.</w:t>
            </w:r>
          </w:p>
        </w:tc>
      </w:tr>
      <w:tr>
        <w:tc>
          <w:tcPr>
            <w:tcW w:type="dxa" w:w="2448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Technical trace</w:t>
            </w:r>
          </w:p>
        </w:tc>
        <w:tc>
          <w:tcPr>
            <w:tcW w:type="dxa" w:w="2088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Developer / auditor</w:t>
            </w:r>
          </w:p>
        </w:tc>
        <w:tc>
          <w:tcPr>
            <w:tcW w:type="dxa" w:w="5544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Input mapping, preprocessing/model version, raw accepted output, rules evaluated, final precedence path, and failures.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Global model explanation</w:t>
            </w:r>
          </w:p>
        </w:tc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Research team / panel</w:t>
            </w:r>
          </w:p>
        </w:tc>
        <w:tc>
          <w:tcPr>
            <w:tcW w:type="dxa" w:w="55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Feature importance with limitations, performance metrics, subgroup analysis, calibration, and error review.</w:t>
            </w:r>
          </w:p>
        </w:tc>
      </w:tr>
      <w:tr>
        <w:tc>
          <w:tcPr>
            <w:tcW w:type="dxa" w:w="2448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Patient communication</w:t>
            </w:r>
          </w:p>
        </w:tc>
        <w:tc>
          <w:tcPr>
            <w:tcW w:type="dxa" w:w="2088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Patient through clinic staff</w:t>
            </w:r>
          </w:p>
        </w:tc>
        <w:tc>
          <w:tcPr>
            <w:tcW w:type="dxa" w:w="5544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Plain-language explanation that supports informed referral or follow-up without presenting the model as a diagnosis.</w:t>
            </w:r>
          </w:p>
        </w:tc>
      </w:tr>
    </w:tbl>
    <w:p>
      <w:pPr>
        <w:spacing w:after="0"/>
      </w:pPr>
    </w:p>
    <w:p>
      <w:pPr>
        <w:pStyle w:val="Heading1"/>
      </w:pPr>
      <w:r>
        <w:t>12.13 Security, Privacy, and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37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77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Architectural Requirement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Authentication and authorization</w:t>
            </w:r>
          </w:p>
        </w:tc>
        <w:tc>
          <w:tcPr>
            <w:tcW w:type="dxa" w:w="77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Only authorized roles access clinical records and assessment functions.</w:t>
            </w:r>
          </w:p>
        </w:tc>
      </w:tr>
      <w:tr>
        <w:tc>
          <w:tcPr>
            <w:tcW w:type="dxa" w:w="2376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Data protection</w:t>
            </w:r>
          </w:p>
        </w:tc>
        <w:tc>
          <w:tcPr>
            <w:tcW w:type="dxa" w:w="7704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Use least privilege, secure configuration, appropriate backups, and controlled data export.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Privacy</w:t>
            </w:r>
          </w:p>
        </w:tc>
        <w:tc>
          <w:tcPr>
            <w:tcW w:type="dxa" w:w="77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Minimize use, separate model-development data from operations, and de-identify research datasets.</w:t>
            </w:r>
          </w:p>
        </w:tc>
      </w:tr>
      <w:tr>
        <w:tc>
          <w:tcPr>
            <w:tcW w:type="dxa" w:w="2376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Audit trail</w:t>
            </w:r>
          </w:p>
        </w:tc>
        <w:tc>
          <w:tcPr>
            <w:tcW w:type="dxa" w:w="7704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Capture actor, time, record, action, assessment outcome, reasons, versions, and relevant failures.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Integrity</w:t>
            </w:r>
          </w:p>
        </w:tc>
        <w:tc>
          <w:tcPr>
            <w:tcW w:type="dxa" w:w="77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Protect deployed artifacts and rule configuration from unauthorized modification; verify checksums where feasible.</w:t>
            </w:r>
          </w:p>
        </w:tc>
      </w:tr>
      <w:tr>
        <w:tc>
          <w:tcPr>
            <w:tcW w:type="dxa" w:w="2376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Availability</w:t>
            </w:r>
          </w:p>
        </w:tc>
        <w:tc>
          <w:tcPr>
            <w:tcW w:type="dxa" w:w="7704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Maintain a manual workflow and safe incomplete behavior when the model component is unavailable.</w:t>
            </w:r>
          </w:p>
        </w:tc>
      </w:tr>
    </w:tbl>
    <w:p>
      <w:pPr>
        <w:spacing w:after="0"/>
      </w:pPr>
    </w:p>
    <w:p>
      <w:pPr>
        <w:pStyle w:val="Heading1"/>
      </w:pPr>
      <w:r>
        <w:t>12.14 Verification, Validation, and Release</w:t>
      </w:r>
    </w:p>
    <w:p>
      <w:pPr>
        <w:pStyle w:val="ListBullet"/>
        <w:spacing w:after="40"/>
      </w:pPr>
      <w:r>
        <w:t>Verify data schema, preprocessing parity, model artifact, rule matrix, Laravel-Python parsing, failure modes, audit records, and delivered-patient restrictions.</w:t>
      </w:r>
    </w:p>
    <w:p>
      <w:pPr>
        <w:pStyle w:val="ListBullet"/>
        <w:spacing w:after="40"/>
      </w:pPr>
      <w:r>
        <w:t>Validate performance on an untouched test set using sensitivity, specificity, precision, NPV, F1, ROC/PR analysis, calibration, confidence intervals, and structured false-LOW review.</w:t>
      </w:r>
    </w:p>
    <w:p>
      <w:pPr>
        <w:pStyle w:val="ListBullet"/>
        <w:spacing w:after="40"/>
      </w:pPr>
      <w:r>
        <w:t>Evaluate clinically meaningful subgroups and exact boundary values.</w:t>
      </w:r>
    </w:p>
    <w:p>
      <w:pPr>
        <w:pStyle w:val="ListBullet"/>
        <w:spacing w:after="40"/>
      </w:pPr>
      <w:r>
        <w:t>Conduct scenario-based usability validation with intended users.</w:t>
      </w:r>
    </w:p>
    <w:p>
      <w:pPr>
        <w:pStyle w:val="ListBullet"/>
        <w:spacing w:after="40"/>
      </w:pPr>
      <w:r>
        <w:t>Require documented acceptance gates, known limitations, residual risk, rollback plan, and accountable approval before deployment.</w:t>
      </w:r>
    </w:p>
    <w:p>
      <w:pPr>
        <w:pStyle w:val="Heading1"/>
      </w:pPr>
      <w:r>
        <w:t>12.15 Deployment and Operational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72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Environment</w:t>
            </w:r>
          </w:p>
        </w:tc>
        <w:tc>
          <w:tcPr>
            <w:tcW w:type="dxa" w:w="388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446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Control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Development</w:t>
            </w:r>
          </w:p>
        </w:tc>
        <w:tc>
          <w:tcPr>
            <w:tcW w:type="dxa" w:w="38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Code and model experimentation.</w:t>
            </w:r>
          </w:p>
        </w:tc>
        <w:tc>
          <w:tcPr>
            <w:tcW w:type="dxa" w:w="44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Synthetic or approved de-identified data; no claim of clinical readiness.</w:t>
            </w:r>
          </w:p>
        </w:tc>
      </w:tr>
      <w:tr>
        <w:tc>
          <w:tcPr>
            <w:tcW w:type="dxa" w:w="1728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Test / staging</w:t>
            </w:r>
          </w:p>
        </w:tc>
        <w:tc>
          <w:tcPr>
            <w:tcW w:type="dxa" w:w="3888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Integration, scenario, regression, security, and usability testing.</w:t>
            </w:r>
          </w:p>
        </w:tc>
        <w:tc>
          <w:tcPr>
            <w:tcW w:type="dxa" w:w="4464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Production-like configuration with isolated data and frozen candidate artifacts.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Production</w:t>
            </w:r>
          </w:p>
        </w:tc>
        <w:tc>
          <w:tcPr>
            <w:tcW w:type="dxa" w:w="38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Approved clinic operation.</w:t>
            </w:r>
          </w:p>
        </w:tc>
        <w:tc>
          <w:tcPr>
            <w:tcW w:type="dxa" w:w="44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Only signed-off versions, restricted access, monitoring, backups, and rollback.</w:t>
            </w:r>
          </w:p>
        </w:tc>
      </w:tr>
      <w:tr>
        <w:tc>
          <w:tcPr>
            <w:tcW w:type="dxa" w:w="1728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Archive</w:t>
            </w:r>
          </w:p>
        </w:tc>
        <w:tc>
          <w:tcPr>
            <w:tcW w:type="dxa" w:w="3888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Historical reproducibility and governance.</w:t>
            </w:r>
          </w:p>
        </w:tc>
        <w:tc>
          <w:tcPr>
            <w:tcW w:type="dxa" w:w="4464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Retain artifacts, checksums, reports, release notes, and approvals under controlled access.</w:t>
            </w:r>
          </w:p>
        </w:tc>
      </w:tr>
    </w:tbl>
    <w:p>
      <w:pPr>
        <w:spacing w:after="0"/>
      </w:pPr>
    </w:p>
    <w:p>
      <w:pPr>
        <w:pStyle w:val="Heading1"/>
      </w:pPr>
      <w:r>
        <w:t>12.16 Governance and Change Control</w:t>
      </w:r>
    </w:p>
    <w:p>
      <w:pPr>
        <w:pStyle w:val="ListBullet"/>
        <w:spacing w:after="40"/>
      </w:pPr>
      <w:r>
        <w:t>Every deployed dataset, preprocessing pipeline, model, rule set, interface, and integration contract has a unique version.</w:t>
      </w:r>
    </w:p>
    <w:p>
      <w:pPr>
        <w:pStyle w:val="ListBullet"/>
        <w:spacing w:after="40"/>
      </w:pPr>
      <w:r>
        <w:t>Material changes require risk assessment and proportionate revalidation.</w:t>
      </w:r>
    </w:p>
    <w:p>
      <w:pPr>
        <w:pStyle w:val="ListBullet"/>
        <w:spacing w:after="40"/>
      </w:pPr>
      <w:r>
        <w:t>Retraining is controlled and never automatically deployed from production data.</w:t>
      </w:r>
    </w:p>
    <w:p>
      <w:pPr>
        <w:pStyle w:val="ListBullet"/>
        <w:spacing w:after="40"/>
      </w:pPr>
      <w:r>
        <w:t>Monitoring covers failures, data quality, output distribution, rule-model disagreement, false-LOW events, referral workflow, subgroup concerns, and security incidents.</w:t>
      </w:r>
    </w:p>
    <w:p>
      <w:pPr>
        <w:pStyle w:val="ListBullet"/>
        <w:spacing w:after="40"/>
      </w:pPr>
      <w:r>
        <w:t>The system may be suspended or rolled back when safe operation cannot be assured.</w:t>
      </w:r>
    </w:p>
    <w:p>
      <w:pPr>
        <w:pStyle w:val="ListBullet"/>
        <w:spacing w:after="40"/>
      </w:pPr>
      <w:r>
        <w:t>Historical outputs remain linked to the version that produced them.</w:t>
      </w:r>
    </w:p>
    <w:p>
      <w:pPr>
        <w:pStyle w:val="Heading1"/>
      </w:pPr>
      <w:r>
        <w:t>12.17 Consolidated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23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Criterion</w:t>
            </w:r>
          </w:p>
        </w:tc>
        <w:tc>
          <w:tcPr>
            <w:tcW w:type="dxa" w:w="784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Acceptance Statement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Completeness safety</w:t>
            </w:r>
          </w:p>
        </w:tc>
        <w:tc>
          <w:tcPr>
            <w:tcW w:type="dxa" w:w="78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LOW is impossible when required records are absent.</w:t>
            </w:r>
          </w:p>
        </w:tc>
      </w:tr>
      <w:tr>
        <w:tc>
          <w:tcPr>
            <w:tcW w:type="dxa" w:w="2232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Technical safety</w:t>
            </w:r>
          </w:p>
        </w:tc>
        <w:tc>
          <w:tcPr>
            <w:tcW w:type="dxa" w:w="7848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Invalid or unavailable ML output produces ASSESSMENT INCOMPLETE.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Clinical precedence</w:t>
            </w:r>
          </w:p>
        </w:tc>
        <w:tc>
          <w:tcPr>
            <w:tcW w:type="dxa" w:w="78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Any configured rule-based risk produces HIGH regardless of model LOW.</w:t>
            </w:r>
          </w:p>
        </w:tc>
      </w:tr>
      <w:tr>
        <w:tc>
          <w:tcPr>
            <w:tcW w:type="dxa" w:w="2232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The final state and displayed reasons can be reconstructed from the stored record, versions, and audit trail.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Usability</w:t>
            </w:r>
          </w:p>
        </w:tc>
        <w:tc>
          <w:tcPr>
            <w:tcW w:type="dxa" w:w="78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Intended users can distinguish all three states, understand limitations, and identify the correct next action.</w:t>
            </w:r>
          </w:p>
        </w:tc>
      </w:tr>
      <w:tr>
        <w:tc>
          <w:tcPr>
            <w:tcW w:type="dxa" w:w="2232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Performance evidence</w:t>
            </w:r>
          </w:p>
        </w:tc>
        <w:tc>
          <w:tcPr>
            <w:tcW w:type="dxa" w:w="7848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Independent evaluation and false-LOW analysis are complete and accepted.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Governance</w:t>
            </w:r>
          </w:p>
        </w:tc>
        <w:tc>
          <w:tcPr>
            <w:tcW w:type="dxa" w:w="78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Owners, monitoring, incident response, change control, and rollback are established.</w:t>
            </w:r>
          </w:p>
        </w:tc>
      </w:tr>
      <w:tr>
        <w:tc>
          <w:tcPr>
            <w:tcW w:type="dxa" w:w="2232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Scope discipline</w:t>
            </w:r>
          </w:p>
        </w:tc>
        <w:tc>
          <w:tcPr>
            <w:tcW w:type="dxa" w:w="7848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The system does not claim autonomous diagnosis or ultrasound image interpretation.</w:t>
            </w:r>
          </w:p>
        </w:tc>
      </w:tr>
    </w:tbl>
    <w:p>
      <w:pPr>
        <w:spacing w:after="0"/>
      </w:pPr>
    </w:p>
    <w:p>
      <w:pPr>
        <w:pStyle w:val="Heading1"/>
      </w:pPr>
      <w:r>
        <w:t>12.18 Architecture Decision Record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309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698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Rationale</w:t>
            </w:r>
          </w:p>
        </w:tc>
      </w:tr>
      <w:tr>
        <w:tc>
          <w:tcPr>
            <w:tcW w:type="dxa" w:w="30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Hybrid ML plus deterministic rules</w:t>
            </w:r>
          </w:p>
        </w:tc>
        <w:tc>
          <w:tcPr>
            <w:tcW w:type="dxa" w:w="6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Combines pattern-based prediction with explicit safety constraints and explainable reasons.</w:t>
            </w:r>
          </w:p>
        </w:tc>
      </w:tr>
      <w:tr>
        <w:tc>
          <w:tcPr>
            <w:tcW w:type="dxa" w:w="3096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Three final states</w:t>
            </w:r>
          </w:p>
        </w:tc>
        <w:tc>
          <w:tcPr>
            <w:tcW w:type="dxa" w:w="6984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HIGH and LOW support workflow, while ASSESSMENT INCOMPLETE prevents unsafe defaulting during missing data or failure.</w:t>
            </w:r>
          </w:p>
        </w:tc>
      </w:tr>
      <w:tr>
        <w:tc>
          <w:tcPr>
            <w:tcW w:type="dxa" w:w="30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Random Forest for tabular prediction</w:t>
            </w:r>
          </w:p>
        </w:tc>
        <w:tc>
          <w:tcPr>
            <w:tcW w:type="dxa" w:w="6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Appropriate for the project's structured feature environment and supports reproducible offline training.</w:t>
            </w:r>
          </w:p>
        </w:tc>
      </w:tr>
      <w:tr>
        <w:tc>
          <w:tcPr>
            <w:tcW w:type="dxa" w:w="3096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No MODERATE state</w:t>
            </w:r>
          </w:p>
        </w:tc>
        <w:tc>
          <w:tcPr>
            <w:tcW w:type="dxa" w:w="6984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Keeps implementation aligned with the accepted workflow and avoids an unsupported intermediate category.</w:t>
            </w:r>
          </w:p>
        </w:tc>
      </w:tr>
      <w:tr>
        <w:tc>
          <w:tcPr>
            <w:tcW w:type="dxa" w:w="30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Ultrasound as structured record, not image AI</w:t>
            </w:r>
          </w:p>
        </w:tc>
        <w:tc>
          <w:tcPr>
            <w:tcW w:type="dxa" w:w="6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Matches actual capability and avoids unsupported diagnostic claims.</w:t>
            </w:r>
          </w:p>
        </w:tc>
      </w:tr>
      <w:tr>
        <w:tc>
          <w:tcPr>
            <w:tcW w:type="dxa" w:w="3096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Human decision authority</w:t>
            </w:r>
          </w:p>
        </w:tc>
        <w:tc>
          <w:tcPr>
            <w:tcW w:type="dxa" w:w="6984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Reflects ethical healthcare AI practice and the clinic's operational responsibilities.</w:t>
            </w:r>
          </w:p>
        </w:tc>
      </w:tr>
      <w:tr>
        <w:tc>
          <w:tcPr>
            <w:tcW w:type="dxa" w:w="30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Controlled retraining</w:t>
            </w:r>
          </w:p>
        </w:tc>
        <w:tc>
          <w:tcPr>
            <w:tcW w:type="dxa" w:w="6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Protects against unreviewed drift and preserves reproducibility and accountability.</w:t>
            </w:r>
          </w:p>
        </w:tc>
      </w:tr>
    </w:tbl>
    <w:p>
      <w:pPr>
        <w:spacing w:after="0"/>
      </w:pPr>
    </w:p>
    <w:p>
      <w:pPr>
        <w:pStyle w:val="Heading1"/>
      </w:pPr>
      <w:r>
        <w:t>12.19 Final Statement</w:t>
      </w:r>
    </w:p>
    <w:p>
      <w:r>
        <w:t>This complete architecture is designed to be practical, explainable, and safety-oriented for the capstone's defined lying-in clinic context. Its central safety principle is that machine learning informs the workflow but does not control it: completeness checks, deterministic rules, transparent reasons, human oversight, referral capability, validation evidence, and lifecycle governance determine whether the system may be trusted for its limited intended purpose.</w:t>
      </w:r>
    </w:p>
    <w:p>
      <w:pPr>
        <w:pStyle w:val="Heading1"/>
      </w:pPr>
      <w:r>
        <w:t>References</w:t>
      </w:r>
    </w:p>
    <w:p>
      <w:pPr>
        <w:spacing w:after="60"/>
        <w:ind w:hanging="317" w:left="317"/>
      </w:pPr>
      <w:r>
        <w:t>World Health Organization. (2021). Ethics and governance of artificial intelligence for health: WHO guidance.</w:t>
      </w:r>
    </w:p>
    <w:p>
      <w:pPr>
        <w:spacing w:after="60"/>
        <w:ind w:hanging="317" w:left="317"/>
      </w:pPr>
      <w:r>
        <w:t>National Institute of Standards and Technology. (2023). Artificial Intelligence Risk Management Framework (AI RMF 1.0), NIST AI 100-1.</w:t>
      </w:r>
    </w:p>
    <w:p>
      <w:pPr>
        <w:spacing w:after="60"/>
        <w:ind w:hanging="317" w:left="317"/>
      </w:pPr>
      <w:r>
        <w:t>International Medical Device Regulators Forum. (2025). Good Machine Learning Practice for Medical Device Development: Guiding Principles.</w:t>
      </w:r>
    </w:p>
    <w:p>
      <w:pPr>
        <w:spacing w:after="60"/>
        <w:ind w:hanging="317" w:left="317"/>
      </w:pPr>
      <w:r>
        <w:t>U.S. Food and Drug Administration, Health Canada, and MHRA. (2024). Transparency for Machine Learning-Enabled Medical Devices: Guiding Principles.</w:t>
      </w:r>
    </w:p>
    <w:p>
      <w:pPr>
        <w:spacing w:after="60"/>
        <w:ind w:hanging="317" w:left="317"/>
      </w:pPr>
      <w:r>
        <w:t>U.S. Food and Drug Administration, Health Canada, and MHRA. Predetermined Change Control Plans for Machine Learning-Enabled Medical Devices: Guiding Principles.</w:t>
      </w:r>
    </w:p>
    <w:p>
      <w:pPr>
        <w:spacing w:after="60"/>
        <w:ind w:hanging="317" w:left="317"/>
      </w:pPr>
      <w:r>
        <w:t>scikit-learn developers. RandomForestClassifier documentation and model evaluation guidance.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81" w:bottom="936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b/>
        <w:color w:val="2F5597"/>
        <w:sz w:val="16"/>
      </w:rPr>
      <w:t>DOCUMENT 3 | PART 12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2" w:lineRule="auto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1F1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i/>
      <w:iCs/>
      <w:color w:val="2F5597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80" w:after="100"/>
      <w:ind w:left="216" w:right="216"/>
    </w:pPr>
    <w:rPr>
      <w:rFonts w:ascii="Aptos" w:hAnsi="Aptos" w:eastAsia="Aptos"/>
      <w:color w:val="1F1F1F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