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6"/>
        </w:rPr>
        <w:t>DOCUMENT 3</w:t>
      </w:r>
    </w:p>
    <w:p>
      <w:pPr>
        <w:jc w:val="center"/>
      </w:pPr>
      <w:r>
        <w:rPr>
          <w:rFonts w:ascii="Arial" w:hAnsi="Arial"/>
          <w:b/>
          <w:sz w:val="42"/>
        </w:rPr>
        <w:t>Machine Learning Integration, Validation, and Governance Specification</w:t>
      </w:r>
    </w:p>
    <w:p>
      <w:pPr>
        <w:jc w:val="center"/>
      </w:pPr>
      <w:r>
        <w:rPr>
          <w:rFonts w:ascii="Arial" w:hAnsi="Arial"/>
          <w:b/>
          <w:sz w:val="31"/>
        </w:rPr>
        <w:t>Part 1 - Machine Learning Philosophy and Architecture</w:t>
      </w:r>
    </w:p>
    <w:p/>
    <w:p>
      <w:pPr>
        <w:jc w:val="center"/>
      </w:pPr>
      <w:r>
        <w:rPr>
          <w:rFonts w:ascii="Arial" w:hAnsi="Arial"/>
          <w:sz w:val="24"/>
        </w:rPr>
        <w:t>Development of an Explainable Clinical Decision Support System</w:t>
      </w:r>
    </w:p>
    <w:p>
      <w:pPr>
        <w:jc w:val="center"/>
      </w:pPr>
      <w:r>
        <w:rPr>
          <w:rFonts w:ascii="Arial" w:hAnsi="Arial"/>
          <w:sz w:val="24"/>
        </w:rPr>
        <w:t>for a Web-Based Maternity Management System</w:t>
      </w:r>
    </w:p>
    <w:p>
      <w:pPr>
        <w:jc w:val="center"/>
      </w:pPr>
      <w:r>
        <w:rPr>
          <w:rFonts w:ascii="Arial" w:hAnsi="Arial"/>
          <w:sz w:val="24"/>
        </w:rPr>
        <w:t>in a Philippine Lying-in Clinic</w:t>
      </w:r>
    </w:p>
    <w:p/>
    <w:p>
      <w:pPr>
        <w:jc w:val="center"/>
      </w:pPr>
      <w:r>
        <w:rPr>
          <w:i/>
        </w:rPr>
        <w:t>Version 1.0 - Research and Architecture Draft</w:t>
      </w:r>
    </w:p>
    <w:p>
      <w:pPr>
        <w:jc w:val="center"/>
      </w:pPr>
      <w:r>
        <w:rPr>
          <w:i/>
        </w:rPr>
        <w:t>July 2026</w:t>
      </w:r>
    </w:p>
    <w:p>
      <w:r>
        <w:br w:type="page"/>
      </w:r>
    </w:p>
    <w:p>
      <w:pPr>
        <w:pStyle w:val="Heading1"/>
      </w:pPr>
      <w:r>
        <w:t>Clinical Safety Statement</w:t>
      </w:r>
    </w:p>
    <w:p>
      <w:r>
        <w:t>The Machine Learning component described in this document is a bounded advisory contributor within a larger explainable Clinical Decision Support System. It is not an autonomous diagnostic system, does not prescribe treatment, does not replace professional judgment, and shall not independently determine referral, emergency transfer, or patient disposition. Deterministic clinical safety rules, emergency override logic, validated patient data, and human review remain authoritative.</w:t>
      </w:r>
    </w:p>
    <w:p>
      <w:r>
        <w:t>This specification is a capstone architecture document rather than proof of clinical effectiveness or regulatory authorization. Before any use with real patients, the complete system, model, dataset, user interface, workflow, privacy controls, and clinical content require qualified review, local validation, ethics and governance review, and compliance assessment under applicable Philippine requirements.</w:t>
      </w:r>
    </w:p>
    <w:p>
      <w:pPr>
        <w:pStyle w:val="Heading1"/>
      </w:pPr>
      <w:r>
        <w:t>Document Status</w:t>
      </w: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4939"/>
            <w:vAlign w:val="top"/>
            <w:shd w:fill="D9EAF7"/>
          </w:tcPr>
          <w:p>
            <w:pPr>
              <w:spacing w:after="0"/>
            </w:pPr>
            <w:r/>
            <w:r>
              <w:rPr>
                <w:rFonts w:ascii="Arial" w:hAnsi="Arial"/>
                <w:b/>
                <w:sz w:val="18"/>
              </w:rPr>
              <w:t>Item</w:t>
            </w:r>
          </w:p>
        </w:tc>
        <w:tc>
          <w:tcPr>
            <w:tcW w:type="dxa" w:w="4939"/>
            <w:vAlign w:val="top"/>
            <w:shd w:fill="D9EAF7"/>
          </w:tcPr>
          <w:p>
            <w:pPr>
              <w:spacing w:after="0"/>
            </w:pPr>
            <w:r/>
            <w:r>
              <w:rPr>
                <w:rFonts w:ascii="Arial" w:hAnsi="Arial"/>
                <w:b/>
                <w:sz w:val="18"/>
              </w:rPr>
              <w:t>Description</w:t>
            </w:r>
          </w:p>
        </w:tc>
      </w:tr>
      <w:tr>
        <w:tc>
          <w:tcPr>
            <w:tcW w:type="dxa" w:w="4939"/>
            <w:vAlign w:val="top"/>
          </w:tcPr>
          <w:p>
            <w:pPr>
              <w:spacing w:after="0"/>
            </w:pPr>
            <w:r/>
            <w:r>
              <w:rPr>
                <w:rFonts w:ascii="Arial" w:hAnsi="Arial"/>
                <w:b w:val="0"/>
                <w:sz w:val="18"/>
              </w:rPr>
              <w:t>Document</w:t>
            </w:r>
          </w:p>
        </w:tc>
        <w:tc>
          <w:tcPr>
            <w:tcW w:type="dxa" w:w="4939"/>
            <w:vAlign w:val="top"/>
          </w:tcPr>
          <w:p>
            <w:pPr>
              <w:spacing w:after="0"/>
            </w:pPr>
            <w:r/>
            <w:r>
              <w:rPr>
                <w:rFonts w:ascii="Arial" w:hAnsi="Arial"/>
                <w:b w:val="0"/>
                <w:sz w:val="18"/>
              </w:rPr>
              <w:t>Document 3 - Machine Learning Integration, Validation, and Governance Specification</w:t>
            </w:r>
          </w:p>
        </w:tc>
      </w:tr>
      <w:tr>
        <w:tc>
          <w:tcPr>
            <w:tcW w:type="dxa" w:w="4939"/>
            <w:vAlign w:val="top"/>
          </w:tcPr>
          <w:p>
            <w:pPr>
              <w:spacing w:after="0"/>
            </w:pPr>
            <w:r/>
            <w:r>
              <w:rPr>
                <w:rFonts w:ascii="Arial" w:hAnsi="Arial"/>
                <w:b w:val="0"/>
                <w:sz w:val="18"/>
              </w:rPr>
              <w:t>Part</w:t>
            </w:r>
          </w:p>
        </w:tc>
        <w:tc>
          <w:tcPr>
            <w:tcW w:type="dxa" w:w="4939"/>
            <w:vAlign w:val="top"/>
          </w:tcPr>
          <w:p>
            <w:pPr>
              <w:spacing w:after="0"/>
            </w:pPr>
            <w:r/>
            <w:r>
              <w:rPr>
                <w:rFonts w:ascii="Arial" w:hAnsi="Arial"/>
                <w:b w:val="0"/>
                <w:sz w:val="18"/>
              </w:rPr>
              <w:t>Part 1 of the planned 12-part specification</w:t>
            </w:r>
          </w:p>
        </w:tc>
      </w:tr>
      <w:tr>
        <w:tc>
          <w:tcPr>
            <w:tcW w:type="dxa" w:w="4939"/>
            <w:vAlign w:val="top"/>
          </w:tcPr>
          <w:p>
            <w:pPr>
              <w:spacing w:after="0"/>
            </w:pPr>
            <w:r/>
            <w:r>
              <w:rPr>
                <w:rFonts w:ascii="Arial" w:hAnsi="Arial"/>
                <w:b w:val="0"/>
                <w:sz w:val="18"/>
              </w:rPr>
              <w:t>Title</w:t>
            </w:r>
          </w:p>
        </w:tc>
        <w:tc>
          <w:tcPr>
            <w:tcW w:type="dxa" w:w="4939"/>
            <w:vAlign w:val="top"/>
          </w:tcPr>
          <w:p>
            <w:pPr>
              <w:spacing w:after="0"/>
            </w:pPr>
            <w:r/>
            <w:r>
              <w:rPr>
                <w:rFonts w:ascii="Arial" w:hAnsi="Arial"/>
                <w:b w:val="0"/>
                <w:sz w:val="18"/>
              </w:rPr>
              <w:t>Machine Learning Philosophy and Architecture</w:t>
            </w:r>
          </w:p>
        </w:tc>
      </w:tr>
      <w:tr>
        <w:tc>
          <w:tcPr>
            <w:tcW w:type="dxa" w:w="4939"/>
            <w:vAlign w:val="top"/>
          </w:tcPr>
          <w:p>
            <w:pPr>
              <w:spacing w:after="0"/>
            </w:pPr>
            <w:r/>
            <w:r>
              <w:rPr>
                <w:rFonts w:ascii="Arial" w:hAnsi="Arial"/>
                <w:b w:val="0"/>
                <w:sz w:val="18"/>
              </w:rPr>
              <w:t>Primary question</w:t>
            </w:r>
          </w:p>
        </w:tc>
        <w:tc>
          <w:tcPr>
            <w:tcW w:type="dxa" w:w="4939"/>
            <w:vAlign w:val="top"/>
          </w:tcPr>
          <w:p>
            <w:pPr>
              <w:spacing w:after="0"/>
            </w:pPr>
            <w:r/>
            <w:r>
              <w:rPr>
                <w:rFonts w:ascii="Arial" w:hAnsi="Arial"/>
                <w:b w:val="0"/>
                <w:sz w:val="18"/>
              </w:rPr>
              <w:t>How may machine learning safely and truthfully contribute to the Decision Engine defined in Document 2?</w:t>
            </w:r>
          </w:p>
        </w:tc>
      </w:tr>
      <w:tr>
        <w:tc>
          <w:tcPr>
            <w:tcW w:type="dxa" w:w="4939"/>
            <w:vAlign w:val="top"/>
          </w:tcPr>
          <w:p>
            <w:pPr>
              <w:spacing w:after="0"/>
            </w:pPr>
            <w:r/>
            <w:r>
              <w:rPr>
                <w:rFonts w:ascii="Arial" w:hAnsi="Arial"/>
                <w:b w:val="0"/>
                <w:sz w:val="18"/>
              </w:rPr>
              <w:t>Depends on</w:t>
            </w:r>
          </w:p>
        </w:tc>
        <w:tc>
          <w:tcPr>
            <w:tcW w:type="dxa" w:w="4939"/>
            <w:vAlign w:val="top"/>
          </w:tcPr>
          <w:p>
            <w:pPr>
              <w:spacing w:after="0"/>
            </w:pPr>
            <w:r/>
            <w:r>
              <w:rPr>
                <w:rFonts w:ascii="Arial" w:hAnsi="Arial"/>
                <w:b w:val="0"/>
                <w:sz w:val="18"/>
              </w:rPr>
              <w:t>Document 0; Document 1 Clinical Knowledge Base; Document 2 Decision Engine Specification</w:t>
            </w:r>
          </w:p>
        </w:tc>
      </w:tr>
      <w:tr>
        <w:tc>
          <w:tcPr>
            <w:tcW w:type="dxa" w:w="4939"/>
            <w:vAlign w:val="top"/>
          </w:tcPr>
          <w:p>
            <w:pPr>
              <w:spacing w:after="0"/>
            </w:pPr>
            <w:r/>
            <w:r>
              <w:rPr>
                <w:rFonts w:ascii="Arial" w:hAnsi="Arial"/>
                <w:b w:val="0"/>
                <w:sz w:val="18"/>
              </w:rPr>
              <w:t>Current implementation context</w:t>
            </w:r>
          </w:p>
        </w:tc>
        <w:tc>
          <w:tcPr>
            <w:tcW w:type="dxa" w:w="4939"/>
            <w:vAlign w:val="top"/>
          </w:tcPr>
          <w:p>
            <w:pPr>
              <w:spacing w:after="0"/>
            </w:pPr>
            <w:r/>
            <w:r>
              <w:rPr>
                <w:rFonts w:ascii="Arial" w:hAnsi="Arial"/>
                <w:b w:val="0"/>
                <w:sz w:val="18"/>
              </w:rPr>
              <w:t>Laravel application invoking a Python-based Random Forest predictor that returns a controlled HIGH or LOW contribution.</w:t>
            </w:r>
          </w:p>
        </w:tc>
      </w:tr>
      <w:tr>
        <w:tc>
          <w:tcPr>
            <w:tcW w:type="dxa" w:w="4939"/>
            <w:vAlign w:val="top"/>
          </w:tcPr>
          <w:p>
            <w:pPr>
              <w:spacing w:after="0"/>
            </w:pPr>
            <w:r/>
            <w:r>
              <w:rPr>
                <w:rFonts w:ascii="Arial" w:hAnsi="Arial"/>
                <w:b w:val="0"/>
                <w:sz w:val="18"/>
              </w:rPr>
              <w:t>Status</w:t>
            </w:r>
          </w:p>
        </w:tc>
        <w:tc>
          <w:tcPr>
            <w:tcW w:type="dxa" w:w="4939"/>
            <w:vAlign w:val="top"/>
          </w:tcPr>
          <w:p>
            <w:pPr>
              <w:spacing w:after="0"/>
            </w:pPr>
            <w:r/>
            <w:r>
              <w:rPr>
                <w:rFonts w:ascii="Arial" w:hAnsi="Arial"/>
                <w:b w:val="0"/>
                <w:sz w:val="18"/>
              </w:rPr>
              <w:t>Research and architecture draft; not clinical deployment authorization.</w:t>
            </w:r>
          </w:p>
        </w:tc>
      </w:tr>
    </w:tbl>
    <w:p/>
    <w:p>
      <w:pPr>
        <w:pStyle w:val="Heading1"/>
      </w:pPr>
      <w:r>
        <w:t>Executive Architecture Decision</w:t>
      </w:r>
    </w:p>
    <w:p>
      <w:r>
        <w:t>The project shall treat machine learning as a bounded evidence contributor, not as the final decision-maker. The current Random Forest model may provide a validated HIGH or LOW contribution to the Knowledge Processing Engine, but its output is accepted only when the required input contract, model version, runtime status, and response schema are valid. A model output of HIGH may contribute to a final HIGH assessment. A model output of LOW may support LOW only when all required records are complete, deterministic HIGH and emergency rules are absent, and the complete Decision Engine successfully finishes. Invalid, unavailable, stale, incompatible, or unexplained model output shall never be converted into LOW; it produces an ML-unavailable limitation and, where ML is required for the current workflow, ASSESSMENT INCOMPLETE.</w:t>
      </w:r>
    </w:p>
    <w:p>
      <w:r>
        <w:t>This design intentionally preserves a clinically understandable safety core outside the model. It aligns with recognized AI-for-health principles emphasizing human autonomy, safety, transparency, accountability, inclusiveness, lifecycle risk management, representative data, independent testing, human-AI team performance, clear user information, and monitoring after deployment.</w:t>
      </w:r>
    </w:p>
    <w:p>
      <w:pPr>
        <w:pStyle w:val="Heading1"/>
      </w:pPr>
      <w:r>
        <w:t>1.0 Purpose of Document 3</w:t>
      </w:r>
    </w:p>
    <w:p>
      <w:r>
        <w:t>Document 3 specifies the lifecycle, governance, validation, integration, and limitations of the project's machine-learning component. Document 1 answers what clinical knowledge the system uses. Document 2 answers how the complete Decision Engine reasons. Document 3 answers how a learned statistical model may contribute without taking control of the clinical workflow.</w:t>
      </w:r>
    </w:p>
    <w:p>
      <w:pPr>
        <w:pStyle w:val="ListBullet"/>
      </w:pPr>
      <w:r>
        <w:t>Define the intended use and prohibited uses of machine learning in the capstone.</w:t>
      </w:r>
    </w:p>
    <w:p>
      <w:pPr>
        <w:pStyle w:val="ListBullet"/>
      </w:pPr>
      <w:r>
        <w:t>Describe the relationship among Laravel, Python, the trained model artifact, the deterministic Decision Engine, and the human user.</w:t>
      </w:r>
    </w:p>
    <w:p>
      <w:pPr>
        <w:pStyle w:val="ListBullet"/>
      </w:pPr>
      <w:r>
        <w:t>Establish the boundaries that prevent model output from overriding emergency or rule-based safety findings.</w:t>
      </w:r>
    </w:p>
    <w:p>
      <w:pPr>
        <w:pStyle w:val="ListBullet"/>
      </w:pPr>
      <w:r>
        <w:t>Define the lifecycle that later parts will use for dataset design, feature engineering, training, evaluation, explainability, integration, monitoring, and controlled change.</w:t>
      </w:r>
    </w:p>
    <w:p>
      <w:pPr>
        <w:pStyle w:val="ListBullet"/>
      </w:pPr>
      <w:r>
        <w:t>Keep the written specification truthful to the current project while identifying requirements that must be completed before stronger clinical claims are made.</w:t>
      </w:r>
    </w:p>
    <w:p>
      <w:pPr>
        <w:pStyle w:val="Heading1"/>
      </w:pPr>
      <w:r>
        <w:t>2.0 Scope of Part 1</w:t>
      </w:r>
    </w:p>
    <w:p>
      <w:r>
        <w:t>Part 1 establishes the governing philosophy and master architecture. It does not yet claim that the existing model is accurate, calibrated, unbiased, clinically validated, or suitable for deployment. Those claims require evidence produced through the later parts of Document 3.</w:t>
      </w: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4939"/>
            <w:vAlign w:val="top"/>
            <w:shd w:fill="D9EAF7"/>
          </w:tcPr>
          <w:p>
            <w:pPr>
              <w:spacing w:after="0"/>
            </w:pPr>
            <w:r/>
            <w:r>
              <w:rPr>
                <w:rFonts w:ascii="Arial" w:hAnsi="Arial"/>
                <w:b/>
                <w:sz w:val="18"/>
              </w:rPr>
              <w:t>Included in Part 1</w:t>
            </w:r>
          </w:p>
        </w:tc>
        <w:tc>
          <w:tcPr>
            <w:tcW w:type="dxa" w:w="4939"/>
            <w:vAlign w:val="top"/>
            <w:shd w:fill="D9EAF7"/>
          </w:tcPr>
          <w:p>
            <w:pPr>
              <w:spacing w:after="0"/>
            </w:pPr>
            <w:r/>
            <w:r>
              <w:rPr>
                <w:rFonts w:ascii="Arial" w:hAnsi="Arial"/>
                <w:b/>
                <w:sz w:val="18"/>
              </w:rPr>
              <w:t>Deferred to later parts</w:t>
            </w:r>
          </w:p>
        </w:tc>
      </w:tr>
      <w:tr>
        <w:tc>
          <w:tcPr>
            <w:tcW w:type="dxa" w:w="4939"/>
            <w:vAlign w:val="top"/>
          </w:tcPr>
          <w:p>
            <w:pPr>
              <w:spacing w:after="0"/>
            </w:pPr>
            <w:r/>
            <w:r>
              <w:rPr>
                <w:rFonts w:ascii="Arial" w:hAnsi="Arial"/>
                <w:b w:val="0"/>
                <w:sz w:val="18"/>
              </w:rPr>
              <w:t>ML role, authority, boundaries, and system relationships</w:t>
            </w:r>
          </w:p>
        </w:tc>
        <w:tc>
          <w:tcPr>
            <w:tcW w:type="dxa" w:w="4939"/>
            <w:vAlign w:val="top"/>
          </w:tcPr>
          <w:p>
            <w:pPr>
              <w:spacing w:after="0"/>
            </w:pPr>
            <w:r/>
            <w:r>
              <w:rPr>
                <w:rFonts w:ascii="Arial" w:hAnsi="Arial"/>
                <w:b w:val="0"/>
                <w:sz w:val="18"/>
              </w:rPr>
              <w:t>Dataset provenance, inclusion/exclusion rules, sample size, and label quality</w:t>
            </w:r>
          </w:p>
        </w:tc>
      </w:tr>
      <w:tr>
        <w:tc>
          <w:tcPr>
            <w:tcW w:type="dxa" w:w="4939"/>
            <w:vAlign w:val="top"/>
          </w:tcPr>
          <w:p>
            <w:pPr>
              <w:spacing w:after="0"/>
            </w:pPr>
            <w:r/>
            <w:r>
              <w:rPr>
                <w:rFonts w:ascii="Arial" w:hAnsi="Arial"/>
                <w:b w:val="0"/>
                <w:sz w:val="18"/>
              </w:rPr>
              <w:t>High-level lifecycle and component architecture</w:t>
            </w:r>
          </w:p>
        </w:tc>
        <w:tc>
          <w:tcPr>
            <w:tcW w:type="dxa" w:w="4939"/>
            <w:vAlign w:val="top"/>
          </w:tcPr>
          <w:p>
            <w:pPr>
              <w:spacing w:after="0"/>
            </w:pPr>
            <w:r/>
            <w:r>
              <w:rPr>
                <w:rFonts w:ascii="Arial" w:hAnsi="Arial"/>
                <w:b w:val="0"/>
                <w:sz w:val="18"/>
              </w:rPr>
              <w:t>Detailed feature definitions, preprocessing, and leakage controls</w:t>
            </w:r>
          </w:p>
        </w:tc>
      </w:tr>
      <w:tr>
        <w:tc>
          <w:tcPr>
            <w:tcW w:type="dxa" w:w="4939"/>
            <w:vAlign w:val="top"/>
          </w:tcPr>
          <w:p>
            <w:pPr>
              <w:spacing w:after="0"/>
            </w:pPr>
            <w:r/>
            <w:r>
              <w:rPr>
                <w:rFonts w:ascii="Arial" w:hAnsi="Arial"/>
                <w:b w:val="0"/>
                <w:sz w:val="18"/>
              </w:rPr>
              <w:t>Input/output contract and safety precedence</w:t>
            </w:r>
          </w:p>
        </w:tc>
        <w:tc>
          <w:tcPr>
            <w:tcW w:type="dxa" w:w="4939"/>
            <w:vAlign w:val="top"/>
          </w:tcPr>
          <w:p>
            <w:pPr>
              <w:spacing w:after="0"/>
            </w:pPr>
            <w:r/>
            <w:r>
              <w:rPr>
                <w:rFonts w:ascii="Arial" w:hAnsi="Arial"/>
                <w:b w:val="0"/>
                <w:sz w:val="18"/>
              </w:rPr>
              <w:t>Algorithm comparison, training, tuning, and reproducibility</w:t>
            </w:r>
          </w:p>
        </w:tc>
      </w:tr>
      <w:tr>
        <w:tc>
          <w:tcPr>
            <w:tcW w:type="dxa" w:w="4939"/>
            <w:vAlign w:val="top"/>
          </w:tcPr>
          <w:p>
            <w:pPr>
              <w:spacing w:after="0"/>
            </w:pPr>
            <w:r/>
            <w:r>
              <w:rPr>
                <w:rFonts w:ascii="Arial" w:hAnsi="Arial"/>
                <w:b w:val="0"/>
                <w:sz w:val="18"/>
              </w:rPr>
              <w:t>Failure-safe behavior and human oversight</w:t>
            </w:r>
          </w:p>
        </w:tc>
        <w:tc>
          <w:tcPr>
            <w:tcW w:type="dxa" w:w="4939"/>
            <w:vAlign w:val="top"/>
          </w:tcPr>
          <w:p>
            <w:pPr>
              <w:spacing w:after="0"/>
            </w:pPr>
            <w:r/>
            <w:r>
              <w:rPr>
                <w:rFonts w:ascii="Arial" w:hAnsi="Arial"/>
                <w:b w:val="0"/>
                <w:sz w:val="18"/>
              </w:rPr>
              <w:t>Performance metrics, calibration, subgroup evaluation, and external validation</w:t>
            </w:r>
          </w:p>
        </w:tc>
      </w:tr>
      <w:tr>
        <w:tc>
          <w:tcPr>
            <w:tcW w:type="dxa" w:w="4939"/>
            <w:vAlign w:val="top"/>
          </w:tcPr>
          <w:p>
            <w:pPr>
              <w:spacing w:after="0"/>
            </w:pPr>
            <w:r/>
            <w:r>
              <w:rPr>
                <w:rFonts w:ascii="Arial" w:hAnsi="Arial"/>
                <w:b w:val="0"/>
                <w:sz w:val="18"/>
              </w:rPr>
              <w:t>Version and governance concepts</w:t>
            </w:r>
          </w:p>
        </w:tc>
        <w:tc>
          <w:tcPr>
            <w:tcW w:type="dxa" w:w="4939"/>
            <w:vAlign w:val="top"/>
          </w:tcPr>
          <w:p>
            <w:pPr>
              <w:spacing w:after="0"/>
            </w:pPr>
            <w:r/>
            <w:r>
              <w:rPr>
                <w:rFonts w:ascii="Arial" w:hAnsi="Arial"/>
                <w:b w:val="0"/>
                <w:sz w:val="18"/>
              </w:rPr>
              <w:t>Detailed monitoring, drift detection, retraining, and retirement procedures</w:t>
            </w:r>
          </w:p>
        </w:tc>
      </w:tr>
    </w:tbl>
    <w:p/>
    <w:p>
      <w:pPr>
        <w:pStyle w:val="Heading1"/>
      </w:pPr>
      <w:r>
        <w:t>3.0 Research and Governance Foundations</w:t>
      </w:r>
    </w:p>
    <w:p>
      <w:r>
        <w:t>The architecture is informed by authoritative guidance rather than by the assumption that a high accuracy score is sufficient. WHO guidance places ethics and human rights at the center of AI for health and identifies autonomy, safety, transparency, accountability, inclusiveness, equity, responsiveness, and sustainability as core concerns. The internationally developed Good Machine Learning Practice principles emphasize multidisciplinary expertise, representative datasets, independent test sets, appropriate reference standards, fit-for-purpose model design, human-AI team performance, clear user information, and monitoring of deployed models. NIST's AI Risk Management Framework contributes a lifecycle risk perspective organized around governance, mapping context, measurement, and management. FDA lifecycle and transparency materials are used as design references; they are not presented as a declaration that this capstone is an FDA-regulated device.</w:t>
      </w: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4939"/>
            <w:vAlign w:val="top"/>
            <w:shd w:fill="D9EAF7"/>
          </w:tcPr>
          <w:p>
            <w:pPr>
              <w:spacing w:after="0"/>
            </w:pPr>
            <w:r/>
            <w:r>
              <w:rPr>
                <w:rFonts w:ascii="Arial" w:hAnsi="Arial"/>
                <w:b/>
                <w:sz w:val="18"/>
              </w:rPr>
              <w:t>Foundation</w:t>
            </w:r>
          </w:p>
        </w:tc>
        <w:tc>
          <w:tcPr>
            <w:tcW w:type="dxa" w:w="4939"/>
            <w:vAlign w:val="top"/>
            <w:shd w:fill="D9EAF7"/>
          </w:tcPr>
          <w:p>
            <w:pPr>
              <w:spacing w:after="0"/>
            </w:pPr>
            <w:r/>
            <w:r>
              <w:rPr>
                <w:rFonts w:ascii="Arial" w:hAnsi="Arial"/>
                <w:b/>
                <w:sz w:val="18"/>
              </w:rPr>
              <w:t>Architectural consequence for this project</w:t>
            </w:r>
          </w:p>
        </w:tc>
      </w:tr>
      <w:tr>
        <w:tc>
          <w:tcPr>
            <w:tcW w:type="dxa" w:w="4939"/>
            <w:vAlign w:val="top"/>
          </w:tcPr>
          <w:p>
            <w:pPr>
              <w:spacing w:after="0"/>
            </w:pPr>
            <w:r/>
            <w:r>
              <w:rPr>
                <w:rFonts w:ascii="Arial" w:hAnsi="Arial"/>
                <w:b w:val="0"/>
                <w:sz w:val="18"/>
              </w:rPr>
              <w:t>Human autonomy</w:t>
            </w:r>
          </w:p>
        </w:tc>
        <w:tc>
          <w:tcPr>
            <w:tcW w:type="dxa" w:w="4939"/>
            <w:vAlign w:val="top"/>
          </w:tcPr>
          <w:p>
            <w:pPr>
              <w:spacing w:after="0"/>
            </w:pPr>
            <w:r/>
            <w:r>
              <w:rPr>
                <w:rFonts w:ascii="Arial" w:hAnsi="Arial"/>
                <w:b w:val="0"/>
                <w:sz w:val="18"/>
              </w:rPr>
              <w:t>The healthcare professional remains responsible; the system presents reasons and limitations rather than issuing autonomous orders.</w:t>
            </w:r>
          </w:p>
        </w:tc>
      </w:tr>
      <w:tr>
        <w:tc>
          <w:tcPr>
            <w:tcW w:type="dxa" w:w="4939"/>
            <w:vAlign w:val="top"/>
          </w:tcPr>
          <w:p>
            <w:pPr>
              <w:spacing w:after="0"/>
            </w:pPr>
            <w:r/>
            <w:r>
              <w:rPr>
                <w:rFonts w:ascii="Arial" w:hAnsi="Arial"/>
                <w:b w:val="0"/>
                <w:sz w:val="18"/>
              </w:rPr>
              <w:t>Safety and public interest</w:t>
            </w:r>
          </w:p>
        </w:tc>
        <w:tc>
          <w:tcPr>
            <w:tcW w:type="dxa" w:w="4939"/>
            <w:vAlign w:val="top"/>
          </w:tcPr>
          <w:p>
            <w:pPr>
              <w:spacing w:after="0"/>
            </w:pPr>
            <w:r/>
            <w:r>
              <w:rPr>
                <w:rFonts w:ascii="Arial" w:hAnsi="Arial"/>
                <w:b w:val="0"/>
                <w:sz w:val="18"/>
              </w:rPr>
              <w:t>Emergency and deterministic rules have precedence over model output.</w:t>
            </w:r>
          </w:p>
        </w:tc>
      </w:tr>
      <w:tr>
        <w:tc>
          <w:tcPr>
            <w:tcW w:type="dxa" w:w="4939"/>
            <w:vAlign w:val="top"/>
          </w:tcPr>
          <w:p>
            <w:pPr>
              <w:spacing w:after="0"/>
            </w:pPr>
            <w:r/>
            <w:r>
              <w:rPr>
                <w:rFonts w:ascii="Arial" w:hAnsi="Arial"/>
                <w:b w:val="0"/>
                <w:sz w:val="18"/>
              </w:rPr>
              <w:t>Transparency and intelligibility</w:t>
            </w:r>
          </w:p>
        </w:tc>
        <w:tc>
          <w:tcPr>
            <w:tcW w:type="dxa" w:w="4939"/>
            <w:vAlign w:val="top"/>
          </w:tcPr>
          <w:p>
            <w:pPr>
              <w:spacing w:after="0"/>
            </w:pPr>
            <w:r/>
            <w:r>
              <w:rPr>
                <w:rFonts w:ascii="Arial" w:hAnsi="Arial"/>
                <w:b w:val="0"/>
                <w:sz w:val="18"/>
              </w:rPr>
              <w:t>The model version, accepted inputs, output, limitations, and contribution to the final result are visible and auditable.</w:t>
            </w:r>
          </w:p>
        </w:tc>
      </w:tr>
      <w:tr>
        <w:tc>
          <w:tcPr>
            <w:tcW w:type="dxa" w:w="4939"/>
            <w:vAlign w:val="top"/>
          </w:tcPr>
          <w:p>
            <w:pPr>
              <w:spacing w:after="0"/>
            </w:pPr>
            <w:r/>
            <w:r>
              <w:rPr>
                <w:rFonts w:ascii="Arial" w:hAnsi="Arial"/>
                <w:b w:val="0"/>
                <w:sz w:val="18"/>
              </w:rPr>
              <w:t>Responsibility and accountability</w:t>
            </w:r>
          </w:p>
        </w:tc>
        <w:tc>
          <w:tcPr>
            <w:tcW w:type="dxa" w:w="4939"/>
            <w:vAlign w:val="top"/>
          </w:tcPr>
          <w:p>
            <w:pPr>
              <w:spacing w:after="0"/>
            </w:pPr>
            <w:r/>
            <w:r>
              <w:rPr>
                <w:rFonts w:ascii="Arial" w:hAnsi="Arial"/>
                <w:b w:val="0"/>
                <w:sz w:val="18"/>
              </w:rPr>
              <w:t>Dataset, code, model, approval, deployment, and user actions have named owners and version records.</w:t>
            </w:r>
          </w:p>
        </w:tc>
      </w:tr>
      <w:tr>
        <w:tc>
          <w:tcPr>
            <w:tcW w:type="dxa" w:w="4939"/>
            <w:vAlign w:val="top"/>
          </w:tcPr>
          <w:p>
            <w:pPr>
              <w:spacing w:after="0"/>
            </w:pPr>
            <w:r/>
            <w:r>
              <w:rPr>
                <w:rFonts w:ascii="Arial" w:hAnsi="Arial"/>
                <w:b w:val="0"/>
                <w:sz w:val="18"/>
              </w:rPr>
              <w:t>Inclusiveness and equity</w:t>
            </w:r>
          </w:p>
        </w:tc>
        <w:tc>
          <w:tcPr>
            <w:tcW w:type="dxa" w:w="4939"/>
            <w:vAlign w:val="top"/>
          </w:tcPr>
          <w:p>
            <w:pPr>
              <w:spacing w:after="0"/>
            </w:pPr>
            <w:r/>
            <w:r>
              <w:rPr>
                <w:rFonts w:ascii="Arial" w:hAnsi="Arial"/>
                <w:b w:val="0"/>
                <w:sz w:val="18"/>
              </w:rPr>
              <w:t>Data representativeness and subgroup performance must be examined rather than assumed.</w:t>
            </w:r>
          </w:p>
        </w:tc>
      </w:tr>
      <w:tr>
        <w:tc>
          <w:tcPr>
            <w:tcW w:type="dxa" w:w="4939"/>
            <w:vAlign w:val="top"/>
          </w:tcPr>
          <w:p>
            <w:pPr>
              <w:spacing w:after="0"/>
            </w:pPr>
            <w:r/>
            <w:r>
              <w:rPr>
                <w:rFonts w:ascii="Arial" w:hAnsi="Arial"/>
                <w:b w:val="0"/>
                <w:sz w:val="18"/>
              </w:rPr>
              <w:t>Lifecycle risk management</w:t>
            </w:r>
          </w:p>
        </w:tc>
        <w:tc>
          <w:tcPr>
            <w:tcW w:type="dxa" w:w="4939"/>
            <w:vAlign w:val="top"/>
          </w:tcPr>
          <w:p>
            <w:pPr>
              <w:spacing w:after="0"/>
            </w:pPr>
            <w:r/>
            <w:r>
              <w:rPr>
                <w:rFonts w:ascii="Arial" w:hAnsi="Arial"/>
                <w:b w:val="0"/>
                <w:sz w:val="18"/>
              </w:rPr>
              <w:t>Training, validation, deployment, monitoring, change, rollback, and retirement are governed stages.</w:t>
            </w:r>
          </w:p>
        </w:tc>
      </w:tr>
      <w:tr>
        <w:tc>
          <w:tcPr>
            <w:tcW w:type="dxa" w:w="4939"/>
            <w:vAlign w:val="top"/>
          </w:tcPr>
          <w:p>
            <w:pPr>
              <w:spacing w:after="0"/>
            </w:pPr>
            <w:r/>
            <w:r>
              <w:rPr>
                <w:rFonts w:ascii="Arial" w:hAnsi="Arial"/>
                <w:b w:val="0"/>
                <w:sz w:val="18"/>
              </w:rPr>
              <w:t>Human-AI team performance</w:t>
            </w:r>
          </w:p>
        </w:tc>
        <w:tc>
          <w:tcPr>
            <w:tcW w:type="dxa" w:w="4939"/>
            <w:vAlign w:val="top"/>
          </w:tcPr>
          <w:p>
            <w:pPr>
              <w:spacing w:after="0"/>
            </w:pPr>
            <w:r/>
            <w:r>
              <w:rPr>
                <w:rFonts w:ascii="Arial" w:hAnsi="Arial"/>
                <w:b w:val="0"/>
                <w:sz w:val="18"/>
              </w:rPr>
              <w:t>Evaluation must consider how users interpret and act on the result, not only standalone model metrics.</w:t>
            </w:r>
          </w:p>
        </w:tc>
      </w:tr>
    </w:tbl>
    <w:p/>
    <w:p>
      <w:pPr>
        <w:pStyle w:val="Heading1"/>
      </w:pPr>
      <w:r>
        <w:t>4.0 Machine Learning Intended Use</w:t>
      </w:r>
    </w:p>
    <w:p>
      <w:r>
        <w:t>The intended use statement controls what data may be used, what performance must be evaluated, who may see the result, and what actions may follow. Expanding the model beyond this statement requires a new governed version and validation plan.</w:t>
      </w: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4939"/>
            <w:vAlign w:val="top"/>
            <w:shd w:fill="D9EAF7"/>
          </w:tcPr>
          <w:p>
            <w:pPr>
              <w:spacing w:after="0"/>
            </w:pPr>
            <w:r/>
            <w:r>
              <w:rPr>
                <w:rFonts w:ascii="Arial" w:hAnsi="Arial"/>
                <w:b/>
                <w:sz w:val="18"/>
              </w:rPr>
              <w:t>Intended-use element</w:t>
            </w:r>
          </w:p>
        </w:tc>
        <w:tc>
          <w:tcPr>
            <w:tcW w:type="dxa" w:w="4939"/>
            <w:vAlign w:val="top"/>
            <w:shd w:fill="D9EAF7"/>
          </w:tcPr>
          <w:p>
            <w:pPr>
              <w:spacing w:after="0"/>
            </w:pPr>
            <w:r/>
            <w:r>
              <w:rPr>
                <w:rFonts w:ascii="Arial" w:hAnsi="Arial"/>
                <w:b/>
                <w:sz w:val="18"/>
              </w:rPr>
              <w:t>Project definition</w:t>
            </w:r>
          </w:p>
        </w:tc>
      </w:tr>
      <w:tr>
        <w:tc>
          <w:tcPr>
            <w:tcW w:type="dxa" w:w="4939"/>
            <w:vAlign w:val="top"/>
          </w:tcPr>
          <w:p>
            <w:pPr>
              <w:spacing w:after="0"/>
            </w:pPr>
            <w:r/>
            <w:r>
              <w:rPr>
                <w:rFonts w:ascii="Arial" w:hAnsi="Arial"/>
                <w:b w:val="0"/>
                <w:sz w:val="18"/>
              </w:rPr>
              <w:t>Population</w:t>
            </w:r>
          </w:p>
        </w:tc>
        <w:tc>
          <w:tcPr>
            <w:tcW w:type="dxa" w:w="4939"/>
            <w:vAlign w:val="top"/>
          </w:tcPr>
          <w:p>
            <w:pPr>
              <w:spacing w:after="0"/>
            </w:pPr>
            <w:r/>
            <w:r>
              <w:rPr>
                <w:rFonts w:ascii="Arial" w:hAnsi="Arial"/>
                <w:b w:val="0"/>
                <w:sz w:val="18"/>
              </w:rPr>
              <w:t>Pregnant patients represented within the validated scope of the project dataset and local antenatal workflow. The exact population limits must be stated after dataset review.</w:t>
            </w:r>
          </w:p>
        </w:tc>
      </w:tr>
      <w:tr>
        <w:tc>
          <w:tcPr>
            <w:tcW w:type="dxa" w:w="4939"/>
            <w:vAlign w:val="top"/>
          </w:tcPr>
          <w:p>
            <w:pPr>
              <w:spacing w:after="0"/>
            </w:pPr>
            <w:r/>
            <w:r>
              <w:rPr>
                <w:rFonts w:ascii="Arial" w:hAnsi="Arial"/>
                <w:b w:val="0"/>
                <w:sz w:val="18"/>
              </w:rPr>
              <w:t>User</w:t>
            </w:r>
          </w:p>
        </w:tc>
        <w:tc>
          <w:tcPr>
            <w:tcW w:type="dxa" w:w="4939"/>
            <w:vAlign w:val="top"/>
          </w:tcPr>
          <w:p>
            <w:pPr>
              <w:spacing w:after="0"/>
            </w:pPr>
            <w:r/>
            <w:r>
              <w:rPr>
                <w:rFonts w:ascii="Arial" w:hAnsi="Arial"/>
                <w:b w:val="0"/>
                <w:sz w:val="18"/>
              </w:rPr>
              <w:t>Authorized clinic personnel using the maternity management system; the output is not designed for unsupervised patient self-diagnosis.</w:t>
            </w:r>
          </w:p>
        </w:tc>
      </w:tr>
      <w:tr>
        <w:tc>
          <w:tcPr>
            <w:tcW w:type="dxa" w:w="4939"/>
            <w:vAlign w:val="top"/>
          </w:tcPr>
          <w:p>
            <w:pPr>
              <w:spacing w:after="0"/>
            </w:pPr>
            <w:r/>
            <w:r>
              <w:rPr>
                <w:rFonts w:ascii="Arial" w:hAnsi="Arial"/>
                <w:b w:val="0"/>
                <w:sz w:val="18"/>
              </w:rPr>
              <w:t>Clinical context</w:t>
            </w:r>
          </w:p>
        </w:tc>
        <w:tc>
          <w:tcPr>
            <w:tcW w:type="dxa" w:w="4939"/>
            <w:vAlign w:val="top"/>
          </w:tcPr>
          <w:p>
            <w:pPr>
              <w:spacing w:after="0"/>
            </w:pPr>
            <w:r/>
            <w:r>
              <w:rPr>
                <w:rFonts w:ascii="Arial" w:hAnsi="Arial"/>
                <w:b w:val="0"/>
                <w:sz w:val="18"/>
              </w:rPr>
              <w:t>Supportive risk-assessment contribution during prenatal care in a lying-in clinic.</w:t>
            </w:r>
          </w:p>
        </w:tc>
      </w:tr>
      <w:tr>
        <w:tc>
          <w:tcPr>
            <w:tcW w:type="dxa" w:w="4939"/>
            <w:vAlign w:val="top"/>
          </w:tcPr>
          <w:p>
            <w:pPr>
              <w:spacing w:after="0"/>
            </w:pPr>
            <w:r/>
            <w:r>
              <w:rPr>
                <w:rFonts w:ascii="Arial" w:hAnsi="Arial"/>
                <w:b w:val="0"/>
                <w:sz w:val="18"/>
              </w:rPr>
              <w:t>Input</w:t>
            </w:r>
          </w:p>
        </w:tc>
        <w:tc>
          <w:tcPr>
            <w:tcW w:type="dxa" w:w="4939"/>
            <w:vAlign w:val="top"/>
          </w:tcPr>
          <w:p>
            <w:pPr>
              <w:spacing w:after="0"/>
            </w:pPr>
            <w:r/>
            <w:r>
              <w:rPr>
                <w:rFonts w:ascii="Arial" w:hAnsi="Arial"/>
                <w:b w:val="0"/>
                <w:sz w:val="18"/>
              </w:rPr>
              <w:t>A fixed, versioned set of structured features whose meaning, units, allowed values, time relationship, and missing-data behavior are documented.</w:t>
            </w:r>
          </w:p>
        </w:tc>
      </w:tr>
      <w:tr>
        <w:tc>
          <w:tcPr>
            <w:tcW w:type="dxa" w:w="4939"/>
            <w:vAlign w:val="top"/>
          </w:tcPr>
          <w:p>
            <w:pPr>
              <w:spacing w:after="0"/>
            </w:pPr>
            <w:r/>
            <w:r>
              <w:rPr>
                <w:rFonts w:ascii="Arial" w:hAnsi="Arial"/>
                <w:b w:val="0"/>
                <w:sz w:val="18"/>
              </w:rPr>
              <w:t>Output</w:t>
            </w:r>
          </w:p>
        </w:tc>
        <w:tc>
          <w:tcPr>
            <w:tcW w:type="dxa" w:w="4939"/>
            <w:vAlign w:val="top"/>
          </w:tcPr>
          <w:p>
            <w:pPr>
              <w:spacing w:after="0"/>
            </w:pPr>
            <w:r/>
            <w:r>
              <w:rPr>
                <w:rFonts w:ascii="Arial" w:hAnsi="Arial"/>
                <w:b w:val="0"/>
                <w:sz w:val="18"/>
              </w:rPr>
              <w:t>A machine-readable controlled contribution: HIGH or LOW, accompanied by model and interface metadata.</w:t>
            </w:r>
          </w:p>
        </w:tc>
      </w:tr>
      <w:tr>
        <w:tc>
          <w:tcPr>
            <w:tcW w:type="dxa" w:w="4939"/>
            <w:vAlign w:val="top"/>
          </w:tcPr>
          <w:p>
            <w:pPr>
              <w:spacing w:after="0"/>
            </w:pPr>
            <w:r/>
            <w:r>
              <w:rPr>
                <w:rFonts w:ascii="Arial" w:hAnsi="Arial"/>
                <w:b w:val="0"/>
                <w:sz w:val="18"/>
              </w:rPr>
              <w:t>Role</w:t>
            </w:r>
          </w:p>
        </w:tc>
        <w:tc>
          <w:tcPr>
            <w:tcW w:type="dxa" w:w="4939"/>
            <w:vAlign w:val="top"/>
          </w:tcPr>
          <w:p>
            <w:pPr>
              <w:spacing w:after="0"/>
            </w:pPr>
            <w:r/>
            <w:r>
              <w:rPr>
                <w:rFonts w:ascii="Arial" w:hAnsi="Arial"/>
                <w:b w:val="0"/>
                <w:sz w:val="18"/>
              </w:rPr>
              <w:t>One contributor to the hybrid Decision Engine; not the final clinical state by itself.</w:t>
            </w:r>
          </w:p>
        </w:tc>
      </w:tr>
      <w:tr>
        <w:tc>
          <w:tcPr>
            <w:tcW w:type="dxa" w:w="4939"/>
            <w:vAlign w:val="top"/>
          </w:tcPr>
          <w:p>
            <w:pPr>
              <w:spacing w:after="0"/>
            </w:pPr>
            <w:r/>
            <w:r>
              <w:rPr>
                <w:rFonts w:ascii="Arial" w:hAnsi="Arial"/>
                <w:b w:val="0"/>
                <w:sz w:val="18"/>
              </w:rPr>
              <w:t>Action</w:t>
            </w:r>
          </w:p>
        </w:tc>
        <w:tc>
          <w:tcPr>
            <w:tcW w:type="dxa" w:w="4939"/>
            <w:vAlign w:val="top"/>
          </w:tcPr>
          <w:p>
            <w:pPr>
              <w:spacing w:after="0"/>
            </w:pPr>
            <w:r/>
            <w:r>
              <w:rPr>
                <w:rFonts w:ascii="Arial" w:hAnsi="Arial"/>
                <w:b w:val="0"/>
                <w:sz w:val="18"/>
              </w:rPr>
              <w:t>Support review, completion of required records, prioritization, and referral decision support through the governed Decision Engine.</w:t>
            </w:r>
          </w:p>
        </w:tc>
      </w:tr>
      <w:tr>
        <w:tc>
          <w:tcPr>
            <w:tcW w:type="dxa" w:w="4939"/>
            <w:vAlign w:val="top"/>
          </w:tcPr>
          <w:p>
            <w:pPr>
              <w:spacing w:after="0"/>
            </w:pPr>
            <w:r/>
            <w:r>
              <w:rPr>
                <w:rFonts w:ascii="Arial" w:hAnsi="Arial"/>
                <w:b w:val="0"/>
                <w:sz w:val="18"/>
              </w:rPr>
              <w:t>Excluded claim</w:t>
            </w:r>
          </w:p>
        </w:tc>
        <w:tc>
          <w:tcPr>
            <w:tcW w:type="dxa" w:w="4939"/>
            <w:vAlign w:val="top"/>
          </w:tcPr>
          <w:p>
            <w:pPr>
              <w:spacing w:after="0"/>
            </w:pPr>
            <w:r/>
            <w:r>
              <w:rPr>
                <w:rFonts w:ascii="Arial" w:hAnsi="Arial"/>
                <w:b w:val="0"/>
                <w:sz w:val="18"/>
              </w:rPr>
              <w:t>No claim of autonomous diagnosis, disease probability, treatment selection, fetal-image interpretation, or guaranteed outcome.</w:t>
            </w:r>
          </w:p>
        </w:tc>
      </w:tr>
    </w:tbl>
    <w:p/>
    <w:p>
      <w:pPr>
        <w:pStyle w:val="Heading1"/>
      </w:pPr>
      <w:r>
        <w:t>5.0 Prohibited Uses and Architectural Boundaries</w:t>
      </w: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4939"/>
            <w:vAlign w:val="top"/>
            <w:shd w:fill="D9EAF7"/>
          </w:tcPr>
          <w:p>
            <w:pPr>
              <w:spacing w:after="0"/>
            </w:pPr>
            <w:r/>
            <w:r>
              <w:rPr>
                <w:rFonts w:ascii="Arial" w:hAnsi="Arial"/>
                <w:b/>
                <w:sz w:val="18"/>
              </w:rPr>
              <w:t>Prohibited use or shortcut</w:t>
            </w:r>
          </w:p>
        </w:tc>
        <w:tc>
          <w:tcPr>
            <w:tcW w:type="dxa" w:w="4939"/>
            <w:vAlign w:val="top"/>
            <w:shd w:fill="D9EAF7"/>
          </w:tcPr>
          <w:p>
            <w:pPr>
              <w:spacing w:after="0"/>
            </w:pPr>
            <w:r/>
            <w:r>
              <w:rPr>
                <w:rFonts w:ascii="Arial" w:hAnsi="Arial"/>
                <w:b/>
                <w:sz w:val="18"/>
              </w:rPr>
              <w:t>Reason</w:t>
            </w:r>
          </w:p>
        </w:tc>
      </w:tr>
      <w:tr>
        <w:tc>
          <w:tcPr>
            <w:tcW w:type="dxa" w:w="4939"/>
            <w:vAlign w:val="top"/>
          </w:tcPr>
          <w:p>
            <w:pPr>
              <w:spacing w:after="0"/>
            </w:pPr>
            <w:r/>
            <w:r>
              <w:rPr>
                <w:rFonts w:ascii="Arial" w:hAnsi="Arial"/>
                <w:b w:val="0"/>
                <w:sz w:val="18"/>
              </w:rPr>
              <w:t>Using model LOW to override a deterministic HIGH rule</w:t>
            </w:r>
          </w:p>
        </w:tc>
        <w:tc>
          <w:tcPr>
            <w:tcW w:type="dxa" w:w="4939"/>
            <w:vAlign w:val="top"/>
          </w:tcPr>
          <w:p>
            <w:pPr>
              <w:spacing w:after="0"/>
            </w:pPr>
            <w:r/>
            <w:r>
              <w:rPr>
                <w:rFonts w:ascii="Arial" w:hAnsi="Arial"/>
                <w:b w:val="0"/>
                <w:sz w:val="18"/>
              </w:rPr>
              <w:t>Would allow probabilistic output to suppress explicit safety evidence.</w:t>
            </w:r>
          </w:p>
        </w:tc>
      </w:tr>
      <w:tr>
        <w:tc>
          <w:tcPr>
            <w:tcW w:type="dxa" w:w="4939"/>
            <w:vAlign w:val="top"/>
          </w:tcPr>
          <w:p>
            <w:pPr>
              <w:spacing w:after="0"/>
            </w:pPr>
            <w:r/>
            <w:r>
              <w:rPr>
                <w:rFonts w:ascii="Arial" w:hAnsi="Arial"/>
                <w:b w:val="0"/>
                <w:sz w:val="18"/>
              </w:rPr>
              <w:t>Using model output to cancel an emergency trigger</w:t>
            </w:r>
          </w:p>
        </w:tc>
        <w:tc>
          <w:tcPr>
            <w:tcW w:type="dxa" w:w="4939"/>
            <w:vAlign w:val="top"/>
          </w:tcPr>
          <w:p>
            <w:pPr>
              <w:spacing w:after="0"/>
            </w:pPr>
            <w:r/>
            <w:r>
              <w:rPr>
                <w:rFonts w:ascii="Arial" w:hAnsi="Arial"/>
                <w:b w:val="0"/>
                <w:sz w:val="18"/>
              </w:rPr>
              <w:t>Emergency override is authoritative.</w:t>
            </w:r>
          </w:p>
        </w:tc>
      </w:tr>
      <w:tr>
        <w:tc>
          <w:tcPr>
            <w:tcW w:type="dxa" w:w="4939"/>
            <w:vAlign w:val="top"/>
          </w:tcPr>
          <w:p>
            <w:pPr>
              <w:spacing w:after="0"/>
            </w:pPr>
            <w:r/>
            <w:r>
              <w:rPr>
                <w:rFonts w:ascii="Arial" w:hAnsi="Arial"/>
                <w:b w:val="0"/>
                <w:sz w:val="18"/>
              </w:rPr>
              <w:t>Treating runtime failure, blank output, or unknown text as LOW</w:t>
            </w:r>
          </w:p>
        </w:tc>
        <w:tc>
          <w:tcPr>
            <w:tcW w:type="dxa" w:w="4939"/>
            <w:vAlign w:val="top"/>
          </w:tcPr>
          <w:p>
            <w:pPr>
              <w:spacing w:after="0"/>
            </w:pPr>
            <w:r/>
            <w:r>
              <w:rPr>
                <w:rFonts w:ascii="Arial" w:hAnsi="Arial"/>
                <w:b w:val="0"/>
                <w:sz w:val="18"/>
              </w:rPr>
              <w:t>Converts technical uncertainty into false reassurance.</w:t>
            </w:r>
          </w:p>
        </w:tc>
      </w:tr>
      <w:tr>
        <w:tc>
          <w:tcPr>
            <w:tcW w:type="dxa" w:w="4939"/>
            <w:vAlign w:val="top"/>
          </w:tcPr>
          <w:p>
            <w:pPr>
              <w:spacing w:after="0"/>
            </w:pPr>
            <w:r/>
            <w:r>
              <w:rPr>
                <w:rFonts w:ascii="Arial" w:hAnsi="Arial"/>
                <w:b w:val="0"/>
                <w:sz w:val="18"/>
              </w:rPr>
              <w:t>Using the model as the only explanation</w:t>
            </w:r>
          </w:p>
        </w:tc>
        <w:tc>
          <w:tcPr>
            <w:tcW w:type="dxa" w:w="4939"/>
            <w:vAlign w:val="top"/>
          </w:tcPr>
          <w:p>
            <w:pPr>
              <w:spacing w:after="0"/>
            </w:pPr>
            <w:r/>
            <w:r>
              <w:rPr>
                <w:rFonts w:ascii="Arial" w:hAnsi="Arial"/>
                <w:b w:val="0"/>
                <w:sz w:val="18"/>
              </w:rPr>
              <w:t>A label without evidence, version, limitations, and context is not independently reviewable.</w:t>
            </w:r>
          </w:p>
        </w:tc>
      </w:tr>
      <w:tr>
        <w:tc>
          <w:tcPr>
            <w:tcW w:type="dxa" w:w="4939"/>
            <w:vAlign w:val="top"/>
          </w:tcPr>
          <w:p>
            <w:pPr>
              <w:spacing w:after="0"/>
            </w:pPr>
            <w:r/>
            <w:r>
              <w:rPr>
                <w:rFonts w:ascii="Arial" w:hAnsi="Arial"/>
                <w:b w:val="0"/>
                <w:sz w:val="18"/>
              </w:rPr>
              <w:t>Training directly on future or outcome information unavailable at prediction time</w:t>
            </w:r>
          </w:p>
        </w:tc>
        <w:tc>
          <w:tcPr>
            <w:tcW w:type="dxa" w:w="4939"/>
            <w:vAlign w:val="top"/>
          </w:tcPr>
          <w:p>
            <w:pPr>
              <w:spacing w:after="0"/>
            </w:pPr>
            <w:r/>
            <w:r>
              <w:rPr>
                <w:rFonts w:ascii="Arial" w:hAnsi="Arial"/>
                <w:b w:val="0"/>
                <w:sz w:val="18"/>
              </w:rPr>
              <w:t>Creates information leakage and misleading performance.</w:t>
            </w:r>
          </w:p>
        </w:tc>
      </w:tr>
      <w:tr>
        <w:tc>
          <w:tcPr>
            <w:tcW w:type="dxa" w:w="4939"/>
            <w:vAlign w:val="top"/>
          </w:tcPr>
          <w:p>
            <w:pPr>
              <w:spacing w:after="0"/>
            </w:pPr>
            <w:r/>
            <w:r>
              <w:rPr>
                <w:rFonts w:ascii="Arial" w:hAnsi="Arial"/>
                <w:b w:val="0"/>
                <w:sz w:val="18"/>
              </w:rPr>
              <w:t>Changing features or preprocessing without a new model release</w:t>
            </w:r>
          </w:p>
        </w:tc>
        <w:tc>
          <w:tcPr>
            <w:tcW w:type="dxa" w:w="4939"/>
            <w:vAlign w:val="top"/>
          </w:tcPr>
          <w:p>
            <w:pPr>
              <w:spacing w:after="0"/>
            </w:pPr>
            <w:r/>
            <w:r>
              <w:rPr>
                <w:rFonts w:ascii="Arial" w:hAnsi="Arial"/>
                <w:b w:val="0"/>
                <w:sz w:val="18"/>
              </w:rPr>
              <w:t>Breaks compatibility and reproducibility.</w:t>
            </w:r>
          </w:p>
        </w:tc>
      </w:tr>
      <w:tr>
        <w:tc>
          <w:tcPr>
            <w:tcW w:type="dxa" w:w="4939"/>
            <w:vAlign w:val="top"/>
          </w:tcPr>
          <w:p>
            <w:pPr>
              <w:spacing w:after="0"/>
            </w:pPr>
            <w:r/>
            <w:r>
              <w:rPr>
                <w:rFonts w:ascii="Arial" w:hAnsi="Arial"/>
                <w:b w:val="0"/>
                <w:sz w:val="18"/>
              </w:rPr>
              <w:t>Automatically retraining from routine patient records</w:t>
            </w:r>
          </w:p>
        </w:tc>
        <w:tc>
          <w:tcPr>
            <w:tcW w:type="dxa" w:w="4939"/>
            <w:vAlign w:val="top"/>
          </w:tcPr>
          <w:p>
            <w:pPr>
              <w:spacing w:after="0"/>
            </w:pPr>
            <w:r/>
            <w:r>
              <w:rPr>
                <w:rFonts w:ascii="Arial" w:hAnsi="Arial"/>
                <w:b w:val="0"/>
                <w:sz w:val="18"/>
              </w:rPr>
              <w:t>Introduces uncontrolled learning, consent, privacy, bias, and validation risks.</w:t>
            </w:r>
          </w:p>
        </w:tc>
      </w:tr>
      <w:tr>
        <w:tc>
          <w:tcPr>
            <w:tcW w:type="dxa" w:w="4939"/>
            <w:vAlign w:val="top"/>
          </w:tcPr>
          <w:p>
            <w:pPr>
              <w:spacing w:after="0"/>
            </w:pPr>
            <w:r/>
            <w:r>
              <w:rPr>
                <w:rFonts w:ascii="Arial" w:hAnsi="Arial"/>
                <w:b w:val="0"/>
                <w:sz w:val="18"/>
              </w:rPr>
              <w:t>Claiming the model interprets ultrasound images</w:t>
            </w:r>
          </w:p>
        </w:tc>
        <w:tc>
          <w:tcPr>
            <w:tcW w:type="dxa" w:w="4939"/>
            <w:vAlign w:val="top"/>
          </w:tcPr>
          <w:p>
            <w:pPr>
              <w:spacing w:after="0"/>
            </w:pPr>
            <w:r/>
            <w:r>
              <w:rPr>
                <w:rFonts w:ascii="Arial" w:hAnsi="Arial"/>
                <w:b w:val="0"/>
                <w:sz w:val="18"/>
              </w:rPr>
              <w:t>The current system uses structured clinician-entered ultrasound findings; image AI is outside scope.</w:t>
            </w:r>
          </w:p>
        </w:tc>
      </w:tr>
      <w:tr>
        <w:tc>
          <w:tcPr>
            <w:tcW w:type="dxa" w:w="4939"/>
            <w:vAlign w:val="top"/>
          </w:tcPr>
          <w:p>
            <w:pPr>
              <w:spacing w:after="0"/>
            </w:pPr>
            <w:r/>
            <w:r>
              <w:rPr>
                <w:rFonts w:ascii="Arial" w:hAnsi="Arial"/>
                <w:b w:val="0"/>
                <w:sz w:val="18"/>
              </w:rPr>
              <w:t>Applying the model to a population not represented or validated</w:t>
            </w:r>
          </w:p>
        </w:tc>
        <w:tc>
          <w:tcPr>
            <w:tcW w:type="dxa" w:w="4939"/>
            <w:vAlign w:val="top"/>
          </w:tcPr>
          <w:p>
            <w:pPr>
              <w:spacing w:after="0"/>
            </w:pPr>
            <w:r/>
            <w:r>
              <w:rPr>
                <w:rFonts w:ascii="Arial" w:hAnsi="Arial"/>
                <w:b w:val="0"/>
                <w:sz w:val="18"/>
              </w:rPr>
              <w:t>Performance may not generalize.</w:t>
            </w:r>
          </w:p>
        </w:tc>
      </w:tr>
      <w:tr>
        <w:tc>
          <w:tcPr>
            <w:tcW w:type="dxa" w:w="4939"/>
            <w:vAlign w:val="top"/>
          </w:tcPr>
          <w:p>
            <w:pPr>
              <w:spacing w:after="0"/>
            </w:pPr>
            <w:r/>
            <w:r>
              <w:rPr>
                <w:rFonts w:ascii="Arial" w:hAnsi="Arial"/>
                <w:b w:val="0"/>
                <w:sz w:val="18"/>
              </w:rPr>
              <w:t>Presenting a probability as clinical certainty</w:t>
            </w:r>
          </w:p>
        </w:tc>
        <w:tc>
          <w:tcPr>
            <w:tcW w:type="dxa" w:w="4939"/>
            <w:vAlign w:val="top"/>
          </w:tcPr>
          <w:p>
            <w:pPr>
              <w:spacing w:after="0"/>
            </w:pPr>
            <w:r/>
            <w:r>
              <w:rPr>
                <w:rFonts w:ascii="Arial" w:hAnsi="Arial"/>
                <w:b w:val="0"/>
                <w:sz w:val="18"/>
              </w:rPr>
              <w:t>Model estimates are conditional on data, labels, design, and validation.</w:t>
            </w:r>
          </w:p>
        </w:tc>
      </w:tr>
    </w:tbl>
    <w:p/>
    <w:p>
      <w:pPr>
        <w:pStyle w:val="Heading1"/>
      </w:pPr>
      <w:r>
        <w:t>6.0 Master Machine Learning Architecture</w:t>
      </w:r>
    </w:p>
    <w:p>
      <w:r>
        <w:t>The architecture separates the clinical application, the ML runtime, the immutable model package, the Decision Engine, and governance records. This prevents a Python script or serialized model from becoming an undocumented source of final clinical authority.</w:t>
      </w:r>
    </w:p>
    <w:tbl>
      <w:tblPr>
        <w:tblStyle w:val="TableGrid"/>
        <w:tblW w:type="auto" w:w="0"/>
        <w:jc w:val="center"/>
        <w:tblLook w:firstColumn="1" w:firstRow="1" w:lastColumn="0" w:lastRow="0" w:noHBand="0" w:noVBand="1" w:val="04A0"/>
      </w:tblPr>
      <w:tblGrid>
        <w:gridCol w:w="3293"/>
        <w:gridCol w:w="3293"/>
        <w:gridCol w:w="3293"/>
      </w:tblGrid>
      <w:tr>
        <w:trPr>
          <w:tblHeader w:val="true"/>
        </w:trPr>
        <w:tc>
          <w:tcPr>
            <w:tcW w:type="dxa" w:w="3293"/>
            <w:vAlign w:val="top"/>
            <w:shd w:fill="D9EAF7"/>
          </w:tcPr>
          <w:p>
            <w:pPr>
              <w:spacing w:after="0"/>
            </w:pPr>
            <w:r/>
            <w:r>
              <w:rPr>
                <w:rFonts w:ascii="Arial" w:hAnsi="Arial"/>
                <w:b/>
                <w:sz w:val="18"/>
              </w:rPr>
              <w:t>Layer</w:t>
            </w:r>
          </w:p>
        </w:tc>
        <w:tc>
          <w:tcPr>
            <w:tcW w:type="dxa" w:w="3293"/>
            <w:vAlign w:val="top"/>
            <w:shd w:fill="D9EAF7"/>
          </w:tcPr>
          <w:p>
            <w:pPr>
              <w:spacing w:after="0"/>
            </w:pPr>
            <w:r/>
            <w:r>
              <w:rPr>
                <w:rFonts w:ascii="Arial" w:hAnsi="Arial"/>
                <w:b/>
                <w:sz w:val="18"/>
              </w:rPr>
              <w:t>Major components</w:t>
            </w:r>
          </w:p>
        </w:tc>
        <w:tc>
          <w:tcPr>
            <w:tcW w:type="dxa" w:w="3293"/>
            <w:vAlign w:val="top"/>
            <w:shd w:fill="D9EAF7"/>
          </w:tcPr>
          <w:p>
            <w:pPr>
              <w:spacing w:after="0"/>
            </w:pPr>
            <w:r/>
            <w:r>
              <w:rPr>
                <w:rFonts w:ascii="Arial" w:hAnsi="Arial"/>
                <w:b/>
                <w:sz w:val="18"/>
              </w:rPr>
              <w:t>Responsibility</w:t>
            </w:r>
          </w:p>
        </w:tc>
      </w:tr>
      <w:tr>
        <w:tc>
          <w:tcPr>
            <w:tcW w:type="dxa" w:w="3293"/>
            <w:vAlign w:val="top"/>
          </w:tcPr>
          <w:p>
            <w:pPr>
              <w:spacing w:after="0"/>
            </w:pPr>
            <w:r/>
            <w:r>
              <w:rPr>
                <w:rFonts w:ascii="Arial" w:hAnsi="Arial"/>
                <w:b w:val="0"/>
                <w:sz w:val="18"/>
              </w:rPr>
              <w:t>Clinical application layer</w:t>
            </w:r>
          </w:p>
        </w:tc>
        <w:tc>
          <w:tcPr>
            <w:tcW w:type="dxa" w:w="3293"/>
            <w:vAlign w:val="top"/>
          </w:tcPr>
          <w:p>
            <w:pPr>
              <w:spacing w:after="0"/>
            </w:pPr>
            <w:r/>
            <w:r>
              <w:rPr>
                <w:rFonts w:ascii="Arial" w:hAnsi="Arial"/>
                <w:b w:val="0"/>
                <w:sz w:val="18"/>
              </w:rPr>
              <w:t>Laravel controllers, policies, forms, patient/pregnancy context, prenatal records</w:t>
            </w:r>
          </w:p>
        </w:tc>
        <w:tc>
          <w:tcPr>
            <w:tcW w:type="dxa" w:w="3293"/>
            <w:vAlign w:val="top"/>
          </w:tcPr>
          <w:p>
            <w:pPr>
              <w:spacing w:after="0"/>
            </w:pPr>
            <w:r/>
            <w:r>
              <w:rPr>
                <w:rFonts w:ascii="Arial" w:hAnsi="Arial"/>
                <w:b w:val="0"/>
                <w:sz w:val="18"/>
              </w:rPr>
              <w:t>Authorize the request, assemble the correct active-pregnancy context, and call governed services.</w:t>
            </w:r>
          </w:p>
        </w:tc>
      </w:tr>
      <w:tr>
        <w:tc>
          <w:tcPr>
            <w:tcW w:type="dxa" w:w="3293"/>
            <w:vAlign w:val="top"/>
          </w:tcPr>
          <w:p>
            <w:pPr>
              <w:spacing w:after="0"/>
            </w:pPr>
            <w:r/>
            <w:r>
              <w:rPr>
                <w:rFonts w:ascii="Arial" w:hAnsi="Arial"/>
                <w:b w:val="0"/>
                <w:sz w:val="18"/>
              </w:rPr>
              <w:t>ML integration layer</w:t>
            </w:r>
          </w:p>
        </w:tc>
        <w:tc>
          <w:tcPr>
            <w:tcW w:type="dxa" w:w="3293"/>
            <w:vAlign w:val="top"/>
          </w:tcPr>
          <w:p>
            <w:pPr>
              <w:spacing w:after="0"/>
            </w:pPr>
            <w:r/>
            <w:r>
              <w:rPr>
                <w:rFonts w:ascii="Arial" w:hAnsi="Arial"/>
                <w:b w:val="0"/>
                <w:sz w:val="18"/>
              </w:rPr>
              <w:t>MLGateway, input contract validator, timeout manager, response parser</w:t>
            </w:r>
          </w:p>
        </w:tc>
        <w:tc>
          <w:tcPr>
            <w:tcW w:type="dxa" w:w="3293"/>
            <w:vAlign w:val="top"/>
          </w:tcPr>
          <w:p>
            <w:pPr>
              <w:spacing w:after="0"/>
            </w:pPr>
            <w:r/>
            <w:r>
              <w:rPr>
                <w:rFonts w:ascii="Arial" w:hAnsi="Arial"/>
                <w:b w:val="0"/>
                <w:sz w:val="18"/>
              </w:rPr>
              <w:t>Build a versioned request, invoke Python safely, validate the response, and return an MLContribution object.</w:t>
            </w:r>
          </w:p>
        </w:tc>
      </w:tr>
      <w:tr>
        <w:tc>
          <w:tcPr>
            <w:tcW w:type="dxa" w:w="3293"/>
            <w:vAlign w:val="top"/>
          </w:tcPr>
          <w:p>
            <w:pPr>
              <w:spacing w:after="0"/>
            </w:pPr>
            <w:r/>
            <w:r>
              <w:rPr>
                <w:rFonts w:ascii="Arial" w:hAnsi="Arial"/>
                <w:b w:val="0"/>
                <w:sz w:val="18"/>
              </w:rPr>
              <w:t>ML runtime layer</w:t>
            </w:r>
          </w:p>
        </w:tc>
        <w:tc>
          <w:tcPr>
            <w:tcW w:type="dxa" w:w="3293"/>
            <w:vAlign w:val="top"/>
          </w:tcPr>
          <w:p>
            <w:pPr>
              <w:spacing w:after="0"/>
            </w:pPr>
            <w:r/>
            <w:r>
              <w:rPr>
                <w:rFonts w:ascii="Arial" w:hAnsi="Arial"/>
                <w:b w:val="0"/>
                <w:sz w:val="18"/>
              </w:rPr>
              <w:t>Pinned Python environment, inference script, preprocessing pipeline, model loader</w:t>
            </w:r>
          </w:p>
        </w:tc>
        <w:tc>
          <w:tcPr>
            <w:tcW w:type="dxa" w:w="3293"/>
            <w:vAlign w:val="top"/>
          </w:tcPr>
          <w:p>
            <w:pPr>
              <w:spacing w:after="0"/>
            </w:pPr>
            <w:r/>
            <w:r>
              <w:rPr>
                <w:rFonts w:ascii="Arial" w:hAnsi="Arial"/>
                <w:b w:val="0"/>
                <w:sz w:val="18"/>
              </w:rPr>
              <w:t>Apply the exact preprocessing and model artifact associated with the release.</w:t>
            </w:r>
          </w:p>
        </w:tc>
      </w:tr>
      <w:tr>
        <w:tc>
          <w:tcPr>
            <w:tcW w:type="dxa" w:w="3293"/>
            <w:vAlign w:val="top"/>
          </w:tcPr>
          <w:p>
            <w:pPr>
              <w:spacing w:after="0"/>
            </w:pPr>
            <w:r/>
            <w:r>
              <w:rPr>
                <w:rFonts w:ascii="Arial" w:hAnsi="Arial"/>
                <w:b w:val="0"/>
                <w:sz w:val="18"/>
              </w:rPr>
              <w:t>Model package layer</w:t>
            </w:r>
          </w:p>
        </w:tc>
        <w:tc>
          <w:tcPr>
            <w:tcW w:type="dxa" w:w="3293"/>
            <w:vAlign w:val="top"/>
          </w:tcPr>
          <w:p>
            <w:pPr>
              <w:spacing w:after="0"/>
            </w:pPr>
            <w:r/>
            <w:r>
              <w:rPr>
                <w:rFonts w:ascii="Arial" w:hAnsi="Arial"/>
                <w:b w:val="0"/>
                <w:sz w:val="18"/>
              </w:rPr>
              <w:t>Random Forest artifact, feature schema, preprocessing object, label map, metadata manifest</w:t>
            </w:r>
          </w:p>
        </w:tc>
        <w:tc>
          <w:tcPr>
            <w:tcW w:type="dxa" w:w="3293"/>
            <w:vAlign w:val="top"/>
          </w:tcPr>
          <w:p>
            <w:pPr>
              <w:spacing w:after="0"/>
            </w:pPr>
            <w:r/>
            <w:r>
              <w:rPr>
                <w:rFonts w:ascii="Arial" w:hAnsi="Arial"/>
                <w:b w:val="0"/>
                <w:sz w:val="18"/>
              </w:rPr>
              <w:t>Provide an immutable and reproducible inference bundle.</w:t>
            </w:r>
          </w:p>
        </w:tc>
      </w:tr>
      <w:tr>
        <w:tc>
          <w:tcPr>
            <w:tcW w:type="dxa" w:w="3293"/>
            <w:vAlign w:val="top"/>
          </w:tcPr>
          <w:p>
            <w:pPr>
              <w:spacing w:after="0"/>
            </w:pPr>
            <w:r/>
            <w:r>
              <w:rPr>
                <w:rFonts w:ascii="Arial" w:hAnsi="Arial"/>
                <w:b w:val="0"/>
                <w:sz w:val="18"/>
              </w:rPr>
              <w:t>Decision layer</w:t>
            </w:r>
          </w:p>
        </w:tc>
        <w:tc>
          <w:tcPr>
            <w:tcW w:type="dxa" w:w="3293"/>
            <w:vAlign w:val="top"/>
          </w:tcPr>
          <w:p>
            <w:pPr>
              <w:spacing w:after="0"/>
            </w:pPr>
            <w:r/>
            <w:r>
              <w:rPr>
                <w:rFonts w:ascii="Arial" w:hAnsi="Arial"/>
                <w:b w:val="0"/>
                <w:sz w:val="18"/>
              </w:rPr>
              <w:t>Document 2 orchestrator and engines</w:t>
            </w:r>
          </w:p>
        </w:tc>
        <w:tc>
          <w:tcPr>
            <w:tcW w:type="dxa" w:w="3293"/>
            <w:vAlign w:val="top"/>
          </w:tcPr>
          <w:p>
            <w:pPr>
              <w:spacing w:after="0"/>
            </w:pPr>
            <w:r/>
            <w:r>
              <w:rPr>
                <w:rFonts w:ascii="Arial" w:hAnsi="Arial"/>
                <w:b w:val="0"/>
                <w:sz w:val="18"/>
              </w:rPr>
              <w:t>Combine the valid ML contribution with deterministic rules, emergency logic, explanations, and confidence.</w:t>
            </w:r>
          </w:p>
        </w:tc>
      </w:tr>
      <w:tr>
        <w:tc>
          <w:tcPr>
            <w:tcW w:type="dxa" w:w="3293"/>
            <w:vAlign w:val="top"/>
          </w:tcPr>
          <w:p>
            <w:pPr>
              <w:spacing w:after="0"/>
            </w:pPr>
            <w:r/>
            <w:r>
              <w:rPr>
                <w:rFonts w:ascii="Arial" w:hAnsi="Arial"/>
                <w:b w:val="0"/>
                <w:sz w:val="18"/>
              </w:rPr>
              <w:t>Governance layer</w:t>
            </w:r>
          </w:p>
        </w:tc>
        <w:tc>
          <w:tcPr>
            <w:tcW w:type="dxa" w:w="3293"/>
            <w:vAlign w:val="top"/>
          </w:tcPr>
          <w:p>
            <w:pPr>
              <w:spacing w:after="0"/>
            </w:pPr>
            <w:r/>
            <w:r>
              <w:rPr>
                <w:rFonts w:ascii="Arial" w:hAnsi="Arial"/>
                <w:b w:val="0"/>
                <w:sz w:val="18"/>
              </w:rPr>
              <w:t>Dataset registry, experiment records, model registry, approvals, monitoring, incident log</w:t>
            </w:r>
          </w:p>
        </w:tc>
        <w:tc>
          <w:tcPr>
            <w:tcW w:type="dxa" w:w="3293"/>
            <w:vAlign w:val="top"/>
          </w:tcPr>
          <w:p>
            <w:pPr>
              <w:spacing w:after="0"/>
            </w:pPr>
            <w:r/>
            <w:r>
              <w:rPr>
                <w:rFonts w:ascii="Arial" w:hAnsi="Arial"/>
                <w:b w:val="0"/>
                <w:sz w:val="18"/>
              </w:rPr>
              <w:t>Control the model throughout development, deployment, change, rollback, and retirement.</w:t>
            </w:r>
          </w:p>
        </w:tc>
      </w:tr>
    </w:tbl>
    <w:p/>
    <w:p>
      <w:pPr>
        <w:pStyle w:val="Heading2"/>
      </w:pPr>
      <w:r>
        <w:t>6.1 Runtime Information Flow</w:t>
      </w:r>
    </w:p>
    <w:p>
      <w:pPr>
        <w:pStyle w:val="ListNumber"/>
      </w:pPr>
      <w:r>
        <w:t>An authorized user initiates or updates a prenatal assessment for the active pregnancy.</w:t>
      </w:r>
    </w:p>
    <w:p>
      <w:pPr>
        <w:pStyle w:val="ListNumber"/>
      </w:pPr>
      <w:r>
        <w:t>The Laravel Decision Orchestrator requests a machine-learning contribution using a specific approved model release.</w:t>
      </w:r>
    </w:p>
    <w:p>
      <w:pPr>
        <w:pStyle w:val="ListNumber"/>
      </w:pPr>
      <w:r>
        <w:t>The ML Gateway assembles only the documented features, records their source and timestamp, and validates the request schema.</w:t>
      </w:r>
    </w:p>
    <w:p>
      <w:pPr>
        <w:pStyle w:val="ListNumber"/>
      </w:pPr>
      <w:r>
        <w:t>The Python inference runtime loads the immutable preprocessing and Random Forest artifacts associated with that release.</w:t>
      </w:r>
    </w:p>
    <w:p>
      <w:pPr>
        <w:pStyle w:val="ListNumber"/>
      </w:pPr>
      <w:r>
        <w:t>The runtime returns a structured response rather than unstructured console text.</w:t>
      </w:r>
    </w:p>
    <w:p>
      <w:pPr>
        <w:pStyle w:val="ListNumber"/>
      </w:pPr>
      <w:r>
        <w:t>The ML Gateway validates the response label, execution status, model version, schema version, and correlation identifier.</w:t>
      </w:r>
    </w:p>
    <w:p>
      <w:pPr>
        <w:pStyle w:val="ListNumber"/>
      </w:pPr>
      <w:r>
        <w:t>The Decision Engine accepts a valid HIGH or LOW contribution, or records ML_UNAVAILABLE/ML_INVALID without fabricating a label.</w:t>
      </w:r>
    </w:p>
    <w:p>
      <w:pPr>
        <w:pStyle w:val="ListNumber"/>
      </w:pPr>
      <w:r>
        <w:t>Deterministic rules, interactions, conflicts, emergency logic, recommendations, explainability, confidence, and audit processing continue under Document 2.</w:t>
      </w:r>
    </w:p>
    <w:p>
      <w:pPr>
        <w:pStyle w:val="ListNumber"/>
      </w:pPr>
      <w:r>
        <w:t>The final clinician-facing output identifies whether and how ML contributed.</w:t>
      </w:r>
    </w:p>
    <w:p>
      <w:pPr>
        <w:pStyle w:val="Heading1"/>
      </w:pPr>
      <w:r>
        <w:t>7.0 Authority and Precedence Model</w:t>
      </w:r>
    </w:p>
    <w:tbl>
      <w:tblPr>
        <w:tblStyle w:val="TableGrid"/>
        <w:tblW w:type="auto" w:w="0"/>
        <w:jc w:val="center"/>
        <w:tblLook w:firstColumn="1" w:firstRow="1" w:lastColumn="0" w:lastRow="0" w:noHBand="0" w:noVBand="1" w:val="04A0"/>
      </w:tblPr>
      <w:tblGrid>
        <w:gridCol w:w="3293"/>
        <w:gridCol w:w="3293"/>
        <w:gridCol w:w="3293"/>
      </w:tblGrid>
      <w:tr>
        <w:trPr>
          <w:tblHeader w:val="true"/>
        </w:trPr>
        <w:tc>
          <w:tcPr>
            <w:tcW w:type="dxa" w:w="3293"/>
            <w:vAlign w:val="top"/>
            <w:shd w:fill="D9EAF7"/>
          </w:tcPr>
          <w:p>
            <w:pPr>
              <w:spacing w:after="0"/>
            </w:pPr>
            <w:r/>
            <w:r>
              <w:rPr>
                <w:rFonts w:ascii="Arial" w:hAnsi="Arial"/>
                <w:b/>
                <w:sz w:val="18"/>
              </w:rPr>
              <w:t>Priority</w:t>
            </w:r>
          </w:p>
        </w:tc>
        <w:tc>
          <w:tcPr>
            <w:tcW w:type="dxa" w:w="3293"/>
            <w:vAlign w:val="top"/>
            <w:shd w:fill="D9EAF7"/>
          </w:tcPr>
          <w:p>
            <w:pPr>
              <w:spacing w:after="0"/>
            </w:pPr>
            <w:r/>
            <w:r>
              <w:rPr>
                <w:rFonts w:ascii="Arial" w:hAnsi="Arial"/>
                <w:b/>
                <w:sz w:val="18"/>
              </w:rPr>
              <w:t>Condition</w:t>
            </w:r>
          </w:p>
        </w:tc>
        <w:tc>
          <w:tcPr>
            <w:tcW w:type="dxa" w:w="3293"/>
            <w:vAlign w:val="top"/>
            <w:shd w:fill="D9EAF7"/>
          </w:tcPr>
          <w:p>
            <w:pPr>
              <w:spacing w:after="0"/>
            </w:pPr>
            <w:r/>
            <w:r>
              <w:rPr>
                <w:rFonts w:ascii="Arial" w:hAnsi="Arial"/>
                <w:b/>
                <w:sz w:val="18"/>
              </w:rPr>
              <w:t>Required behavior</w:t>
            </w:r>
          </w:p>
        </w:tc>
      </w:tr>
      <w:tr>
        <w:tc>
          <w:tcPr>
            <w:tcW w:type="dxa" w:w="3293"/>
            <w:vAlign w:val="top"/>
          </w:tcPr>
          <w:p>
            <w:pPr>
              <w:spacing w:after="0"/>
            </w:pPr>
            <w:r/>
            <w:r>
              <w:rPr>
                <w:rFonts w:ascii="Arial" w:hAnsi="Arial"/>
                <w:b w:val="0"/>
                <w:sz w:val="18"/>
              </w:rPr>
              <w:t>1 - Technical trust boundary</w:t>
            </w:r>
          </w:p>
        </w:tc>
        <w:tc>
          <w:tcPr>
            <w:tcW w:type="dxa" w:w="3293"/>
            <w:vAlign w:val="top"/>
          </w:tcPr>
          <w:p>
            <w:pPr>
              <w:spacing w:after="0"/>
            </w:pPr>
            <w:r/>
            <w:r>
              <w:rPr>
                <w:rFonts w:ascii="Arial" w:hAnsi="Arial"/>
                <w:b w:val="0"/>
                <w:sz w:val="18"/>
              </w:rPr>
              <w:t>Patient/pregnancy mismatch, incompatible feature schema, wrong model version, timeout, parser error, or audit failure</w:t>
            </w:r>
          </w:p>
        </w:tc>
        <w:tc>
          <w:tcPr>
            <w:tcW w:type="dxa" w:w="3293"/>
            <w:vAlign w:val="top"/>
          </w:tcPr>
          <w:p>
            <w:pPr>
              <w:spacing w:after="0"/>
            </w:pPr>
            <w:r/>
            <w:r>
              <w:rPr>
                <w:rFonts w:ascii="Arial" w:hAnsi="Arial"/>
                <w:b w:val="0"/>
                <w:sz w:val="18"/>
              </w:rPr>
              <w:t>Reject the ML response; do not infer LOW.</w:t>
            </w:r>
          </w:p>
        </w:tc>
      </w:tr>
      <w:tr>
        <w:tc>
          <w:tcPr>
            <w:tcW w:type="dxa" w:w="3293"/>
            <w:vAlign w:val="top"/>
          </w:tcPr>
          <w:p>
            <w:pPr>
              <w:spacing w:after="0"/>
            </w:pPr>
            <w:r/>
            <w:r>
              <w:rPr>
                <w:rFonts w:ascii="Arial" w:hAnsi="Arial"/>
                <w:b w:val="0"/>
                <w:sz w:val="18"/>
              </w:rPr>
              <w:t>2 - Emergency safety</w:t>
            </w:r>
          </w:p>
        </w:tc>
        <w:tc>
          <w:tcPr>
            <w:tcW w:type="dxa" w:w="3293"/>
            <w:vAlign w:val="top"/>
          </w:tcPr>
          <w:p>
            <w:pPr>
              <w:spacing w:after="0"/>
            </w:pPr>
            <w:r/>
            <w:r>
              <w:rPr>
                <w:rFonts w:ascii="Arial" w:hAnsi="Arial"/>
                <w:b w:val="0"/>
                <w:sz w:val="18"/>
              </w:rPr>
              <w:t>Approved emergency indicator is present</w:t>
            </w:r>
          </w:p>
        </w:tc>
        <w:tc>
          <w:tcPr>
            <w:tcW w:type="dxa" w:w="3293"/>
            <w:vAlign w:val="top"/>
          </w:tcPr>
          <w:p>
            <w:pPr>
              <w:spacing w:after="0"/>
            </w:pPr>
            <w:r/>
            <w:r>
              <w:rPr>
                <w:rFonts w:ascii="Arial" w:hAnsi="Arial"/>
                <w:b w:val="0"/>
                <w:sz w:val="18"/>
              </w:rPr>
              <w:t>Emergency pathway supersedes routine ordering regardless of ML label.</w:t>
            </w:r>
          </w:p>
        </w:tc>
      </w:tr>
      <w:tr>
        <w:tc>
          <w:tcPr>
            <w:tcW w:type="dxa" w:w="3293"/>
            <w:vAlign w:val="top"/>
          </w:tcPr>
          <w:p>
            <w:pPr>
              <w:spacing w:after="0"/>
            </w:pPr>
            <w:r/>
            <w:r>
              <w:rPr>
                <w:rFonts w:ascii="Arial" w:hAnsi="Arial"/>
                <w:b w:val="0"/>
                <w:sz w:val="18"/>
              </w:rPr>
              <w:t>3 - Deterministic clinical safety</w:t>
            </w:r>
          </w:p>
        </w:tc>
        <w:tc>
          <w:tcPr>
            <w:tcW w:type="dxa" w:w="3293"/>
            <w:vAlign w:val="top"/>
          </w:tcPr>
          <w:p>
            <w:pPr>
              <w:spacing w:after="0"/>
            </w:pPr>
            <w:r/>
            <w:r>
              <w:rPr>
                <w:rFonts w:ascii="Arial" w:hAnsi="Arial"/>
                <w:b w:val="0"/>
                <w:sz w:val="18"/>
              </w:rPr>
              <w:t>One or more approved rule-based HIGH findings are present</w:t>
            </w:r>
          </w:p>
        </w:tc>
        <w:tc>
          <w:tcPr>
            <w:tcW w:type="dxa" w:w="3293"/>
            <w:vAlign w:val="top"/>
          </w:tcPr>
          <w:p>
            <w:pPr>
              <w:spacing w:after="0"/>
            </w:pPr>
            <w:r/>
            <w:r>
              <w:rPr>
                <w:rFonts w:ascii="Arial" w:hAnsi="Arial"/>
                <w:b w:val="0"/>
                <w:sz w:val="18"/>
              </w:rPr>
              <w:t>Final risk cannot be reduced by ML LOW.</w:t>
            </w:r>
          </w:p>
        </w:tc>
      </w:tr>
      <w:tr>
        <w:tc>
          <w:tcPr>
            <w:tcW w:type="dxa" w:w="3293"/>
            <w:vAlign w:val="top"/>
          </w:tcPr>
          <w:p>
            <w:pPr>
              <w:spacing w:after="0"/>
            </w:pPr>
            <w:r/>
            <w:r>
              <w:rPr>
                <w:rFonts w:ascii="Arial" w:hAnsi="Arial"/>
                <w:b w:val="0"/>
                <w:sz w:val="18"/>
              </w:rPr>
              <w:t>4 - ML HIGH contribution</w:t>
            </w:r>
          </w:p>
        </w:tc>
        <w:tc>
          <w:tcPr>
            <w:tcW w:type="dxa" w:w="3293"/>
            <w:vAlign w:val="top"/>
          </w:tcPr>
          <w:p>
            <w:pPr>
              <w:spacing w:after="0"/>
            </w:pPr>
            <w:r/>
            <w:r>
              <w:rPr>
                <w:rFonts w:ascii="Arial" w:hAnsi="Arial"/>
                <w:b w:val="0"/>
                <w:sz w:val="18"/>
              </w:rPr>
              <w:t>Valid model output is HIGH</w:t>
            </w:r>
          </w:p>
        </w:tc>
        <w:tc>
          <w:tcPr>
            <w:tcW w:type="dxa" w:w="3293"/>
            <w:vAlign w:val="top"/>
          </w:tcPr>
          <w:p>
            <w:pPr>
              <w:spacing w:after="0"/>
            </w:pPr>
            <w:r/>
            <w:r>
              <w:rPr>
                <w:rFonts w:ascii="Arial" w:hAnsi="Arial"/>
                <w:b w:val="0"/>
                <w:sz w:val="18"/>
              </w:rPr>
              <w:t>May contribute an additional HIGH reason, subject to complete explanation and model limitations.</w:t>
            </w:r>
          </w:p>
        </w:tc>
      </w:tr>
      <w:tr>
        <w:tc>
          <w:tcPr>
            <w:tcW w:type="dxa" w:w="3293"/>
            <w:vAlign w:val="top"/>
          </w:tcPr>
          <w:p>
            <w:pPr>
              <w:spacing w:after="0"/>
            </w:pPr>
            <w:r/>
            <w:r>
              <w:rPr>
                <w:rFonts w:ascii="Arial" w:hAnsi="Arial"/>
                <w:b w:val="0"/>
                <w:sz w:val="18"/>
              </w:rPr>
              <w:t>5 - ML LOW contribution</w:t>
            </w:r>
          </w:p>
        </w:tc>
        <w:tc>
          <w:tcPr>
            <w:tcW w:type="dxa" w:w="3293"/>
            <w:vAlign w:val="top"/>
          </w:tcPr>
          <w:p>
            <w:pPr>
              <w:spacing w:after="0"/>
            </w:pPr>
            <w:r/>
            <w:r>
              <w:rPr>
                <w:rFonts w:ascii="Arial" w:hAnsi="Arial"/>
                <w:b w:val="0"/>
                <w:sz w:val="18"/>
              </w:rPr>
              <w:t>Valid model output is LOW</w:t>
            </w:r>
          </w:p>
        </w:tc>
        <w:tc>
          <w:tcPr>
            <w:tcW w:type="dxa" w:w="3293"/>
            <w:vAlign w:val="top"/>
          </w:tcPr>
          <w:p>
            <w:pPr>
              <w:spacing w:after="0"/>
            </w:pPr>
            <w:r/>
            <w:r>
              <w:rPr>
                <w:rFonts w:ascii="Arial" w:hAnsi="Arial"/>
                <w:b w:val="0"/>
                <w:sz w:val="18"/>
              </w:rPr>
              <w:t>May support LOW only when required records are complete, no HIGH/emergency rule is present, and the full engine succeeds.</w:t>
            </w:r>
          </w:p>
        </w:tc>
      </w:tr>
      <w:tr>
        <w:tc>
          <w:tcPr>
            <w:tcW w:type="dxa" w:w="3293"/>
            <w:vAlign w:val="top"/>
          </w:tcPr>
          <w:p>
            <w:pPr>
              <w:spacing w:after="0"/>
            </w:pPr>
            <w:r/>
            <w:r>
              <w:rPr>
                <w:rFonts w:ascii="Arial" w:hAnsi="Arial"/>
                <w:b w:val="0"/>
                <w:sz w:val="18"/>
              </w:rPr>
              <w:t>6 - Human review</w:t>
            </w:r>
          </w:p>
        </w:tc>
        <w:tc>
          <w:tcPr>
            <w:tcW w:type="dxa" w:w="3293"/>
            <w:vAlign w:val="top"/>
          </w:tcPr>
          <w:p>
            <w:pPr>
              <w:spacing w:after="0"/>
            </w:pPr>
            <w:r/>
            <w:r>
              <w:rPr>
                <w:rFonts w:ascii="Arial" w:hAnsi="Arial"/>
                <w:b w:val="0"/>
                <w:sz w:val="18"/>
              </w:rPr>
              <w:t>Authorized professional reviews the result</w:t>
            </w:r>
          </w:p>
        </w:tc>
        <w:tc>
          <w:tcPr>
            <w:tcW w:type="dxa" w:w="3293"/>
            <w:vAlign w:val="top"/>
          </w:tcPr>
          <w:p>
            <w:pPr>
              <w:spacing w:after="0"/>
            </w:pPr>
            <w:r/>
            <w:r>
              <w:rPr>
                <w:rFonts w:ascii="Arial" w:hAnsi="Arial"/>
                <w:b w:val="0"/>
                <w:sz w:val="18"/>
              </w:rPr>
              <w:t>User may acknowledge, correct source data, refer, document refusal, or record an override with rationale; the historical engine result remains preserved.</w:t>
            </w:r>
          </w:p>
        </w:tc>
      </w:tr>
    </w:tbl>
    <w:p/>
    <w:p>
      <w:pPr>
        <w:pStyle w:val="Heading1"/>
      </w:pPr>
      <w:r>
        <w:t>8.0 Machine Learning Input Contract</w:t>
      </w:r>
    </w:p>
    <w:p>
      <w:r>
        <w:t>The model must not receive an informal collection of database fields. It receives a versioned feature vector created by a single governed preprocessing definition. Part 3 will define each feature precisely; Part 1 establishes the contract requirements.</w:t>
      </w: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4939"/>
            <w:vAlign w:val="top"/>
            <w:shd w:fill="D9EAF7"/>
          </w:tcPr>
          <w:p>
            <w:pPr>
              <w:spacing w:after="0"/>
            </w:pPr>
            <w:r/>
            <w:r>
              <w:rPr>
                <w:rFonts w:ascii="Arial" w:hAnsi="Arial"/>
                <w:b/>
                <w:sz w:val="18"/>
              </w:rPr>
              <w:t>Contract field</w:t>
            </w:r>
          </w:p>
        </w:tc>
        <w:tc>
          <w:tcPr>
            <w:tcW w:type="dxa" w:w="4939"/>
            <w:vAlign w:val="top"/>
            <w:shd w:fill="D9EAF7"/>
          </w:tcPr>
          <w:p>
            <w:pPr>
              <w:spacing w:after="0"/>
            </w:pPr>
            <w:r/>
            <w:r>
              <w:rPr>
                <w:rFonts w:ascii="Arial" w:hAnsi="Arial"/>
                <w:b/>
                <w:sz w:val="18"/>
              </w:rPr>
              <w:t>Requirement</w:t>
            </w:r>
          </w:p>
        </w:tc>
      </w:tr>
      <w:tr>
        <w:tc>
          <w:tcPr>
            <w:tcW w:type="dxa" w:w="4939"/>
            <w:vAlign w:val="top"/>
          </w:tcPr>
          <w:p>
            <w:pPr>
              <w:spacing w:after="0"/>
            </w:pPr>
            <w:r/>
            <w:r>
              <w:rPr>
                <w:rFonts w:ascii="Arial" w:hAnsi="Arial"/>
                <w:b w:val="0"/>
                <w:sz w:val="18"/>
              </w:rPr>
              <w:t>request_id</w:t>
            </w:r>
          </w:p>
        </w:tc>
        <w:tc>
          <w:tcPr>
            <w:tcW w:type="dxa" w:w="4939"/>
            <w:vAlign w:val="top"/>
          </w:tcPr>
          <w:p>
            <w:pPr>
              <w:spacing w:after="0"/>
            </w:pPr>
            <w:r/>
            <w:r>
              <w:rPr>
                <w:rFonts w:ascii="Arial" w:hAnsi="Arial"/>
                <w:b w:val="0"/>
                <w:sz w:val="18"/>
              </w:rPr>
              <w:t>Unique correlation identifier shared by Laravel, Python, and the decision execution.</w:t>
            </w:r>
          </w:p>
        </w:tc>
      </w:tr>
      <w:tr>
        <w:tc>
          <w:tcPr>
            <w:tcW w:type="dxa" w:w="4939"/>
            <w:vAlign w:val="top"/>
          </w:tcPr>
          <w:p>
            <w:pPr>
              <w:spacing w:after="0"/>
            </w:pPr>
            <w:r/>
            <w:r>
              <w:rPr>
                <w:rFonts w:ascii="Arial" w:hAnsi="Arial"/>
                <w:b w:val="0"/>
                <w:sz w:val="18"/>
              </w:rPr>
              <w:t>patient_context_id</w:t>
            </w:r>
          </w:p>
        </w:tc>
        <w:tc>
          <w:tcPr>
            <w:tcW w:type="dxa" w:w="4939"/>
            <w:vAlign w:val="top"/>
          </w:tcPr>
          <w:p>
            <w:pPr>
              <w:spacing w:after="0"/>
            </w:pPr>
            <w:r/>
            <w:r>
              <w:rPr>
                <w:rFonts w:ascii="Arial" w:hAnsi="Arial"/>
                <w:b w:val="0"/>
                <w:sz w:val="18"/>
              </w:rPr>
              <w:t>Internal reference used to verify context without exposing unnecessary identity to the ML runtime.</w:t>
            </w:r>
          </w:p>
        </w:tc>
      </w:tr>
      <w:tr>
        <w:tc>
          <w:tcPr>
            <w:tcW w:type="dxa" w:w="4939"/>
            <w:vAlign w:val="top"/>
          </w:tcPr>
          <w:p>
            <w:pPr>
              <w:spacing w:after="0"/>
            </w:pPr>
            <w:r/>
            <w:r>
              <w:rPr>
                <w:rFonts w:ascii="Arial" w:hAnsi="Arial"/>
                <w:b w:val="0"/>
                <w:sz w:val="18"/>
              </w:rPr>
              <w:t>pregnancy_id</w:t>
            </w:r>
          </w:p>
        </w:tc>
        <w:tc>
          <w:tcPr>
            <w:tcW w:type="dxa" w:w="4939"/>
            <w:vAlign w:val="top"/>
          </w:tcPr>
          <w:p>
            <w:pPr>
              <w:spacing w:after="0"/>
            </w:pPr>
            <w:r/>
            <w:r>
              <w:rPr>
                <w:rFonts w:ascii="Arial" w:hAnsi="Arial"/>
                <w:b w:val="0"/>
                <w:sz w:val="18"/>
              </w:rPr>
              <w:t>Active pregnancy identifier; historical delivered pregnancy features must not be mixed.</w:t>
            </w:r>
          </w:p>
        </w:tc>
      </w:tr>
      <w:tr>
        <w:tc>
          <w:tcPr>
            <w:tcW w:type="dxa" w:w="4939"/>
            <w:vAlign w:val="top"/>
          </w:tcPr>
          <w:p>
            <w:pPr>
              <w:spacing w:after="0"/>
            </w:pPr>
            <w:r/>
            <w:r>
              <w:rPr>
                <w:rFonts w:ascii="Arial" w:hAnsi="Arial"/>
                <w:b w:val="0"/>
                <w:sz w:val="18"/>
              </w:rPr>
              <w:t>assessment_time</w:t>
            </w:r>
          </w:p>
        </w:tc>
        <w:tc>
          <w:tcPr>
            <w:tcW w:type="dxa" w:w="4939"/>
            <w:vAlign w:val="top"/>
          </w:tcPr>
          <w:p>
            <w:pPr>
              <w:spacing w:after="0"/>
            </w:pPr>
            <w:r/>
            <w:r>
              <w:rPr>
                <w:rFonts w:ascii="Arial" w:hAnsi="Arial"/>
                <w:b w:val="0"/>
                <w:sz w:val="18"/>
              </w:rPr>
              <w:t>Time for which the prediction is being requested.</w:t>
            </w:r>
          </w:p>
        </w:tc>
      </w:tr>
      <w:tr>
        <w:tc>
          <w:tcPr>
            <w:tcW w:type="dxa" w:w="4939"/>
            <w:vAlign w:val="top"/>
          </w:tcPr>
          <w:p>
            <w:pPr>
              <w:spacing w:after="0"/>
            </w:pPr>
            <w:r/>
            <w:r>
              <w:rPr>
                <w:rFonts w:ascii="Arial" w:hAnsi="Arial"/>
                <w:b w:val="0"/>
                <w:sz w:val="18"/>
              </w:rPr>
              <w:t>feature_schema_version</w:t>
            </w:r>
          </w:p>
        </w:tc>
        <w:tc>
          <w:tcPr>
            <w:tcW w:type="dxa" w:w="4939"/>
            <w:vAlign w:val="top"/>
          </w:tcPr>
          <w:p>
            <w:pPr>
              <w:spacing w:after="0"/>
            </w:pPr>
            <w:r/>
            <w:r>
              <w:rPr>
                <w:rFonts w:ascii="Arial" w:hAnsi="Arial"/>
                <w:b w:val="0"/>
                <w:sz w:val="18"/>
              </w:rPr>
              <w:t>Exact ordered feature definition expected by the model package.</w:t>
            </w:r>
          </w:p>
        </w:tc>
      </w:tr>
      <w:tr>
        <w:tc>
          <w:tcPr>
            <w:tcW w:type="dxa" w:w="4939"/>
            <w:vAlign w:val="top"/>
          </w:tcPr>
          <w:p>
            <w:pPr>
              <w:spacing w:after="0"/>
            </w:pPr>
            <w:r/>
            <w:r>
              <w:rPr>
                <w:rFonts w:ascii="Arial" w:hAnsi="Arial"/>
                <w:b w:val="0"/>
                <w:sz w:val="18"/>
              </w:rPr>
              <w:t>features</w:t>
            </w:r>
          </w:p>
        </w:tc>
        <w:tc>
          <w:tcPr>
            <w:tcW w:type="dxa" w:w="4939"/>
            <w:vAlign w:val="top"/>
          </w:tcPr>
          <w:p>
            <w:pPr>
              <w:spacing w:after="0"/>
            </w:pPr>
            <w:r/>
            <w:r>
              <w:rPr>
                <w:rFonts w:ascii="Arial" w:hAnsi="Arial"/>
                <w:b w:val="0"/>
                <w:sz w:val="18"/>
              </w:rPr>
              <w:t>Typed, normalized values with explicit missing representation; order and names are deterministic.</w:t>
            </w:r>
          </w:p>
        </w:tc>
      </w:tr>
      <w:tr>
        <w:tc>
          <w:tcPr>
            <w:tcW w:type="dxa" w:w="4939"/>
            <w:vAlign w:val="top"/>
          </w:tcPr>
          <w:p>
            <w:pPr>
              <w:spacing w:after="0"/>
            </w:pPr>
            <w:r/>
            <w:r>
              <w:rPr>
                <w:rFonts w:ascii="Arial" w:hAnsi="Arial"/>
                <w:b w:val="0"/>
                <w:sz w:val="18"/>
              </w:rPr>
              <w:t>source_provenance</w:t>
            </w:r>
          </w:p>
        </w:tc>
        <w:tc>
          <w:tcPr>
            <w:tcW w:type="dxa" w:w="4939"/>
            <w:vAlign w:val="top"/>
          </w:tcPr>
          <w:p>
            <w:pPr>
              <w:spacing w:after="0"/>
            </w:pPr>
            <w:r/>
            <w:r>
              <w:rPr>
                <w:rFonts w:ascii="Arial" w:hAnsi="Arial"/>
                <w:b w:val="0"/>
                <w:sz w:val="18"/>
              </w:rPr>
              <w:t>References to the records and observation times from which each feature was derived.</w:t>
            </w:r>
          </w:p>
        </w:tc>
      </w:tr>
      <w:tr>
        <w:tc>
          <w:tcPr>
            <w:tcW w:type="dxa" w:w="4939"/>
            <w:vAlign w:val="top"/>
          </w:tcPr>
          <w:p>
            <w:pPr>
              <w:spacing w:after="0"/>
            </w:pPr>
            <w:r/>
            <w:r>
              <w:rPr>
                <w:rFonts w:ascii="Arial" w:hAnsi="Arial"/>
                <w:b w:val="0"/>
                <w:sz w:val="18"/>
              </w:rPr>
              <w:t>requested_model_version</w:t>
            </w:r>
          </w:p>
        </w:tc>
        <w:tc>
          <w:tcPr>
            <w:tcW w:type="dxa" w:w="4939"/>
            <w:vAlign w:val="top"/>
          </w:tcPr>
          <w:p>
            <w:pPr>
              <w:spacing w:after="0"/>
            </w:pPr>
            <w:r/>
            <w:r>
              <w:rPr>
                <w:rFonts w:ascii="Arial" w:hAnsi="Arial"/>
                <w:b w:val="0"/>
                <w:sz w:val="18"/>
              </w:rPr>
              <w:t>Approved model release identifier.</w:t>
            </w:r>
          </w:p>
        </w:tc>
      </w:tr>
    </w:tbl>
    <w:p/>
    <w:p>
      <w:r>
        <w:t>Input validation occurs before Python invocation and again inside the inference runtime. Dual validation protects against application drift and accidental direct script use.</w:t>
      </w:r>
    </w:p>
    <w:p>
      <w:pPr>
        <w:pStyle w:val="Heading1"/>
      </w:pPr>
      <w:r>
        <w:t>9.0 Machine Learning Response Contract</w:t>
      </w: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4939"/>
            <w:vAlign w:val="top"/>
            <w:shd w:fill="D9EAF7"/>
          </w:tcPr>
          <w:p>
            <w:pPr>
              <w:spacing w:after="0"/>
            </w:pPr>
            <w:r/>
            <w:r>
              <w:rPr>
                <w:rFonts w:ascii="Arial" w:hAnsi="Arial"/>
                <w:b/>
                <w:sz w:val="18"/>
              </w:rPr>
              <w:t>Response field</w:t>
            </w:r>
          </w:p>
        </w:tc>
        <w:tc>
          <w:tcPr>
            <w:tcW w:type="dxa" w:w="4939"/>
            <w:vAlign w:val="top"/>
            <w:shd w:fill="D9EAF7"/>
          </w:tcPr>
          <w:p>
            <w:pPr>
              <w:spacing w:after="0"/>
            </w:pPr>
            <w:r/>
            <w:r>
              <w:rPr>
                <w:rFonts w:ascii="Arial" w:hAnsi="Arial"/>
                <w:b/>
                <w:sz w:val="18"/>
              </w:rPr>
              <w:t>Requirement</w:t>
            </w:r>
          </w:p>
        </w:tc>
      </w:tr>
      <w:tr>
        <w:tc>
          <w:tcPr>
            <w:tcW w:type="dxa" w:w="4939"/>
            <w:vAlign w:val="top"/>
          </w:tcPr>
          <w:p>
            <w:pPr>
              <w:spacing w:after="0"/>
            </w:pPr>
            <w:r/>
            <w:r>
              <w:rPr>
                <w:rFonts w:ascii="Arial" w:hAnsi="Arial"/>
                <w:b w:val="0"/>
                <w:sz w:val="18"/>
              </w:rPr>
              <w:t>request_id</w:t>
            </w:r>
          </w:p>
        </w:tc>
        <w:tc>
          <w:tcPr>
            <w:tcW w:type="dxa" w:w="4939"/>
            <w:vAlign w:val="top"/>
          </w:tcPr>
          <w:p>
            <w:pPr>
              <w:spacing w:after="0"/>
            </w:pPr>
            <w:r/>
            <w:r>
              <w:rPr>
                <w:rFonts w:ascii="Arial" w:hAnsi="Arial"/>
                <w:b w:val="0"/>
                <w:sz w:val="18"/>
              </w:rPr>
              <w:t>Must match the request correlation identifier.</w:t>
            </w:r>
          </w:p>
        </w:tc>
      </w:tr>
      <w:tr>
        <w:tc>
          <w:tcPr>
            <w:tcW w:type="dxa" w:w="4939"/>
            <w:vAlign w:val="top"/>
          </w:tcPr>
          <w:p>
            <w:pPr>
              <w:spacing w:after="0"/>
            </w:pPr>
            <w:r/>
            <w:r>
              <w:rPr>
                <w:rFonts w:ascii="Arial" w:hAnsi="Arial"/>
                <w:b w:val="0"/>
                <w:sz w:val="18"/>
              </w:rPr>
              <w:t>status</w:t>
            </w:r>
          </w:p>
        </w:tc>
        <w:tc>
          <w:tcPr>
            <w:tcW w:type="dxa" w:w="4939"/>
            <w:vAlign w:val="top"/>
          </w:tcPr>
          <w:p>
            <w:pPr>
              <w:spacing w:after="0"/>
            </w:pPr>
            <w:r/>
            <w:r>
              <w:rPr>
                <w:rFonts w:ascii="Arial" w:hAnsi="Arial"/>
                <w:b w:val="0"/>
                <w:sz w:val="18"/>
              </w:rPr>
              <w:t>SUCCESS, INVALID_INPUT, MODEL_UNAVAILABLE, INCOMPATIBLE_VERSION, or INTERNAL_ERROR.</w:t>
            </w:r>
          </w:p>
        </w:tc>
      </w:tr>
      <w:tr>
        <w:tc>
          <w:tcPr>
            <w:tcW w:type="dxa" w:w="4939"/>
            <w:vAlign w:val="top"/>
          </w:tcPr>
          <w:p>
            <w:pPr>
              <w:spacing w:after="0"/>
            </w:pPr>
            <w:r/>
            <w:r>
              <w:rPr>
                <w:rFonts w:ascii="Arial" w:hAnsi="Arial"/>
                <w:b w:val="0"/>
                <w:sz w:val="18"/>
              </w:rPr>
              <w:t>label</w:t>
            </w:r>
          </w:p>
        </w:tc>
        <w:tc>
          <w:tcPr>
            <w:tcW w:type="dxa" w:w="4939"/>
            <w:vAlign w:val="top"/>
          </w:tcPr>
          <w:p>
            <w:pPr>
              <w:spacing w:after="0"/>
            </w:pPr>
            <w:r/>
            <w:r>
              <w:rPr>
                <w:rFonts w:ascii="Arial" w:hAnsi="Arial"/>
                <w:b w:val="0"/>
                <w:sz w:val="18"/>
              </w:rPr>
              <w:t>Exactly HIGH or LOW only when status is SUCCESS.</w:t>
            </w:r>
          </w:p>
        </w:tc>
      </w:tr>
      <w:tr>
        <w:tc>
          <w:tcPr>
            <w:tcW w:type="dxa" w:w="4939"/>
            <w:vAlign w:val="top"/>
          </w:tcPr>
          <w:p>
            <w:pPr>
              <w:spacing w:after="0"/>
            </w:pPr>
            <w:r/>
            <w:r>
              <w:rPr>
                <w:rFonts w:ascii="Arial" w:hAnsi="Arial"/>
                <w:b w:val="0"/>
                <w:sz w:val="18"/>
              </w:rPr>
              <w:t>model_version</w:t>
            </w:r>
          </w:p>
        </w:tc>
        <w:tc>
          <w:tcPr>
            <w:tcW w:type="dxa" w:w="4939"/>
            <w:vAlign w:val="top"/>
          </w:tcPr>
          <w:p>
            <w:pPr>
              <w:spacing w:after="0"/>
            </w:pPr>
            <w:r/>
            <w:r>
              <w:rPr>
                <w:rFonts w:ascii="Arial" w:hAnsi="Arial"/>
                <w:b w:val="0"/>
                <w:sz w:val="18"/>
              </w:rPr>
              <w:t>Exact immutable release used for inference.</w:t>
            </w:r>
          </w:p>
        </w:tc>
      </w:tr>
      <w:tr>
        <w:tc>
          <w:tcPr>
            <w:tcW w:type="dxa" w:w="4939"/>
            <w:vAlign w:val="top"/>
          </w:tcPr>
          <w:p>
            <w:pPr>
              <w:spacing w:after="0"/>
            </w:pPr>
            <w:r/>
            <w:r>
              <w:rPr>
                <w:rFonts w:ascii="Arial" w:hAnsi="Arial"/>
                <w:b w:val="0"/>
                <w:sz w:val="18"/>
              </w:rPr>
              <w:t>feature_schema_version</w:t>
            </w:r>
          </w:p>
        </w:tc>
        <w:tc>
          <w:tcPr>
            <w:tcW w:type="dxa" w:w="4939"/>
            <w:vAlign w:val="top"/>
          </w:tcPr>
          <w:p>
            <w:pPr>
              <w:spacing w:after="0"/>
            </w:pPr>
            <w:r/>
            <w:r>
              <w:rPr>
                <w:rFonts w:ascii="Arial" w:hAnsi="Arial"/>
                <w:b w:val="0"/>
                <w:sz w:val="18"/>
              </w:rPr>
              <w:t>Must be compatible with the requested and deployed model.</w:t>
            </w:r>
          </w:p>
        </w:tc>
      </w:tr>
      <w:tr>
        <w:tc>
          <w:tcPr>
            <w:tcW w:type="dxa" w:w="4939"/>
            <w:vAlign w:val="top"/>
          </w:tcPr>
          <w:p>
            <w:pPr>
              <w:spacing w:after="0"/>
            </w:pPr>
            <w:r/>
            <w:r>
              <w:rPr>
                <w:rFonts w:ascii="Arial" w:hAnsi="Arial"/>
                <w:b w:val="0"/>
                <w:sz w:val="18"/>
              </w:rPr>
              <w:t>preprocessing_version</w:t>
            </w:r>
          </w:p>
        </w:tc>
        <w:tc>
          <w:tcPr>
            <w:tcW w:type="dxa" w:w="4939"/>
            <w:vAlign w:val="top"/>
          </w:tcPr>
          <w:p>
            <w:pPr>
              <w:spacing w:after="0"/>
            </w:pPr>
            <w:r/>
            <w:r>
              <w:rPr>
                <w:rFonts w:ascii="Arial" w:hAnsi="Arial"/>
                <w:b w:val="0"/>
                <w:sz w:val="18"/>
              </w:rPr>
              <w:t>Exact transformation pipeline used.</w:t>
            </w:r>
          </w:p>
        </w:tc>
      </w:tr>
      <w:tr>
        <w:tc>
          <w:tcPr>
            <w:tcW w:type="dxa" w:w="4939"/>
            <w:vAlign w:val="top"/>
          </w:tcPr>
          <w:p>
            <w:pPr>
              <w:spacing w:after="0"/>
            </w:pPr>
            <w:r/>
            <w:r>
              <w:rPr>
                <w:rFonts w:ascii="Arial" w:hAnsi="Arial"/>
                <w:b w:val="0"/>
                <w:sz w:val="18"/>
              </w:rPr>
              <w:t>runtime_version</w:t>
            </w:r>
          </w:p>
        </w:tc>
        <w:tc>
          <w:tcPr>
            <w:tcW w:type="dxa" w:w="4939"/>
            <w:vAlign w:val="top"/>
          </w:tcPr>
          <w:p>
            <w:pPr>
              <w:spacing w:after="0"/>
            </w:pPr>
            <w:r/>
            <w:r>
              <w:rPr>
                <w:rFonts w:ascii="Arial" w:hAnsi="Arial"/>
                <w:b w:val="0"/>
                <w:sz w:val="18"/>
              </w:rPr>
              <w:t>Python and key package environment identifier or build manifest.</w:t>
            </w:r>
          </w:p>
        </w:tc>
      </w:tr>
      <w:tr>
        <w:tc>
          <w:tcPr>
            <w:tcW w:type="dxa" w:w="4939"/>
            <w:vAlign w:val="top"/>
          </w:tcPr>
          <w:p>
            <w:pPr>
              <w:spacing w:after="0"/>
            </w:pPr>
            <w:r/>
            <w:r>
              <w:rPr>
                <w:rFonts w:ascii="Arial" w:hAnsi="Arial"/>
                <w:b w:val="0"/>
                <w:sz w:val="18"/>
              </w:rPr>
              <w:t>explanation_reference</w:t>
            </w:r>
          </w:p>
        </w:tc>
        <w:tc>
          <w:tcPr>
            <w:tcW w:type="dxa" w:w="4939"/>
            <w:vAlign w:val="top"/>
          </w:tcPr>
          <w:p>
            <w:pPr>
              <w:spacing w:after="0"/>
            </w:pPr>
            <w:r/>
            <w:r>
              <w:rPr>
                <w:rFonts w:ascii="Arial" w:hAnsi="Arial"/>
                <w:b w:val="0"/>
                <w:sz w:val="18"/>
              </w:rPr>
              <w:t>Optional structured explanation artifact identifier; not free-form justification.</w:t>
            </w:r>
          </w:p>
        </w:tc>
      </w:tr>
      <w:tr>
        <w:tc>
          <w:tcPr>
            <w:tcW w:type="dxa" w:w="4939"/>
            <w:vAlign w:val="top"/>
          </w:tcPr>
          <w:p>
            <w:pPr>
              <w:spacing w:after="0"/>
            </w:pPr>
            <w:r/>
            <w:r>
              <w:rPr>
                <w:rFonts w:ascii="Arial" w:hAnsi="Arial"/>
                <w:b w:val="0"/>
                <w:sz w:val="18"/>
              </w:rPr>
              <w:t>warnings</w:t>
            </w:r>
          </w:p>
        </w:tc>
        <w:tc>
          <w:tcPr>
            <w:tcW w:type="dxa" w:w="4939"/>
            <w:vAlign w:val="top"/>
          </w:tcPr>
          <w:p>
            <w:pPr>
              <w:spacing w:after="0"/>
            </w:pPr>
            <w:r/>
            <w:r>
              <w:rPr>
                <w:rFonts w:ascii="Arial" w:hAnsi="Arial"/>
                <w:b w:val="0"/>
                <w:sz w:val="18"/>
              </w:rPr>
              <w:t>Known limitations or out-of-distribution indicators defined by the release.</w:t>
            </w:r>
          </w:p>
        </w:tc>
      </w:tr>
      <w:tr>
        <w:tc>
          <w:tcPr>
            <w:tcW w:type="dxa" w:w="4939"/>
            <w:vAlign w:val="top"/>
          </w:tcPr>
          <w:p>
            <w:pPr>
              <w:spacing w:after="0"/>
            </w:pPr>
            <w:r/>
            <w:r>
              <w:rPr>
                <w:rFonts w:ascii="Arial" w:hAnsi="Arial"/>
                <w:b w:val="0"/>
                <w:sz w:val="18"/>
              </w:rPr>
              <w:t>execution_time</w:t>
            </w:r>
          </w:p>
        </w:tc>
        <w:tc>
          <w:tcPr>
            <w:tcW w:type="dxa" w:w="4939"/>
            <w:vAlign w:val="top"/>
          </w:tcPr>
          <w:p>
            <w:pPr>
              <w:spacing w:after="0"/>
            </w:pPr>
            <w:r/>
            <w:r>
              <w:rPr>
                <w:rFonts w:ascii="Arial" w:hAnsi="Arial"/>
                <w:b w:val="0"/>
                <w:sz w:val="18"/>
              </w:rPr>
              <w:t>Timestamp and duration for operational monitoring.</w:t>
            </w:r>
          </w:p>
        </w:tc>
      </w:tr>
    </w:tbl>
    <w:p/>
    <w:p>
      <w:r>
        <w:t>The production integration should prefer structured JSON over reading arbitrary stdout text. Debug logs must be separated from the response payload. A successful process exit does not by itself prove that the response is clinically usable.</w:t>
      </w:r>
    </w:p>
    <w:p>
      <w:pPr>
        <w:pStyle w:val="Heading1"/>
      </w:pPr>
      <w:r>
        <w:t>10.0 Total Machine Learning Lifecycle</w:t>
      </w: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4939"/>
            <w:vAlign w:val="top"/>
            <w:shd w:fill="D9EAF7"/>
          </w:tcPr>
          <w:p>
            <w:pPr>
              <w:spacing w:after="0"/>
            </w:pPr>
            <w:r/>
            <w:r>
              <w:rPr>
                <w:rFonts w:ascii="Arial" w:hAnsi="Arial"/>
                <w:b/>
                <w:sz w:val="18"/>
              </w:rPr>
              <w:t>Lifecycle stage</w:t>
            </w:r>
          </w:p>
        </w:tc>
        <w:tc>
          <w:tcPr>
            <w:tcW w:type="dxa" w:w="4939"/>
            <w:vAlign w:val="top"/>
            <w:shd w:fill="D9EAF7"/>
          </w:tcPr>
          <w:p>
            <w:pPr>
              <w:spacing w:after="0"/>
            </w:pPr>
            <w:r/>
            <w:r>
              <w:rPr>
                <w:rFonts w:ascii="Arial" w:hAnsi="Arial"/>
                <w:b/>
                <w:sz w:val="18"/>
              </w:rPr>
              <w:t>Required outputs</w:t>
            </w:r>
          </w:p>
        </w:tc>
      </w:tr>
      <w:tr>
        <w:tc>
          <w:tcPr>
            <w:tcW w:type="dxa" w:w="4939"/>
            <w:vAlign w:val="top"/>
          </w:tcPr>
          <w:p>
            <w:pPr>
              <w:spacing w:after="0"/>
            </w:pPr>
            <w:r/>
            <w:r>
              <w:rPr>
                <w:rFonts w:ascii="Arial" w:hAnsi="Arial"/>
                <w:b w:val="0"/>
                <w:sz w:val="18"/>
              </w:rPr>
              <w:t>Problem and intended-use definition</w:t>
            </w:r>
          </w:p>
        </w:tc>
        <w:tc>
          <w:tcPr>
            <w:tcW w:type="dxa" w:w="4939"/>
            <w:vAlign w:val="top"/>
          </w:tcPr>
          <w:p>
            <w:pPr>
              <w:spacing w:after="0"/>
            </w:pPr>
            <w:r/>
            <w:r>
              <w:rPr>
                <w:rFonts w:ascii="Arial" w:hAnsi="Arial"/>
                <w:b w:val="0"/>
                <w:sz w:val="18"/>
              </w:rPr>
              <w:t>Population, user, setting, input, output, role, exclusions, harms, and success criteria.</w:t>
            </w:r>
          </w:p>
        </w:tc>
      </w:tr>
      <w:tr>
        <w:tc>
          <w:tcPr>
            <w:tcW w:type="dxa" w:w="4939"/>
            <w:vAlign w:val="top"/>
          </w:tcPr>
          <w:p>
            <w:pPr>
              <w:spacing w:after="0"/>
            </w:pPr>
            <w:r/>
            <w:r>
              <w:rPr>
                <w:rFonts w:ascii="Arial" w:hAnsi="Arial"/>
                <w:b w:val="0"/>
                <w:sz w:val="18"/>
              </w:rPr>
              <w:t>Dataset design</w:t>
            </w:r>
          </w:p>
        </w:tc>
        <w:tc>
          <w:tcPr>
            <w:tcW w:type="dxa" w:w="4939"/>
            <w:vAlign w:val="top"/>
          </w:tcPr>
          <w:p>
            <w:pPr>
              <w:spacing w:after="0"/>
            </w:pPr>
            <w:r/>
            <w:r>
              <w:rPr>
                <w:rFonts w:ascii="Arial" w:hAnsi="Arial"/>
                <w:b w:val="0"/>
                <w:sz w:val="18"/>
              </w:rPr>
              <w:t>Source inventory, governance, data dictionary, inclusion/exclusion criteria, label process, representativeness, and dataset version.</w:t>
            </w:r>
          </w:p>
        </w:tc>
      </w:tr>
      <w:tr>
        <w:tc>
          <w:tcPr>
            <w:tcW w:type="dxa" w:w="4939"/>
            <w:vAlign w:val="top"/>
          </w:tcPr>
          <w:p>
            <w:pPr>
              <w:spacing w:after="0"/>
            </w:pPr>
            <w:r/>
            <w:r>
              <w:rPr>
                <w:rFonts w:ascii="Arial" w:hAnsi="Arial"/>
                <w:b w:val="0"/>
                <w:sz w:val="18"/>
              </w:rPr>
              <w:t>Feature engineering</w:t>
            </w:r>
          </w:p>
        </w:tc>
        <w:tc>
          <w:tcPr>
            <w:tcW w:type="dxa" w:w="4939"/>
            <w:vAlign w:val="top"/>
          </w:tcPr>
          <w:p>
            <w:pPr>
              <w:spacing w:after="0"/>
            </w:pPr>
            <w:r/>
            <w:r>
              <w:rPr>
                <w:rFonts w:ascii="Arial" w:hAnsi="Arial"/>
                <w:b w:val="0"/>
                <w:sz w:val="18"/>
              </w:rPr>
              <w:t>Feature specifications, preprocessing pipeline, missing-value policy, leakage analysis, and compatibility version.</w:t>
            </w:r>
          </w:p>
        </w:tc>
      </w:tr>
      <w:tr>
        <w:tc>
          <w:tcPr>
            <w:tcW w:type="dxa" w:w="4939"/>
            <w:vAlign w:val="top"/>
          </w:tcPr>
          <w:p>
            <w:pPr>
              <w:spacing w:after="0"/>
            </w:pPr>
            <w:r/>
            <w:r>
              <w:rPr>
                <w:rFonts w:ascii="Arial" w:hAnsi="Arial"/>
                <w:b w:val="0"/>
                <w:sz w:val="18"/>
              </w:rPr>
              <w:t>Model development</w:t>
            </w:r>
          </w:p>
        </w:tc>
        <w:tc>
          <w:tcPr>
            <w:tcW w:type="dxa" w:w="4939"/>
            <w:vAlign w:val="top"/>
          </w:tcPr>
          <w:p>
            <w:pPr>
              <w:spacing w:after="0"/>
            </w:pPr>
            <w:r/>
            <w:r>
              <w:rPr>
                <w:rFonts w:ascii="Arial" w:hAnsi="Arial"/>
                <w:b w:val="0"/>
                <w:sz w:val="18"/>
              </w:rPr>
              <w:t>Candidate algorithms, training code, random seeds, hyperparameters, experiment records, and selected rationale.</w:t>
            </w:r>
          </w:p>
        </w:tc>
      </w:tr>
      <w:tr>
        <w:tc>
          <w:tcPr>
            <w:tcW w:type="dxa" w:w="4939"/>
            <w:vAlign w:val="top"/>
          </w:tcPr>
          <w:p>
            <w:pPr>
              <w:spacing w:after="0"/>
            </w:pPr>
            <w:r/>
            <w:r>
              <w:rPr>
                <w:rFonts w:ascii="Arial" w:hAnsi="Arial"/>
                <w:b w:val="0"/>
                <w:sz w:val="18"/>
              </w:rPr>
              <w:t>Analytical evaluation</w:t>
            </w:r>
          </w:p>
        </w:tc>
        <w:tc>
          <w:tcPr>
            <w:tcW w:type="dxa" w:w="4939"/>
            <w:vAlign w:val="top"/>
          </w:tcPr>
          <w:p>
            <w:pPr>
              <w:spacing w:after="0"/>
            </w:pPr>
            <w:r/>
            <w:r>
              <w:rPr>
                <w:rFonts w:ascii="Arial" w:hAnsi="Arial"/>
                <w:b w:val="0"/>
                <w:sz w:val="18"/>
              </w:rPr>
              <w:t>Independent test results, discrimination, error analysis, calibration where relevant, and subgroup performance.</w:t>
            </w:r>
          </w:p>
        </w:tc>
      </w:tr>
      <w:tr>
        <w:tc>
          <w:tcPr>
            <w:tcW w:type="dxa" w:w="4939"/>
            <w:vAlign w:val="top"/>
          </w:tcPr>
          <w:p>
            <w:pPr>
              <w:spacing w:after="0"/>
            </w:pPr>
            <w:r/>
            <w:r>
              <w:rPr>
                <w:rFonts w:ascii="Arial" w:hAnsi="Arial"/>
                <w:b w:val="0"/>
                <w:sz w:val="18"/>
              </w:rPr>
              <w:t>Human-factors and workflow evaluation</w:t>
            </w:r>
          </w:p>
        </w:tc>
        <w:tc>
          <w:tcPr>
            <w:tcW w:type="dxa" w:w="4939"/>
            <w:vAlign w:val="top"/>
          </w:tcPr>
          <w:p>
            <w:pPr>
              <w:spacing w:after="0"/>
            </w:pPr>
            <w:r/>
            <w:r>
              <w:rPr>
                <w:rFonts w:ascii="Arial" w:hAnsi="Arial"/>
                <w:b w:val="0"/>
                <w:sz w:val="18"/>
              </w:rPr>
              <w:t>Whether intended users correctly understand, trust, challenge, and act on the output.</w:t>
            </w:r>
          </w:p>
        </w:tc>
      </w:tr>
      <w:tr>
        <w:tc>
          <w:tcPr>
            <w:tcW w:type="dxa" w:w="4939"/>
            <w:vAlign w:val="top"/>
          </w:tcPr>
          <w:p>
            <w:pPr>
              <w:spacing w:after="0"/>
            </w:pPr>
            <w:r/>
            <w:r>
              <w:rPr>
                <w:rFonts w:ascii="Arial" w:hAnsi="Arial"/>
                <w:b w:val="0"/>
                <w:sz w:val="18"/>
              </w:rPr>
              <w:t>Release approval</w:t>
            </w:r>
          </w:p>
        </w:tc>
        <w:tc>
          <w:tcPr>
            <w:tcW w:type="dxa" w:w="4939"/>
            <w:vAlign w:val="top"/>
          </w:tcPr>
          <w:p>
            <w:pPr>
              <w:spacing w:after="0"/>
            </w:pPr>
            <w:r/>
            <w:r>
              <w:rPr>
                <w:rFonts w:ascii="Arial" w:hAnsi="Arial"/>
                <w:b w:val="0"/>
                <w:sz w:val="18"/>
              </w:rPr>
              <w:t>Model package, limitations, intended use, evidence report, security review, and named approval.</w:t>
            </w:r>
          </w:p>
        </w:tc>
      </w:tr>
      <w:tr>
        <w:tc>
          <w:tcPr>
            <w:tcW w:type="dxa" w:w="4939"/>
            <w:vAlign w:val="top"/>
          </w:tcPr>
          <w:p>
            <w:pPr>
              <w:spacing w:after="0"/>
            </w:pPr>
            <w:r/>
            <w:r>
              <w:rPr>
                <w:rFonts w:ascii="Arial" w:hAnsi="Arial"/>
                <w:b w:val="0"/>
                <w:sz w:val="18"/>
              </w:rPr>
              <w:t>Deployment</w:t>
            </w:r>
          </w:p>
        </w:tc>
        <w:tc>
          <w:tcPr>
            <w:tcW w:type="dxa" w:w="4939"/>
            <w:vAlign w:val="top"/>
          </w:tcPr>
          <w:p>
            <w:pPr>
              <w:spacing w:after="0"/>
            </w:pPr>
            <w:r/>
            <w:r>
              <w:rPr>
                <w:rFonts w:ascii="Arial" w:hAnsi="Arial"/>
                <w:b w:val="0"/>
                <w:sz w:val="18"/>
              </w:rPr>
              <w:t>Pinned environment, integrity checks, rollback package, monitoring configuration, and user communication.</w:t>
            </w:r>
          </w:p>
        </w:tc>
      </w:tr>
      <w:tr>
        <w:tc>
          <w:tcPr>
            <w:tcW w:type="dxa" w:w="4939"/>
            <w:vAlign w:val="top"/>
          </w:tcPr>
          <w:p>
            <w:pPr>
              <w:spacing w:after="0"/>
            </w:pPr>
            <w:r/>
            <w:r>
              <w:rPr>
                <w:rFonts w:ascii="Arial" w:hAnsi="Arial"/>
                <w:b w:val="0"/>
                <w:sz w:val="18"/>
              </w:rPr>
              <w:t>Monitoring</w:t>
            </w:r>
          </w:p>
        </w:tc>
        <w:tc>
          <w:tcPr>
            <w:tcW w:type="dxa" w:w="4939"/>
            <w:vAlign w:val="top"/>
          </w:tcPr>
          <w:p>
            <w:pPr>
              <w:spacing w:after="0"/>
            </w:pPr>
            <w:r/>
            <w:r>
              <w:rPr>
                <w:rFonts w:ascii="Arial" w:hAnsi="Arial"/>
                <w:b w:val="0"/>
                <w:sz w:val="18"/>
              </w:rPr>
              <w:t>Input quality, failures, drift indicators, subgroup behavior, user overrides, incidents, and operational availability.</w:t>
            </w:r>
          </w:p>
        </w:tc>
      </w:tr>
      <w:tr>
        <w:tc>
          <w:tcPr>
            <w:tcW w:type="dxa" w:w="4939"/>
            <w:vAlign w:val="top"/>
          </w:tcPr>
          <w:p>
            <w:pPr>
              <w:spacing w:after="0"/>
            </w:pPr>
            <w:r/>
            <w:r>
              <w:rPr>
                <w:rFonts w:ascii="Arial" w:hAnsi="Arial"/>
                <w:b w:val="0"/>
                <w:sz w:val="18"/>
              </w:rPr>
              <w:t>Change and retirement</w:t>
            </w:r>
          </w:p>
        </w:tc>
        <w:tc>
          <w:tcPr>
            <w:tcW w:type="dxa" w:w="4939"/>
            <w:vAlign w:val="top"/>
          </w:tcPr>
          <w:p>
            <w:pPr>
              <w:spacing w:after="0"/>
            </w:pPr>
            <w:r/>
            <w:r>
              <w:rPr>
                <w:rFonts w:ascii="Arial" w:hAnsi="Arial"/>
                <w:b w:val="0"/>
                <w:sz w:val="18"/>
              </w:rPr>
              <w:t>Impact analysis, new validation, controlled rollout, rollback, archival, and end-of-use communication.</w:t>
            </w:r>
          </w:p>
        </w:tc>
      </w:tr>
    </w:tbl>
    <w:p/>
    <w:p>
      <w:pPr>
        <w:pStyle w:val="Heading1"/>
      </w:pPr>
      <w:r>
        <w:t>11.0 Immutable Model Package</w:t>
      </w:r>
    </w:p>
    <w:p>
      <w:r>
        <w:t>A model release is more than model.pkl. It is a sealed bundle whose components are compatible and independently identifiable. Replacing only one file creates an ungoverned hybrid release.</w:t>
      </w: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4939"/>
            <w:vAlign w:val="top"/>
            <w:shd w:fill="D9EAF7"/>
          </w:tcPr>
          <w:p>
            <w:pPr>
              <w:spacing w:after="0"/>
            </w:pPr>
            <w:r/>
            <w:r>
              <w:rPr>
                <w:rFonts w:ascii="Arial" w:hAnsi="Arial"/>
                <w:b/>
                <w:sz w:val="18"/>
              </w:rPr>
              <w:t>Package element</w:t>
            </w:r>
          </w:p>
        </w:tc>
        <w:tc>
          <w:tcPr>
            <w:tcW w:type="dxa" w:w="4939"/>
            <w:vAlign w:val="top"/>
            <w:shd w:fill="D9EAF7"/>
          </w:tcPr>
          <w:p>
            <w:pPr>
              <w:spacing w:after="0"/>
            </w:pPr>
            <w:r/>
            <w:r>
              <w:rPr>
                <w:rFonts w:ascii="Arial" w:hAnsi="Arial"/>
                <w:b/>
                <w:sz w:val="18"/>
              </w:rPr>
              <w:t>Purpose</w:t>
            </w:r>
          </w:p>
        </w:tc>
      </w:tr>
      <w:tr>
        <w:tc>
          <w:tcPr>
            <w:tcW w:type="dxa" w:w="4939"/>
            <w:vAlign w:val="top"/>
          </w:tcPr>
          <w:p>
            <w:pPr>
              <w:spacing w:after="0"/>
            </w:pPr>
            <w:r/>
            <w:r>
              <w:rPr>
                <w:rFonts w:ascii="Arial" w:hAnsi="Arial"/>
                <w:b w:val="0"/>
                <w:sz w:val="18"/>
              </w:rPr>
              <w:t>model artifact</w:t>
            </w:r>
          </w:p>
        </w:tc>
        <w:tc>
          <w:tcPr>
            <w:tcW w:type="dxa" w:w="4939"/>
            <w:vAlign w:val="top"/>
          </w:tcPr>
          <w:p>
            <w:pPr>
              <w:spacing w:after="0"/>
            </w:pPr>
            <w:r/>
            <w:r>
              <w:rPr>
                <w:rFonts w:ascii="Arial" w:hAnsi="Arial"/>
                <w:b w:val="0"/>
                <w:sz w:val="18"/>
              </w:rPr>
              <w:t>Serialized fitted Random Forest with integrity hash.</w:t>
            </w:r>
          </w:p>
        </w:tc>
      </w:tr>
      <w:tr>
        <w:tc>
          <w:tcPr>
            <w:tcW w:type="dxa" w:w="4939"/>
            <w:vAlign w:val="top"/>
          </w:tcPr>
          <w:p>
            <w:pPr>
              <w:spacing w:after="0"/>
            </w:pPr>
            <w:r/>
            <w:r>
              <w:rPr>
                <w:rFonts w:ascii="Arial" w:hAnsi="Arial"/>
                <w:b w:val="0"/>
                <w:sz w:val="18"/>
              </w:rPr>
              <w:t>preprocessing artifact</w:t>
            </w:r>
          </w:p>
        </w:tc>
        <w:tc>
          <w:tcPr>
            <w:tcW w:type="dxa" w:w="4939"/>
            <w:vAlign w:val="top"/>
          </w:tcPr>
          <w:p>
            <w:pPr>
              <w:spacing w:after="0"/>
            </w:pPr>
            <w:r/>
            <w:r>
              <w:rPr>
                <w:rFonts w:ascii="Arial" w:hAnsi="Arial"/>
                <w:b w:val="0"/>
                <w:sz w:val="18"/>
              </w:rPr>
              <w:t>Exact encoders, imputers, scaling or transformation logic required by the model.</w:t>
            </w:r>
          </w:p>
        </w:tc>
      </w:tr>
      <w:tr>
        <w:tc>
          <w:tcPr>
            <w:tcW w:type="dxa" w:w="4939"/>
            <w:vAlign w:val="top"/>
          </w:tcPr>
          <w:p>
            <w:pPr>
              <w:spacing w:after="0"/>
            </w:pPr>
            <w:r/>
            <w:r>
              <w:rPr>
                <w:rFonts w:ascii="Arial" w:hAnsi="Arial"/>
                <w:b w:val="0"/>
                <w:sz w:val="18"/>
              </w:rPr>
              <w:t>feature schema</w:t>
            </w:r>
          </w:p>
        </w:tc>
        <w:tc>
          <w:tcPr>
            <w:tcW w:type="dxa" w:w="4939"/>
            <w:vAlign w:val="top"/>
          </w:tcPr>
          <w:p>
            <w:pPr>
              <w:spacing w:after="0"/>
            </w:pPr>
            <w:r/>
            <w:r>
              <w:rPr>
                <w:rFonts w:ascii="Arial" w:hAnsi="Arial"/>
                <w:b w:val="0"/>
                <w:sz w:val="18"/>
              </w:rPr>
              <w:t>Names, order, types, units, categories, allowed missing states, and derivation rules.</w:t>
            </w:r>
          </w:p>
        </w:tc>
      </w:tr>
      <w:tr>
        <w:tc>
          <w:tcPr>
            <w:tcW w:type="dxa" w:w="4939"/>
            <w:vAlign w:val="top"/>
          </w:tcPr>
          <w:p>
            <w:pPr>
              <w:spacing w:after="0"/>
            </w:pPr>
            <w:r/>
            <w:r>
              <w:rPr>
                <w:rFonts w:ascii="Arial" w:hAnsi="Arial"/>
                <w:b w:val="0"/>
                <w:sz w:val="18"/>
              </w:rPr>
              <w:t>label mapping</w:t>
            </w:r>
          </w:p>
        </w:tc>
        <w:tc>
          <w:tcPr>
            <w:tcW w:type="dxa" w:w="4939"/>
            <w:vAlign w:val="top"/>
          </w:tcPr>
          <w:p>
            <w:pPr>
              <w:spacing w:after="0"/>
            </w:pPr>
            <w:r/>
            <w:r>
              <w:rPr>
                <w:rFonts w:ascii="Arial" w:hAnsi="Arial"/>
                <w:b w:val="0"/>
                <w:sz w:val="18"/>
              </w:rPr>
              <w:t>Controlled mapping from internal class representation to HIGH and LOW.</w:t>
            </w:r>
          </w:p>
        </w:tc>
      </w:tr>
      <w:tr>
        <w:tc>
          <w:tcPr>
            <w:tcW w:type="dxa" w:w="4939"/>
            <w:vAlign w:val="top"/>
          </w:tcPr>
          <w:p>
            <w:pPr>
              <w:spacing w:after="0"/>
            </w:pPr>
            <w:r/>
            <w:r>
              <w:rPr>
                <w:rFonts w:ascii="Arial" w:hAnsi="Arial"/>
                <w:b w:val="0"/>
                <w:sz w:val="18"/>
              </w:rPr>
              <w:t>model card / release report</w:t>
            </w:r>
          </w:p>
        </w:tc>
        <w:tc>
          <w:tcPr>
            <w:tcW w:type="dxa" w:w="4939"/>
            <w:vAlign w:val="top"/>
          </w:tcPr>
          <w:p>
            <w:pPr>
              <w:spacing w:after="0"/>
            </w:pPr>
            <w:r/>
            <w:r>
              <w:rPr>
                <w:rFonts w:ascii="Arial" w:hAnsi="Arial"/>
                <w:b w:val="0"/>
                <w:sz w:val="18"/>
              </w:rPr>
              <w:t>Intended use, dataset version, metrics, subgroup results, limitations, warnings, and approval.</w:t>
            </w:r>
          </w:p>
        </w:tc>
      </w:tr>
      <w:tr>
        <w:tc>
          <w:tcPr>
            <w:tcW w:type="dxa" w:w="4939"/>
            <w:vAlign w:val="top"/>
          </w:tcPr>
          <w:p>
            <w:pPr>
              <w:spacing w:after="0"/>
            </w:pPr>
            <w:r/>
            <w:r>
              <w:rPr>
                <w:rFonts w:ascii="Arial" w:hAnsi="Arial"/>
                <w:b w:val="0"/>
                <w:sz w:val="18"/>
              </w:rPr>
              <w:t>environment manifest</w:t>
            </w:r>
          </w:p>
        </w:tc>
        <w:tc>
          <w:tcPr>
            <w:tcW w:type="dxa" w:w="4939"/>
            <w:vAlign w:val="top"/>
          </w:tcPr>
          <w:p>
            <w:pPr>
              <w:spacing w:after="0"/>
            </w:pPr>
            <w:r/>
            <w:r>
              <w:rPr>
                <w:rFonts w:ascii="Arial" w:hAnsi="Arial"/>
                <w:b w:val="0"/>
                <w:sz w:val="18"/>
              </w:rPr>
              <w:t>Python version and pinned library versions.</w:t>
            </w:r>
          </w:p>
        </w:tc>
      </w:tr>
      <w:tr>
        <w:tc>
          <w:tcPr>
            <w:tcW w:type="dxa" w:w="4939"/>
            <w:vAlign w:val="top"/>
          </w:tcPr>
          <w:p>
            <w:pPr>
              <w:spacing w:after="0"/>
            </w:pPr>
            <w:r/>
            <w:r>
              <w:rPr>
                <w:rFonts w:ascii="Arial" w:hAnsi="Arial"/>
                <w:b w:val="0"/>
                <w:sz w:val="18"/>
              </w:rPr>
              <w:t>test vectors</w:t>
            </w:r>
          </w:p>
        </w:tc>
        <w:tc>
          <w:tcPr>
            <w:tcW w:type="dxa" w:w="4939"/>
            <w:vAlign w:val="top"/>
          </w:tcPr>
          <w:p>
            <w:pPr>
              <w:spacing w:after="0"/>
            </w:pPr>
            <w:r/>
            <w:r>
              <w:rPr>
                <w:rFonts w:ascii="Arial" w:hAnsi="Arial"/>
                <w:b w:val="0"/>
                <w:sz w:val="18"/>
              </w:rPr>
              <w:t>Known input/output examples used for deployment verification.</w:t>
            </w:r>
          </w:p>
        </w:tc>
      </w:tr>
      <w:tr>
        <w:tc>
          <w:tcPr>
            <w:tcW w:type="dxa" w:w="4939"/>
            <w:vAlign w:val="top"/>
          </w:tcPr>
          <w:p>
            <w:pPr>
              <w:spacing w:after="0"/>
            </w:pPr>
            <w:r/>
            <w:r>
              <w:rPr>
                <w:rFonts w:ascii="Arial" w:hAnsi="Arial"/>
                <w:b w:val="0"/>
                <w:sz w:val="18"/>
              </w:rPr>
              <w:t>integrity manifest</w:t>
            </w:r>
          </w:p>
        </w:tc>
        <w:tc>
          <w:tcPr>
            <w:tcW w:type="dxa" w:w="4939"/>
            <w:vAlign w:val="top"/>
          </w:tcPr>
          <w:p>
            <w:pPr>
              <w:spacing w:after="0"/>
            </w:pPr>
            <w:r/>
            <w:r>
              <w:rPr>
                <w:rFonts w:ascii="Arial" w:hAnsi="Arial"/>
                <w:b w:val="0"/>
                <w:sz w:val="18"/>
              </w:rPr>
              <w:t>Cryptographic hashes or equivalent checks for all package files.</w:t>
            </w:r>
          </w:p>
        </w:tc>
      </w:tr>
      <w:tr>
        <w:tc>
          <w:tcPr>
            <w:tcW w:type="dxa" w:w="4939"/>
            <w:vAlign w:val="top"/>
          </w:tcPr>
          <w:p>
            <w:pPr>
              <w:spacing w:after="0"/>
            </w:pPr>
            <w:r/>
            <w:r>
              <w:rPr>
                <w:rFonts w:ascii="Arial" w:hAnsi="Arial"/>
                <w:b w:val="0"/>
                <w:sz w:val="18"/>
              </w:rPr>
              <w:t>release identifier</w:t>
            </w:r>
          </w:p>
        </w:tc>
        <w:tc>
          <w:tcPr>
            <w:tcW w:type="dxa" w:w="4939"/>
            <w:vAlign w:val="top"/>
          </w:tcPr>
          <w:p>
            <w:pPr>
              <w:spacing w:after="0"/>
            </w:pPr>
            <w:r/>
            <w:r>
              <w:rPr>
                <w:rFonts w:ascii="Arial" w:hAnsi="Arial"/>
                <w:b w:val="0"/>
                <w:sz w:val="18"/>
              </w:rPr>
              <w:t>Stable semantic or governed version and status: development, validation, approved, retired, or revoked.</w:t>
            </w:r>
          </w:p>
        </w:tc>
      </w:tr>
    </w:tbl>
    <w:p/>
    <w:p>
      <w:pPr>
        <w:pStyle w:val="Heading1"/>
      </w:pPr>
      <w:r>
        <w:t>12.0 Human Oversight and User Interface Requirements</w:t>
      </w:r>
    </w:p>
    <w:p>
      <w:pPr>
        <w:pStyle w:val="ListBullet"/>
      </w:pPr>
      <w:r>
        <w:t>The interface shall label the ML result as a supporting contribution, not the final diagnosis.</w:t>
      </w:r>
    </w:p>
    <w:p>
      <w:pPr>
        <w:pStyle w:val="ListBullet"/>
      </w:pPr>
      <w:r>
        <w:t>The user shall see the final Decision Engine reasons before or alongside the model contribution.</w:t>
      </w:r>
    </w:p>
    <w:p>
      <w:pPr>
        <w:pStyle w:val="ListBullet"/>
      </w:pPr>
      <w:r>
        <w:t>The interface shall disclose when ML was unavailable, invalid, incompatible, or not used.</w:t>
      </w:r>
    </w:p>
    <w:p>
      <w:pPr>
        <w:pStyle w:val="ListBullet"/>
      </w:pPr>
      <w:r>
        <w:t>The system shall avoid presenting LOW as no risk or guaranteed safety.</w:t>
      </w:r>
    </w:p>
    <w:p>
      <w:pPr>
        <w:pStyle w:val="ListBullet"/>
      </w:pPr>
      <w:r>
        <w:t>Authorized users shall be able to correct source data and request a new execution; the prior result remains immutable.</w:t>
      </w:r>
    </w:p>
    <w:p>
      <w:pPr>
        <w:pStyle w:val="ListBullet"/>
      </w:pPr>
      <w:r>
        <w:t>Overrides, referral decisions, referral refusal, and other human actions shall be stored separately from the model prediction.</w:t>
      </w:r>
    </w:p>
    <w:p>
      <w:pPr>
        <w:pStyle w:val="ListBullet"/>
      </w:pPr>
      <w:r>
        <w:t>Training and help material shall explain common failure modes, intended population, known limitations, and when not to rely on the output.</w:t>
      </w:r>
    </w:p>
    <w:p>
      <w:pPr>
        <w:pStyle w:val="ListBullet"/>
      </w:pPr>
      <w:r>
        <w:t>Usability evaluation shall test the human-AI team, including overreliance, automation bias, under-trust, and misunderstanding of LOW.</w:t>
      </w:r>
    </w:p>
    <w:p>
      <w:pPr>
        <w:pStyle w:val="Heading1"/>
      </w:pPr>
      <w:r>
        <w:t>13.0 Failure-Safe and Degraded-Operation Architecture</w:t>
      </w: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4939"/>
            <w:vAlign w:val="top"/>
            <w:shd w:fill="D9EAF7"/>
          </w:tcPr>
          <w:p>
            <w:pPr>
              <w:spacing w:after="0"/>
            </w:pPr>
            <w:r/>
            <w:r>
              <w:rPr>
                <w:rFonts w:ascii="Arial" w:hAnsi="Arial"/>
                <w:b/>
                <w:sz w:val="18"/>
              </w:rPr>
              <w:t>Failure scenario</w:t>
            </w:r>
          </w:p>
        </w:tc>
        <w:tc>
          <w:tcPr>
            <w:tcW w:type="dxa" w:w="4939"/>
            <w:vAlign w:val="top"/>
            <w:shd w:fill="D9EAF7"/>
          </w:tcPr>
          <w:p>
            <w:pPr>
              <w:spacing w:after="0"/>
            </w:pPr>
            <w:r/>
            <w:r>
              <w:rPr>
                <w:rFonts w:ascii="Arial" w:hAnsi="Arial"/>
                <w:b/>
                <w:sz w:val="18"/>
              </w:rPr>
              <w:t>System response</w:t>
            </w:r>
          </w:p>
        </w:tc>
      </w:tr>
      <w:tr>
        <w:tc>
          <w:tcPr>
            <w:tcW w:type="dxa" w:w="4939"/>
            <w:vAlign w:val="top"/>
          </w:tcPr>
          <w:p>
            <w:pPr>
              <w:spacing w:after="0"/>
            </w:pPr>
            <w:r/>
            <w:r>
              <w:rPr>
                <w:rFonts w:ascii="Arial" w:hAnsi="Arial"/>
                <w:b w:val="0"/>
                <w:sz w:val="18"/>
              </w:rPr>
              <w:t>Python executable unavailable</w:t>
            </w:r>
          </w:p>
        </w:tc>
        <w:tc>
          <w:tcPr>
            <w:tcW w:type="dxa" w:w="4939"/>
            <w:vAlign w:val="top"/>
          </w:tcPr>
          <w:p>
            <w:pPr>
              <w:spacing w:after="0"/>
            </w:pPr>
            <w:r/>
            <w:r>
              <w:rPr>
                <w:rFonts w:ascii="Arial" w:hAnsi="Arial"/>
                <w:b w:val="0"/>
                <w:sz w:val="18"/>
              </w:rPr>
              <w:t>Record ML_UNAVAILABLE; continue rule-based safety processing; block ML-dependent LOW.</w:t>
            </w:r>
          </w:p>
        </w:tc>
      </w:tr>
      <w:tr>
        <w:tc>
          <w:tcPr>
            <w:tcW w:type="dxa" w:w="4939"/>
            <w:vAlign w:val="top"/>
          </w:tcPr>
          <w:p>
            <w:pPr>
              <w:spacing w:after="0"/>
            </w:pPr>
            <w:r/>
            <w:r>
              <w:rPr>
                <w:rFonts w:ascii="Arial" w:hAnsi="Arial"/>
                <w:b w:val="0"/>
                <w:sz w:val="18"/>
              </w:rPr>
              <w:t>Timeout</w:t>
            </w:r>
          </w:p>
        </w:tc>
        <w:tc>
          <w:tcPr>
            <w:tcW w:type="dxa" w:w="4939"/>
            <w:vAlign w:val="top"/>
          </w:tcPr>
          <w:p>
            <w:pPr>
              <w:spacing w:after="0"/>
            </w:pPr>
            <w:r/>
            <w:r>
              <w:rPr>
                <w:rFonts w:ascii="Arial" w:hAnsi="Arial"/>
                <w:b w:val="0"/>
                <w:sz w:val="18"/>
              </w:rPr>
              <w:t>Terminate or isolate the process safely, record timeout, and do not reuse partial output.</w:t>
            </w:r>
          </w:p>
        </w:tc>
      </w:tr>
      <w:tr>
        <w:tc>
          <w:tcPr>
            <w:tcW w:type="dxa" w:w="4939"/>
            <w:vAlign w:val="top"/>
          </w:tcPr>
          <w:p>
            <w:pPr>
              <w:spacing w:after="0"/>
            </w:pPr>
            <w:r/>
            <w:r>
              <w:rPr>
                <w:rFonts w:ascii="Arial" w:hAnsi="Arial"/>
                <w:b w:val="0"/>
                <w:sz w:val="18"/>
              </w:rPr>
              <w:t>Non-zero process exit</w:t>
            </w:r>
          </w:p>
        </w:tc>
        <w:tc>
          <w:tcPr>
            <w:tcW w:type="dxa" w:w="4939"/>
            <w:vAlign w:val="top"/>
          </w:tcPr>
          <w:p>
            <w:pPr>
              <w:spacing w:after="0"/>
            </w:pPr>
            <w:r/>
            <w:r>
              <w:rPr>
                <w:rFonts w:ascii="Arial" w:hAnsi="Arial"/>
                <w:b w:val="0"/>
                <w:sz w:val="18"/>
              </w:rPr>
              <w:t>Record technical failure and preserve sanitized diagnostics.</w:t>
            </w:r>
          </w:p>
        </w:tc>
      </w:tr>
      <w:tr>
        <w:tc>
          <w:tcPr>
            <w:tcW w:type="dxa" w:w="4939"/>
            <w:vAlign w:val="top"/>
          </w:tcPr>
          <w:p>
            <w:pPr>
              <w:spacing w:after="0"/>
            </w:pPr>
            <w:r/>
            <w:r>
              <w:rPr>
                <w:rFonts w:ascii="Arial" w:hAnsi="Arial"/>
                <w:b w:val="0"/>
                <w:sz w:val="18"/>
              </w:rPr>
              <w:t>Malformed or extra console output</w:t>
            </w:r>
          </w:p>
        </w:tc>
        <w:tc>
          <w:tcPr>
            <w:tcW w:type="dxa" w:w="4939"/>
            <w:vAlign w:val="top"/>
          </w:tcPr>
          <w:p>
            <w:pPr>
              <w:spacing w:after="0"/>
            </w:pPr>
            <w:r/>
            <w:r>
              <w:rPr>
                <w:rFonts w:ascii="Arial" w:hAnsi="Arial"/>
                <w:b w:val="0"/>
                <w:sz w:val="18"/>
              </w:rPr>
              <w:t>Reject the response unless a valid isolated structured payload is obtained.</w:t>
            </w:r>
          </w:p>
        </w:tc>
      </w:tr>
      <w:tr>
        <w:tc>
          <w:tcPr>
            <w:tcW w:type="dxa" w:w="4939"/>
            <w:vAlign w:val="top"/>
          </w:tcPr>
          <w:p>
            <w:pPr>
              <w:spacing w:after="0"/>
            </w:pPr>
            <w:r/>
            <w:r>
              <w:rPr>
                <w:rFonts w:ascii="Arial" w:hAnsi="Arial"/>
                <w:b w:val="0"/>
                <w:sz w:val="18"/>
              </w:rPr>
              <w:t>Unknown label</w:t>
            </w:r>
          </w:p>
        </w:tc>
        <w:tc>
          <w:tcPr>
            <w:tcW w:type="dxa" w:w="4939"/>
            <w:vAlign w:val="top"/>
          </w:tcPr>
          <w:p>
            <w:pPr>
              <w:spacing w:after="0"/>
            </w:pPr>
            <w:r/>
            <w:r>
              <w:rPr>
                <w:rFonts w:ascii="Arial" w:hAnsi="Arial"/>
                <w:b w:val="0"/>
                <w:sz w:val="18"/>
              </w:rPr>
              <w:t>Reject; only exact controlled labels are accepted.</w:t>
            </w:r>
          </w:p>
        </w:tc>
      </w:tr>
      <w:tr>
        <w:tc>
          <w:tcPr>
            <w:tcW w:type="dxa" w:w="4939"/>
            <w:vAlign w:val="top"/>
          </w:tcPr>
          <w:p>
            <w:pPr>
              <w:spacing w:after="0"/>
            </w:pPr>
            <w:r/>
            <w:r>
              <w:rPr>
                <w:rFonts w:ascii="Arial" w:hAnsi="Arial"/>
                <w:b w:val="0"/>
                <w:sz w:val="18"/>
              </w:rPr>
              <w:t>Model file missing or hash mismatch</w:t>
            </w:r>
          </w:p>
        </w:tc>
        <w:tc>
          <w:tcPr>
            <w:tcW w:type="dxa" w:w="4939"/>
            <w:vAlign w:val="top"/>
          </w:tcPr>
          <w:p>
            <w:pPr>
              <w:spacing w:after="0"/>
            </w:pPr>
            <w:r/>
            <w:r>
              <w:rPr>
                <w:rFonts w:ascii="Arial" w:hAnsi="Arial"/>
                <w:b w:val="0"/>
                <w:sz w:val="18"/>
              </w:rPr>
              <w:t>Reject the release and raise an operational incident.</w:t>
            </w:r>
          </w:p>
        </w:tc>
      </w:tr>
      <w:tr>
        <w:tc>
          <w:tcPr>
            <w:tcW w:type="dxa" w:w="4939"/>
            <w:vAlign w:val="top"/>
          </w:tcPr>
          <w:p>
            <w:pPr>
              <w:spacing w:after="0"/>
            </w:pPr>
            <w:r/>
            <w:r>
              <w:rPr>
                <w:rFonts w:ascii="Arial" w:hAnsi="Arial"/>
                <w:b w:val="0"/>
                <w:sz w:val="18"/>
              </w:rPr>
              <w:t>Feature count/order mismatch</w:t>
            </w:r>
          </w:p>
        </w:tc>
        <w:tc>
          <w:tcPr>
            <w:tcW w:type="dxa" w:w="4939"/>
            <w:vAlign w:val="top"/>
          </w:tcPr>
          <w:p>
            <w:pPr>
              <w:spacing w:after="0"/>
            </w:pPr>
            <w:r/>
            <w:r>
              <w:rPr>
                <w:rFonts w:ascii="Arial" w:hAnsi="Arial"/>
                <w:b w:val="0"/>
                <w:sz w:val="18"/>
              </w:rPr>
              <w:t>Return INCOMPATIBLE_VERSION; do not coerce the vector.</w:t>
            </w:r>
          </w:p>
        </w:tc>
      </w:tr>
      <w:tr>
        <w:tc>
          <w:tcPr>
            <w:tcW w:type="dxa" w:w="4939"/>
            <w:vAlign w:val="top"/>
          </w:tcPr>
          <w:p>
            <w:pPr>
              <w:spacing w:after="0"/>
            </w:pPr>
            <w:r/>
            <w:r>
              <w:rPr>
                <w:rFonts w:ascii="Arial" w:hAnsi="Arial"/>
                <w:b w:val="0"/>
                <w:sz w:val="18"/>
              </w:rPr>
              <w:t>Input outside approved range or population</w:t>
            </w:r>
          </w:p>
        </w:tc>
        <w:tc>
          <w:tcPr>
            <w:tcW w:type="dxa" w:w="4939"/>
            <w:vAlign w:val="top"/>
          </w:tcPr>
          <w:p>
            <w:pPr>
              <w:spacing w:after="0"/>
            </w:pPr>
            <w:r/>
            <w:r>
              <w:rPr>
                <w:rFonts w:ascii="Arial" w:hAnsi="Arial"/>
                <w:b w:val="0"/>
                <w:sz w:val="18"/>
              </w:rPr>
              <w:t>Return warning or rejection according to the release policy and disclose the limitation.</w:t>
            </w:r>
          </w:p>
        </w:tc>
      </w:tr>
      <w:tr>
        <w:tc>
          <w:tcPr>
            <w:tcW w:type="dxa" w:w="4939"/>
            <w:vAlign w:val="top"/>
          </w:tcPr>
          <w:p>
            <w:pPr>
              <w:spacing w:after="0"/>
            </w:pPr>
            <w:r/>
            <w:r>
              <w:rPr>
                <w:rFonts w:ascii="Arial" w:hAnsi="Arial"/>
                <w:b w:val="0"/>
                <w:sz w:val="18"/>
              </w:rPr>
              <w:t>Database/audit write failure</w:t>
            </w:r>
          </w:p>
        </w:tc>
        <w:tc>
          <w:tcPr>
            <w:tcW w:type="dxa" w:w="4939"/>
            <w:vAlign w:val="top"/>
          </w:tcPr>
          <w:p>
            <w:pPr>
              <w:spacing w:after="0"/>
            </w:pPr>
            <w:r/>
            <w:r>
              <w:rPr>
                <w:rFonts w:ascii="Arial" w:hAnsi="Arial"/>
                <w:b w:val="0"/>
                <w:sz w:val="18"/>
              </w:rPr>
              <w:t>Do not mark the ML contribution or final decision as completed.</w:t>
            </w:r>
          </w:p>
        </w:tc>
      </w:tr>
      <w:tr>
        <w:tc>
          <w:tcPr>
            <w:tcW w:type="dxa" w:w="4939"/>
            <w:vAlign w:val="top"/>
          </w:tcPr>
          <w:p>
            <w:pPr>
              <w:spacing w:after="0"/>
            </w:pPr>
            <w:r/>
            <w:r>
              <w:rPr>
                <w:rFonts w:ascii="Arial" w:hAnsi="Arial"/>
                <w:b w:val="0"/>
                <w:sz w:val="18"/>
              </w:rPr>
              <w:t>Model service failure during emergency finding</w:t>
            </w:r>
          </w:p>
        </w:tc>
        <w:tc>
          <w:tcPr>
            <w:tcW w:type="dxa" w:w="4939"/>
            <w:vAlign w:val="top"/>
          </w:tcPr>
          <w:p>
            <w:pPr>
              <w:spacing w:after="0"/>
            </w:pPr>
            <w:r/>
            <w:r>
              <w:rPr>
                <w:rFonts w:ascii="Arial" w:hAnsi="Arial"/>
                <w:b w:val="0"/>
                <w:sz w:val="18"/>
              </w:rPr>
              <w:t>Emergency and deterministic pathways remain available and authoritative.</w:t>
            </w:r>
          </w:p>
        </w:tc>
      </w:tr>
    </w:tbl>
    <w:p/>
    <w:p>
      <w:pPr>
        <w:pStyle w:val="Heading1"/>
      </w:pPr>
      <w:r>
        <w:t>14.0 Privacy, Security, and Data Minimization</w:t>
      </w:r>
    </w:p>
    <w:p>
      <w:r>
        <w:t>The ML runtime shall receive only the data required by the approved feature schema. Direct identifiers should not be included unless technically and clinically necessary. Dataset creation, model development, and production inference have different access needs and shall not share unrestricted credentials or storage locations.</w:t>
      </w:r>
    </w:p>
    <w:p>
      <w:pPr>
        <w:pStyle w:val="ListBullet"/>
      </w:pPr>
      <w:r>
        <w:t>Use least-privilege access for training data, model registry, deployment files, and inference execution.</w:t>
      </w:r>
    </w:p>
    <w:p>
      <w:pPr>
        <w:pStyle w:val="ListBullet"/>
      </w:pPr>
      <w:r>
        <w:t>Keep secrets and executable paths in secured configuration rather than source code.</w:t>
      </w:r>
    </w:p>
    <w:p>
      <w:pPr>
        <w:pStyle w:val="ListBullet"/>
      </w:pPr>
      <w:r>
        <w:t>Validate and escape process arguments; prefer a controlled service interface when the architecture matures.</w:t>
      </w:r>
    </w:p>
    <w:p>
      <w:pPr>
        <w:pStyle w:val="ListBullet"/>
      </w:pPr>
      <w:r>
        <w:t>Protect model artifacts and preprocessing files from unauthorized replacement.</w:t>
      </w:r>
    </w:p>
    <w:p>
      <w:pPr>
        <w:pStyle w:val="ListBullet"/>
      </w:pPr>
      <w:r>
        <w:t>Log correlation IDs and versions without unnecessarily duplicating sensitive clinical data in technical logs.</w:t>
      </w:r>
    </w:p>
    <w:p>
      <w:pPr>
        <w:pStyle w:val="ListBullet"/>
      </w:pPr>
      <w:r>
        <w:t>Define retention, deletion, backup, and breach-response procedures for datasets, experiments, and inference records.</w:t>
      </w:r>
    </w:p>
    <w:p>
      <w:pPr>
        <w:pStyle w:val="ListBullet"/>
      </w:pPr>
      <w:r>
        <w:t>Document the legal and ethical basis for using patient-derived data for development or evaluation.</w:t>
      </w:r>
    </w:p>
    <w:p>
      <w:pPr>
        <w:pStyle w:val="Heading1"/>
      </w:pPr>
      <w:r>
        <w:t>15.0 Roles and Accountability</w:t>
      </w: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4939"/>
            <w:vAlign w:val="top"/>
            <w:shd w:fill="D9EAF7"/>
          </w:tcPr>
          <w:p>
            <w:pPr>
              <w:spacing w:after="0"/>
            </w:pPr>
            <w:r/>
            <w:r>
              <w:rPr>
                <w:rFonts w:ascii="Arial" w:hAnsi="Arial"/>
                <w:b/>
                <w:sz w:val="18"/>
              </w:rPr>
              <w:t>Role</w:t>
            </w:r>
          </w:p>
        </w:tc>
        <w:tc>
          <w:tcPr>
            <w:tcW w:type="dxa" w:w="4939"/>
            <w:vAlign w:val="top"/>
            <w:shd w:fill="D9EAF7"/>
          </w:tcPr>
          <w:p>
            <w:pPr>
              <w:spacing w:after="0"/>
            </w:pPr>
            <w:r/>
            <w:r>
              <w:rPr>
                <w:rFonts w:ascii="Arial" w:hAnsi="Arial"/>
                <w:b/>
                <w:sz w:val="18"/>
              </w:rPr>
              <w:t>Minimum responsibility</w:t>
            </w:r>
          </w:p>
        </w:tc>
      </w:tr>
      <w:tr>
        <w:tc>
          <w:tcPr>
            <w:tcW w:type="dxa" w:w="4939"/>
            <w:vAlign w:val="top"/>
          </w:tcPr>
          <w:p>
            <w:pPr>
              <w:spacing w:after="0"/>
            </w:pPr>
            <w:r/>
            <w:r>
              <w:rPr>
                <w:rFonts w:ascii="Arial" w:hAnsi="Arial"/>
                <w:b w:val="0"/>
                <w:sz w:val="18"/>
              </w:rPr>
              <w:t>Clinical knowledge reviewer</w:t>
            </w:r>
          </w:p>
        </w:tc>
        <w:tc>
          <w:tcPr>
            <w:tcW w:type="dxa" w:w="4939"/>
            <w:vAlign w:val="top"/>
          </w:tcPr>
          <w:p>
            <w:pPr>
              <w:spacing w:after="0"/>
            </w:pPr>
            <w:r/>
            <w:r>
              <w:rPr>
                <w:rFonts w:ascii="Arial" w:hAnsi="Arial"/>
                <w:b w:val="0"/>
                <w:sz w:val="18"/>
              </w:rPr>
              <w:t>Confirms intended use, outcome meaning, safety boundaries, and clinical interpretation.</w:t>
            </w:r>
          </w:p>
        </w:tc>
      </w:tr>
      <w:tr>
        <w:tc>
          <w:tcPr>
            <w:tcW w:type="dxa" w:w="4939"/>
            <w:vAlign w:val="top"/>
          </w:tcPr>
          <w:p>
            <w:pPr>
              <w:spacing w:after="0"/>
            </w:pPr>
            <w:r/>
            <w:r>
              <w:rPr>
                <w:rFonts w:ascii="Arial" w:hAnsi="Arial"/>
                <w:b w:val="0"/>
                <w:sz w:val="18"/>
              </w:rPr>
              <w:t>Data steward</w:t>
            </w:r>
          </w:p>
        </w:tc>
        <w:tc>
          <w:tcPr>
            <w:tcW w:type="dxa" w:w="4939"/>
            <w:vAlign w:val="top"/>
          </w:tcPr>
          <w:p>
            <w:pPr>
              <w:spacing w:after="0"/>
            </w:pPr>
            <w:r/>
            <w:r>
              <w:rPr>
                <w:rFonts w:ascii="Arial" w:hAnsi="Arial"/>
                <w:b w:val="0"/>
                <w:sz w:val="18"/>
              </w:rPr>
              <w:t>Controls dataset provenance, access, quality, de-identification, retention, and versioning.</w:t>
            </w:r>
          </w:p>
        </w:tc>
      </w:tr>
      <w:tr>
        <w:tc>
          <w:tcPr>
            <w:tcW w:type="dxa" w:w="4939"/>
            <w:vAlign w:val="top"/>
          </w:tcPr>
          <w:p>
            <w:pPr>
              <w:spacing w:after="0"/>
            </w:pPr>
            <w:r/>
            <w:r>
              <w:rPr>
                <w:rFonts w:ascii="Arial" w:hAnsi="Arial"/>
                <w:b w:val="0"/>
                <w:sz w:val="18"/>
              </w:rPr>
              <w:t>ML developer</w:t>
            </w:r>
          </w:p>
        </w:tc>
        <w:tc>
          <w:tcPr>
            <w:tcW w:type="dxa" w:w="4939"/>
            <w:vAlign w:val="top"/>
          </w:tcPr>
          <w:p>
            <w:pPr>
              <w:spacing w:after="0"/>
            </w:pPr>
            <w:r/>
            <w:r>
              <w:rPr>
                <w:rFonts w:ascii="Arial" w:hAnsi="Arial"/>
                <w:b w:val="0"/>
                <w:sz w:val="18"/>
              </w:rPr>
              <w:t>Implements reproducible features, training, evaluation, and model packaging.</w:t>
            </w:r>
          </w:p>
        </w:tc>
      </w:tr>
      <w:tr>
        <w:tc>
          <w:tcPr>
            <w:tcW w:type="dxa" w:w="4939"/>
            <w:vAlign w:val="top"/>
          </w:tcPr>
          <w:p>
            <w:pPr>
              <w:spacing w:after="0"/>
            </w:pPr>
            <w:r/>
            <w:r>
              <w:rPr>
                <w:rFonts w:ascii="Arial" w:hAnsi="Arial"/>
                <w:b w:val="0"/>
                <w:sz w:val="18"/>
              </w:rPr>
              <w:t>Software developer</w:t>
            </w:r>
          </w:p>
        </w:tc>
        <w:tc>
          <w:tcPr>
            <w:tcW w:type="dxa" w:w="4939"/>
            <w:vAlign w:val="top"/>
          </w:tcPr>
          <w:p>
            <w:pPr>
              <w:spacing w:after="0"/>
            </w:pPr>
            <w:r/>
            <w:r>
              <w:rPr>
                <w:rFonts w:ascii="Arial" w:hAnsi="Arial"/>
                <w:b w:val="0"/>
                <w:sz w:val="18"/>
              </w:rPr>
              <w:t>Implements secure integration and preserves the input/output contract.</w:t>
            </w:r>
          </w:p>
        </w:tc>
      </w:tr>
      <w:tr>
        <w:tc>
          <w:tcPr>
            <w:tcW w:type="dxa" w:w="4939"/>
            <w:vAlign w:val="top"/>
          </w:tcPr>
          <w:p>
            <w:pPr>
              <w:spacing w:after="0"/>
            </w:pPr>
            <w:r/>
            <w:r>
              <w:rPr>
                <w:rFonts w:ascii="Arial" w:hAnsi="Arial"/>
                <w:b w:val="0"/>
                <w:sz w:val="18"/>
              </w:rPr>
              <w:t>Independent evaluator</w:t>
            </w:r>
          </w:p>
        </w:tc>
        <w:tc>
          <w:tcPr>
            <w:tcW w:type="dxa" w:w="4939"/>
            <w:vAlign w:val="top"/>
          </w:tcPr>
          <w:p>
            <w:pPr>
              <w:spacing w:after="0"/>
            </w:pPr>
            <w:r/>
            <w:r>
              <w:rPr>
                <w:rFonts w:ascii="Arial" w:hAnsi="Arial"/>
                <w:b w:val="0"/>
                <w:sz w:val="18"/>
              </w:rPr>
              <w:t>Runs or reviews test-set evaluation separate from model fitting decisions.</w:t>
            </w:r>
          </w:p>
        </w:tc>
      </w:tr>
      <w:tr>
        <w:tc>
          <w:tcPr>
            <w:tcW w:type="dxa" w:w="4939"/>
            <w:vAlign w:val="top"/>
          </w:tcPr>
          <w:p>
            <w:pPr>
              <w:spacing w:after="0"/>
            </w:pPr>
            <w:r/>
            <w:r>
              <w:rPr>
                <w:rFonts w:ascii="Arial" w:hAnsi="Arial"/>
                <w:b w:val="0"/>
                <w:sz w:val="18"/>
              </w:rPr>
              <w:t>Deployment approver</w:t>
            </w:r>
          </w:p>
        </w:tc>
        <w:tc>
          <w:tcPr>
            <w:tcW w:type="dxa" w:w="4939"/>
            <w:vAlign w:val="top"/>
          </w:tcPr>
          <w:p>
            <w:pPr>
              <w:spacing w:after="0"/>
            </w:pPr>
            <w:r/>
            <w:r>
              <w:rPr>
                <w:rFonts w:ascii="Arial" w:hAnsi="Arial"/>
                <w:b w:val="0"/>
                <w:sz w:val="18"/>
              </w:rPr>
              <w:t>Confirms evidence, compatibility, security, rollback, and user information before activation.</w:t>
            </w:r>
          </w:p>
        </w:tc>
      </w:tr>
      <w:tr>
        <w:tc>
          <w:tcPr>
            <w:tcW w:type="dxa" w:w="4939"/>
            <w:vAlign w:val="top"/>
          </w:tcPr>
          <w:p>
            <w:pPr>
              <w:spacing w:after="0"/>
            </w:pPr>
            <w:r/>
            <w:r>
              <w:rPr>
                <w:rFonts w:ascii="Arial" w:hAnsi="Arial"/>
                <w:b w:val="0"/>
                <w:sz w:val="18"/>
              </w:rPr>
              <w:t>Clinic administrator</w:t>
            </w:r>
          </w:p>
        </w:tc>
        <w:tc>
          <w:tcPr>
            <w:tcW w:type="dxa" w:w="4939"/>
            <w:vAlign w:val="top"/>
          </w:tcPr>
          <w:p>
            <w:pPr>
              <w:spacing w:after="0"/>
            </w:pPr>
            <w:r/>
            <w:r>
              <w:rPr>
                <w:rFonts w:ascii="Arial" w:hAnsi="Arial"/>
                <w:b w:val="0"/>
                <w:sz w:val="18"/>
              </w:rPr>
              <w:t>Controls authorized users, referral configuration, and operational response.</w:t>
            </w:r>
          </w:p>
        </w:tc>
      </w:tr>
      <w:tr>
        <w:tc>
          <w:tcPr>
            <w:tcW w:type="dxa" w:w="4939"/>
            <w:vAlign w:val="top"/>
          </w:tcPr>
          <w:p>
            <w:pPr>
              <w:spacing w:after="0"/>
            </w:pPr>
            <w:r/>
            <w:r>
              <w:rPr>
                <w:rFonts w:ascii="Arial" w:hAnsi="Arial"/>
                <w:b w:val="0"/>
                <w:sz w:val="18"/>
              </w:rPr>
              <w:t>End user</w:t>
            </w:r>
          </w:p>
        </w:tc>
        <w:tc>
          <w:tcPr>
            <w:tcW w:type="dxa" w:w="4939"/>
            <w:vAlign w:val="top"/>
          </w:tcPr>
          <w:p>
            <w:pPr>
              <w:spacing w:after="0"/>
            </w:pPr>
            <w:r/>
            <w:r>
              <w:rPr>
                <w:rFonts w:ascii="Arial" w:hAnsi="Arial"/>
                <w:b w:val="0"/>
                <w:sz w:val="18"/>
              </w:rPr>
              <w:t>Reviews patient-specific output and remains responsible for real-world action.</w:t>
            </w:r>
          </w:p>
        </w:tc>
      </w:tr>
    </w:tbl>
    <w:p/>
    <w:p>
      <w:pPr>
        <w:pStyle w:val="Heading1"/>
      </w:pPr>
      <w:r>
        <w:t>16.0 Laravel and Python Implementation Mapping</w:t>
      </w: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4939"/>
            <w:vAlign w:val="top"/>
            <w:shd w:fill="D9EAF7"/>
          </w:tcPr>
          <w:p>
            <w:pPr>
              <w:spacing w:after="0"/>
            </w:pPr>
            <w:r/>
            <w:r>
              <w:rPr>
                <w:rFonts w:ascii="Arial" w:hAnsi="Arial"/>
                <w:b/>
                <w:sz w:val="18"/>
              </w:rPr>
              <w:t>Proposed component</w:t>
            </w:r>
          </w:p>
        </w:tc>
        <w:tc>
          <w:tcPr>
            <w:tcW w:type="dxa" w:w="4939"/>
            <w:vAlign w:val="top"/>
            <w:shd w:fill="D9EAF7"/>
          </w:tcPr>
          <w:p>
            <w:pPr>
              <w:spacing w:after="0"/>
            </w:pPr>
            <w:r/>
            <w:r>
              <w:rPr>
                <w:rFonts w:ascii="Arial" w:hAnsi="Arial"/>
                <w:b/>
                <w:sz w:val="18"/>
              </w:rPr>
              <w:t>Responsibility</w:t>
            </w:r>
          </w:p>
        </w:tc>
      </w:tr>
      <w:tr>
        <w:tc>
          <w:tcPr>
            <w:tcW w:type="dxa" w:w="4939"/>
            <w:vAlign w:val="top"/>
          </w:tcPr>
          <w:p>
            <w:pPr>
              <w:spacing w:after="0"/>
            </w:pPr>
            <w:r/>
            <w:r>
              <w:rPr>
                <w:rFonts w:ascii="Arial" w:hAnsi="Arial"/>
                <w:b w:val="0"/>
                <w:sz w:val="18"/>
              </w:rPr>
              <w:t>MachineLearningGateway interface</w:t>
            </w:r>
          </w:p>
        </w:tc>
        <w:tc>
          <w:tcPr>
            <w:tcW w:type="dxa" w:w="4939"/>
            <w:vAlign w:val="top"/>
          </w:tcPr>
          <w:p>
            <w:pPr>
              <w:spacing w:after="0"/>
            </w:pPr>
            <w:r/>
            <w:r>
              <w:rPr>
                <w:rFonts w:ascii="Arial" w:hAnsi="Arial"/>
                <w:b w:val="0"/>
                <w:sz w:val="18"/>
              </w:rPr>
              <w:t>Single application-facing contract for requesting a prediction contribution.</w:t>
            </w:r>
          </w:p>
        </w:tc>
      </w:tr>
      <w:tr>
        <w:tc>
          <w:tcPr>
            <w:tcW w:type="dxa" w:w="4939"/>
            <w:vAlign w:val="top"/>
          </w:tcPr>
          <w:p>
            <w:pPr>
              <w:spacing w:after="0"/>
            </w:pPr>
            <w:r/>
            <w:r>
              <w:rPr>
                <w:rFonts w:ascii="Arial" w:hAnsi="Arial"/>
                <w:b w:val="0"/>
                <w:sz w:val="18"/>
              </w:rPr>
              <w:t>LocalPythonMachineLearningGateway</w:t>
            </w:r>
          </w:p>
        </w:tc>
        <w:tc>
          <w:tcPr>
            <w:tcW w:type="dxa" w:w="4939"/>
            <w:vAlign w:val="top"/>
          </w:tcPr>
          <w:p>
            <w:pPr>
              <w:spacing w:after="0"/>
            </w:pPr>
            <w:r/>
            <w:r>
              <w:rPr>
                <w:rFonts w:ascii="Arial" w:hAnsi="Arial"/>
                <w:b w:val="0"/>
                <w:sz w:val="18"/>
              </w:rPr>
              <w:t>Current adapter using a configured Python executable and inference script.</w:t>
            </w:r>
          </w:p>
        </w:tc>
      </w:tr>
      <w:tr>
        <w:tc>
          <w:tcPr>
            <w:tcW w:type="dxa" w:w="4939"/>
            <w:vAlign w:val="top"/>
          </w:tcPr>
          <w:p>
            <w:pPr>
              <w:spacing w:after="0"/>
            </w:pPr>
            <w:r/>
            <w:r>
              <w:rPr>
                <w:rFonts w:ascii="Arial" w:hAnsi="Arial"/>
                <w:b w:val="0"/>
                <w:sz w:val="18"/>
              </w:rPr>
              <w:t>MLInputAssembler</w:t>
            </w:r>
          </w:p>
        </w:tc>
        <w:tc>
          <w:tcPr>
            <w:tcW w:type="dxa" w:w="4939"/>
            <w:vAlign w:val="top"/>
          </w:tcPr>
          <w:p>
            <w:pPr>
              <w:spacing w:after="0"/>
            </w:pPr>
            <w:r/>
            <w:r>
              <w:rPr>
                <w:rFonts w:ascii="Arial" w:hAnsi="Arial"/>
                <w:b w:val="0"/>
                <w:sz w:val="18"/>
              </w:rPr>
              <w:t>Derives versioned features from the validated active-pregnancy snapshot.</w:t>
            </w:r>
          </w:p>
        </w:tc>
      </w:tr>
      <w:tr>
        <w:tc>
          <w:tcPr>
            <w:tcW w:type="dxa" w:w="4939"/>
            <w:vAlign w:val="top"/>
          </w:tcPr>
          <w:p>
            <w:pPr>
              <w:spacing w:after="0"/>
            </w:pPr>
            <w:r/>
            <w:r>
              <w:rPr>
                <w:rFonts w:ascii="Arial" w:hAnsi="Arial"/>
                <w:b w:val="0"/>
                <w:sz w:val="18"/>
              </w:rPr>
              <w:t>MLRequestValidator</w:t>
            </w:r>
          </w:p>
        </w:tc>
        <w:tc>
          <w:tcPr>
            <w:tcW w:type="dxa" w:w="4939"/>
            <w:vAlign w:val="top"/>
          </w:tcPr>
          <w:p>
            <w:pPr>
              <w:spacing w:after="0"/>
            </w:pPr>
            <w:r/>
            <w:r>
              <w:rPr>
                <w:rFonts w:ascii="Arial" w:hAnsi="Arial"/>
                <w:b w:val="0"/>
                <w:sz w:val="18"/>
              </w:rPr>
              <w:t>Checks types, required fields, schema version, and requested model release.</w:t>
            </w:r>
          </w:p>
        </w:tc>
      </w:tr>
      <w:tr>
        <w:tc>
          <w:tcPr>
            <w:tcW w:type="dxa" w:w="4939"/>
            <w:vAlign w:val="top"/>
          </w:tcPr>
          <w:p>
            <w:pPr>
              <w:spacing w:after="0"/>
            </w:pPr>
            <w:r/>
            <w:r>
              <w:rPr>
                <w:rFonts w:ascii="Arial" w:hAnsi="Arial"/>
                <w:b w:val="0"/>
                <w:sz w:val="18"/>
              </w:rPr>
              <w:t>MLResponseValidator</w:t>
            </w:r>
          </w:p>
        </w:tc>
        <w:tc>
          <w:tcPr>
            <w:tcW w:type="dxa" w:w="4939"/>
            <w:vAlign w:val="top"/>
          </w:tcPr>
          <w:p>
            <w:pPr>
              <w:spacing w:after="0"/>
            </w:pPr>
            <w:r/>
            <w:r>
              <w:rPr>
                <w:rFonts w:ascii="Arial" w:hAnsi="Arial"/>
                <w:b w:val="0"/>
                <w:sz w:val="18"/>
              </w:rPr>
              <w:t>Accepts only compatible structured responses and exact labels.</w:t>
            </w:r>
          </w:p>
        </w:tc>
      </w:tr>
      <w:tr>
        <w:tc>
          <w:tcPr>
            <w:tcW w:type="dxa" w:w="4939"/>
            <w:vAlign w:val="top"/>
          </w:tcPr>
          <w:p>
            <w:pPr>
              <w:spacing w:after="0"/>
            </w:pPr>
            <w:r/>
            <w:r>
              <w:rPr>
                <w:rFonts w:ascii="Arial" w:hAnsi="Arial"/>
                <w:b w:val="0"/>
                <w:sz w:val="18"/>
              </w:rPr>
              <w:t>MLContribution value object</w:t>
            </w:r>
          </w:p>
        </w:tc>
        <w:tc>
          <w:tcPr>
            <w:tcW w:type="dxa" w:w="4939"/>
            <w:vAlign w:val="top"/>
          </w:tcPr>
          <w:p>
            <w:pPr>
              <w:spacing w:after="0"/>
            </w:pPr>
            <w:r/>
            <w:r>
              <w:rPr>
                <w:rFonts w:ascii="Arial" w:hAnsi="Arial"/>
                <w:b w:val="0"/>
                <w:sz w:val="18"/>
              </w:rPr>
              <w:t>Represents valid HIGH/LOW or unavailable/invalid status with provenance.</w:t>
            </w:r>
          </w:p>
        </w:tc>
      </w:tr>
      <w:tr>
        <w:tc>
          <w:tcPr>
            <w:tcW w:type="dxa" w:w="4939"/>
            <w:vAlign w:val="top"/>
          </w:tcPr>
          <w:p>
            <w:pPr>
              <w:spacing w:after="0"/>
            </w:pPr>
            <w:r/>
            <w:r>
              <w:rPr>
                <w:rFonts w:ascii="Arial" w:hAnsi="Arial"/>
                <w:b w:val="0"/>
                <w:sz w:val="18"/>
              </w:rPr>
              <w:t>ModelRegistryRepository</w:t>
            </w:r>
          </w:p>
        </w:tc>
        <w:tc>
          <w:tcPr>
            <w:tcW w:type="dxa" w:w="4939"/>
            <w:vAlign w:val="top"/>
          </w:tcPr>
          <w:p>
            <w:pPr>
              <w:spacing w:after="0"/>
            </w:pPr>
            <w:r/>
            <w:r>
              <w:rPr>
                <w:rFonts w:ascii="Arial" w:hAnsi="Arial"/>
                <w:b w:val="0"/>
                <w:sz w:val="18"/>
              </w:rPr>
              <w:t>Identifies the approved active model and package metadata.</w:t>
            </w:r>
          </w:p>
        </w:tc>
      </w:tr>
      <w:tr>
        <w:tc>
          <w:tcPr>
            <w:tcW w:type="dxa" w:w="4939"/>
            <w:vAlign w:val="top"/>
          </w:tcPr>
          <w:p>
            <w:pPr>
              <w:spacing w:after="0"/>
            </w:pPr>
            <w:r/>
            <w:r>
              <w:rPr>
                <w:rFonts w:ascii="Arial" w:hAnsi="Arial"/>
                <w:b w:val="0"/>
                <w:sz w:val="18"/>
              </w:rPr>
              <w:t>DecisionOrchestrator</w:t>
            </w:r>
          </w:p>
        </w:tc>
        <w:tc>
          <w:tcPr>
            <w:tcW w:type="dxa" w:w="4939"/>
            <w:vAlign w:val="top"/>
          </w:tcPr>
          <w:p>
            <w:pPr>
              <w:spacing w:after="0"/>
            </w:pPr>
            <w:r/>
            <w:r>
              <w:rPr>
                <w:rFonts w:ascii="Arial" w:hAnsi="Arial"/>
                <w:b w:val="0"/>
                <w:sz w:val="18"/>
              </w:rPr>
              <w:t>Uses the contribution according to Document 2 precedence.</w:t>
            </w:r>
          </w:p>
        </w:tc>
      </w:tr>
      <w:tr>
        <w:tc>
          <w:tcPr>
            <w:tcW w:type="dxa" w:w="4939"/>
            <w:vAlign w:val="top"/>
          </w:tcPr>
          <w:p>
            <w:pPr>
              <w:spacing w:after="0"/>
            </w:pPr>
            <w:r/>
            <w:r>
              <w:rPr>
                <w:rFonts w:ascii="Arial" w:hAnsi="Arial"/>
                <w:b w:val="0"/>
                <w:sz w:val="18"/>
              </w:rPr>
              <w:t>MLExecution model</w:t>
            </w:r>
          </w:p>
        </w:tc>
        <w:tc>
          <w:tcPr>
            <w:tcW w:type="dxa" w:w="4939"/>
            <w:vAlign w:val="top"/>
          </w:tcPr>
          <w:p>
            <w:pPr>
              <w:spacing w:after="0"/>
            </w:pPr>
            <w:r/>
            <w:r>
              <w:rPr>
                <w:rFonts w:ascii="Arial" w:hAnsi="Arial"/>
                <w:b w:val="0"/>
                <w:sz w:val="18"/>
              </w:rPr>
              <w:t>Stores request/response metadata, versions, duration, warnings, and status.</w:t>
            </w:r>
          </w:p>
        </w:tc>
      </w:tr>
      <w:tr>
        <w:tc>
          <w:tcPr>
            <w:tcW w:type="dxa" w:w="4939"/>
            <w:vAlign w:val="top"/>
          </w:tcPr>
          <w:p>
            <w:pPr>
              <w:spacing w:after="0"/>
            </w:pPr>
            <w:r/>
            <w:r>
              <w:rPr>
                <w:rFonts w:ascii="Arial" w:hAnsi="Arial"/>
                <w:b w:val="0"/>
                <w:sz w:val="18"/>
              </w:rPr>
              <w:t>Operational monitor</w:t>
            </w:r>
          </w:p>
        </w:tc>
        <w:tc>
          <w:tcPr>
            <w:tcW w:type="dxa" w:w="4939"/>
            <w:vAlign w:val="top"/>
          </w:tcPr>
          <w:p>
            <w:pPr>
              <w:spacing w:after="0"/>
            </w:pPr>
            <w:r/>
            <w:r>
              <w:rPr>
                <w:rFonts w:ascii="Arial" w:hAnsi="Arial"/>
                <w:b w:val="0"/>
                <w:sz w:val="18"/>
              </w:rPr>
              <w:t>Tracks failure rate, latency, version mismatches, and integrity errors.</w:t>
            </w:r>
          </w:p>
        </w:tc>
      </w:tr>
    </w:tbl>
    <w:p/>
    <w:p>
      <w:r>
        <w:t>The current use of shell_exec can be documented as a local integration mechanism, but it must be wrapped by a gateway and strict contract. Business logic must not depend on arbitrary command output. The Python executable path belongs in environment configuration, while the active model release and schema compatibility belong in governed application data or deployment configuration.</w:t>
      </w:r>
    </w:p>
    <w:p>
      <w:pPr>
        <w:pStyle w:val="Heading1"/>
      </w:pPr>
      <w:r>
        <w:t>17.0 Architecture Verification Requirements</w:t>
      </w: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4939"/>
            <w:vAlign w:val="top"/>
            <w:shd w:fill="D9EAF7"/>
          </w:tcPr>
          <w:p>
            <w:pPr>
              <w:spacing w:after="0"/>
            </w:pPr>
            <w:r/>
            <w:r>
              <w:rPr>
                <w:rFonts w:ascii="Arial" w:hAnsi="Arial"/>
                <w:b/>
                <w:sz w:val="18"/>
              </w:rPr>
              <w:t>Verification area</w:t>
            </w:r>
          </w:p>
        </w:tc>
        <w:tc>
          <w:tcPr>
            <w:tcW w:type="dxa" w:w="4939"/>
            <w:vAlign w:val="top"/>
            <w:shd w:fill="D9EAF7"/>
          </w:tcPr>
          <w:p>
            <w:pPr>
              <w:spacing w:after="0"/>
            </w:pPr>
            <w:r/>
            <w:r>
              <w:rPr>
                <w:rFonts w:ascii="Arial" w:hAnsi="Arial"/>
                <w:b/>
                <w:sz w:val="18"/>
              </w:rPr>
              <w:t>Minimum test</w:t>
            </w:r>
          </w:p>
        </w:tc>
      </w:tr>
      <w:tr>
        <w:tc>
          <w:tcPr>
            <w:tcW w:type="dxa" w:w="4939"/>
            <w:vAlign w:val="top"/>
          </w:tcPr>
          <w:p>
            <w:pPr>
              <w:spacing w:after="0"/>
            </w:pPr>
            <w:r/>
            <w:r>
              <w:rPr>
                <w:rFonts w:ascii="Arial" w:hAnsi="Arial"/>
                <w:b w:val="0"/>
                <w:sz w:val="18"/>
              </w:rPr>
              <w:t>Bounded authority</w:t>
            </w:r>
          </w:p>
        </w:tc>
        <w:tc>
          <w:tcPr>
            <w:tcW w:type="dxa" w:w="4939"/>
            <w:vAlign w:val="top"/>
          </w:tcPr>
          <w:p>
            <w:pPr>
              <w:spacing w:after="0"/>
            </w:pPr>
            <w:r/>
            <w:r>
              <w:rPr>
                <w:rFonts w:ascii="Arial" w:hAnsi="Arial"/>
                <w:b w:val="0"/>
                <w:sz w:val="18"/>
              </w:rPr>
              <w:t>Demonstrate that ML LOW cannot override every deterministic HIGH and emergency case.</w:t>
            </w:r>
          </w:p>
        </w:tc>
      </w:tr>
      <w:tr>
        <w:tc>
          <w:tcPr>
            <w:tcW w:type="dxa" w:w="4939"/>
            <w:vAlign w:val="top"/>
          </w:tcPr>
          <w:p>
            <w:pPr>
              <w:spacing w:after="0"/>
            </w:pPr>
            <w:r/>
            <w:r>
              <w:rPr>
                <w:rFonts w:ascii="Arial" w:hAnsi="Arial"/>
                <w:b w:val="0"/>
                <w:sz w:val="18"/>
              </w:rPr>
              <w:t>Contract validation</w:t>
            </w:r>
          </w:p>
        </w:tc>
        <w:tc>
          <w:tcPr>
            <w:tcW w:type="dxa" w:w="4939"/>
            <w:vAlign w:val="top"/>
          </w:tcPr>
          <w:p>
            <w:pPr>
              <w:spacing w:after="0"/>
            </w:pPr>
            <w:r/>
            <w:r>
              <w:rPr>
                <w:rFonts w:ascii="Arial" w:hAnsi="Arial"/>
                <w:b w:val="0"/>
                <w:sz w:val="18"/>
              </w:rPr>
              <w:t>Reject missing fields, wrong types, unknown labels, wrong request ID, and incompatible versions.</w:t>
            </w:r>
          </w:p>
        </w:tc>
      </w:tr>
      <w:tr>
        <w:tc>
          <w:tcPr>
            <w:tcW w:type="dxa" w:w="4939"/>
            <w:vAlign w:val="top"/>
          </w:tcPr>
          <w:p>
            <w:pPr>
              <w:spacing w:after="0"/>
            </w:pPr>
            <w:r/>
            <w:r>
              <w:rPr>
                <w:rFonts w:ascii="Arial" w:hAnsi="Arial"/>
                <w:b w:val="0"/>
                <w:sz w:val="18"/>
              </w:rPr>
              <w:t>Runtime independence</w:t>
            </w:r>
          </w:p>
        </w:tc>
        <w:tc>
          <w:tcPr>
            <w:tcW w:type="dxa" w:w="4939"/>
            <w:vAlign w:val="top"/>
          </w:tcPr>
          <w:p>
            <w:pPr>
              <w:spacing w:after="0"/>
            </w:pPr>
            <w:r/>
            <w:r>
              <w:rPr>
                <w:rFonts w:ascii="Arial" w:hAnsi="Arial"/>
                <w:b w:val="0"/>
                <w:sz w:val="18"/>
              </w:rPr>
              <w:t>Demonstrate that deterministic safety processing continues when Python is unavailable.</w:t>
            </w:r>
          </w:p>
        </w:tc>
      </w:tr>
      <w:tr>
        <w:tc>
          <w:tcPr>
            <w:tcW w:type="dxa" w:w="4939"/>
            <w:vAlign w:val="top"/>
          </w:tcPr>
          <w:p>
            <w:pPr>
              <w:spacing w:after="0"/>
            </w:pPr>
            <w:r/>
            <w:r>
              <w:rPr>
                <w:rFonts w:ascii="Arial" w:hAnsi="Arial"/>
                <w:b w:val="0"/>
                <w:sz w:val="18"/>
              </w:rPr>
              <w:t>Reproducibility</w:t>
            </w:r>
          </w:p>
        </w:tc>
        <w:tc>
          <w:tcPr>
            <w:tcW w:type="dxa" w:w="4939"/>
            <w:vAlign w:val="top"/>
          </w:tcPr>
          <w:p>
            <w:pPr>
              <w:spacing w:after="0"/>
            </w:pPr>
            <w:r/>
            <w:r>
              <w:rPr>
                <w:rFonts w:ascii="Arial" w:hAnsi="Arial"/>
                <w:b w:val="0"/>
                <w:sz w:val="18"/>
              </w:rPr>
              <w:t>Same model package and input vector produce the same expected class under the supported environment.</w:t>
            </w:r>
          </w:p>
        </w:tc>
      </w:tr>
      <w:tr>
        <w:tc>
          <w:tcPr>
            <w:tcW w:type="dxa" w:w="4939"/>
            <w:vAlign w:val="top"/>
          </w:tcPr>
          <w:p>
            <w:pPr>
              <w:spacing w:after="0"/>
            </w:pPr>
            <w:r/>
            <w:r>
              <w:rPr>
                <w:rFonts w:ascii="Arial" w:hAnsi="Arial"/>
                <w:b w:val="0"/>
                <w:sz w:val="18"/>
              </w:rPr>
              <w:t>Context isolation</w:t>
            </w:r>
          </w:p>
        </w:tc>
        <w:tc>
          <w:tcPr>
            <w:tcW w:type="dxa" w:w="4939"/>
            <w:vAlign w:val="top"/>
          </w:tcPr>
          <w:p>
            <w:pPr>
              <w:spacing w:after="0"/>
            </w:pPr>
            <w:r/>
            <w:r>
              <w:rPr>
                <w:rFonts w:ascii="Arial" w:hAnsi="Arial"/>
                <w:b w:val="0"/>
                <w:sz w:val="18"/>
              </w:rPr>
              <w:t>Features from a delivered pregnancy cannot enter a new active-pregnancy prediction.</w:t>
            </w:r>
          </w:p>
        </w:tc>
      </w:tr>
      <w:tr>
        <w:tc>
          <w:tcPr>
            <w:tcW w:type="dxa" w:w="4939"/>
            <w:vAlign w:val="top"/>
          </w:tcPr>
          <w:p>
            <w:pPr>
              <w:spacing w:after="0"/>
            </w:pPr>
            <w:r/>
            <w:r>
              <w:rPr>
                <w:rFonts w:ascii="Arial" w:hAnsi="Arial"/>
                <w:b w:val="0"/>
                <w:sz w:val="18"/>
              </w:rPr>
              <w:t>Integrity</w:t>
            </w:r>
          </w:p>
        </w:tc>
        <w:tc>
          <w:tcPr>
            <w:tcW w:type="dxa" w:w="4939"/>
            <w:vAlign w:val="top"/>
          </w:tcPr>
          <w:p>
            <w:pPr>
              <w:spacing w:after="0"/>
            </w:pPr>
            <w:r/>
            <w:r>
              <w:rPr>
                <w:rFonts w:ascii="Arial" w:hAnsi="Arial"/>
                <w:b w:val="0"/>
                <w:sz w:val="18"/>
              </w:rPr>
              <w:t>Model or preprocessing hash mismatch prevents inference.</w:t>
            </w:r>
          </w:p>
        </w:tc>
      </w:tr>
      <w:tr>
        <w:tc>
          <w:tcPr>
            <w:tcW w:type="dxa" w:w="4939"/>
            <w:vAlign w:val="top"/>
          </w:tcPr>
          <w:p>
            <w:pPr>
              <w:spacing w:after="0"/>
            </w:pPr>
            <w:r/>
            <w:r>
              <w:rPr>
                <w:rFonts w:ascii="Arial" w:hAnsi="Arial"/>
                <w:b w:val="0"/>
                <w:sz w:val="18"/>
              </w:rPr>
              <w:t>Auditability</w:t>
            </w:r>
          </w:p>
        </w:tc>
        <w:tc>
          <w:tcPr>
            <w:tcW w:type="dxa" w:w="4939"/>
            <w:vAlign w:val="top"/>
          </w:tcPr>
          <w:p>
            <w:pPr>
              <w:spacing w:after="0"/>
            </w:pPr>
            <w:r/>
            <w:r>
              <w:rPr>
                <w:rFonts w:ascii="Arial" w:hAnsi="Arial"/>
                <w:b w:val="0"/>
                <w:sz w:val="18"/>
              </w:rPr>
              <w:t>Every accepted or rejected ML invocation records the relevant versions and status.</w:t>
            </w:r>
          </w:p>
        </w:tc>
      </w:tr>
      <w:tr>
        <w:tc>
          <w:tcPr>
            <w:tcW w:type="dxa" w:w="4939"/>
            <w:vAlign w:val="top"/>
          </w:tcPr>
          <w:p>
            <w:pPr>
              <w:spacing w:after="0"/>
            </w:pPr>
            <w:r/>
            <w:r>
              <w:rPr>
                <w:rFonts w:ascii="Arial" w:hAnsi="Arial"/>
                <w:b w:val="0"/>
                <w:sz w:val="18"/>
              </w:rPr>
              <w:t>Human factors</w:t>
            </w:r>
          </w:p>
        </w:tc>
        <w:tc>
          <w:tcPr>
            <w:tcW w:type="dxa" w:w="4939"/>
            <w:vAlign w:val="top"/>
          </w:tcPr>
          <w:p>
            <w:pPr>
              <w:spacing w:after="0"/>
            </w:pPr>
            <w:r/>
            <w:r>
              <w:rPr>
                <w:rFonts w:ascii="Arial" w:hAnsi="Arial"/>
                <w:b w:val="0"/>
                <w:sz w:val="18"/>
              </w:rPr>
              <w:t>Users can correctly state what the ML output means, does not mean, and when it was unavailable.</w:t>
            </w:r>
          </w:p>
        </w:tc>
      </w:tr>
      <w:tr>
        <w:tc>
          <w:tcPr>
            <w:tcW w:type="dxa" w:w="4939"/>
            <w:vAlign w:val="top"/>
          </w:tcPr>
          <w:p>
            <w:pPr>
              <w:spacing w:after="0"/>
            </w:pPr>
            <w:r/>
            <w:r>
              <w:rPr>
                <w:rFonts w:ascii="Arial" w:hAnsi="Arial"/>
                <w:b w:val="0"/>
                <w:sz w:val="18"/>
              </w:rPr>
              <w:t>Security</w:t>
            </w:r>
          </w:p>
        </w:tc>
        <w:tc>
          <w:tcPr>
            <w:tcW w:type="dxa" w:w="4939"/>
            <w:vAlign w:val="top"/>
          </w:tcPr>
          <w:p>
            <w:pPr>
              <w:spacing w:after="0"/>
            </w:pPr>
            <w:r/>
            <w:r>
              <w:rPr>
                <w:rFonts w:ascii="Arial" w:hAnsi="Arial"/>
                <w:b w:val="0"/>
                <w:sz w:val="18"/>
              </w:rPr>
              <w:t>Command injection, unauthorized artifact replacement, sensitive logging, and permission boundaries are tested.</w:t>
            </w:r>
          </w:p>
        </w:tc>
      </w:tr>
    </w:tbl>
    <w:p/>
    <w:p>
      <w:pPr>
        <w:pStyle w:val="Heading1"/>
      </w:pPr>
      <w:r>
        <w:t>18.0 Part 1 Acceptance Criteria</w:t>
      </w:r>
    </w:p>
    <w:p>
      <w:pPr>
        <w:pStyle w:val="ListBullet"/>
      </w:pPr>
      <w:r>
        <w:t>The intended use, user, population, output, role, and prohibited claims are explicitly documented.</w:t>
      </w:r>
    </w:p>
    <w:p>
      <w:pPr>
        <w:pStyle w:val="ListBullet"/>
      </w:pPr>
      <w:r>
        <w:t>The machine-learning component is architecturally subordinate to emergency and deterministic safety logic.</w:t>
      </w:r>
    </w:p>
    <w:p>
      <w:pPr>
        <w:pStyle w:val="ListBullet"/>
      </w:pPr>
      <w:r>
        <w:t>An invalid or unavailable model can never silently produce LOW.</w:t>
      </w:r>
    </w:p>
    <w:p>
      <w:pPr>
        <w:pStyle w:val="ListBullet"/>
      </w:pPr>
      <w:r>
        <w:t>The Laravel-Python boundary uses a versioned, structured input/output contract.</w:t>
      </w:r>
    </w:p>
    <w:p>
      <w:pPr>
        <w:pStyle w:val="ListBullet"/>
      </w:pPr>
      <w:r>
        <w:t>The complete model package includes preprocessing, feature schema, metadata, environment, and integrity information rather than only a serialized estimator.</w:t>
      </w:r>
    </w:p>
    <w:p>
      <w:pPr>
        <w:pStyle w:val="ListBullet"/>
      </w:pPr>
      <w:r>
        <w:t>Human review and actual referral actions remain outside autonomous model authority.</w:t>
      </w:r>
    </w:p>
    <w:p>
      <w:pPr>
        <w:pStyle w:val="ListBullet"/>
      </w:pPr>
      <w:r>
        <w:t>The lifecycle includes dataset design, independent evaluation, release approval, monitoring, controlled change, rollback, and retirement.</w:t>
      </w:r>
    </w:p>
    <w:p>
      <w:pPr>
        <w:pStyle w:val="ListBullet"/>
      </w:pPr>
      <w:r>
        <w:t>The document distinguishes a design reference from a claim of regulatory compliance or clinical effectiveness.</w:t>
      </w:r>
    </w:p>
    <w:p>
      <w:pPr>
        <w:pStyle w:val="Heading1"/>
      </w:pPr>
      <w:r>
        <w:t>19.0 Planned Structure of Document 3</w:t>
      </w:r>
    </w:p>
    <w:tbl>
      <w:tblPr>
        <w:tblStyle w:val="TableGrid"/>
        <w:tblW w:type="auto" w:w="0"/>
        <w:jc w:val="center"/>
        <w:tblLook w:firstColumn="1" w:firstRow="1" w:lastColumn="0" w:lastRow="0" w:noHBand="0" w:noVBand="1" w:val="04A0"/>
      </w:tblPr>
      <w:tblGrid>
        <w:gridCol w:w="3293"/>
        <w:gridCol w:w="3293"/>
        <w:gridCol w:w="3293"/>
      </w:tblGrid>
      <w:tr>
        <w:trPr>
          <w:tblHeader w:val="true"/>
        </w:trPr>
        <w:tc>
          <w:tcPr>
            <w:tcW w:type="dxa" w:w="3293"/>
            <w:vAlign w:val="top"/>
            <w:shd w:fill="D9EAF7"/>
          </w:tcPr>
          <w:p>
            <w:pPr>
              <w:spacing w:after="0"/>
            </w:pPr>
            <w:r/>
            <w:r>
              <w:rPr>
                <w:rFonts w:ascii="Arial" w:hAnsi="Arial"/>
                <w:b/>
                <w:sz w:val="18"/>
              </w:rPr>
              <w:t>Part</w:t>
            </w:r>
          </w:p>
        </w:tc>
        <w:tc>
          <w:tcPr>
            <w:tcW w:type="dxa" w:w="3293"/>
            <w:vAlign w:val="top"/>
            <w:shd w:fill="D9EAF7"/>
          </w:tcPr>
          <w:p>
            <w:pPr>
              <w:spacing w:after="0"/>
            </w:pPr>
            <w:r/>
            <w:r>
              <w:rPr>
                <w:rFonts w:ascii="Arial" w:hAnsi="Arial"/>
                <w:b/>
                <w:sz w:val="18"/>
              </w:rPr>
              <w:t>Working title</w:t>
            </w:r>
          </w:p>
        </w:tc>
        <w:tc>
          <w:tcPr>
            <w:tcW w:type="dxa" w:w="3293"/>
            <w:vAlign w:val="top"/>
            <w:shd w:fill="D9EAF7"/>
          </w:tcPr>
          <w:p>
            <w:pPr>
              <w:spacing w:after="0"/>
            </w:pPr>
            <w:r/>
            <w:r>
              <w:rPr>
                <w:rFonts w:ascii="Arial" w:hAnsi="Arial"/>
                <w:b/>
                <w:sz w:val="18"/>
              </w:rPr>
              <w:t>Primary deliverable</w:t>
            </w:r>
          </w:p>
        </w:tc>
      </w:tr>
      <w:tr>
        <w:tc>
          <w:tcPr>
            <w:tcW w:type="dxa" w:w="3293"/>
            <w:vAlign w:val="top"/>
          </w:tcPr>
          <w:p>
            <w:pPr>
              <w:spacing w:after="0"/>
            </w:pPr>
            <w:r/>
            <w:r>
              <w:rPr>
                <w:rFonts w:ascii="Arial" w:hAnsi="Arial"/>
                <w:b w:val="0"/>
                <w:sz w:val="18"/>
              </w:rPr>
              <w:t>1</w:t>
            </w:r>
          </w:p>
        </w:tc>
        <w:tc>
          <w:tcPr>
            <w:tcW w:type="dxa" w:w="3293"/>
            <w:vAlign w:val="top"/>
          </w:tcPr>
          <w:p>
            <w:pPr>
              <w:spacing w:after="0"/>
            </w:pPr>
            <w:r/>
            <w:r>
              <w:rPr>
                <w:rFonts w:ascii="Arial" w:hAnsi="Arial"/>
                <w:b w:val="0"/>
                <w:sz w:val="18"/>
              </w:rPr>
              <w:t>Machine Learning Philosophy and Architecture</w:t>
            </w:r>
          </w:p>
        </w:tc>
        <w:tc>
          <w:tcPr>
            <w:tcW w:type="dxa" w:w="3293"/>
            <w:vAlign w:val="top"/>
          </w:tcPr>
          <w:p>
            <w:pPr>
              <w:spacing w:after="0"/>
            </w:pPr>
            <w:r/>
            <w:r>
              <w:rPr>
                <w:rFonts w:ascii="Arial" w:hAnsi="Arial"/>
                <w:b w:val="0"/>
                <w:sz w:val="18"/>
              </w:rPr>
              <w:t>Intended use, boundaries, authority, lifecycle, and master architecture.</w:t>
            </w:r>
          </w:p>
        </w:tc>
      </w:tr>
      <w:tr>
        <w:tc>
          <w:tcPr>
            <w:tcW w:type="dxa" w:w="3293"/>
            <w:vAlign w:val="top"/>
          </w:tcPr>
          <w:p>
            <w:pPr>
              <w:spacing w:after="0"/>
            </w:pPr>
            <w:r/>
            <w:r>
              <w:rPr>
                <w:rFonts w:ascii="Arial" w:hAnsi="Arial"/>
                <w:b w:val="0"/>
                <w:sz w:val="18"/>
              </w:rPr>
              <w:t>2</w:t>
            </w:r>
          </w:p>
        </w:tc>
        <w:tc>
          <w:tcPr>
            <w:tcW w:type="dxa" w:w="3293"/>
            <w:vAlign w:val="top"/>
          </w:tcPr>
          <w:p>
            <w:pPr>
              <w:spacing w:after="0"/>
            </w:pPr>
            <w:r/>
            <w:r>
              <w:rPr>
                <w:rFonts w:ascii="Arial" w:hAnsi="Arial"/>
                <w:b w:val="0"/>
                <w:sz w:val="18"/>
              </w:rPr>
              <w:t>Dataset Architecture and Governance</w:t>
            </w:r>
          </w:p>
        </w:tc>
        <w:tc>
          <w:tcPr>
            <w:tcW w:type="dxa" w:w="3293"/>
            <w:vAlign w:val="top"/>
          </w:tcPr>
          <w:p>
            <w:pPr>
              <w:spacing w:after="0"/>
            </w:pPr>
            <w:r/>
            <w:r>
              <w:rPr>
                <w:rFonts w:ascii="Arial" w:hAnsi="Arial"/>
                <w:b w:val="0"/>
                <w:sz w:val="18"/>
              </w:rPr>
              <w:t>Sources, labels, inclusion/exclusion, representativeness, privacy, and dataset versioning.</w:t>
            </w:r>
          </w:p>
        </w:tc>
      </w:tr>
      <w:tr>
        <w:tc>
          <w:tcPr>
            <w:tcW w:type="dxa" w:w="3293"/>
            <w:vAlign w:val="top"/>
          </w:tcPr>
          <w:p>
            <w:pPr>
              <w:spacing w:after="0"/>
            </w:pPr>
            <w:r/>
            <w:r>
              <w:rPr>
                <w:rFonts w:ascii="Arial" w:hAnsi="Arial"/>
                <w:b w:val="0"/>
                <w:sz w:val="18"/>
              </w:rPr>
              <w:t>3</w:t>
            </w:r>
          </w:p>
        </w:tc>
        <w:tc>
          <w:tcPr>
            <w:tcW w:type="dxa" w:w="3293"/>
            <w:vAlign w:val="top"/>
          </w:tcPr>
          <w:p>
            <w:pPr>
              <w:spacing w:after="0"/>
            </w:pPr>
            <w:r/>
            <w:r>
              <w:rPr>
                <w:rFonts w:ascii="Arial" w:hAnsi="Arial"/>
                <w:b w:val="0"/>
                <w:sz w:val="18"/>
              </w:rPr>
              <w:t>Feature Engineering and Preprocessing Architecture</w:t>
            </w:r>
          </w:p>
        </w:tc>
        <w:tc>
          <w:tcPr>
            <w:tcW w:type="dxa" w:w="3293"/>
            <w:vAlign w:val="top"/>
          </w:tcPr>
          <w:p>
            <w:pPr>
              <w:spacing w:after="0"/>
            </w:pPr>
            <w:r/>
            <w:r>
              <w:rPr>
                <w:rFonts w:ascii="Arial" w:hAnsi="Arial"/>
                <w:b w:val="0"/>
                <w:sz w:val="18"/>
              </w:rPr>
              <w:t>Feature dictionary, transformations, missing data, leakage prevention, and compatibility.</w:t>
            </w:r>
          </w:p>
        </w:tc>
      </w:tr>
      <w:tr>
        <w:tc>
          <w:tcPr>
            <w:tcW w:type="dxa" w:w="3293"/>
            <w:vAlign w:val="top"/>
          </w:tcPr>
          <w:p>
            <w:pPr>
              <w:spacing w:after="0"/>
            </w:pPr>
            <w:r/>
            <w:r>
              <w:rPr>
                <w:rFonts w:ascii="Arial" w:hAnsi="Arial"/>
                <w:b w:val="0"/>
                <w:sz w:val="18"/>
              </w:rPr>
              <w:t>4</w:t>
            </w:r>
          </w:p>
        </w:tc>
        <w:tc>
          <w:tcPr>
            <w:tcW w:type="dxa" w:w="3293"/>
            <w:vAlign w:val="top"/>
          </w:tcPr>
          <w:p>
            <w:pPr>
              <w:spacing w:after="0"/>
            </w:pPr>
            <w:r/>
            <w:r>
              <w:rPr>
                <w:rFonts w:ascii="Arial" w:hAnsi="Arial"/>
                <w:b w:val="0"/>
                <w:sz w:val="18"/>
              </w:rPr>
              <w:t>Model Selection and Development Strategy</w:t>
            </w:r>
          </w:p>
        </w:tc>
        <w:tc>
          <w:tcPr>
            <w:tcW w:type="dxa" w:w="3293"/>
            <w:vAlign w:val="top"/>
          </w:tcPr>
          <w:p>
            <w:pPr>
              <w:spacing w:after="0"/>
            </w:pPr>
            <w:r/>
            <w:r>
              <w:rPr>
                <w:rFonts w:ascii="Arial" w:hAnsi="Arial"/>
                <w:b w:val="0"/>
                <w:sz w:val="18"/>
              </w:rPr>
              <w:t>Candidate algorithms, Random Forest rationale, baselines, and experiment design.</w:t>
            </w:r>
          </w:p>
        </w:tc>
      </w:tr>
      <w:tr>
        <w:tc>
          <w:tcPr>
            <w:tcW w:type="dxa" w:w="3293"/>
            <w:vAlign w:val="top"/>
          </w:tcPr>
          <w:p>
            <w:pPr>
              <w:spacing w:after="0"/>
            </w:pPr>
            <w:r/>
            <w:r>
              <w:rPr>
                <w:rFonts w:ascii="Arial" w:hAnsi="Arial"/>
                <w:b w:val="0"/>
                <w:sz w:val="18"/>
              </w:rPr>
              <w:t>5</w:t>
            </w:r>
          </w:p>
        </w:tc>
        <w:tc>
          <w:tcPr>
            <w:tcW w:type="dxa" w:w="3293"/>
            <w:vAlign w:val="top"/>
          </w:tcPr>
          <w:p>
            <w:pPr>
              <w:spacing w:after="0"/>
            </w:pPr>
            <w:r/>
            <w:r>
              <w:rPr>
                <w:rFonts w:ascii="Arial" w:hAnsi="Arial"/>
                <w:b w:val="0"/>
                <w:sz w:val="18"/>
              </w:rPr>
              <w:t>Training, Tuning, and Reproducibility Pipeline</w:t>
            </w:r>
          </w:p>
        </w:tc>
        <w:tc>
          <w:tcPr>
            <w:tcW w:type="dxa" w:w="3293"/>
            <w:vAlign w:val="top"/>
          </w:tcPr>
          <w:p>
            <w:pPr>
              <w:spacing w:after="0"/>
            </w:pPr>
            <w:r/>
            <w:r>
              <w:rPr>
                <w:rFonts w:ascii="Arial" w:hAnsi="Arial"/>
                <w:b w:val="0"/>
                <w:sz w:val="18"/>
              </w:rPr>
              <w:t>Splits, cross-validation, imbalance handling, tuning, seeds, and experiment tracking.</w:t>
            </w:r>
          </w:p>
        </w:tc>
      </w:tr>
      <w:tr>
        <w:tc>
          <w:tcPr>
            <w:tcW w:type="dxa" w:w="3293"/>
            <w:vAlign w:val="top"/>
          </w:tcPr>
          <w:p>
            <w:pPr>
              <w:spacing w:after="0"/>
            </w:pPr>
            <w:r/>
            <w:r>
              <w:rPr>
                <w:rFonts w:ascii="Arial" w:hAnsi="Arial"/>
                <w:b w:val="0"/>
                <w:sz w:val="18"/>
              </w:rPr>
              <w:t>6</w:t>
            </w:r>
          </w:p>
        </w:tc>
        <w:tc>
          <w:tcPr>
            <w:tcW w:type="dxa" w:w="3293"/>
            <w:vAlign w:val="top"/>
          </w:tcPr>
          <w:p>
            <w:pPr>
              <w:spacing w:after="0"/>
            </w:pPr>
            <w:r/>
            <w:r>
              <w:rPr>
                <w:rFonts w:ascii="Arial" w:hAnsi="Arial"/>
                <w:b w:val="0"/>
                <w:sz w:val="18"/>
              </w:rPr>
              <w:t>Model Evaluation and Clinical Error Analysis</w:t>
            </w:r>
          </w:p>
        </w:tc>
        <w:tc>
          <w:tcPr>
            <w:tcW w:type="dxa" w:w="3293"/>
            <w:vAlign w:val="top"/>
          </w:tcPr>
          <w:p>
            <w:pPr>
              <w:spacing w:after="0"/>
            </w:pPr>
            <w:r/>
            <w:r>
              <w:rPr>
                <w:rFonts w:ascii="Arial" w:hAnsi="Arial"/>
                <w:b w:val="0"/>
                <w:sz w:val="18"/>
              </w:rPr>
              <w:t>Metrics, confidence intervals, calibration, false-negative analysis, and subgroup performance.</w:t>
            </w:r>
          </w:p>
        </w:tc>
      </w:tr>
      <w:tr>
        <w:tc>
          <w:tcPr>
            <w:tcW w:type="dxa" w:w="3293"/>
            <w:vAlign w:val="top"/>
          </w:tcPr>
          <w:p>
            <w:pPr>
              <w:spacing w:after="0"/>
            </w:pPr>
            <w:r/>
            <w:r>
              <w:rPr>
                <w:rFonts w:ascii="Arial" w:hAnsi="Arial"/>
                <w:b w:val="0"/>
                <w:sz w:val="18"/>
              </w:rPr>
              <w:t>7</w:t>
            </w:r>
          </w:p>
        </w:tc>
        <w:tc>
          <w:tcPr>
            <w:tcW w:type="dxa" w:w="3293"/>
            <w:vAlign w:val="top"/>
          </w:tcPr>
          <w:p>
            <w:pPr>
              <w:spacing w:after="0"/>
            </w:pPr>
            <w:r/>
            <w:r>
              <w:rPr>
                <w:rFonts w:ascii="Arial" w:hAnsi="Arial"/>
                <w:b w:val="0"/>
                <w:sz w:val="18"/>
              </w:rPr>
              <w:t>Explainable Machine Learning</w:t>
            </w:r>
          </w:p>
        </w:tc>
        <w:tc>
          <w:tcPr>
            <w:tcW w:type="dxa" w:w="3293"/>
            <w:vAlign w:val="top"/>
          </w:tcPr>
          <w:p>
            <w:pPr>
              <w:spacing w:after="0"/>
            </w:pPr>
            <w:r/>
            <w:r>
              <w:rPr>
                <w:rFonts w:ascii="Arial" w:hAnsi="Arial"/>
                <w:b w:val="0"/>
                <w:sz w:val="18"/>
              </w:rPr>
              <w:t>Global/local explanations, limitations, and clinician-facing interpretation.</w:t>
            </w:r>
          </w:p>
        </w:tc>
      </w:tr>
      <w:tr>
        <w:tc>
          <w:tcPr>
            <w:tcW w:type="dxa" w:w="3293"/>
            <w:vAlign w:val="top"/>
          </w:tcPr>
          <w:p>
            <w:pPr>
              <w:spacing w:after="0"/>
            </w:pPr>
            <w:r/>
            <w:r>
              <w:rPr>
                <w:rFonts w:ascii="Arial" w:hAnsi="Arial"/>
                <w:b w:val="0"/>
                <w:sz w:val="18"/>
              </w:rPr>
              <w:t>8</w:t>
            </w:r>
          </w:p>
        </w:tc>
        <w:tc>
          <w:tcPr>
            <w:tcW w:type="dxa" w:w="3293"/>
            <w:vAlign w:val="top"/>
          </w:tcPr>
          <w:p>
            <w:pPr>
              <w:spacing w:after="0"/>
            </w:pPr>
            <w:r/>
            <w:r>
              <w:rPr>
                <w:rFonts w:ascii="Arial" w:hAnsi="Arial"/>
                <w:b w:val="0"/>
                <w:sz w:val="18"/>
              </w:rPr>
              <w:t>Laravel-Python Integration and Model Serving</w:t>
            </w:r>
          </w:p>
        </w:tc>
        <w:tc>
          <w:tcPr>
            <w:tcW w:type="dxa" w:w="3293"/>
            <w:vAlign w:val="top"/>
          </w:tcPr>
          <w:p>
            <w:pPr>
              <w:spacing w:after="0"/>
            </w:pPr>
            <w:r/>
            <w:r>
              <w:rPr>
                <w:rFonts w:ascii="Arial" w:hAnsi="Arial"/>
                <w:b w:val="0"/>
                <w:sz w:val="18"/>
              </w:rPr>
              <w:t>Runtime contract, security, error handling, packaging, and deployment.</w:t>
            </w:r>
          </w:p>
        </w:tc>
      </w:tr>
      <w:tr>
        <w:tc>
          <w:tcPr>
            <w:tcW w:type="dxa" w:w="3293"/>
            <w:vAlign w:val="top"/>
          </w:tcPr>
          <w:p>
            <w:pPr>
              <w:spacing w:after="0"/>
            </w:pPr>
            <w:r/>
            <w:r>
              <w:rPr>
                <w:rFonts w:ascii="Arial" w:hAnsi="Arial"/>
                <w:b w:val="0"/>
                <w:sz w:val="18"/>
              </w:rPr>
              <w:t>9</w:t>
            </w:r>
          </w:p>
        </w:tc>
        <w:tc>
          <w:tcPr>
            <w:tcW w:type="dxa" w:w="3293"/>
            <w:vAlign w:val="top"/>
          </w:tcPr>
          <w:p>
            <w:pPr>
              <w:spacing w:after="0"/>
            </w:pPr>
            <w:r/>
            <w:r>
              <w:rPr>
                <w:rFonts w:ascii="Arial" w:hAnsi="Arial"/>
                <w:b w:val="0"/>
                <w:sz w:val="18"/>
              </w:rPr>
              <w:t>ML Safety, Security, Bias, and Monitoring Architecture</w:t>
            </w:r>
          </w:p>
        </w:tc>
        <w:tc>
          <w:tcPr>
            <w:tcW w:type="dxa" w:w="3293"/>
            <w:vAlign w:val="top"/>
          </w:tcPr>
          <w:p>
            <w:pPr>
              <w:spacing w:after="0"/>
            </w:pPr>
            <w:r/>
            <w:r>
              <w:rPr>
                <w:rFonts w:ascii="Arial" w:hAnsi="Arial"/>
                <w:b w:val="0"/>
                <w:sz w:val="18"/>
              </w:rPr>
              <w:t>Drift, incidents, operational monitoring, fairness, cybersecurity, and degraded mode.</w:t>
            </w:r>
          </w:p>
        </w:tc>
      </w:tr>
      <w:tr>
        <w:tc>
          <w:tcPr>
            <w:tcW w:type="dxa" w:w="3293"/>
            <w:vAlign w:val="top"/>
          </w:tcPr>
          <w:p>
            <w:pPr>
              <w:spacing w:after="0"/>
            </w:pPr>
            <w:r/>
            <w:r>
              <w:rPr>
                <w:rFonts w:ascii="Arial" w:hAnsi="Arial"/>
                <w:b w:val="0"/>
                <w:sz w:val="18"/>
              </w:rPr>
              <w:t>10</w:t>
            </w:r>
          </w:p>
        </w:tc>
        <w:tc>
          <w:tcPr>
            <w:tcW w:type="dxa" w:w="3293"/>
            <w:vAlign w:val="top"/>
          </w:tcPr>
          <w:p>
            <w:pPr>
              <w:spacing w:after="0"/>
            </w:pPr>
            <w:r/>
            <w:r>
              <w:rPr>
                <w:rFonts w:ascii="Arial" w:hAnsi="Arial"/>
                <w:b w:val="0"/>
                <w:sz w:val="18"/>
              </w:rPr>
              <w:t>Validation, Verification, and Acceptance Framework</w:t>
            </w:r>
          </w:p>
        </w:tc>
        <w:tc>
          <w:tcPr>
            <w:tcW w:type="dxa" w:w="3293"/>
            <w:vAlign w:val="top"/>
          </w:tcPr>
          <w:p>
            <w:pPr>
              <w:spacing w:after="0"/>
            </w:pPr>
            <w:r/>
            <w:r>
              <w:rPr>
                <w:rFonts w:ascii="Arial" w:hAnsi="Arial"/>
                <w:b w:val="0"/>
                <w:sz w:val="18"/>
              </w:rPr>
              <w:t>Analytical, software, workflow, human-factors, and clinical validation planning.</w:t>
            </w:r>
          </w:p>
        </w:tc>
      </w:tr>
      <w:tr>
        <w:tc>
          <w:tcPr>
            <w:tcW w:type="dxa" w:w="3293"/>
            <w:vAlign w:val="top"/>
          </w:tcPr>
          <w:p>
            <w:pPr>
              <w:spacing w:after="0"/>
            </w:pPr>
            <w:r/>
            <w:r>
              <w:rPr>
                <w:rFonts w:ascii="Arial" w:hAnsi="Arial"/>
                <w:b w:val="0"/>
                <w:sz w:val="18"/>
              </w:rPr>
              <w:t>11</w:t>
            </w:r>
          </w:p>
        </w:tc>
        <w:tc>
          <w:tcPr>
            <w:tcW w:type="dxa" w:w="3293"/>
            <w:vAlign w:val="top"/>
          </w:tcPr>
          <w:p>
            <w:pPr>
              <w:spacing w:after="0"/>
            </w:pPr>
            <w:r/>
            <w:r>
              <w:rPr>
                <w:rFonts w:ascii="Arial" w:hAnsi="Arial"/>
                <w:b w:val="0"/>
                <w:sz w:val="18"/>
              </w:rPr>
              <w:t>Model Governance, Change Control, and Future Development</w:t>
            </w:r>
          </w:p>
        </w:tc>
        <w:tc>
          <w:tcPr>
            <w:tcW w:type="dxa" w:w="3293"/>
            <w:vAlign w:val="top"/>
          </w:tcPr>
          <w:p>
            <w:pPr>
              <w:spacing w:after="0"/>
            </w:pPr>
            <w:r/>
            <w:r>
              <w:rPr>
                <w:rFonts w:ascii="Arial" w:hAnsi="Arial"/>
                <w:b w:val="0"/>
                <w:sz w:val="18"/>
              </w:rPr>
              <w:t>Release, update, retraining, rollback, retirement, and carefully bounded future work.</w:t>
            </w:r>
          </w:p>
        </w:tc>
      </w:tr>
      <w:tr>
        <w:tc>
          <w:tcPr>
            <w:tcW w:type="dxa" w:w="3293"/>
            <w:vAlign w:val="top"/>
          </w:tcPr>
          <w:p>
            <w:pPr>
              <w:spacing w:after="0"/>
            </w:pPr>
            <w:r/>
            <w:r>
              <w:rPr>
                <w:rFonts w:ascii="Arial" w:hAnsi="Arial"/>
                <w:b w:val="0"/>
                <w:sz w:val="18"/>
              </w:rPr>
              <w:t>12</w:t>
            </w:r>
          </w:p>
        </w:tc>
        <w:tc>
          <w:tcPr>
            <w:tcW w:type="dxa" w:w="3293"/>
            <w:vAlign w:val="top"/>
          </w:tcPr>
          <w:p>
            <w:pPr>
              <w:spacing w:after="0"/>
            </w:pPr>
            <w:r/>
            <w:r>
              <w:rPr>
                <w:rFonts w:ascii="Arial" w:hAnsi="Arial"/>
                <w:b w:val="0"/>
                <w:sz w:val="18"/>
              </w:rPr>
              <w:t>Complete ML Architecture and Transition to Implementation</w:t>
            </w:r>
          </w:p>
        </w:tc>
        <w:tc>
          <w:tcPr>
            <w:tcW w:type="dxa" w:w="3293"/>
            <w:vAlign w:val="top"/>
          </w:tcPr>
          <w:p>
            <w:pPr>
              <w:spacing w:after="0"/>
            </w:pPr>
            <w:r/>
            <w:r>
              <w:rPr>
                <w:rFonts w:ascii="Arial" w:hAnsi="Arial"/>
                <w:b w:val="0"/>
                <w:sz w:val="18"/>
              </w:rPr>
              <w:t>Integrated diagrams, end-to-end workflow, readiness checklist, and implementation handoff.</w:t>
            </w:r>
          </w:p>
        </w:tc>
      </w:tr>
    </w:tbl>
    <w:p/>
    <w:p>
      <w:pPr>
        <w:pStyle w:val="Heading1"/>
      </w:pPr>
      <w:r>
        <w:t>20.0 Transition to Part 2</w:t>
      </w:r>
    </w:p>
    <w:p>
      <w:r>
        <w:t>Part 2 will define the Dataset Architecture and Governance Specification. It will examine where the project data came from, what each row represents, how HIGH and LOW labels were created, which records are eligible, whether the data reflect the intended population, how missingness and duplicates are handled, how development and independent test sets are separated, and what claims cannot be made until the dataset is verified. Because model quality cannot exceed the validity of its data and labels, Part 2 is the next required step before defending algorithm choice or reported accuracy.</w:t>
      </w:r>
    </w:p>
    <w:p>
      <w:pPr>
        <w:pStyle w:val="Heading1"/>
      </w:pPr>
      <w:r>
        <w:t>References</w:t>
      </w:r>
    </w:p>
    <w:p>
      <w:pPr>
        <w:pStyle w:val="ListNumber"/>
      </w:pPr>
      <w:r>
        <w:t>World Health Organization. Ethics and governance of artificial intelligence for health: WHO guidance. Geneva: WHO; 2021. ISBN 978-92-4-002920-0.</w:t>
      </w:r>
    </w:p>
    <w:p>
      <w:pPr>
        <w:pStyle w:val="ListNumber"/>
      </w:pPr>
      <w:r>
        <w:t>World Health Organization. Artificial Intelligence for Health: supporting countries to deploy responsible AI technologies to accelerate equitable health for all. Geneva: WHO; 2024.</w:t>
      </w:r>
    </w:p>
    <w:p>
      <w:pPr>
        <w:pStyle w:val="ListNumber"/>
      </w:pPr>
      <w:r>
        <w:t>International Medical Device Regulators Forum. Good Machine Learning Practice for Medical Device Development: Guiding Principles. Final document; January 2025.</w:t>
      </w:r>
    </w:p>
    <w:p>
      <w:pPr>
        <w:pStyle w:val="ListNumber"/>
      </w:pPr>
      <w:r>
        <w:t>U.S. Food and Drug Administration. Good Machine Learning Practice for Medical Device Development: Guiding Principles. FDA web resource reflecting the 2025 IMDRF final principles.</w:t>
      </w:r>
    </w:p>
    <w:p>
      <w:pPr>
        <w:pStyle w:val="ListNumber"/>
      </w:pPr>
      <w:r>
        <w:t>U.S. Food and Drug Administration, Health Canada, and Medicines and Healthcare products Regulatory Agency. Transparency for Machine Learning-Enabled Medical Devices: Guiding Principles.</w:t>
      </w:r>
    </w:p>
    <w:p>
      <w:pPr>
        <w:pStyle w:val="ListNumber"/>
      </w:pPr>
      <w:r>
        <w:t>U.S. Food and Drug Administration. Artificial Intelligence-Enabled Device Software Functions: Lifecycle Management and Marketing Submission Recommendations. Draft guidance; January 2025. Draft, not for implementation.</w:t>
      </w:r>
    </w:p>
    <w:p>
      <w:pPr>
        <w:pStyle w:val="ListNumber"/>
      </w:pPr>
      <w:r>
        <w:t>U.S. Food and Drug Administration. Marketing Submission Recommendations for a Predetermined Change Control Plan for Artificial Intelligence-Enabled Device Software Functions. Final guidance; August 2025.</w:t>
      </w:r>
    </w:p>
    <w:p>
      <w:pPr>
        <w:pStyle w:val="ListNumber"/>
      </w:pPr>
      <w:r>
        <w:t>U.S. Food and Drug Administration. Clinical Decision Support Software: Guidance for Industry and Food and Drug Administration Staff. Final guidance; January 2026.</w:t>
      </w:r>
    </w:p>
    <w:p>
      <w:pPr>
        <w:pStyle w:val="ListNumber"/>
      </w:pPr>
      <w:r>
        <w:t>National Institute of Standards and Technology. Artificial Intelligence Risk Management Framework (AI RMF 1.0). NIST AI 100-1; January 2023, with associated Playbook resources.</w:t>
      </w:r>
    </w:p>
    <w:p>
      <w:pPr>
        <w:pStyle w:val="ListNumber"/>
      </w:pPr>
      <w:r>
        <w:t>World Health Organization. SMART Guidelines and Digital Adaptation Kit for Antenatal Care. Used to maintain software-neutral, testable, and governed digital health requirements.</w:t>
      </w:r>
    </w:p>
    <w:p>
      <w:pPr>
        <w:pStyle w:val="ListNumber"/>
      </w:pPr>
      <w:r>
        <w:t>Project Document 1. Clinical Knowledge Base Specification.</w:t>
      </w:r>
    </w:p>
    <w:p>
      <w:pPr>
        <w:pStyle w:val="ListNumber"/>
      </w:pPr>
      <w:r>
        <w:t>Project Document 2. Clinical Decision Support Decision Engine Specification, Parts 1-12.</w:t>
      </w:r>
    </w:p>
    <w:p>
      <w:pPr>
        <w:pStyle w:val="Heading1"/>
      </w:pPr>
      <w:r>
        <w:t>Research Interpretation Note</w:t>
      </w:r>
    </w:p>
    <w:p>
      <w:r>
        <w:t>The WHO, IMDRF, FDA, NIST, and related materials are used as authoritative or recognized design references for ethical, transparent, testable, and lifecycle-oriented machine-learning engineering. Their inclusion does not establish that the capstone is certified, approved, clinically validated, or legally classified under any particular jurisdiction. The project team must seek qualified local advice before real deployment.</w:t>
      </w:r>
    </w:p>
    <w:sectPr w:rsidR="00FC693F" w:rsidRPr="0006063C" w:rsidSect="00034616">
      <w:footerReference w:type="default" r:id="rId9"/>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Document 3 - Part 1 | Machine Learning Philosophy and Architecture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