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DOCUMENT 3</w:t>
      </w:r>
    </w:p>
    <w:p>
      <w:pPr>
        <w:jc w:val="center"/>
      </w:pPr>
      <w:r>
        <w:rPr>
          <w:rFonts w:ascii="Arial" w:hAnsi="Arial"/>
          <w:b/>
          <w:sz w:val="42"/>
        </w:rPr>
        <w:t>Machine Learning Integration, Validation, and Governance Specification</w:t>
      </w:r>
    </w:p>
    <w:p>
      <w:pPr>
        <w:jc w:val="center"/>
      </w:pPr>
      <w:r>
        <w:rPr>
          <w:rFonts w:ascii="Arial" w:hAnsi="Arial"/>
          <w:b/>
          <w:sz w:val="31"/>
        </w:rPr>
        <w:t>Part 2 - Dataset Architecture and Governance</w:t>
      </w:r>
    </w:p>
    <w:p/>
    <w:p>
      <w:pPr>
        <w:jc w:val="center"/>
      </w:pPr>
      <w:r>
        <w:rPr>
          <w:rFonts w:ascii="Arial" w:hAnsi="Arial"/>
          <w:sz w:val="24"/>
        </w:rPr>
        <w:t>Development of an Explainable Clinical Decision Support System</w:t>
      </w:r>
    </w:p>
    <w:p>
      <w:pPr>
        <w:jc w:val="center"/>
      </w:pPr>
      <w:r>
        <w:rPr>
          <w:rFonts w:ascii="Arial" w:hAnsi="Arial"/>
          <w:sz w:val="24"/>
        </w:rPr>
        <w:t>for a Web-Based Maternity Management System</w:t>
      </w:r>
    </w:p>
    <w:p>
      <w:pPr>
        <w:jc w:val="center"/>
      </w:pPr>
      <w:r>
        <w:rPr>
          <w:rFonts w:ascii="Arial" w:hAnsi="Arial"/>
          <w:sz w:val="24"/>
        </w:rPr>
        <w:t>in a Philippine Lying-in Clinic</w:t>
      </w:r>
    </w:p>
    <w:p/>
    <w:p>
      <w:pPr>
        <w:jc w:val="center"/>
      </w:pPr>
      <w:r>
        <w:rPr>
          <w:i/>
        </w:rPr>
        <w:t>Version 1.0 - Research and Architecture Draft</w:t>
      </w:r>
    </w:p>
    <w:p>
      <w:pPr>
        <w:jc w:val="center"/>
      </w:pPr>
      <w:r>
        <w:rPr>
          <w:i/>
        </w:rPr>
        <w:t>July 2026</w:t>
      </w:r>
    </w:p>
    <w:p>
      <w:r>
        <w:br w:type="page"/>
      </w:r>
    </w:p>
    <w:p>
      <w:pPr>
        <w:pStyle w:val="Heading1"/>
      </w:pPr>
      <w:r>
        <w:t>Clinical Safety Statement</w:t>
      </w:r>
    </w:p>
    <w:p>
      <w:r>
        <w:t>The dataset described in this specification is a safety-critical input to a bounded machine-learning contributor within the larger Clinical Decision Support System. A dataset is not clinically trustworthy merely because it is large, publicly available, or capable of producing a high accuracy score. Its source, population, variables, labels, missingness, exclusions, timing, representativeness, and limitations must be documented and verified before model results are interpreted.</w:t>
      </w:r>
    </w:p>
    <w:p>
      <w:r>
        <w:t>No dataset shall be treated as authorization for autonomous diagnosis, treatment, referral, or emergency disposition. Deterministic clinical rules, emergency override logic, qualified human review, and the complete Decision Engine described in Document 2 remain authoritative. This chapter is a research and architecture specification, not proof that the current dataset is clinically representative, legally reusable, or sufficient for deployment with real patients.</w:t>
      </w:r>
    </w:p>
    <w:p>
      <w:pPr>
        <w:pStyle w:val="Heading1"/>
      </w:pPr>
      <w:r>
        <w:t>Document Status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Item</w:t>
            </w:r>
          </w:p>
        </w:tc>
        <w:tc>
          <w:tcPr>
            <w:tcW w:type="dxa" w:w="4939"/>
            <w:vAlign w:val="top"/>
            <w:shd w:fill="D9EAF7"/>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Document</w:t>
            </w:r>
          </w:p>
        </w:tc>
        <w:tc>
          <w:tcPr>
            <w:tcW w:type="dxa" w:w="4939"/>
            <w:vAlign w:val="top"/>
          </w:tcPr>
          <w:p>
            <w:pPr>
              <w:spacing w:after="0"/>
            </w:pPr>
            <w:r/>
            <w:r>
              <w:rPr>
                <w:rFonts w:ascii="Arial" w:hAnsi="Arial"/>
                <w:b w:val="0"/>
                <w:sz w:val="18"/>
              </w:rPr>
              <w:t>Document 3 - Machine Learning Integration, Validation, and Governance Specification</w:t>
            </w:r>
          </w:p>
        </w:tc>
      </w:tr>
      <w:tr>
        <w:tc>
          <w:tcPr>
            <w:tcW w:type="dxa" w:w="4939"/>
            <w:vAlign w:val="top"/>
          </w:tcPr>
          <w:p>
            <w:pPr>
              <w:spacing w:after="0"/>
            </w:pPr>
            <w:r/>
            <w:r>
              <w:rPr>
                <w:rFonts w:ascii="Arial" w:hAnsi="Arial"/>
                <w:b w:val="0"/>
                <w:sz w:val="18"/>
              </w:rPr>
              <w:t>Part</w:t>
            </w:r>
          </w:p>
        </w:tc>
        <w:tc>
          <w:tcPr>
            <w:tcW w:type="dxa" w:w="4939"/>
            <w:vAlign w:val="top"/>
          </w:tcPr>
          <w:p>
            <w:pPr>
              <w:spacing w:after="0"/>
            </w:pPr>
            <w:r/>
            <w:r>
              <w:rPr>
                <w:rFonts w:ascii="Arial" w:hAnsi="Arial"/>
                <w:b w:val="0"/>
                <w:sz w:val="18"/>
              </w:rPr>
              <w:t>Part 2 of the planned 12-part specification</w:t>
            </w:r>
          </w:p>
        </w:tc>
      </w:tr>
      <w:tr>
        <w:tc>
          <w:tcPr>
            <w:tcW w:type="dxa" w:w="4939"/>
            <w:vAlign w:val="top"/>
          </w:tcPr>
          <w:p>
            <w:pPr>
              <w:spacing w:after="0"/>
            </w:pPr>
            <w:r/>
            <w:r>
              <w:rPr>
                <w:rFonts w:ascii="Arial" w:hAnsi="Arial"/>
                <w:b w:val="0"/>
                <w:sz w:val="18"/>
              </w:rPr>
              <w:t>Title</w:t>
            </w:r>
          </w:p>
        </w:tc>
        <w:tc>
          <w:tcPr>
            <w:tcW w:type="dxa" w:w="4939"/>
            <w:vAlign w:val="top"/>
          </w:tcPr>
          <w:p>
            <w:pPr>
              <w:spacing w:after="0"/>
            </w:pPr>
            <w:r/>
            <w:r>
              <w:rPr>
                <w:rFonts w:ascii="Arial" w:hAnsi="Arial"/>
                <w:b w:val="0"/>
                <w:sz w:val="18"/>
              </w:rPr>
              <w:t>Dataset Architecture and Governance</w:t>
            </w:r>
          </w:p>
        </w:tc>
      </w:tr>
      <w:tr>
        <w:tc>
          <w:tcPr>
            <w:tcW w:type="dxa" w:w="4939"/>
            <w:vAlign w:val="top"/>
          </w:tcPr>
          <w:p>
            <w:pPr>
              <w:spacing w:after="0"/>
            </w:pPr>
            <w:r/>
            <w:r>
              <w:rPr>
                <w:rFonts w:ascii="Arial" w:hAnsi="Arial"/>
                <w:b w:val="0"/>
                <w:sz w:val="18"/>
              </w:rPr>
              <w:t>Primary question</w:t>
            </w:r>
          </w:p>
        </w:tc>
        <w:tc>
          <w:tcPr>
            <w:tcW w:type="dxa" w:w="4939"/>
            <w:vAlign w:val="top"/>
          </w:tcPr>
          <w:p>
            <w:pPr>
              <w:spacing w:after="0"/>
            </w:pPr>
            <w:r/>
            <w:r>
              <w:rPr>
                <w:rFonts w:ascii="Arial" w:hAnsi="Arial"/>
                <w:b w:val="0"/>
                <w:sz w:val="18"/>
              </w:rPr>
              <w:t>What data may be used to develop and evaluate the ML contributor, and under what quality, privacy, labeling, and governance controls?</w:t>
            </w:r>
          </w:p>
        </w:tc>
      </w:tr>
      <w:tr>
        <w:tc>
          <w:tcPr>
            <w:tcW w:type="dxa" w:w="4939"/>
            <w:vAlign w:val="top"/>
          </w:tcPr>
          <w:p>
            <w:pPr>
              <w:spacing w:after="0"/>
            </w:pPr>
            <w:r/>
            <w:r>
              <w:rPr>
                <w:rFonts w:ascii="Arial" w:hAnsi="Arial"/>
                <w:b w:val="0"/>
                <w:sz w:val="18"/>
              </w:rPr>
              <w:t>Depends on</w:t>
            </w:r>
          </w:p>
        </w:tc>
        <w:tc>
          <w:tcPr>
            <w:tcW w:type="dxa" w:w="4939"/>
            <w:vAlign w:val="top"/>
          </w:tcPr>
          <w:p>
            <w:pPr>
              <w:spacing w:after="0"/>
            </w:pPr>
            <w:r/>
            <w:r>
              <w:rPr>
                <w:rFonts w:ascii="Arial" w:hAnsi="Arial"/>
                <w:b w:val="0"/>
                <w:sz w:val="18"/>
              </w:rPr>
              <w:t>Document 0; Document 1 Clinical Knowledge Base; Document 2 Decision Engine Specification; Document 3 Part 1</w:t>
            </w:r>
          </w:p>
        </w:tc>
      </w:tr>
      <w:tr>
        <w:tc>
          <w:tcPr>
            <w:tcW w:type="dxa" w:w="4939"/>
            <w:vAlign w:val="top"/>
          </w:tcPr>
          <w:p>
            <w:pPr>
              <w:spacing w:after="0"/>
            </w:pPr>
            <w:r/>
            <w:r>
              <w:rPr>
                <w:rFonts w:ascii="Arial" w:hAnsi="Arial"/>
                <w:b w:val="0"/>
                <w:sz w:val="18"/>
              </w:rPr>
              <w:t>Implementation context</w:t>
            </w:r>
          </w:p>
        </w:tc>
        <w:tc>
          <w:tcPr>
            <w:tcW w:type="dxa" w:w="4939"/>
            <w:vAlign w:val="top"/>
          </w:tcPr>
          <w:p>
            <w:pPr>
              <w:spacing w:after="0"/>
            </w:pPr>
            <w:r/>
            <w:r>
              <w:rPr>
                <w:rFonts w:ascii="Arial" w:hAnsi="Arial"/>
                <w:b w:val="0"/>
                <w:sz w:val="18"/>
              </w:rPr>
              <w:t>Laravel maternity-management records and an existing Python Random Forest workflow; exact historical training-data provenance must be verified and documented.</w:t>
            </w:r>
          </w:p>
        </w:tc>
      </w:tr>
      <w:tr>
        <w:tc>
          <w:tcPr>
            <w:tcW w:type="dxa" w:w="4939"/>
            <w:vAlign w:val="top"/>
          </w:tcPr>
          <w:p>
            <w:pPr>
              <w:spacing w:after="0"/>
            </w:pPr>
            <w:r/>
            <w:r>
              <w:rPr>
                <w:rFonts w:ascii="Arial" w:hAnsi="Arial"/>
                <w:b w:val="0"/>
                <w:sz w:val="18"/>
              </w:rPr>
              <w:t>Status</w:t>
            </w:r>
          </w:p>
        </w:tc>
        <w:tc>
          <w:tcPr>
            <w:tcW w:type="dxa" w:w="4939"/>
            <w:vAlign w:val="top"/>
          </w:tcPr>
          <w:p>
            <w:pPr>
              <w:spacing w:after="0"/>
            </w:pPr>
            <w:r/>
            <w:r>
              <w:rPr>
                <w:rFonts w:ascii="Arial" w:hAnsi="Arial"/>
                <w:b w:val="0"/>
                <w:sz w:val="18"/>
              </w:rPr>
              <w:t>Research and architecture draft; not evidence of clinical effectiveness or regulatory approval.</w:t>
            </w:r>
          </w:p>
        </w:tc>
      </w:tr>
    </w:tbl>
    <w:p/>
    <w:p>
      <w:pPr>
        <w:pStyle w:val="Heading1"/>
      </w:pPr>
      <w:r>
        <w:t>Executive Dataset Architecture Decision</w:t>
      </w:r>
    </w:p>
    <w:p>
      <w:r>
        <w:t>The project shall maintain a versioned Dataset Package rather than an undocumented spreadsheet or one-time CSV. Each package must identify its lawful and ethical source, unit of observation, intended population, inclusion and exclusion criteria, feature definitions, outcome-label method, cleaning rules, missing-data policy, duplicate handling, data splits, subgroup composition, known limitations, approvals, and immutable version identifier. Training, tuning, and test data must be separated in a manner that prevents patient-level and pregnancy-level leakage.</w:t>
      </w:r>
    </w:p>
    <w:p>
      <w:r>
        <w:t>The current capstone shall not claim that its model represents all pregnant patients in the Philippines, all lying-in clinics, or all obstetric risk conditions unless evidence supports those claims. Where the current dataset is external, synthetic, convenience-based, small, or incompletely documented, that limitation must be stated directly. Local clinic data may be used only after appropriate authorization, privacy protection, governance, and study review. A model trained on a limited dataset may remain a research prototype, but it must not be presented as clinically validated.</w:t>
      </w:r>
    </w:p>
    <w:p>
      <w:pPr>
        <w:pStyle w:val="Heading1"/>
      </w:pPr>
      <w:r>
        <w:t>1.0 Purpose and Scope</w:t>
      </w:r>
    </w:p>
    <w:p>
      <w:r>
        <w:t>Part 2 converts the abstract lifecycle requirements of Part 1 into a concrete dataset architecture. It defines what a row means, how records enter or leave the dataset, how labels are created, how errors and missingness are handled, how privacy is protected, how versions are preserved, and how the dataset remains compatible with the Laravel-Python inference pipeline.</w:t>
      </w:r>
    </w:p>
    <w:p>
      <w:pPr>
        <w:pStyle w:val="ListBullet"/>
      </w:pPr>
      <w:r>
        <w:t>Define the intended dataset population and unit of observation.</w:t>
      </w:r>
    </w:p>
    <w:p>
      <w:pPr>
        <w:pStyle w:val="ListBullet"/>
      </w:pPr>
      <w:r>
        <w:t>Establish source-provenance, access, privacy, consent, and governance requirements.</w:t>
      </w:r>
    </w:p>
    <w:p>
      <w:pPr>
        <w:pStyle w:val="ListBullet"/>
      </w:pPr>
      <w:r>
        <w:t>Define a controlled data dictionary and label dictionary.</w:t>
      </w:r>
    </w:p>
    <w:p>
      <w:pPr>
        <w:pStyle w:val="ListBullet"/>
      </w:pPr>
      <w:r>
        <w:t>Prevent patient, pregnancy, temporal, and preprocessing leakage.</w:t>
      </w:r>
    </w:p>
    <w:p>
      <w:pPr>
        <w:pStyle w:val="ListBullet"/>
      </w:pPr>
      <w:r>
        <w:t>Separate training, tuning, and independent testing data.</w:t>
      </w:r>
    </w:p>
    <w:p>
      <w:pPr>
        <w:pStyle w:val="ListBullet"/>
      </w:pPr>
      <w:r>
        <w:t>Document representativeness, subgroup coverage, and limitations.</w:t>
      </w:r>
    </w:p>
    <w:p>
      <w:pPr>
        <w:pStyle w:val="ListBullet"/>
      </w:pPr>
      <w:r>
        <w:t>Provide reproducible dataset-release and acceptance requirements.</w:t>
      </w:r>
    </w:p>
    <w:p>
      <w:pPr>
        <w:pStyle w:val="ListBullet"/>
      </w:pPr>
      <w:r>
        <w:t>Keep all claims aligned with what the project can actually prove.</w:t>
      </w:r>
    </w:p>
    <w:p>
      <w:pPr>
        <w:pStyle w:val="Heading1"/>
      </w:pPr>
      <w:r>
        <w:t>2.0 Dataset Design Principles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Principle</w:t>
            </w:r>
          </w:p>
        </w:tc>
        <w:tc>
          <w:tcPr>
            <w:tcW w:type="dxa" w:w="4939"/>
            <w:vAlign w:val="top"/>
            <w:shd w:fill="D9EAF7"/>
          </w:tcPr>
          <w:p>
            <w:pPr>
              <w:spacing w:after="0"/>
            </w:pPr>
            <w:r/>
            <w:r>
              <w:rPr>
                <w:rFonts w:ascii="Arial" w:hAnsi="Arial"/>
                <w:b/>
                <w:sz w:val="18"/>
              </w:rPr>
              <w:t>Required interpretation for this capstone</w:t>
            </w:r>
          </w:p>
        </w:tc>
      </w:tr>
      <w:tr>
        <w:tc>
          <w:tcPr>
            <w:tcW w:type="dxa" w:w="4939"/>
            <w:vAlign w:val="top"/>
          </w:tcPr>
          <w:p>
            <w:pPr>
              <w:spacing w:after="0"/>
            </w:pPr>
            <w:r/>
            <w:r>
              <w:rPr>
                <w:rFonts w:ascii="Arial" w:hAnsi="Arial"/>
                <w:b w:val="0"/>
                <w:sz w:val="18"/>
              </w:rPr>
              <w:t>Purpose limitation</w:t>
            </w:r>
          </w:p>
        </w:tc>
        <w:tc>
          <w:tcPr>
            <w:tcW w:type="dxa" w:w="4939"/>
            <w:vAlign w:val="top"/>
          </w:tcPr>
          <w:p>
            <w:pPr>
              <w:spacing w:after="0"/>
            </w:pPr>
            <w:r/>
            <w:r>
              <w:rPr>
                <w:rFonts w:ascii="Arial" w:hAnsi="Arial"/>
                <w:b w:val="0"/>
                <w:sz w:val="18"/>
              </w:rPr>
              <w:t>Collect and use only data necessary for the declared ML-development or evaluation purpose.</w:t>
            </w:r>
          </w:p>
        </w:tc>
      </w:tr>
      <w:tr>
        <w:tc>
          <w:tcPr>
            <w:tcW w:type="dxa" w:w="4939"/>
            <w:vAlign w:val="top"/>
          </w:tcPr>
          <w:p>
            <w:pPr>
              <w:spacing w:after="0"/>
            </w:pPr>
            <w:r/>
            <w:r>
              <w:rPr>
                <w:rFonts w:ascii="Arial" w:hAnsi="Arial"/>
                <w:b w:val="0"/>
                <w:sz w:val="18"/>
              </w:rPr>
              <w:t>Clinical relevance</w:t>
            </w:r>
          </w:p>
        </w:tc>
        <w:tc>
          <w:tcPr>
            <w:tcW w:type="dxa" w:w="4939"/>
            <w:vAlign w:val="top"/>
          </w:tcPr>
          <w:p>
            <w:pPr>
              <w:spacing w:after="0"/>
            </w:pPr>
            <w:r/>
            <w:r>
              <w:rPr>
                <w:rFonts w:ascii="Arial" w:hAnsi="Arial"/>
                <w:b w:val="0"/>
                <w:sz w:val="18"/>
              </w:rPr>
              <w:t>Every feature and label must have a documented meaning connected to the intended risk-assessment task.</w:t>
            </w:r>
          </w:p>
        </w:tc>
      </w:tr>
      <w:tr>
        <w:tc>
          <w:tcPr>
            <w:tcW w:type="dxa" w:w="4939"/>
            <w:vAlign w:val="top"/>
          </w:tcPr>
          <w:p>
            <w:pPr>
              <w:spacing w:after="0"/>
            </w:pPr>
            <w:r/>
            <w:r>
              <w:rPr>
                <w:rFonts w:ascii="Arial" w:hAnsi="Arial"/>
                <w:b w:val="0"/>
                <w:sz w:val="18"/>
              </w:rPr>
              <w:t>Provenance</w:t>
            </w:r>
          </w:p>
        </w:tc>
        <w:tc>
          <w:tcPr>
            <w:tcW w:type="dxa" w:w="4939"/>
            <w:vAlign w:val="top"/>
          </w:tcPr>
          <w:p>
            <w:pPr>
              <w:spacing w:after="0"/>
            </w:pPr>
            <w:r/>
            <w:r>
              <w:rPr>
                <w:rFonts w:ascii="Arial" w:hAnsi="Arial"/>
                <w:b w:val="0"/>
                <w:sz w:val="18"/>
              </w:rPr>
              <w:t>The origin, collection method, time, transformation, and responsible custodian of data must be traceable.</w:t>
            </w:r>
          </w:p>
        </w:tc>
      </w:tr>
      <w:tr>
        <w:tc>
          <w:tcPr>
            <w:tcW w:type="dxa" w:w="4939"/>
            <w:vAlign w:val="top"/>
          </w:tcPr>
          <w:p>
            <w:pPr>
              <w:spacing w:after="0"/>
            </w:pPr>
            <w:r/>
            <w:r>
              <w:rPr>
                <w:rFonts w:ascii="Arial" w:hAnsi="Arial"/>
                <w:b w:val="0"/>
                <w:sz w:val="18"/>
              </w:rPr>
              <w:t>Representativeness</w:t>
            </w:r>
          </w:p>
        </w:tc>
        <w:tc>
          <w:tcPr>
            <w:tcW w:type="dxa" w:w="4939"/>
            <w:vAlign w:val="top"/>
          </w:tcPr>
          <w:p>
            <w:pPr>
              <w:spacing w:after="0"/>
            </w:pPr>
            <w:r/>
            <w:r>
              <w:rPr>
                <w:rFonts w:ascii="Arial" w:hAnsi="Arial"/>
                <w:b w:val="0"/>
                <w:sz w:val="18"/>
              </w:rPr>
              <w:t>The population in the data must be compared with the intended clinic population; gaps must be disclosed.</w:t>
            </w:r>
          </w:p>
        </w:tc>
      </w:tr>
      <w:tr>
        <w:tc>
          <w:tcPr>
            <w:tcW w:type="dxa" w:w="4939"/>
            <w:vAlign w:val="top"/>
          </w:tcPr>
          <w:p>
            <w:pPr>
              <w:spacing w:after="0"/>
            </w:pPr>
            <w:r/>
            <w:r>
              <w:rPr>
                <w:rFonts w:ascii="Arial" w:hAnsi="Arial"/>
                <w:b w:val="0"/>
                <w:sz w:val="18"/>
              </w:rPr>
              <w:t>Independence</w:t>
            </w:r>
          </w:p>
        </w:tc>
        <w:tc>
          <w:tcPr>
            <w:tcW w:type="dxa" w:w="4939"/>
            <w:vAlign w:val="top"/>
          </w:tcPr>
          <w:p>
            <w:pPr>
              <w:spacing w:after="0"/>
            </w:pPr>
            <w:r/>
            <w:r>
              <w:rPr>
                <w:rFonts w:ascii="Arial" w:hAnsi="Arial"/>
                <w:b w:val="0"/>
                <w:sz w:val="18"/>
              </w:rPr>
              <w:t>Test records must not influence feature design, preprocessing, tuning, threshold selection, or model choice.</w:t>
            </w:r>
          </w:p>
        </w:tc>
      </w:tr>
      <w:tr>
        <w:tc>
          <w:tcPr>
            <w:tcW w:type="dxa" w:w="4939"/>
            <w:vAlign w:val="top"/>
          </w:tcPr>
          <w:p>
            <w:pPr>
              <w:spacing w:after="0"/>
            </w:pPr>
            <w:r/>
            <w:r>
              <w:rPr>
                <w:rFonts w:ascii="Arial" w:hAnsi="Arial"/>
                <w:b w:val="0"/>
                <w:sz w:val="18"/>
              </w:rPr>
              <w:t>Data minimization</w:t>
            </w:r>
          </w:p>
        </w:tc>
        <w:tc>
          <w:tcPr>
            <w:tcW w:type="dxa" w:w="4939"/>
            <w:vAlign w:val="top"/>
          </w:tcPr>
          <w:p>
            <w:pPr>
              <w:spacing w:after="0"/>
            </w:pPr>
            <w:r/>
            <w:r>
              <w:rPr>
                <w:rFonts w:ascii="Arial" w:hAnsi="Arial"/>
                <w:b w:val="0"/>
                <w:sz w:val="18"/>
              </w:rPr>
              <w:t>Direct identifiers and irrelevant clinical details must not enter the development dataset.</w:t>
            </w:r>
          </w:p>
        </w:tc>
      </w:tr>
      <w:tr>
        <w:tc>
          <w:tcPr>
            <w:tcW w:type="dxa" w:w="4939"/>
            <w:vAlign w:val="top"/>
          </w:tcPr>
          <w:p>
            <w:pPr>
              <w:spacing w:after="0"/>
            </w:pPr>
            <w:r/>
            <w:r>
              <w:rPr>
                <w:rFonts w:ascii="Arial" w:hAnsi="Arial"/>
                <w:b w:val="0"/>
                <w:sz w:val="18"/>
              </w:rPr>
              <w:t>Reproducibility</w:t>
            </w:r>
          </w:p>
        </w:tc>
        <w:tc>
          <w:tcPr>
            <w:tcW w:type="dxa" w:w="4939"/>
            <w:vAlign w:val="top"/>
          </w:tcPr>
          <w:p>
            <w:pPr>
              <w:spacing w:after="0"/>
            </w:pPr>
            <w:r/>
            <w:r>
              <w:rPr>
                <w:rFonts w:ascii="Arial" w:hAnsi="Arial"/>
                <w:b w:val="0"/>
                <w:sz w:val="18"/>
              </w:rPr>
              <w:t>A dataset version must be regenerable from documented source snapshots and code.</w:t>
            </w:r>
          </w:p>
        </w:tc>
      </w:tr>
      <w:tr>
        <w:tc>
          <w:tcPr>
            <w:tcW w:type="dxa" w:w="4939"/>
            <w:vAlign w:val="top"/>
          </w:tcPr>
          <w:p>
            <w:pPr>
              <w:spacing w:after="0"/>
            </w:pPr>
            <w:r/>
            <w:r>
              <w:rPr>
                <w:rFonts w:ascii="Arial" w:hAnsi="Arial"/>
                <w:b w:val="0"/>
                <w:sz w:val="18"/>
              </w:rPr>
              <w:t>Non-deception</w:t>
            </w:r>
          </w:p>
        </w:tc>
        <w:tc>
          <w:tcPr>
            <w:tcW w:type="dxa" w:w="4939"/>
            <w:vAlign w:val="top"/>
          </w:tcPr>
          <w:p>
            <w:pPr>
              <w:spacing w:after="0"/>
            </w:pPr>
            <w:r/>
            <w:r>
              <w:rPr>
                <w:rFonts w:ascii="Arial" w:hAnsi="Arial"/>
                <w:b w:val="0"/>
                <w:sz w:val="18"/>
              </w:rPr>
              <w:t>Unknown provenance, weak labels, or limited scope must never be hidden behind a performance metric.</w:t>
            </w:r>
          </w:p>
        </w:tc>
      </w:tr>
    </w:tbl>
    <w:p/>
    <w:p>
      <w:r>
        <w:br w:type="page"/>
      </w:r>
    </w:p>
    <w:p>
      <w:pPr>
        <w:pStyle w:val="Heading1"/>
      </w:pPr>
      <w:r>
        <w:t>3.0 Intended Population and Context of Use</w:t>
      </w:r>
    </w:p>
    <w:p>
      <w:r>
        <w:t>The intended operational context is a Philippine lying-in clinic where a midwife or other authorized user records prenatal information and receives decision support. This context is narrower than a tertiary hospital, national surveillance system, or autonomous diagnostic service. The development dataset should therefore be assessed against the characteristics of the actual target population and workflow.</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Population dimension</w:t>
            </w:r>
          </w:p>
        </w:tc>
        <w:tc>
          <w:tcPr>
            <w:tcW w:type="dxa" w:w="4939"/>
            <w:vAlign w:val="top"/>
            <w:shd w:fill="D9EAF7"/>
          </w:tcPr>
          <w:p>
            <w:pPr>
              <w:spacing w:after="0"/>
            </w:pPr>
            <w:r/>
            <w:r>
              <w:rPr>
                <w:rFonts w:ascii="Arial" w:hAnsi="Arial"/>
                <w:b/>
                <w:sz w:val="18"/>
              </w:rPr>
              <w:t>Required documentation</w:t>
            </w:r>
          </w:p>
        </w:tc>
      </w:tr>
      <w:tr>
        <w:tc>
          <w:tcPr>
            <w:tcW w:type="dxa" w:w="4939"/>
            <w:vAlign w:val="top"/>
          </w:tcPr>
          <w:p>
            <w:pPr>
              <w:spacing w:after="0"/>
            </w:pPr>
            <w:r/>
            <w:r>
              <w:rPr>
                <w:rFonts w:ascii="Arial" w:hAnsi="Arial"/>
                <w:b w:val="0"/>
                <w:sz w:val="18"/>
              </w:rPr>
              <w:t>Clinical setting</w:t>
            </w:r>
          </w:p>
        </w:tc>
        <w:tc>
          <w:tcPr>
            <w:tcW w:type="dxa" w:w="4939"/>
            <w:vAlign w:val="top"/>
          </w:tcPr>
          <w:p>
            <w:pPr>
              <w:spacing w:after="0"/>
            </w:pPr>
            <w:r/>
            <w:r>
              <w:rPr>
                <w:rFonts w:ascii="Arial" w:hAnsi="Arial"/>
                <w:b w:val="0"/>
                <w:sz w:val="18"/>
              </w:rPr>
              <w:t>Lying-in clinic, outpatient prenatal workflow, referral limitations, and available staff.</w:t>
            </w:r>
          </w:p>
        </w:tc>
      </w:tr>
      <w:tr>
        <w:tc>
          <w:tcPr>
            <w:tcW w:type="dxa" w:w="4939"/>
            <w:vAlign w:val="top"/>
          </w:tcPr>
          <w:p>
            <w:pPr>
              <w:spacing w:after="0"/>
            </w:pPr>
            <w:r/>
            <w:r>
              <w:rPr>
                <w:rFonts w:ascii="Arial" w:hAnsi="Arial"/>
                <w:b w:val="0"/>
                <w:sz w:val="18"/>
              </w:rPr>
              <w:t>Patient status</w:t>
            </w:r>
          </w:p>
        </w:tc>
        <w:tc>
          <w:tcPr>
            <w:tcW w:type="dxa" w:w="4939"/>
            <w:vAlign w:val="top"/>
          </w:tcPr>
          <w:p>
            <w:pPr>
              <w:spacing w:after="0"/>
            </w:pPr>
            <w:r/>
            <w:r>
              <w:rPr>
                <w:rFonts w:ascii="Arial" w:hAnsi="Arial"/>
                <w:b w:val="0"/>
                <w:sz w:val="18"/>
              </w:rPr>
              <w:t>Pregnant patients with an active pregnancy episode; delivered historical pregnancies are separate episodes.</w:t>
            </w:r>
          </w:p>
        </w:tc>
      </w:tr>
      <w:tr>
        <w:tc>
          <w:tcPr>
            <w:tcW w:type="dxa" w:w="4939"/>
            <w:vAlign w:val="top"/>
          </w:tcPr>
          <w:p>
            <w:pPr>
              <w:spacing w:after="0"/>
            </w:pPr>
            <w:r/>
            <w:r>
              <w:rPr>
                <w:rFonts w:ascii="Arial" w:hAnsi="Arial"/>
                <w:b w:val="0"/>
                <w:sz w:val="18"/>
              </w:rPr>
              <w:t>Care stage</w:t>
            </w:r>
          </w:p>
        </w:tc>
        <w:tc>
          <w:tcPr>
            <w:tcW w:type="dxa" w:w="4939"/>
            <w:vAlign w:val="top"/>
          </w:tcPr>
          <w:p>
            <w:pPr>
              <w:spacing w:after="0"/>
            </w:pPr>
            <w:r/>
            <w:r>
              <w:rPr>
                <w:rFonts w:ascii="Arial" w:hAnsi="Arial"/>
                <w:b w:val="0"/>
                <w:sz w:val="18"/>
              </w:rPr>
              <w:t>Prenatal assessment context and timing of the data used for prediction.</w:t>
            </w:r>
          </w:p>
        </w:tc>
      </w:tr>
      <w:tr>
        <w:tc>
          <w:tcPr>
            <w:tcW w:type="dxa" w:w="4939"/>
            <w:vAlign w:val="top"/>
          </w:tcPr>
          <w:p>
            <w:pPr>
              <w:spacing w:after="0"/>
            </w:pPr>
            <w:r/>
            <w:r>
              <w:rPr>
                <w:rFonts w:ascii="Arial" w:hAnsi="Arial"/>
                <w:b w:val="0"/>
                <w:sz w:val="18"/>
              </w:rPr>
              <w:t>Geography</w:t>
            </w:r>
          </w:p>
        </w:tc>
        <w:tc>
          <w:tcPr>
            <w:tcW w:type="dxa" w:w="4939"/>
            <w:vAlign w:val="top"/>
          </w:tcPr>
          <w:p>
            <w:pPr>
              <w:spacing w:after="0"/>
            </w:pPr>
            <w:r/>
            <w:r>
              <w:rPr>
                <w:rFonts w:ascii="Arial" w:hAnsi="Arial"/>
                <w:b w:val="0"/>
                <w:sz w:val="18"/>
              </w:rPr>
              <w:t>Country, region, facility, or external source represented by the dataset.</w:t>
            </w:r>
          </w:p>
        </w:tc>
      </w:tr>
      <w:tr>
        <w:tc>
          <w:tcPr>
            <w:tcW w:type="dxa" w:w="4939"/>
            <w:vAlign w:val="top"/>
          </w:tcPr>
          <w:p>
            <w:pPr>
              <w:spacing w:after="0"/>
            </w:pPr>
            <w:r/>
            <w:r>
              <w:rPr>
                <w:rFonts w:ascii="Arial" w:hAnsi="Arial"/>
                <w:b w:val="0"/>
                <w:sz w:val="18"/>
              </w:rPr>
              <w:t>Age range</w:t>
            </w:r>
          </w:p>
        </w:tc>
        <w:tc>
          <w:tcPr>
            <w:tcW w:type="dxa" w:w="4939"/>
            <w:vAlign w:val="top"/>
          </w:tcPr>
          <w:p>
            <w:pPr>
              <w:spacing w:after="0"/>
            </w:pPr>
            <w:r/>
            <w:r>
              <w:rPr>
                <w:rFonts w:ascii="Arial" w:hAnsi="Arial"/>
                <w:b w:val="0"/>
                <w:sz w:val="18"/>
              </w:rPr>
              <w:t>Observed and intended maternal-age distribution, including underrepresented groups.</w:t>
            </w:r>
          </w:p>
        </w:tc>
      </w:tr>
      <w:tr>
        <w:tc>
          <w:tcPr>
            <w:tcW w:type="dxa" w:w="4939"/>
            <w:vAlign w:val="top"/>
          </w:tcPr>
          <w:p>
            <w:pPr>
              <w:spacing w:after="0"/>
            </w:pPr>
            <w:r/>
            <w:r>
              <w:rPr>
                <w:rFonts w:ascii="Arial" w:hAnsi="Arial"/>
                <w:b w:val="0"/>
                <w:sz w:val="18"/>
              </w:rPr>
              <w:t>Pregnancy history</w:t>
            </w:r>
          </w:p>
        </w:tc>
        <w:tc>
          <w:tcPr>
            <w:tcW w:type="dxa" w:w="4939"/>
            <w:vAlign w:val="top"/>
          </w:tcPr>
          <w:p>
            <w:pPr>
              <w:spacing w:after="0"/>
            </w:pPr>
            <w:r/>
            <w:r>
              <w:rPr>
                <w:rFonts w:ascii="Arial" w:hAnsi="Arial"/>
                <w:b w:val="0"/>
                <w:sz w:val="18"/>
              </w:rPr>
              <w:t>Distribution of gravida, parity, first pregnancy, previous cesarean birth, and miscarriage history when present.</w:t>
            </w:r>
          </w:p>
        </w:tc>
      </w:tr>
      <w:tr>
        <w:tc>
          <w:tcPr>
            <w:tcW w:type="dxa" w:w="4939"/>
            <w:vAlign w:val="top"/>
          </w:tcPr>
          <w:p>
            <w:pPr>
              <w:spacing w:after="0"/>
            </w:pPr>
            <w:r/>
            <w:r>
              <w:rPr>
                <w:rFonts w:ascii="Arial" w:hAnsi="Arial"/>
                <w:b w:val="0"/>
                <w:sz w:val="18"/>
              </w:rPr>
              <w:t>Clinical condition prevalence</w:t>
            </w:r>
          </w:p>
        </w:tc>
        <w:tc>
          <w:tcPr>
            <w:tcW w:type="dxa" w:w="4939"/>
            <w:vAlign w:val="top"/>
          </w:tcPr>
          <w:p>
            <w:pPr>
              <w:spacing w:after="0"/>
            </w:pPr>
            <w:r/>
            <w:r>
              <w:rPr>
                <w:rFonts w:ascii="Arial" w:hAnsi="Arial"/>
                <w:b w:val="0"/>
                <w:sz w:val="18"/>
              </w:rPr>
              <w:t>Observed frequency of hypertension-related findings, diabetes, anemia, abnormal ultrasound findings, and other modeled conditions.</w:t>
            </w:r>
          </w:p>
        </w:tc>
      </w:tr>
      <w:tr>
        <w:tc>
          <w:tcPr>
            <w:tcW w:type="dxa" w:w="4939"/>
            <w:vAlign w:val="top"/>
          </w:tcPr>
          <w:p>
            <w:pPr>
              <w:spacing w:after="0"/>
            </w:pPr>
            <w:r/>
            <w:r>
              <w:rPr>
                <w:rFonts w:ascii="Arial" w:hAnsi="Arial"/>
                <w:b w:val="0"/>
                <w:sz w:val="18"/>
              </w:rPr>
              <w:t>Exclusions</w:t>
            </w:r>
          </w:p>
        </w:tc>
        <w:tc>
          <w:tcPr>
            <w:tcW w:type="dxa" w:w="4939"/>
            <w:vAlign w:val="top"/>
          </w:tcPr>
          <w:p>
            <w:pPr>
              <w:spacing w:after="0"/>
            </w:pPr>
            <w:r/>
            <w:r>
              <w:rPr>
                <w:rFonts w:ascii="Arial" w:hAnsi="Arial"/>
                <w:b w:val="0"/>
                <w:sz w:val="18"/>
              </w:rPr>
              <w:t>Populations not represented or not appropriate for the model, such as unsupported care settings or missing essential context.</w:t>
            </w:r>
          </w:p>
        </w:tc>
      </w:tr>
    </w:tbl>
    <w:p/>
    <w:p>
      <w:r>
        <w:t>A dataset from a different country, hospital level, time period, or measurement practice may be useful for experimentation, but transportability to the target clinic must not be assumed. Local validation is required before stronger claims are made.</w:t>
      </w:r>
    </w:p>
    <w:p>
      <w:pPr>
        <w:pStyle w:val="Heading1"/>
      </w:pPr>
      <w:r>
        <w:t>4.0 Unit of Observation and Record Identity</w:t>
      </w:r>
    </w:p>
    <w:p>
      <w:r>
        <w:t>The unit of observation must be defined before any cleaning or splitting. For this project, the preferred analytical unit is a patient-pregnancy assessment snapshot: one set of features available at a defined assessment time for one active pregnancy. It is not simply a patient row, because the same patient may have multiple pregnancies and multiple prenatal visits.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Identity level</w:t>
            </w:r>
          </w:p>
        </w:tc>
        <w:tc>
          <w:tcPr>
            <w:tcW w:type="dxa" w:w="4939"/>
            <w:vAlign w:val="top"/>
            <w:shd w:fill="D9EAF7"/>
          </w:tcPr>
          <w:p>
            <w:pPr>
              <w:spacing w:after="0"/>
            </w:pPr>
            <w:r/>
            <w:r>
              <w:rPr>
                <w:rFonts w:ascii="Arial" w:hAnsi="Arial"/>
                <w:b/>
                <w:sz w:val="18"/>
              </w:rPr>
              <w:t>Design rule</w:t>
            </w:r>
          </w:p>
        </w:tc>
      </w:tr>
      <w:tr>
        <w:tc>
          <w:tcPr>
            <w:tcW w:type="dxa" w:w="4939"/>
            <w:vAlign w:val="top"/>
          </w:tcPr>
          <w:p>
            <w:pPr>
              <w:spacing w:after="0"/>
            </w:pPr>
            <w:r/>
            <w:r>
              <w:rPr>
                <w:rFonts w:ascii="Arial" w:hAnsi="Arial"/>
                <w:b w:val="0"/>
                <w:sz w:val="18"/>
              </w:rPr>
              <w:t>Patient</w:t>
            </w:r>
          </w:p>
        </w:tc>
        <w:tc>
          <w:tcPr>
            <w:tcW w:type="dxa" w:w="4939"/>
            <w:vAlign w:val="top"/>
          </w:tcPr>
          <w:p>
            <w:pPr>
              <w:spacing w:after="0"/>
            </w:pPr>
            <w:r/>
            <w:r>
              <w:rPr>
                <w:rFonts w:ascii="Arial" w:hAnsi="Arial"/>
                <w:b w:val="0"/>
                <w:sz w:val="18"/>
              </w:rPr>
              <w:t>Stable internal identity used only to group episodes and prevent cross-split leakage.</w:t>
            </w:r>
          </w:p>
        </w:tc>
      </w:tr>
      <w:tr>
        <w:tc>
          <w:tcPr>
            <w:tcW w:type="dxa" w:w="4939"/>
            <w:vAlign w:val="top"/>
          </w:tcPr>
          <w:p>
            <w:pPr>
              <w:spacing w:after="0"/>
            </w:pPr>
            <w:r/>
            <w:r>
              <w:rPr>
                <w:rFonts w:ascii="Arial" w:hAnsi="Arial"/>
                <w:b w:val="0"/>
                <w:sz w:val="18"/>
              </w:rPr>
              <w:t>Pregnancy episode</w:t>
            </w:r>
          </w:p>
        </w:tc>
        <w:tc>
          <w:tcPr>
            <w:tcW w:type="dxa" w:w="4939"/>
            <w:vAlign w:val="top"/>
          </w:tcPr>
          <w:p>
            <w:pPr>
              <w:spacing w:after="0"/>
            </w:pPr>
            <w:r/>
            <w:r>
              <w:rPr>
                <w:rFonts w:ascii="Arial" w:hAnsi="Arial"/>
                <w:b w:val="0"/>
                <w:sz w:val="18"/>
              </w:rPr>
              <w:t>Distinct pregnancy lifecycle; a new pregnancy must never inherit outcome labels or future features from an earlier pregnancy.</w:t>
            </w:r>
          </w:p>
        </w:tc>
      </w:tr>
      <w:tr>
        <w:tc>
          <w:tcPr>
            <w:tcW w:type="dxa" w:w="4939"/>
            <w:vAlign w:val="top"/>
          </w:tcPr>
          <w:p>
            <w:pPr>
              <w:spacing w:after="0"/>
            </w:pPr>
            <w:r/>
            <w:r>
              <w:rPr>
                <w:rFonts w:ascii="Arial" w:hAnsi="Arial"/>
                <w:b w:val="0"/>
                <w:sz w:val="18"/>
              </w:rPr>
              <w:t>Assessment snapshot</w:t>
            </w:r>
          </w:p>
        </w:tc>
        <w:tc>
          <w:tcPr>
            <w:tcW w:type="dxa" w:w="4939"/>
            <w:vAlign w:val="top"/>
          </w:tcPr>
          <w:p>
            <w:pPr>
              <w:spacing w:after="0"/>
            </w:pPr>
            <w:r/>
            <w:r>
              <w:rPr>
                <w:rFonts w:ascii="Arial" w:hAnsi="Arial"/>
                <w:b w:val="0"/>
                <w:sz w:val="18"/>
              </w:rPr>
              <w:t>Feature values available at the prediction time. Later events must not be backfilled into earlier snapshots.</w:t>
            </w:r>
          </w:p>
        </w:tc>
      </w:tr>
      <w:tr>
        <w:tc>
          <w:tcPr>
            <w:tcW w:type="dxa" w:w="4939"/>
            <w:vAlign w:val="top"/>
          </w:tcPr>
          <w:p>
            <w:pPr>
              <w:spacing w:after="0"/>
            </w:pPr>
            <w:r/>
            <w:r>
              <w:rPr>
                <w:rFonts w:ascii="Arial" w:hAnsi="Arial"/>
                <w:b w:val="0"/>
                <w:sz w:val="18"/>
              </w:rPr>
              <w:t>Prenatal visit</w:t>
            </w:r>
          </w:p>
        </w:tc>
        <w:tc>
          <w:tcPr>
            <w:tcW w:type="dxa" w:w="4939"/>
            <w:vAlign w:val="top"/>
          </w:tcPr>
          <w:p>
            <w:pPr>
              <w:spacing w:after="0"/>
            </w:pPr>
            <w:r/>
            <w:r>
              <w:rPr>
                <w:rFonts w:ascii="Arial" w:hAnsi="Arial"/>
                <w:b w:val="0"/>
                <w:sz w:val="18"/>
              </w:rPr>
              <w:t>Time-stamped clinical encounter that may contribute observations to a snapshot.</w:t>
            </w:r>
          </w:p>
        </w:tc>
      </w:tr>
      <w:tr>
        <w:tc>
          <w:tcPr>
            <w:tcW w:type="dxa" w:w="4939"/>
            <w:vAlign w:val="top"/>
          </w:tcPr>
          <w:p>
            <w:pPr>
              <w:spacing w:after="0"/>
            </w:pPr>
            <w:r/>
            <w:r>
              <w:rPr>
                <w:rFonts w:ascii="Arial" w:hAnsi="Arial"/>
                <w:b w:val="0"/>
                <w:sz w:val="18"/>
              </w:rPr>
              <w:t>Outcome/label</w:t>
            </w:r>
          </w:p>
        </w:tc>
        <w:tc>
          <w:tcPr>
            <w:tcW w:type="dxa" w:w="4939"/>
            <w:vAlign w:val="top"/>
          </w:tcPr>
          <w:p>
            <w:pPr>
              <w:spacing w:after="0"/>
            </w:pPr>
            <w:r/>
            <w:r>
              <w:rPr>
                <w:rFonts w:ascii="Arial" w:hAnsi="Arial"/>
                <w:b w:val="0"/>
                <w:sz w:val="18"/>
              </w:rPr>
              <w:t>Defined target associated with the permitted prediction horizon, not an arbitrary future event.</w:t>
            </w:r>
          </w:p>
        </w:tc>
      </w:tr>
    </w:tbl>
    <w:p/>
    <w:p>
      <w:r>
        <w:t>When multiple snapshots from the same pregnancy are used, all snapshots from that pregnancy must remain in the same data partition unless a specifically justified temporal evaluation design is used. Otherwise, nearly identical records may appear in both training and testing and inflate reported performance.</w:t>
      </w:r>
    </w:p>
    <w:p>
      <w:pPr>
        <w:pStyle w:val="Heading1"/>
      </w:pPr>
      <w:r>
        <w:t>5.0 Data Source Architecture</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top"/>
            <w:shd w:fill="D9EAF7"/>
          </w:tcPr>
          <w:p>
            <w:pPr>
              <w:spacing w:after="0"/>
            </w:pPr>
            <w:r/>
            <w:r>
              <w:rPr>
                <w:rFonts w:ascii="Arial" w:hAnsi="Arial"/>
                <w:b/>
                <w:sz w:val="18"/>
              </w:rPr>
              <w:t>Source category</w:t>
            </w:r>
          </w:p>
        </w:tc>
        <w:tc>
          <w:tcPr>
            <w:tcW w:type="dxa" w:w="3293"/>
            <w:vAlign w:val="top"/>
            <w:shd w:fill="D9EAF7"/>
          </w:tcPr>
          <w:p>
            <w:pPr>
              <w:spacing w:after="0"/>
            </w:pPr>
            <w:r/>
            <w:r>
              <w:rPr>
                <w:rFonts w:ascii="Arial" w:hAnsi="Arial"/>
                <w:b/>
                <w:sz w:val="18"/>
              </w:rPr>
              <w:t>Potential use</w:t>
            </w:r>
          </w:p>
        </w:tc>
        <w:tc>
          <w:tcPr>
            <w:tcW w:type="dxa" w:w="3293"/>
            <w:vAlign w:val="top"/>
            <w:shd w:fill="D9EAF7"/>
          </w:tcPr>
          <w:p>
            <w:pPr>
              <w:spacing w:after="0"/>
            </w:pPr>
            <w:r/>
            <w:r>
              <w:rPr>
                <w:rFonts w:ascii="Arial" w:hAnsi="Arial"/>
                <w:b/>
                <w:sz w:val="18"/>
              </w:rPr>
              <w:t>Mandatory caution</w:t>
            </w:r>
          </w:p>
        </w:tc>
      </w:tr>
      <w:tr>
        <w:tc>
          <w:tcPr>
            <w:tcW w:type="dxa" w:w="3293"/>
            <w:vAlign w:val="top"/>
          </w:tcPr>
          <w:p>
            <w:pPr>
              <w:spacing w:after="0"/>
            </w:pPr>
            <w:r/>
            <w:r>
              <w:rPr>
                <w:rFonts w:ascii="Arial" w:hAnsi="Arial"/>
                <w:b w:val="0"/>
                <w:sz w:val="18"/>
              </w:rPr>
              <w:t>Current Laravel application records</w:t>
            </w:r>
          </w:p>
        </w:tc>
        <w:tc>
          <w:tcPr>
            <w:tcW w:type="dxa" w:w="3293"/>
            <w:vAlign w:val="top"/>
          </w:tcPr>
          <w:p>
            <w:pPr>
              <w:spacing w:after="0"/>
            </w:pPr>
            <w:r/>
            <w:r>
              <w:rPr>
                <w:rFonts w:ascii="Arial" w:hAnsi="Arial"/>
                <w:b w:val="0"/>
                <w:sz w:val="18"/>
              </w:rPr>
              <w:t>Local workflow analysis, prospective validation, or future model development after approval.</w:t>
            </w:r>
          </w:p>
        </w:tc>
        <w:tc>
          <w:tcPr>
            <w:tcW w:type="dxa" w:w="3293"/>
            <w:vAlign w:val="top"/>
          </w:tcPr>
          <w:p>
            <w:pPr>
              <w:spacing w:after="0"/>
            </w:pPr>
            <w:r/>
            <w:r>
              <w:rPr>
                <w:rFonts w:ascii="Arial" w:hAnsi="Arial"/>
                <w:b w:val="0"/>
                <w:sz w:val="18"/>
              </w:rPr>
              <w:t>Contains sensitive personal and health information; cannot be reused casually for research or model training.</w:t>
            </w:r>
          </w:p>
        </w:tc>
      </w:tr>
      <w:tr>
        <w:tc>
          <w:tcPr>
            <w:tcW w:type="dxa" w:w="3293"/>
            <w:vAlign w:val="top"/>
          </w:tcPr>
          <w:p>
            <w:pPr>
              <w:spacing w:after="0"/>
            </w:pPr>
            <w:r/>
            <w:r>
              <w:rPr>
                <w:rFonts w:ascii="Arial" w:hAnsi="Arial"/>
                <w:b w:val="0"/>
                <w:sz w:val="18"/>
              </w:rPr>
              <w:t>Legacy clinic records</w:t>
            </w:r>
          </w:p>
        </w:tc>
        <w:tc>
          <w:tcPr>
            <w:tcW w:type="dxa" w:w="3293"/>
            <w:vAlign w:val="top"/>
          </w:tcPr>
          <w:p>
            <w:pPr>
              <w:spacing w:after="0"/>
            </w:pPr>
            <w:r/>
            <w:r>
              <w:rPr>
                <w:rFonts w:ascii="Arial" w:hAnsi="Arial"/>
                <w:b w:val="0"/>
                <w:sz w:val="18"/>
              </w:rPr>
              <w:t>Historical cohort development if records are lawful, interpretable, and sufficiently complete.</w:t>
            </w:r>
          </w:p>
        </w:tc>
        <w:tc>
          <w:tcPr>
            <w:tcW w:type="dxa" w:w="3293"/>
            <w:vAlign w:val="top"/>
          </w:tcPr>
          <w:p>
            <w:pPr>
              <w:spacing w:after="0"/>
            </w:pPr>
            <w:r/>
            <w:r>
              <w:rPr>
                <w:rFonts w:ascii="Arial" w:hAnsi="Arial"/>
                <w:b w:val="0"/>
                <w:sz w:val="18"/>
              </w:rPr>
              <w:t>Measurement inconsistency, missingness, handwritten abstraction errors, and changing clinical practice.</w:t>
            </w:r>
          </w:p>
        </w:tc>
      </w:tr>
      <w:tr>
        <w:tc>
          <w:tcPr>
            <w:tcW w:type="dxa" w:w="3293"/>
            <w:vAlign w:val="top"/>
          </w:tcPr>
          <w:p>
            <w:pPr>
              <w:spacing w:after="0"/>
            </w:pPr>
            <w:r/>
            <w:r>
              <w:rPr>
                <w:rFonts w:ascii="Arial" w:hAnsi="Arial"/>
                <w:b w:val="0"/>
                <w:sz w:val="18"/>
              </w:rPr>
              <w:t>Public or external dataset</w:t>
            </w:r>
          </w:p>
        </w:tc>
        <w:tc>
          <w:tcPr>
            <w:tcW w:type="dxa" w:w="3293"/>
            <w:vAlign w:val="top"/>
          </w:tcPr>
          <w:p>
            <w:pPr>
              <w:spacing w:after="0"/>
            </w:pPr>
            <w:r/>
            <w:r>
              <w:rPr>
                <w:rFonts w:ascii="Arial" w:hAnsi="Arial"/>
                <w:b w:val="0"/>
                <w:sz w:val="18"/>
              </w:rPr>
              <w:t>Algorithm prototyping, method comparison, educational experimentation.</w:t>
            </w:r>
          </w:p>
        </w:tc>
        <w:tc>
          <w:tcPr>
            <w:tcW w:type="dxa" w:w="3293"/>
            <w:vAlign w:val="top"/>
          </w:tcPr>
          <w:p>
            <w:pPr>
              <w:spacing w:after="0"/>
            </w:pPr>
            <w:r/>
            <w:r>
              <w:rPr>
                <w:rFonts w:ascii="Arial" w:hAnsi="Arial"/>
                <w:b w:val="0"/>
                <w:sz w:val="18"/>
              </w:rPr>
              <w:t>Population and label definitions may not match the lying-in clinic or Philippine context.</w:t>
            </w:r>
          </w:p>
        </w:tc>
      </w:tr>
      <w:tr>
        <w:tc>
          <w:tcPr>
            <w:tcW w:type="dxa" w:w="3293"/>
            <w:vAlign w:val="top"/>
          </w:tcPr>
          <w:p>
            <w:pPr>
              <w:spacing w:after="0"/>
            </w:pPr>
            <w:r/>
            <w:r>
              <w:rPr>
                <w:rFonts w:ascii="Arial" w:hAnsi="Arial"/>
                <w:b w:val="0"/>
                <w:sz w:val="18"/>
              </w:rPr>
              <w:t>Synthetic data</w:t>
            </w:r>
          </w:p>
        </w:tc>
        <w:tc>
          <w:tcPr>
            <w:tcW w:type="dxa" w:w="3293"/>
            <w:vAlign w:val="top"/>
          </w:tcPr>
          <w:p>
            <w:pPr>
              <w:spacing w:after="0"/>
            </w:pPr>
            <w:r/>
            <w:r>
              <w:rPr>
                <w:rFonts w:ascii="Arial" w:hAnsi="Arial"/>
                <w:b w:val="0"/>
                <w:sz w:val="18"/>
              </w:rPr>
              <w:t>Software testing, demonstrations, and edge-case validation.</w:t>
            </w:r>
          </w:p>
        </w:tc>
        <w:tc>
          <w:tcPr>
            <w:tcW w:type="dxa" w:w="3293"/>
            <w:vAlign w:val="top"/>
          </w:tcPr>
          <w:p>
            <w:pPr>
              <w:spacing w:after="0"/>
            </w:pPr>
            <w:r/>
            <w:r>
              <w:rPr>
                <w:rFonts w:ascii="Arial" w:hAnsi="Arial"/>
                <w:b w:val="0"/>
                <w:sz w:val="18"/>
              </w:rPr>
              <w:t>Must not be represented as evidence of clinical accuracy or population performance.</w:t>
            </w:r>
          </w:p>
        </w:tc>
      </w:tr>
      <w:tr>
        <w:tc>
          <w:tcPr>
            <w:tcW w:type="dxa" w:w="3293"/>
            <w:vAlign w:val="top"/>
          </w:tcPr>
          <w:p>
            <w:pPr>
              <w:spacing w:after="0"/>
            </w:pPr>
            <w:r/>
            <w:r>
              <w:rPr>
                <w:rFonts w:ascii="Arial" w:hAnsi="Arial"/>
                <w:b w:val="0"/>
                <w:sz w:val="18"/>
              </w:rPr>
              <w:t>Expert-authored test cases</w:t>
            </w:r>
          </w:p>
        </w:tc>
        <w:tc>
          <w:tcPr>
            <w:tcW w:type="dxa" w:w="3293"/>
            <w:vAlign w:val="top"/>
          </w:tcPr>
          <w:p>
            <w:pPr>
              <w:spacing w:after="0"/>
            </w:pPr>
            <w:r/>
            <w:r>
              <w:rPr>
                <w:rFonts w:ascii="Arial" w:hAnsi="Arial"/>
                <w:b w:val="0"/>
                <w:sz w:val="18"/>
              </w:rPr>
              <w:t>Rule and integration verification.</w:t>
            </w:r>
          </w:p>
        </w:tc>
        <w:tc>
          <w:tcPr>
            <w:tcW w:type="dxa" w:w="3293"/>
            <w:vAlign w:val="top"/>
          </w:tcPr>
          <w:p>
            <w:pPr>
              <w:spacing w:after="0"/>
            </w:pPr>
            <w:r/>
            <w:r>
              <w:rPr>
                <w:rFonts w:ascii="Arial" w:hAnsi="Arial"/>
                <w:b w:val="0"/>
                <w:sz w:val="18"/>
              </w:rPr>
              <w:t>Useful for functional safety tests, not for estimating model performance.</w:t>
            </w:r>
          </w:p>
        </w:tc>
      </w:tr>
    </w:tbl>
    <w:p/>
    <w:p>
      <w:r>
        <w:t>The project team must create a Dataset Source Declaration for the actual dataset used by the current Random Forest model. If the original source, license, collection setting, variables, or label-generation method cannot be verified, the model shall be classified as an experimental prototype and its performance claims shall be restricted accordingly.</w:t>
      </w:r>
    </w:p>
    <w:p>
      <w:pPr>
        <w:pStyle w:val="Heading1"/>
      </w:pPr>
      <w:r>
        <w:t>6.0 Dataset Source Declaration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Declaration field</w:t>
            </w:r>
          </w:p>
        </w:tc>
        <w:tc>
          <w:tcPr>
            <w:tcW w:type="dxa" w:w="4939"/>
            <w:vAlign w:val="top"/>
            <w:shd w:fill="D9EAF7"/>
          </w:tcPr>
          <w:p>
            <w:pPr>
              <w:spacing w:after="0"/>
            </w:pPr>
            <w:r/>
            <w:r>
              <w:rPr>
                <w:rFonts w:ascii="Arial" w:hAnsi="Arial"/>
                <w:b/>
                <w:sz w:val="18"/>
              </w:rPr>
              <w:t>Required content</w:t>
            </w:r>
          </w:p>
        </w:tc>
      </w:tr>
      <w:tr>
        <w:tc>
          <w:tcPr>
            <w:tcW w:type="dxa" w:w="4939"/>
            <w:vAlign w:val="top"/>
          </w:tcPr>
          <w:p>
            <w:pPr>
              <w:spacing w:after="0"/>
            </w:pPr>
            <w:r/>
            <w:r>
              <w:rPr>
                <w:rFonts w:ascii="Arial" w:hAnsi="Arial"/>
                <w:b w:val="0"/>
                <w:sz w:val="18"/>
              </w:rPr>
              <w:t>dataset_name</w:t>
            </w:r>
          </w:p>
        </w:tc>
        <w:tc>
          <w:tcPr>
            <w:tcW w:type="dxa" w:w="4939"/>
            <w:vAlign w:val="top"/>
          </w:tcPr>
          <w:p>
            <w:pPr>
              <w:spacing w:after="0"/>
            </w:pPr>
            <w:r/>
            <w:r>
              <w:rPr>
                <w:rFonts w:ascii="Arial" w:hAnsi="Arial"/>
                <w:b w:val="0"/>
                <w:sz w:val="18"/>
              </w:rPr>
              <w:t>Human-readable and stable name.</w:t>
            </w:r>
          </w:p>
        </w:tc>
      </w:tr>
      <w:tr>
        <w:tc>
          <w:tcPr>
            <w:tcW w:type="dxa" w:w="4939"/>
            <w:vAlign w:val="top"/>
          </w:tcPr>
          <w:p>
            <w:pPr>
              <w:spacing w:after="0"/>
            </w:pPr>
            <w:r/>
            <w:r>
              <w:rPr>
                <w:rFonts w:ascii="Arial" w:hAnsi="Arial"/>
                <w:b w:val="0"/>
                <w:sz w:val="18"/>
              </w:rPr>
              <w:t>source_owner_or_publisher</w:t>
            </w:r>
          </w:p>
        </w:tc>
        <w:tc>
          <w:tcPr>
            <w:tcW w:type="dxa" w:w="4939"/>
            <w:vAlign w:val="top"/>
          </w:tcPr>
          <w:p>
            <w:pPr>
              <w:spacing w:after="0"/>
            </w:pPr>
            <w:r/>
            <w:r>
              <w:rPr>
                <w:rFonts w:ascii="Arial" w:hAnsi="Arial"/>
                <w:b w:val="0"/>
                <w:sz w:val="18"/>
              </w:rPr>
              <w:t>Organization or custodian responsible for the source.</w:t>
            </w:r>
          </w:p>
        </w:tc>
      </w:tr>
      <w:tr>
        <w:tc>
          <w:tcPr>
            <w:tcW w:type="dxa" w:w="4939"/>
            <w:vAlign w:val="top"/>
          </w:tcPr>
          <w:p>
            <w:pPr>
              <w:spacing w:after="0"/>
            </w:pPr>
            <w:r/>
            <w:r>
              <w:rPr>
                <w:rFonts w:ascii="Arial" w:hAnsi="Arial"/>
                <w:b w:val="0"/>
                <w:sz w:val="18"/>
              </w:rPr>
              <w:t>source_location</w:t>
            </w:r>
          </w:p>
        </w:tc>
        <w:tc>
          <w:tcPr>
            <w:tcW w:type="dxa" w:w="4939"/>
            <w:vAlign w:val="top"/>
          </w:tcPr>
          <w:p>
            <w:pPr>
              <w:spacing w:after="0"/>
            </w:pPr>
            <w:r/>
            <w:r>
              <w:rPr>
                <w:rFonts w:ascii="Arial" w:hAnsi="Arial"/>
                <w:b w:val="0"/>
                <w:sz w:val="18"/>
              </w:rPr>
              <w:t>Repository, facility, export process, or controlled storage location.</w:t>
            </w:r>
          </w:p>
        </w:tc>
      </w:tr>
      <w:tr>
        <w:tc>
          <w:tcPr>
            <w:tcW w:type="dxa" w:w="4939"/>
            <w:vAlign w:val="top"/>
          </w:tcPr>
          <w:p>
            <w:pPr>
              <w:spacing w:after="0"/>
            </w:pPr>
            <w:r/>
            <w:r>
              <w:rPr>
                <w:rFonts w:ascii="Arial" w:hAnsi="Arial"/>
                <w:b w:val="0"/>
                <w:sz w:val="18"/>
              </w:rPr>
              <w:t>collection_period</w:t>
            </w:r>
          </w:p>
        </w:tc>
        <w:tc>
          <w:tcPr>
            <w:tcW w:type="dxa" w:w="4939"/>
            <w:vAlign w:val="top"/>
          </w:tcPr>
          <w:p>
            <w:pPr>
              <w:spacing w:after="0"/>
            </w:pPr>
            <w:r/>
            <w:r>
              <w:rPr>
                <w:rFonts w:ascii="Arial" w:hAnsi="Arial"/>
                <w:b w:val="0"/>
                <w:sz w:val="18"/>
              </w:rPr>
              <w:t>Dates during which the underlying observations were collected.</w:t>
            </w:r>
          </w:p>
        </w:tc>
      </w:tr>
      <w:tr>
        <w:tc>
          <w:tcPr>
            <w:tcW w:type="dxa" w:w="4939"/>
            <w:vAlign w:val="top"/>
          </w:tcPr>
          <w:p>
            <w:pPr>
              <w:spacing w:after="0"/>
            </w:pPr>
            <w:r/>
            <w:r>
              <w:rPr>
                <w:rFonts w:ascii="Arial" w:hAnsi="Arial"/>
                <w:b w:val="0"/>
                <w:sz w:val="18"/>
              </w:rPr>
              <w:t>collection_setting</w:t>
            </w:r>
          </w:p>
        </w:tc>
        <w:tc>
          <w:tcPr>
            <w:tcW w:type="dxa" w:w="4939"/>
            <w:vAlign w:val="top"/>
          </w:tcPr>
          <w:p>
            <w:pPr>
              <w:spacing w:after="0"/>
            </w:pPr>
            <w:r/>
            <w:r>
              <w:rPr>
                <w:rFonts w:ascii="Arial" w:hAnsi="Arial"/>
                <w:b w:val="0"/>
                <w:sz w:val="18"/>
              </w:rPr>
              <w:t>Country, region, facility type, staffing, and clinical workflow.</w:t>
            </w:r>
          </w:p>
        </w:tc>
      </w:tr>
      <w:tr>
        <w:tc>
          <w:tcPr>
            <w:tcW w:type="dxa" w:w="4939"/>
            <w:vAlign w:val="top"/>
          </w:tcPr>
          <w:p>
            <w:pPr>
              <w:spacing w:after="0"/>
            </w:pPr>
            <w:r/>
            <w:r>
              <w:rPr>
                <w:rFonts w:ascii="Arial" w:hAnsi="Arial"/>
                <w:b w:val="0"/>
                <w:sz w:val="18"/>
              </w:rPr>
              <w:t>collection_method</w:t>
            </w:r>
          </w:p>
        </w:tc>
        <w:tc>
          <w:tcPr>
            <w:tcW w:type="dxa" w:w="4939"/>
            <w:vAlign w:val="top"/>
          </w:tcPr>
          <w:p>
            <w:pPr>
              <w:spacing w:after="0"/>
            </w:pPr>
            <w:r/>
            <w:r>
              <w:rPr>
                <w:rFonts w:ascii="Arial" w:hAnsi="Arial"/>
                <w:b w:val="0"/>
                <w:sz w:val="18"/>
              </w:rPr>
              <w:t>Prospective entry, retrospective abstraction, registry, survey, or synthetic generation.</w:t>
            </w:r>
          </w:p>
        </w:tc>
      </w:tr>
      <w:tr>
        <w:tc>
          <w:tcPr>
            <w:tcW w:type="dxa" w:w="4939"/>
            <w:vAlign w:val="top"/>
          </w:tcPr>
          <w:p>
            <w:pPr>
              <w:spacing w:after="0"/>
            </w:pPr>
            <w:r/>
            <w:r>
              <w:rPr>
                <w:rFonts w:ascii="Arial" w:hAnsi="Arial"/>
                <w:b w:val="0"/>
                <w:sz w:val="18"/>
              </w:rPr>
              <w:t>legal_or_permission_basis</w:t>
            </w:r>
          </w:p>
        </w:tc>
        <w:tc>
          <w:tcPr>
            <w:tcW w:type="dxa" w:w="4939"/>
            <w:vAlign w:val="top"/>
          </w:tcPr>
          <w:p>
            <w:pPr>
              <w:spacing w:after="0"/>
            </w:pPr>
            <w:r/>
            <w:r>
              <w:rPr>
                <w:rFonts w:ascii="Arial" w:hAnsi="Arial"/>
                <w:b w:val="0"/>
                <w:sz w:val="18"/>
              </w:rPr>
              <w:t>Consent, institutional authorization, public license, research approval, or other documented basis.</w:t>
            </w:r>
          </w:p>
        </w:tc>
      </w:tr>
      <w:tr>
        <w:tc>
          <w:tcPr>
            <w:tcW w:type="dxa" w:w="4939"/>
            <w:vAlign w:val="top"/>
          </w:tcPr>
          <w:p>
            <w:pPr>
              <w:spacing w:after="0"/>
            </w:pPr>
            <w:r/>
            <w:r>
              <w:rPr>
                <w:rFonts w:ascii="Arial" w:hAnsi="Arial"/>
                <w:b w:val="0"/>
                <w:sz w:val="18"/>
              </w:rPr>
              <w:t>original_unit_of_observation</w:t>
            </w:r>
          </w:p>
        </w:tc>
        <w:tc>
          <w:tcPr>
            <w:tcW w:type="dxa" w:w="4939"/>
            <w:vAlign w:val="top"/>
          </w:tcPr>
          <w:p>
            <w:pPr>
              <w:spacing w:after="0"/>
            </w:pPr>
            <w:r/>
            <w:r>
              <w:rPr>
                <w:rFonts w:ascii="Arial" w:hAnsi="Arial"/>
                <w:b w:val="0"/>
                <w:sz w:val="18"/>
              </w:rPr>
              <w:t>What one source row originally represented.</w:t>
            </w:r>
          </w:p>
        </w:tc>
      </w:tr>
      <w:tr>
        <w:tc>
          <w:tcPr>
            <w:tcW w:type="dxa" w:w="4939"/>
            <w:vAlign w:val="top"/>
          </w:tcPr>
          <w:p>
            <w:pPr>
              <w:spacing w:after="0"/>
            </w:pPr>
            <w:r/>
            <w:r>
              <w:rPr>
                <w:rFonts w:ascii="Arial" w:hAnsi="Arial"/>
                <w:b w:val="0"/>
                <w:sz w:val="18"/>
              </w:rPr>
              <w:t>original_label_definition</w:t>
            </w:r>
          </w:p>
        </w:tc>
        <w:tc>
          <w:tcPr>
            <w:tcW w:type="dxa" w:w="4939"/>
            <w:vAlign w:val="top"/>
          </w:tcPr>
          <w:p>
            <w:pPr>
              <w:spacing w:after="0"/>
            </w:pPr>
            <w:r/>
            <w:r>
              <w:rPr>
                <w:rFonts w:ascii="Arial" w:hAnsi="Arial"/>
                <w:b w:val="0"/>
                <w:sz w:val="18"/>
              </w:rPr>
              <w:t>How the source outcome was created before project transformation.</w:t>
            </w:r>
          </w:p>
        </w:tc>
      </w:tr>
      <w:tr>
        <w:tc>
          <w:tcPr>
            <w:tcW w:type="dxa" w:w="4939"/>
            <w:vAlign w:val="top"/>
          </w:tcPr>
          <w:p>
            <w:pPr>
              <w:spacing w:after="0"/>
            </w:pPr>
            <w:r/>
            <w:r>
              <w:rPr>
                <w:rFonts w:ascii="Arial" w:hAnsi="Arial"/>
                <w:b w:val="0"/>
                <w:sz w:val="18"/>
              </w:rPr>
              <w:t>known_limitations</w:t>
            </w:r>
          </w:p>
        </w:tc>
        <w:tc>
          <w:tcPr>
            <w:tcW w:type="dxa" w:w="4939"/>
            <w:vAlign w:val="top"/>
          </w:tcPr>
          <w:p>
            <w:pPr>
              <w:spacing w:after="0"/>
            </w:pPr>
            <w:r/>
            <w:r>
              <w:rPr>
                <w:rFonts w:ascii="Arial" w:hAnsi="Arial"/>
                <w:b w:val="0"/>
                <w:sz w:val="18"/>
              </w:rPr>
              <w:t>Missing documentation, bias risks, uncertain measurements, exclusions, or changes over time.</w:t>
            </w:r>
          </w:p>
        </w:tc>
      </w:tr>
      <w:tr>
        <w:tc>
          <w:tcPr>
            <w:tcW w:type="dxa" w:w="4939"/>
            <w:vAlign w:val="top"/>
          </w:tcPr>
          <w:p>
            <w:pPr>
              <w:spacing w:after="0"/>
            </w:pPr>
            <w:r/>
            <w:r>
              <w:rPr>
                <w:rFonts w:ascii="Arial" w:hAnsi="Arial"/>
                <w:b w:val="0"/>
                <w:sz w:val="18"/>
              </w:rPr>
              <w:t>custodian_and_access_list</w:t>
            </w:r>
          </w:p>
        </w:tc>
        <w:tc>
          <w:tcPr>
            <w:tcW w:type="dxa" w:w="4939"/>
            <w:vAlign w:val="top"/>
          </w:tcPr>
          <w:p>
            <w:pPr>
              <w:spacing w:after="0"/>
            </w:pPr>
            <w:r/>
            <w:r>
              <w:rPr>
                <w:rFonts w:ascii="Arial" w:hAnsi="Arial"/>
                <w:b w:val="0"/>
                <w:sz w:val="18"/>
              </w:rPr>
              <w:t>Who controls the data and who is authorized to use it.</w:t>
            </w:r>
          </w:p>
        </w:tc>
      </w:tr>
    </w:tbl>
    <w:p/>
    <w:p>
      <w:r>
        <w:br w:type="page"/>
      </w:r>
    </w:p>
    <w:p>
      <w:pPr>
        <w:pStyle w:val="Heading1"/>
      </w:pPr>
      <w:r>
        <w:t>7.0 Inclusion and Exclusion Architecture</w:t>
      </w:r>
    </w:p>
    <w:p>
      <w:r>
        <w:t>Inclusion and exclusion criteria must be decided before viewing test performance. They must reflect the intended use rather than being adjusted merely to improve accuracy.</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Category</w:t>
            </w:r>
          </w:p>
        </w:tc>
        <w:tc>
          <w:tcPr>
            <w:tcW w:type="dxa" w:w="4939"/>
            <w:vAlign w:val="top"/>
            <w:shd w:fill="D9EAF7"/>
          </w:tcPr>
          <w:p>
            <w:pPr>
              <w:spacing w:after="0"/>
            </w:pPr>
            <w:r/>
            <w:r>
              <w:rPr>
                <w:rFonts w:ascii="Arial" w:hAnsi="Arial"/>
                <w:b/>
                <w:sz w:val="18"/>
              </w:rPr>
              <w:t>Example architectural rule</w:t>
            </w:r>
          </w:p>
        </w:tc>
      </w:tr>
      <w:tr>
        <w:tc>
          <w:tcPr>
            <w:tcW w:type="dxa" w:w="4939"/>
            <w:vAlign w:val="top"/>
          </w:tcPr>
          <w:p>
            <w:pPr>
              <w:spacing w:after="0"/>
            </w:pPr>
            <w:r/>
            <w:r>
              <w:rPr>
                <w:rFonts w:ascii="Arial" w:hAnsi="Arial"/>
                <w:b w:val="0"/>
                <w:sz w:val="18"/>
              </w:rPr>
              <w:t>Inclusion</w:t>
            </w:r>
          </w:p>
        </w:tc>
        <w:tc>
          <w:tcPr>
            <w:tcW w:type="dxa" w:w="4939"/>
            <w:vAlign w:val="top"/>
          </w:tcPr>
          <w:p>
            <w:pPr>
              <w:spacing w:after="0"/>
            </w:pPr>
            <w:r/>
            <w:r>
              <w:rPr>
                <w:rFonts w:ascii="Arial" w:hAnsi="Arial"/>
                <w:b w:val="0"/>
                <w:sz w:val="18"/>
              </w:rPr>
              <w:t>Record belongs to a clearly identified pregnancy episode and has a valid assessment timestamp.</w:t>
            </w:r>
          </w:p>
        </w:tc>
      </w:tr>
      <w:tr>
        <w:tc>
          <w:tcPr>
            <w:tcW w:type="dxa" w:w="4939"/>
            <w:vAlign w:val="top"/>
          </w:tcPr>
          <w:p>
            <w:pPr>
              <w:spacing w:after="0"/>
            </w:pPr>
            <w:r/>
            <w:r>
              <w:rPr>
                <w:rFonts w:ascii="Arial" w:hAnsi="Arial"/>
                <w:b w:val="0"/>
                <w:sz w:val="18"/>
              </w:rPr>
              <w:t>Inclusion</w:t>
            </w:r>
          </w:p>
        </w:tc>
        <w:tc>
          <w:tcPr>
            <w:tcW w:type="dxa" w:w="4939"/>
            <w:vAlign w:val="top"/>
          </w:tcPr>
          <w:p>
            <w:pPr>
              <w:spacing w:after="0"/>
            </w:pPr>
            <w:r/>
            <w:r>
              <w:rPr>
                <w:rFonts w:ascii="Arial" w:hAnsi="Arial"/>
                <w:b w:val="0"/>
                <w:sz w:val="18"/>
              </w:rPr>
              <w:t>Required source fields can be mapped to the approved data dictionary with known units and categories.</w:t>
            </w:r>
          </w:p>
        </w:tc>
      </w:tr>
      <w:tr>
        <w:tc>
          <w:tcPr>
            <w:tcW w:type="dxa" w:w="4939"/>
            <w:vAlign w:val="top"/>
          </w:tcPr>
          <w:p>
            <w:pPr>
              <w:spacing w:after="0"/>
            </w:pPr>
            <w:r/>
            <w:r>
              <w:rPr>
                <w:rFonts w:ascii="Arial" w:hAnsi="Arial"/>
                <w:b w:val="0"/>
                <w:sz w:val="18"/>
              </w:rPr>
              <w:t>Inclusion</w:t>
            </w:r>
          </w:p>
        </w:tc>
        <w:tc>
          <w:tcPr>
            <w:tcW w:type="dxa" w:w="4939"/>
            <w:vAlign w:val="top"/>
          </w:tcPr>
          <w:p>
            <w:pPr>
              <w:spacing w:after="0"/>
            </w:pPr>
            <w:r/>
            <w:r>
              <w:rPr>
                <w:rFonts w:ascii="Arial" w:hAnsi="Arial"/>
                <w:b w:val="0"/>
                <w:sz w:val="18"/>
              </w:rPr>
              <w:t>The target label can be assigned using the approved labeling protocol without using prohibited future information.</w:t>
            </w:r>
          </w:p>
        </w:tc>
      </w:tr>
      <w:tr>
        <w:tc>
          <w:tcPr>
            <w:tcW w:type="dxa" w:w="4939"/>
            <w:vAlign w:val="top"/>
          </w:tcPr>
          <w:p>
            <w:pPr>
              <w:spacing w:after="0"/>
            </w:pPr>
            <w:r/>
            <w:r>
              <w:rPr>
                <w:rFonts w:ascii="Arial" w:hAnsi="Arial"/>
                <w:b w:val="0"/>
                <w:sz w:val="18"/>
              </w:rPr>
              <w:t>Exclusion</w:t>
            </w:r>
          </w:p>
        </w:tc>
        <w:tc>
          <w:tcPr>
            <w:tcW w:type="dxa" w:w="4939"/>
            <w:vAlign w:val="top"/>
          </w:tcPr>
          <w:p>
            <w:pPr>
              <w:spacing w:after="0"/>
            </w:pPr>
            <w:r/>
            <w:r>
              <w:rPr>
                <w:rFonts w:ascii="Arial" w:hAnsi="Arial"/>
                <w:b w:val="0"/>
                <w:sz w:val="18"/>
              </w:rPr>
              <w:t>Duplicate export or repeated copy of the same assessment.</w:t>
            </w:r>
          </w:p>
        </w:tc>
      </w:tr>
      <w:tr>
        <w:tc>
          <w:tcPr>
            <w:tcW w:type="dxa" w:w="4939"/>
            <w:vAlign w:val="top"/>
          </w:tcPr>
          <w:p>
            <w:pPr>
              <w:spacing w:after="0"/>
            </w:pPr>
            <w:r/>
            <w:r>
              <w:rPr>
                <w:rFonts w:ascii="Arial" w:hAnsi="Arial"/>
                <w:b w:val="0"/>
                <w:sz w:val="18"/>
              </w:rPr>
              <w:t>Exclusion</w:t>
            </w:r>
          </w:p>
        </w:tc>
        <w:tc>
          <w:tcPr>
            <w:tcW w:type="dxa" w:w="4939"/>
            <w:vAlign w:val="top"/>
          </w:tcPr>
          <w:p>
            <w:pPr>
              <w:spacing w:after="0"/>
            </w:pPr>
            <w:r/>
            <w:r>
              <w:rPr>
                <w:rFonts w:ascii="Arial" w:hAnsi="Arial"/>
                <w:b w:val="0"/>
                <w:sz w:val="18"/>
              </w:rPr>
              <w:t>Patient/pregnancy identity cannot be resolved sufficiently to prevent leakage.</w:t>
            </w:r>
          </w:p>
        </w:tc>
      </w:tr>
      <w:tr>
        <w:tc>
          <w:tcPr>
            <w:tcW w:type="dxa" w:w="4939"/>
            <w:vAlign w:val="top"/>
          </w:tcPr>
          <w:p>
            <w:pPr>
              <w:spacing w:after="0"/>
            </w:pPr>
            <w:r/>
            <w:r>
              <w:rPr>
                <w:rFonts w:ascii="Arial" w:hAnsi="Arial"/>
                <w:b w:val="0"/>
                <w:sz w:val="18"/>
              </w:rPr>
              <w:t>Exclusion</w:t>
            </w:r>
          </w:p>
        </w:tc>
        <w:tc>
          <w:tcPr>
            <w:tcW w:type="dxa" w:w="4939"/>
            <w:vAlign w:val="top"/>
          </w:tcPr>
          <w:p>
            <w:pPr>
              <w:spacing w:after="0"/>
            </w:pPr>
            <w:r/>
            <w:r>
              <w:rPr>
                <w:rFonts w:ascii="Arial" w:hAnsi="Arial"/>
                <w:b w:val="0"/>
                <w:sz w:val="18"/>
              </w:rPr>
              <w:t>Implausible or contradictory values cannot be resolved from the source record.</w:t>
            </w:r>
          </w:p>
        </w:tc>
      </w:tr>
      <w:tr>
        <w:tc>
          <w:tcPr>
            <w:tcW w:type="dxa" w:w="4939"/>
            <w:vAlign w:val="top"/>
          </w:tcPr>
          <w:p>
            <w:pPr>
              <w:spacing w:after="0"/>
            </w:pPr>
            <w:r/>
            <w:r>
              <w:rPr>
                <w:rFonts w:ascii="Arial" w:hAnsi="Arial"/>
                <w:b w:val="0"/>
                <w:sz w:val="18"/>
              </w:rPr>
              <w:t>Exclusion</w:t>
            </w:r>
          </w:p>
        </w:tc>
        <w:tc>
          <w:tcPr>
            <w:tcW w:type="dxa" w:w="4939"/>
            <w:vAlign w:val="top"/>
          </w:tcPr>
          <w:p>
            <w:pPr>
              <w:spacing w:after="0"/>
            </w:pPr>
            <w:r/>
            <w:r>
              <w:rPr>
                <w:rFonts w:ascii="Arial" w:hAnsi="Arial"/>
                <w:b w:val="0"/>
                <w:sz w:val="18"/>
              </w:rPr>
              <w:t>Record falls outside the intended population or prediction context.</w:t>
            </w:r>
          </w:p>
        </w:tc>
      </w:tr>
      <w:tr>
        <w:tc>
          <w:tcPr>
            <w:tcW w:type="dxa" w:w="4939"/>
            <w:vAlign w:val="top"/>
          </w:tcPr>
          <w:p>
            <w:pPr>
              <w:spacing w:after="0"/>
            </w:pPr>
            <w:r/>
            <w:r>
              <w:rPr>
                <w:rFonts w:ascii="Arial" w:hAnsi="Arial"/>
                <w:b w:val="0"/>
                <w:sz w:val="18"/>
              </w:rPr>
              <w:t>Exclusion</w:t>
            </w:r>
          </w:p>
        </w:tc>
        <w:tc>
          <w:tcPr>
            <w:tcW w:type="dxa" w:w="4939"/>
            <w:vAlign w:val="top"/>
          </w:tcPr>
          <w:p>
            <w:pPr>
              <w:spacing w:after="0"/>
            </w:pPr>
            <w:r/>
            <w:r>
              <w:rPr>
                <w:rFonts w:ascii="Arial" w:hAnsi="Arial"/>
                <w:b w:val="0"/>
                <w:sz w:val="18"/>
              </w:rPr>
              <w:t>Label provenance is absent, ambiguous, or created from the same model being evaluated.</w:t>
            </w:r>
          </w:p>
        </w:tc>
      </w:tr>
    </w:tbl>
    <w:p/>
    <w:p>
      <w:r>
        <w:t>Exclusion counts and reasons must be reported. Silent removal of difficult, incomplete, or high-risk records can create selection bias and an unrealistically easy dataset.</w:t>
      </w:r>
    </w:p>
    <w:p>
      <w:pPr>
        <w:pStyle w:val="Heading1"/>
      </w:pPr>
      <w:r>
        <w:t>8.0 Data Dictionary Architecture</w:t>
      </w:r>
    </w:p>
    <w:p>
      <w:r>
        <w:t>Each variable must be defined once in a versioned data dictionary shared by dataset preparation and production inference. A column name alone is insufficient. The definition must specify clinical meaning, source, timing, type, unit, allowed values, missing states, derivation, and validation.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Dictionary field</w:t>
            </w:r>
          </w:p>
        </w:tc>
        <w:tc>
          <w:tcPr>
            <w:tcW w:type="dxa" w:w="4939"/>
            <w:vAlign w:val="top"/>
            <w:shd w:fill="D9EAF7"/>
          </w:tcPr>
          <w:p>
            <w:pPr>
              <w:spacing w:after="0"/>
            </w:pPr>
            <w:r/>
            <w:r>
              <w:rPr>
                <w:rFonts w:ascii="Arial" w:hAnsi="Arial"/>
                <w:b/>
                <w:sz w:val="18"/>
              </w:rPr>
              <w:t>Description</w:t>
            </w:r>
          </w:p>
        </w:tc>
      </w:tr>
      <w:tr>
        <w:tc>
          <w:tcPr>
            <w:tcW w:type="dxa" w:w="4939"/>
            <w:vAlign w:val="top"/>
          </w:tcPr>
          <w:p>
            <w:pPr>
              <w:spacing w:after="0"/>
            </w:pPr>
            <w:r/>
            <w:r>
              <w:rPr>
                <w:rFonts w:ascii="Arial" w:hAnsi="Arial"/>
                <w:b w:val="0"/>
                <w:sz w:val="18"/>
              </w:rPr>
              <w:t>feature_id</w:t>
            </w:r>
          </w:p>
        </w:tc>
        <w:tc>
          <w:tcPr>
            <w:tcW w:type="dxa" w:w="4939"/>
            <w:vAlign w:val="top"/>
          </w:tcPr>
          <w:p>
            <w:pPr>
              <w:spacing w:after="0"/>
            </w:pPr>
            <w:r/>
            <w:r>
              <w:rPr>
                <w:rFonts w:ascii="Arial" w:hAnsi="Arial"/>
                <w:b w:val="0"/>
                <w:sz w:val="18"/>
              </w:rPr>
              <w:t>Stable machine-readable identifier.</w:t>
            </w:r>
          </w:p>
        </w:tc>
      </w:tr>
      <w:tr>
        <w:tc>
          <w:tcPr>
            <w:tcW w:type="dxa" w:w="4939"/>
            <w:vAlign w:val="top"/>
          </w:tcPr>
          <w:p>
            <w:pPr>
              <w:spacing w:after="0"/>
            </w:pPr>
            <w:r/>
            <w:r>
              <w:rPr>
                <w:rFonts w:ascii="Arial" w:hAnsi="Arial"/>
                <w:b w:val="0"/>
                <w:sz w:val="18"/>
              </w:rPr>
              <w:t>display_name</w:t>
            </w:r>
          </w:p>
        </w:tc>
        <w:tc>
          <w:tcPr>
            <w:tcW w:type="dxa" w:w="4939"/>
            <w:vAlign w:val="top"/>
          </w:tcPr>
          <w:p>
            <w:pPr>
              <w:spacing w:after="0"/>
            </w:pPr>
            <w:r/>
            <w:r>
              <w:rPr>
                <w:rFonts w:ascii="Arial" w:hAnsi="Arial"/>
                <w:b w:val="0"/>
                <w:sz w:val="18"/>
              </w:rPr>
              <w:t>Clinician-readable variable name.</w:t>
            </w:r>
          </w:p>
        </w:tc>
      </w:tr>
      <w:tr>
        <w:tc>
          <w:tcPr>
            <w:tcW w:type="dxa" w:w="4939"/>
            <w:vAlign w:val="top"/>
          </w:tcPr>
          <w:p>
            <w:pPr>
              <w:spacing w:after="0"/>
            </w:pPr>
            <w:r/>
            <w:r>
              <w:rPr>
                <w:rFonts w:ascii="Arial" w:hAnsi="Arial"/>
                <w:b w:val="0"/>
                <w:sz w:val="18"/>
              </w:rPr>
              <w:t>clinical_definition</w:t>
            </w:r>
          </w:p>
        </w:tc>
        <w:tc>
          <w:tcPr>
            <w:tcW w:type="dxa" w:w="4939"/>
            <w:vAlign w:val="top"/>
          </w:tcPr>
          <w:p>
            <w:pPr>
              <w:spacing w:after="0"/>
            </w:pPr>
            <w:r/>
            <w:r>
              <w:rPr>
                <w:rFonts w:ascii="Arial" w:hAnsi="Arial"/>
                <w:b w:val="0"/>
                <w:sz w:val="18"/>
              </w:rPr>
              <w:t>Exact meaning and clinical context.</w:t>
            </w:r>
          </w:p>
        </w:tc>
      </w:tr>
      <w:tr>
        <w:tc>
          <w:tcPr>
            <w:tcW w:type="dxa" w:w="4939"/>
            <w:vAlign w:val="top"/>
          </w:tcPr>
          <w:p>
            <w:pPr>
              <w:spacing w:after="0"/>
            </w:pPr>
            <w:r/>
            <w:r>
              <w:rPr>
                <w:rFonts w:ascii="Arial" w:hAnsi="Arial"/>
                <w:b w:val="0"/>
                <w:sz w:val="18"/>
              </w:rPr>
              <w:t>source_record</w:t>
            </w:r>
          </w:p>
        </w:tc>
        <w:tc>
          <w:tcPr>
            <w:tcW w:type="dxa" w:w="4939"/>
            <w:vAlign w:val="top"/>
          </w:tcPr>
          <w:p>
            <w:pPr>
              <w:spacing w:after="0"/>
            </w:pPr>
            <w:r/>
            <w:r>
              <w:rPr>
                <w:rFonts w:ascii="Arial" w:hAnsi="Arial"/>
                <w:b w:val="0"/>
                <w:sz w:val="18"/>
              </w:rPr>
              <w:t>Laravel table/field or external source column.</w:t>
            </w:r>
          </w:p>
        </w:tc>
      </w:tr>
      <w:tr>
        <w:tc>
          <w:tcPr>
            <w:tcW w:type="dxa" w:w="4939"/>
            <w:vAlign w:val="top"/>
          </w:tcPr>
          <w:p>
            <w:pPr>
              <w:spacing w:after="0"/>
            </w:pPr>
            <w:r/>
            <w:r>
              <w:rPr>
                <w:rFonts w:ascii="Arial" w:hAnsi="Arial"/>
                <w:b w:val="0"/>
                <w:sz w:val="18"/>
              </w:rPr>
              <w:t>time_reference</w:t>
            </w:r>
          </w:p>
        </w:tc>
        <w:tc>
          <w:tcPr>
            <w:tcW w:type="dxa" w:w="4939"/>
            <w:vAlign w:val="top"/>
          </w:tcPr>
          <w:p>
            <w:pPr>
              <w:spacing w:after="0"/>
            </w:pPr>
            <w:r/>
            <w:r>
              <w:rPr>
                <w:rFonts w:ascii="Arial" w:hAnsi="Arial"/>
                <w:b w:val="0"/>
                <w:sz w:val="18"/>
              </w:rPr>
              <w:t>When the value must have been observed relative to assessment.</w:t>
            </w:r>
          </w:p>
        </w:tc>
      </w:tr>
      <w:tr>
        <w:tc>
          <w:tcPr>
            <w:tcW w:type="dxa" w:w="4939"/>
            <w:vAlign w:val="top"/>
          </w:tcPr>
          <w:p>
            <w:pPr>
              <w:spacing w:after="0"/>
            </w:pPr>
            <w:r/>
            <w:r>
              <w:rPr>
                <w:rFonts w:ascii="Arial" w:hAnsi="Arial"/>
                <w:b w:val="0"/>
                <w:sz w:val="18"/>
              </w:rPr>
              <w:t>data_type</w:t>
            </w:r>
          </w:p>
        </w:tc>
        <w:tc>
          <w:tcPr>
            <w:tcW w:type="dxa" w:w="4939"/>
            <w:vAlign w:val="top"/>
          </w:tcPr>
          <w:p>
            <w:pPr>
              <w:spacing w:after="0"/>
            </w:pPr>
            <w:r/>
            <w:r>
              <w:rPr>
                <w:rFonts w:ascii="Arial" w:hAnsi="Arial"/>
                <w:b w:val="0"/>
                <w:sz w:val="18"/>
              </w:rPr>
              <w:t>Integer, decimal, boolean, categorical, date, or controlled text.</w:t>
            </w:r>
          </w:p>
        </w:tc>
      </w:tr>
      <w:tr>
        <w:tc>
          <w:tcPr>
            <w:tcW w:type="dxa" w:w="4939"/>
            <w:vAlign w:val="top"/>
          </w:tcPr>
          <w:p>
            <w:pPr>
              <w:spacing w:after="0"/>
            </w:pPr>
            <w:r/>
            <w:r>
              <w:rPr>
                <w:rFonts w:ascii="Arial" w:hAnsi="Arial"/>
                <w:b w:val="0"/>
                <w:sz w:val="18"/>
              </w:rPr>
              <w:t>unit</w:t>
            </w:r>
          </w:p>
        </w:tc>
        <w:tc>
          <w:tcPr>
            <w:tcW w:type="dxa" w:w="4939"/>
            <w:vAlign w:val="top"/>
          </w:tcPr>
          <w:p>
            <w:pPr>
              <w:spacing w:after="0"/>
            </w:pPr>
            <w:r/>
            <w:r>
              <w:rPr>
                <w:rFonts w:ascii="Arial" w:hAnsi="Arial"/>
                <w:b w:val="0"/>
                <w:sz w:val="18"/>
              </w:rPr>
              <w:t>Required unit and conversion policy.</w:t>
            </w:r>
          </w:p>
        </w:tc>
      </w:tr>
      <w:tr>
        <w:tc>
          <w:tcPr>
            <w:tcW w:type="dxa" w:w="4939"/>
            <w:vAlign w:val="top"/>
          </w:tcPr>
          <w:p>
            <w:pPr>
              <w:spacing w:after="0"/>
            </w:pPr>
            <w:r/>
            <w:r>
              <w:rPr>
                <w:rFonts w:ascii="Arial" w:hAnsi="Arial"/>
                <w:b w:val="0"/>
                <w:sz w:val="18"/>
              </w:rPr>
              <w:t>allowed_domain</w:t>
            </w:r>
          </w:p>
        </w:tc>
        <w:tc>
          <w:tcPr>
            <w:tcW w:type="dxa" w:w="4939"/>
            <w:vAlign w:val="top"/>
          </w:tcPr>
          <w:p>
            <w:pPr>
              <w:spacing w:after="0"/>
            </w:pPr>
            <w:r/>
            <w:r>
              <w:rPr>
                <w:rFonts w:ascii="Arial" w:hAnsi="Arial"/>
                <w:b w:val="0"/>
                <w:sz w:val="18"/>
              </w:rPr>
              <w:t>Valid range or controlled categories.</w:t>
            </w:r>
          </w:p>
        </w:tc>
      </w:tr>
      <w:tr>
        <w:tc>
          <w:tcPr>
            <w:tcW w:type="dxa" w:w="4939"/>
            <w:vAlign w:val="top"/>
          </w:tcPr>
          <w:p>
            <w:pPr>
              <w:spacing w:after="0"/>
            </w:pPr>
            <w:r/>
            <w:r>
              <w:rPr>
                <w:rFonts w:ascii="Arial" w:hAnsi="Arial"/>
                <w:b w:val="0"/>
                <w:sz w:val="18"/>
              </w:rPr>
              <w:t>missing_states</w:t>
            </w:r>
          </w:p>
        </w:tc>
        <w:tc>
          <w:tcPr>
            <w:tcW w:type="dxa" w:w="4939"/>
            <w:vAlign w:val="top"/>
          </w:tcPr>
          <w:p>
            <w:pPr>
              <w:spacing w:after="0"/>
            </w:pPr>
            <w:r/>
            <w:r>
              <w:rPr>
                <w:rFonts w:ascii="Arial" w:hAnsi="Arial"/>
                <w:b w:val="0"/>
                <w:sz w:val="18"/>
              </w:rPr>
              <w:t>Not recorded, not assessed, unknown, not applicable, or unavailable.</w:t>
            </w:r>
          </w:p>
        </w:tc>
      </w:tr>
      <w:tr>
        <w:tc>
          <w:tcPr>
            <w:tcW w:type="dxa" w:w="4939"/>
            <w:vAlign w:val="top"/>
          </w:tcPr>
          <w:p>
            <w:pPr>
              <w:spacing w:after="0"/>
            </w:pPr>
            <w:r/>
            <w:r>
              <w:rPr>
                <w:rFonts w:ascii="Arial" w:hAnsi="Arial"/>
                <w:b w:val="0"/>
                <w:sz w:val="18"/>
              </w:rPr>
              <w:t>derivation_rule</w:t>
            </w:r>
          </w:p>
        </w:tc>
        <w:tc>
          <w:tcPr>
            <w:tcW w:type="dxa" w:w="4939"/>
            <w:vAlign w:val="top"/>
          </w:tcPr>
          <w:p>
            <w:pPr>
              <w:spacing w:after="0"/>
            </w:pPr>
            <w:r/>
            <w:r>
              <w:rPr>
                <w:rFonts w:ascii="Arial" w:hAnsi="Arial"/>
                <w:b w:val="0"/>
                <w:sz w:val="18"/>
              </w:rPr>
              <w:t>Formula or transformation used before modeling.</w:t>
            </w:r>
          </w:p>
        </w:tc>
      </w:tr>
      <w:tr>
        <w:tc>
          <w:tcPr>
            <w:tcW w:type="dxa" w:w="4939"/>
            <w:vAlign w:val="top"/>
          </w:tcPr>
          <w:p>
            <w:pPr>
              <w:spacing w:after="0"/>
            </w:pPr>
            <w:r/>
            <w:r>
              <w:rPr>
                <w:rFonts w:ascii="Arial" w:hAnsi="Arial"/>
                <w:b w:val="0"/>
                <w:sz w:val="18"/>
              </w:rPr>
              <w:t>validation_rule</w:t>
            </w:r>
          </w:p>
        </w:tc>
        <w:tc>
          <w:tcPr>
            <w:tcW w:type="dxa" w:w="4939"/>
            <w:vAlign w:val="top"/>
          </w:tcPr>
          <w:p>
            <w:pPr>
              <w:spacing w:after="0"/>
            </w:pPr>
            <w:r/>
            <w:r>
              <w:rPr>
                <w:rFonts w:ascii="Arial" w:hAnsi="Arial"/>
                <w:b w:val="0"/>
                <w:sz w:val="18"/>
              </w:rPr>
              <w:t>Checks that determine whether the value is usable.</w:t>
            </w:r>
          </w:p>
        </w:tc>
      </w:tr>
      <w:tr>
        <w:tc>
          <w:tcPr>
            <w:tcW w:type="dxa" w:w="4939"/>
            <w:vAlign w:val="top"/>
          </w:tcPr>
          <w:p>
            <w:pPr>
              <w:spacing w:after="0"/>
            </w:pPr>
            <w:r/>
            <w:r>
              <w:rPr>
                <w:rFonts w:ascii="Arial" w:hAnsi="Arial"/>
                <w:b w:val="0"/>
                <w:sz w:val="18"/>
              </w:rPr>
              <w:t>version_introduced</w:t>
            </w:r>
          </w:p>
        </w:tc>
        <w:tc>
          <w:tcPr>
            <w:tcW w:type="dxa" w:w="4939"/>
            <w:vAlign w:val="top"/>
          </w:tcPr>
          <w:p>
            <w:pPr>
              <w:spacing w:after="0"/>
            </w:pPr>
            <w:r/>
            <w:r>
              <w:rPr>
                <w:rFonts w:ascii="Arial" w:hAnsi="Arial"/>
                <w:b w:val="0"/>
                <w:sz w:val="18"/>
              </w:rPr>
              <w:t>Dataset/feature-schema version in which the field became active.</w:t>
            </w:r>
          </w:p>
        </w:tc>
      </w:tr>
    </w:tbl>
    <w:p/>
    <w:p>
      <w:pPr>
        <w:pStyle w:val="Heading1"/>
      </w:pPr>
      <w:r>
        <w:t>9.0 Preliminary Clinical Feature Domains</w:t>
      </w:r>
    </w:p>
    <w:p>
      <w:r>
        <w:t>The following domains are aligned with the project knowledge base and Decision Engine. Their presence in the rule engine does not automatically mean they are valid ML features. Part 3 will determine the exact model-ready feature set after provenance, timing, availability, and leakage analysis.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top"/>
            <w:shd w:fill="D9EAF7"/>
          </w:tcPr>
          <w:p>
            <w:pPr>
              <w:spacing w:after="0"/>
            </w:pPr>
            <w:r/>
            <w:r>
              <w:rPr>
                <w:rFonts w:ascii="Arial" w:hAnsi="Arial"/>
                <w:b/>
                <w:sz w:val="18"/>
              </w:rPr>
              <w:t>Domain</w:t>
            </w:r>
          </w:p>
        </w:tc>
        <w:tc>
          <w:tcPr>
            <w:tcW w:type="dxa" w:w="3293"/>
            <w:vAlign w:val="top"/>
            <w:shd w:fill="D9EAF7"/>
          </w:tcPr>
          <w:p>
            <w:pPr>
              <w:spacing w:after="0"/>
            </w:pPr>
            <w:r/>
            <w:r>
              <w:rPr>
                <w:rFonts w:ascii="Arial" w:hAnsi="Arial"/>
                <w:b/>
                <w:sz w:val="18"/>
              </w:rPr>
              <w:t>Candidate information</w:t>
            </w:r>
          </w:p>
        </w:tc>
        <w:tc>
          <w:tcPr>
            <w:tcW w:type="dxa" w:w="3293"/>
            <w:vAlign w:val="top"/>
            <w:shd w:fill="D9EAF7"/>
          </w:tcPr>
          <w:p>
            <w:pPr>
              <w:spacing w:after="0"/>
            </w:pPr>
            <w:r/>
            <w:r>
              <w:rPr>
                <w:rFonts w:ascii="Arial" w:hAnsi="Arial"/>
                <w:b/>
                <w:sz w:val="18"/>
              </w:rPr>
              <w:t>Dataset caution</w:t>
            </w:r>
          </w:p>
        </w:tc>
      </w:tr>
      <w:tr>
        <w:tc>
          <w:tcPr>
            <w:tcW w:type="dxa" w:w="3293"/>
            <w:vAlign w:val="top"/>
          </w:tcPr>
          <w:p>
            <w:pPr>
              <w:spacing w:after="0"/>
            </w:pPr>
            <w:r/>
            <w:r>
              <w:rPr>
                <w:rFonts w:ascii="Arial" w:hAnsi="Arial"/>
                <w:b w:val="0"/>
                <w:sz w:val="18"/>
              </w:rPr>
              <w:t>Demographic</w:t>
            </w:r>
          </w:p>
        </w:tc>
        <w:tc>
          <w:tcPr>
            <w:tcW w:type="dxa" w:w="3293"/>
            <w:vAlign w:val="top"/>
          </w:tcPr>
          <w:p>
            <w:pPr>
              <w:spacing w:after="0"/>
            </w:pPr>
            <w:r/>
            <w:r>
              <w:rPr>
                <w:rFonts w:ascii="Arial" w:hAnsi="Arial"/>
                <w:b w:val="0"/>
                <w:sz w:val="18"/>
              </w:rPr>
              <w:t>Maternal age and other justified demographic variables.</w:t>
            </w:r>
          </w:p>
        </w:tc>
        <w:tc>
          <w:tcPr>
            <w:tcW w:type="dxa" w:w="3293"/>
            <w:vAlign w:val="top"/>
          </w:tcPr>
          <w:p>
            <w:pPr>
              <w:spacing w:after="0"/>
            </w:pPr>
            <w:r/>
            <w:r>
              <w:rPr>
                <w:rFonts w:ascii="Arial" w:hAnsi="Arial"/>
                <w:b w:val="0"/>
                <w:sz w:val="18"/>
              </w:rPr>
              <w:t>Avoid unnecessary identifiers and assess subgroup representation.</w:t>
            </w:r>
          </w:p>
        </w:tc>
      </w:tr>
      <w:tr>
        <w:tc>
          <w:tcPr>
            <w:tcW w:type="dxa" w:w="3293"/>
            <w:vAlign w:val="top"/>
          </w:tcPr>
          <w:p>
            <w:pPr>
              <w:spacing w:after="0"/>
            </w:pPr>
            <w:r/>
            <w:r>
              <w:rPr>
                <w:rFonts w:ascii="Arial" w:hAnsi="Arial"/>
                <w:b w:val="0"/>
                <w:sz w:val="18"/>
              </w:rPr>
              <w:t>Obstetric history</w:t>
            </w:r>
          </w:p>
        </w:tc>
        <w:tc>
          <w:tcPr>
            <w:tcW w:type="dxa" w:w="3293"/>
            <w:vAlign w:val="top"/>
          </w:tcPr>
          <w:p>
            <w:pPr>
              <w:spacing w:after="0"/>
            </w:pPr>
            <w:r/>
            <w:r>
              <w:rPr>
                <w:rFonts w:ascii="Arial" w:hAnsi="Arial"/>
                <w:b w:val="0"/>
                <w:sz w:val="18"/>
              </w:rPr>
              <w:t>Gravida, parity, first pregnancy, previous cesarean, miscarriage history.</w:t>
            </w:r>
          </w:p>
        </w:tc>
        <w:tc>
          <w:tcPr>
            <w:tcW w:type="dxa" w:w="3293"/>
            <w:vAlign w:val="top"/>
          </w:tcPr>
          <w:p>
            <w:pPr>
              <w:spacing w:after="0"/>
            </w:pPr>
            <w:r/>
            <w:r>
              <w:rPr>
                <w:rFonts w:ascii="Arial" w:hAnsi="Arial"/>
                <w:b w:val="0"/>
                <w:sz w:val="18"/>
              </w:rPr>
              <w:t>Definitions must be consistent and based only on history known at assessment.</w:t>
            </w:r>
          </w:p>
        </w:tc>
      </w:tr>
      <w:tr>
        <w:tc>
          <w:tcPr>
            <w:tcW w:type="dxa" w:w="3293"/>
            <w:vAlign w:val="top"/>
          </w:tcPr>
          <w:p>
            <w:pPr>
              <w:spacing w:after="0"/>
            </w:pPr>
            <w:r/>
            <w:r>
              <w:rPr>
                <w:rFonts w:ascii="Arial" w:hAnsi="Arial"/>
                <w:b w:val="0"/>
                <w:sz w:val="18"/>
              </w:rPr>
              <w:t>Current prenatal observations</w:t>
            </w:r>
          </w:p>
        </w:tc>
        <w:tc>
          <w:tcPr>
            <w:tcW w:type="dxa" w:w="3293"/>
            <w:vAlign w:val="top"/>
          </w:tcPr>
          <w:p>
            <w:pPr>
              <w:spacing w:after="0"/>
            </w:pPr>
            <w:r/>
            <w:r>
              <w:rPr>
                <w:rFonts w:ascii="Arial" w:hAnsi="Arial"/>
                <w:b w:val="0"/>
                <w:sz w:val="18"/>
              </w:rPr>
              <w:t>Systolic/diastolic blood pressure and other validated measurements.</w:t>
            </w:r>
          </w:p>
        </w:tc>
        <w:tc>
          <w:tcPr>
            <w:tcW w:type="dxa" w:w="3293"/>
            <w:vAlign w:val="top"/>
          </w:tcPr>
          <w:p>
            <w:pPr>
              <w:spacing w:after="0"/>
            </w:pPr>
            <w:r/>
            <w:r>
              <w:rPr>
                <w:rFonts w:ascii="Arial" w:hAnsi="Arial"/>
                <w:b w:val="0"/>
                <w:sz w:val="18"/>
              </w:rPr>
              <w:t>Units, device practices, repeat readings, and timing must be documented.</w:t>
            </w:r>
          </w:p>
        </w:tc>
      </w:tr>
      <w:tr>
        <w:tc>
          <w:tcPr>
            <w:tcW w:type="dxa" w:w="3293"/>
            <w:vAlign w:val="top"/>
          </w:tcPr>
          <w:p>
            <w:pPr>
              <w:spacing w:after="0"/>
            </w:pPr>
            <w:r/>
            <w:r>
              <w:rPr>
                <w:rFonts w:ascii="Arial" w:hAnsi="Arial"/>
                <w:b w:val="0"/>
                <w:sz w:val="18"/>
              </w:rPr>
              <w:t>Medical history</w:t>
            </w:r>
          </w:p>
        </w:tc>
        <w:tc>
          <w:tcPr>
            <w:tcW w:type="dxa" w:w="3293"/>
            <w:vAlign w:val="top"/>
          </w:tcPr>
          <w:p>
            <w:pPr>
              <w:spacing w:after="0"/>
            </w:pPr>
            <w:r/>
            <w:r>
              <w:rPr>
                <w:rFonts w:ascii="Arial" w:hAnsi="Arial"/>
                <w:b w:val="0"/>
                <w:sz w:val="18"/>
              </w:rPr>
              <w:t>Diabetes, anemia, and other approved conditions.</w:t>
            </w:r>
          </w:p>
        </w:tc>
        <w:tc>
          <w:tcPr>
            <w:tcW w:type="dxa" w:w="3293"/>
            <w:vAlign w:val="top"/>
          </w:tcPr>
          <w:p>
            <w:pPr>
              <w:spacing w:after="0"/>
            </w:pPr>
            <w:r/>
            <w:r>
              <w:rPr>
                <w:rFonts w:ascii="Arial" w:hAnsi="Arial"/>
                <w:b w:val="0"/>
                <w:sz w:val="18"/>
              </w:rPr>
              <w:t>Distinguish confirmed diagnosis, patient report, screening result, and unknown.</w:t>
            </w:r>
          </w:p>
        </w:tc>
      </w:tr>
      <w:tr>
        <w:tc>
          <w:tcPr>
            <w:tcW w:type="dxa" w:w="3293"/>
            <w:vAlign w:val="top"/>
          </w:tcPr>
          <w:p>
            <w:pPr>
              <w:spacing w:after="0"/>
            </w:pPr>
            <w:r/>
            <w:r>
              <w:rPr>
                <w:rFonts w:ascii="Arial" w:hAnsi="Arial"/>
                <w:b w:val="0"/>
                <w:sz w:val="18"/>
              </w:rPr>
              <w:t>Ultrasound record</w:t>
            </w:r>
          </w:p>
        </w:tc>
        <w:tc>
          <w:tcPr>
            <w:tcW w:type="dxa" w:w="3293"/>
            <w:vAlign w:val="top"/>
          </w:tcPr>
          <w:p>
            <w:pPr>
              <w:spacing w:after="0"/>
            </w:pPr>
            <w:r/>
            <w:r>
              <w:rPr>
                <w:rFonts w:ascii="Arial" w:hAnsi="Arial"/>
                <w:b w:val="0"/>
                <w:sz w:val="18"/>
              </w:rPr>
              <w:t>Presentation, amniotic fluid, fetal heartbeat findings where available.</w:t>
            </w:r>
          </w:p>
        </w:tc>
        <w:tc>
          <w:tcPr>
            <w:tcW w:type="dxa" w:w="3293"/>
            <w:vAlign w:val="top"/>
          </w:tcPr>
          <w:p>
            <w:pPr>
              <w:spacing w:after="0"/>
            </w:pPr>
            <w:r/>
            <w:r>
              <w:rPr>
                <w:rFonts w:ascii="Arial" w:hAnsi="Arial"/>
                <w:b w:val="0"/>
                <w:sz w:val="18"/>
              </w:rPr>
              <w:t>Ultrasound is primarily a clinical record in the current system; ML use must be explicitly justified and reliably encoded.</w:t>
            </w:r>
          </w:p>
        </w:tc>
      </w:tr>
      <w:tr>
        <w:tc>
          <w:tcPr>
            <w:tcW w:type="dxa" w:w="3293"/>
            <w:vAlign w:val="top"/>
          </w:tcPr>
          <w:p>
            <w:pPr>
              <w:spacing w:after="0"/>
            </w:pPr>
            <w:r/>
            <w:r>
              <w:rPr>
                <w:rFonts w:ascii="Arial" w:hAnsi="Arial"/>
                <w:b w:val="0"/>
                <w:sz w:val="18"/>
              </w:rPr>
              <w:t>Pregnancy timing</w:t>
            </w:r>
          </w:p>
        </w:tc>
        <w:tc>
          <w:tcPr>
            <w:tcW w:type="dxa" w:w="3293"/>
            <w:vAlign w:val="top"/>
          </w:tcPr>
          <w:p>
            <w:pPr>
              <w:spacing w:after="0"/>
            </w:pPr>
            <w:r/>
            <w:r>
              <w:rPr>
                <w:rFonts w:ascii="Arial" w:hAnsi="Arial"/>
                <w:b w:val="0"/>
                <w:sz w:val="18"/>
              </w:rPr>
              <w:t>Gestational age, LMP, EDD, and assessment date where valid.</w:t>
            </w:r>
          </w:p>
        </w:tc>
        <w:tc>
          <w:tcPr>
            <w:tcW w:type="dxa" w:w="3293"/>
            <w:vAlign w:val="top"/>
          </w:tcPr>
          <w:p>
            <w:pPr>
              <w:spacing w:after="0"/>
            </w:pPr>
            <w:r/>
            <w:r>
              <w:rPr>
                <w:rFonts w:ascii="Arial" w:hAnsi="Arial"/>
                <w:b w:val="0"/>
                <w:sz w:val="18"/>
              </w:rPr>
              <w:t>Prevent use of future-corrected dates and document calculation method.</w:t>
            </w:r>
          </w:p>
        </w:tc>
      </w:tr>
      <w:tr>
        <w:tc>
          <w:tcPr>
            <w:tcW w:type="dxa" w:w="3293"/>
            <w:vAlign w:val="top"/>
          </w:tcPr>
          <w:p>
            <w:pPr>
              <w:spacing w:after="0"/>
            </w:pPr>
            <w:r/>
            <w:r>
              <w:rPr>
                <w:rFonts w:ascii="Arial" w:hAnsi="Arial"/>
                <w:b w:val="0"/>
                <w:sz w:val="18"/>
              </w:rPr>
              <w:t>Symptoms and warning signs</w:t>
            </w:r>
          </w:p>
        </w:tc>
        <w:tc>
          <w:tcPr>
            <w:tcW w:type="dxa" w:w="3293"/>
            <w:vAlign w:val="top"/>
          </w:tcPr>
          <w:p>
            <w:pPr>
              <w:spacing w:after="0"/>
            </w:pPr>
            <w:r/>
            <w:r>
              <w:rPr>
                <w:rFonts w:ascii="Arial" w:hAnsi="Arial"/>
                <w:b w:val="0"/>
                <w:sz w:val="18"/>
              </w:rPr>
              <w:t>Only structured, consistently collected fields.</w:t>
            </w:r>
          </w:p>
        </w:tc>
        <w:tc>
          <w:tcPr>
            <w:tcW w:type="dxa" w:w="3293"/>
            <w:vAlign w:val="top"/>
          </w:tcPr>
          <w:p>
            <w:pPr>
              <w:spacing w:after="0"/>
            </w:pPr>
            <w:r/>
            <w:r>
              <w:rPr>
                <w:rFonts w:ascii="Arial" w:hAnsi="Arial"/>
                <w:b w:val="0"/>
                <w:sz w:val="18"/>
              </w:rPr>
              <w:t>Free text and inconsistent symptom documentation may be unsuitable without a separate validated pipeline.</w:t>
            </w:r>
          </w:p>
        </w:tc>
      </w:tr>
    </w:tbl>
    <w:p/>
    <w:p>
      <w:pPr>
        <w:pStyle w:val="Heading1"/>
      </w:pPr>
      <w:r>
        <w:t>10.0 Target Label Definition</w:t>
      </w:r>
    </w:p>
    <w:p>
      <w:r>
        <w:t>The model currently returns HIGH or LOW, but those words require an operational target definition. The dataset label must not be defined merely as whatever the existing model predicted. Circular labels make evaluation meaningless. The label must come from an independent reference process appropriate to the intended task.</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Label element</w:t>
            </w:r>
          </w:p>
        </w:tc>
        <w:tc>
          <w:tcPr>
            <w:tcW w:type="dxa" w:w="4939"/>
            <w:vAlign w:val="top"/>
            <w:shd w:fill="D9EAF7"/>
          </w:tcPr>
          <w:p>
            <w:pPr>
              <w:spacing w:after="0"/>
            </w:pPr>
            <w:r/>
            <w:r>
              <w:rPr>
                <w:rFonts w:ascii="Arial" w:hAnsi="Arial"/>
                <w:b/>
                <w:sz w:val="18"/>
              </w:rPr>
              <w:t>Required decision</w:t>
            </w:r>
          </w:p>
        </w:tc>
      </w:tr>
      <w:tr>
        <w:tc>
          <w:tcPr>
            <w:tcW w:type="dxa" w:w="4939"/>
            <w:vAlign w:val="top"/>
          </w:tcPr>
          <w:p>
            <w:pPr>
              <w:spacing w:after="0"/>
            </w:pPr>
            <w:r/>
            <w:r>
              <w:rPr>
                <w:rFonts w:ascii="Arial" w:hAnsi="Arial"/>
                <w:b w:val="0"/>
                <w:sz w:val="18"/>
              </w:rPr>
              <w:t>Target construct</w:t>
            </w:r>
          </w:p>
        </w:tc>
        <w:tc>
          <w:tcPr>
            <w:tcW w:type="dxa" w:w="4939"/>
            <w:vAlign w:val="top"/>
          </w:tcPr>
          <w:p>
            <w:pPr>
              <w:spacing w:after="0"/>
            </w:pPr>
            <w:r/>
            <w:r>
              <w:rPr>
                <w:rFonts w:ascii="Arial" w:hAnsi="Arial"/>
                <w:b w:val="0"/>
                <w:sz w:val="18"/>
              </w:rPr>
              <w:t>What kind of risk is being predicted: referral-relevant prenatal risk, rule-defined risk state, or a specific clinical outcome.</w:t>
            </w:r>
          </w:p>
        </w:tc>
      </w:tr>
      <w:tr>
        <w:tc>
          <w:tcPr>
            <w:tcW w:type="dxa" w:w="4939"/>
            <w:vAlign w:val="top"/>
          </w:tcPr>
          <w:p>
            <w:pPr>
              <w:spacing w:after="0"/>
            </w:pPr>
            <w:r/>
            <w:r>
              <w:rPr>
                <w:rFonts w:ascii="Arial" w:hAnsi="Arial"/>
                <w:b w:val="0"/>
                <w:sz w:val="18"/>
              </w:rPr>
              <w:t>Prediction horizon</w:t>
            </w:r>
          </w:p>
        </w:tc>
        <w:tc>
          <w:tcPr>
            <w:tcW w:type="dxa" w:w="4939"/>
            <w:vAlign w:val="top"/>
          </w:tcPr>
          <w:p>
            <w:pPr>
              <w:spacing w:after="0"/>
            </w:pPr>
            <w:r/>
            <w:r>
              <w:rPr>
                <w:rFonts w:ascii="Arial" w:hAnsi="Arial"/>
                <w:b w:val="0"/>
                <w:sz w:val="18"/>
              </w:rPr>
              <w:t>The time interval to which the label applies.</w:t>
            </w:r>
          </w:p>
        </w:tc>
      </w:tr>
      <w:tr>
        <w:tc>
          <w:tcPr>
            <w:tcW w:type="dxa" w:w="4939"/>
            <w:vAlign w:val="top"/>
          </w:tcPr>
          <w:p>
            <w:pPr>
              <w:spacing w:after="0"/>
            </w:pPr>
            <w:r/>
            <w:r>
              <w:rPr>
                <w:rFonts w:ascii="Arial" w:hAnsi="Arial"/>
                <w:b w:val="0"/>
                <w:sz w:val="18"/>
              </w:rPr>
              <w:t>HIGH definition</w:t>
            </w:r>
          </w:p>
        </w:tc>
        <w:tc>
          <w:tcPr>
            <w:tcW w:type="dxa" w:w="4939"/>
            <w:vAlign w:val="top"/>
          </w:tcPr>
          <w:p>
            <w:pPr>
              <w:spacing w:after="0"/>
            </w:pPr>
            <w:r/>
            <w:r>
              <w:rPr>
                <w:rFonts w:ascii="Arial" w:hAnsi="Arial"/>
                <w:b w:val="0"/>
                <w:sz w:val="18"/>
              </w:rPr>
              <w:t>Exact qualifying criteria and source of truth.</w:t>
            </w:r>
          </w:p>
        </w:tc>
      </w:tr>
      <w:tr>
        <w:tc>
          <w:tcPr>
            <w:tcW w:type="dxa" w:w="4939"/>
            <w:vAlign w:val="top"/>
          </w:tcPr>
          <w:p>
            <w:pPr>
              <w:spacing w:after="0"/>
            </w:pPr>
            <w:r/>
            <w:r>
              <w:rPr>
                <w:rFonts w:ascii="Arial" w:hAnsi="Arial"/>
                <w:b w:val="0"/>
                <w:sz w:val="18"/>
              </w:rPr>
              <w:t>LOW definition</w:t>
            </w:r>
          </w:p>
        </w:tc>
        <w:tc>
          <w:tcPr>
            <w:tcW w:type="dxa" w:w="4939"/>
            <w:vAlign w:val="top"/>
          </w:tcPr>
          <w:p>
            <w:pPr>
              <w:spacing w:after="0"/>
            </w:pPr>
            <w:r/>
            <w:r>
              <w:rPr>
                <w:rFonts w:ascii="Arial" w:hAnsi="Arial"/>
                <w:b w:val="0"/>
                <w:sz w:val="18"/>
              </w:rPr>
              <w:t>Exact qualifying criteria and required absence of HIGH conditions.</w:t>
            </w:r>
          </w:p>
        </w:tc>
      </w:tr>
      <w:tr>
        <w:tc>
          <w:tcPr>
            <w:tcW w:type="dxa" w:w="4939"/>
            <w:vAlign w:val="top"/>
          </w:tcPr>
          <w:p>
            <w:pPr>
              <w:spacing w:after="0"/>
            </w:pPr>
            <w:r/>
            <w:r>
              <w:rPr>
                <w:rFonts w:ascii="Arial" w:hAnsi="Arial"/>
                <w:b w:val="0"/>
                <w:sz w:val="18"/>
              </w:rPr>
              <w:t>Incomplete/unknown</w:t>
            </w:r>
          </w:p>
        </w:tc>
        <w:tc>
          <w:tcPr>
            <w:tcW w:type="dxa" w:w="4939"/>
            <w:vAlign w:val="top"/>
          </w:tcPr>
          <w:p>
            <w:pPr>
              <w:spacing w:after="0"/>
            </w:pPr>
            <w:r/>
            <w:r>
              <w:rPr>
                <w:rFonts w:ascii="Arial" w:hAnsi="Arial"/>
                <w:b w:val="0"/>
                <w:sz w:val="18"/>
              </w:rPr>
              <w:t>How records lacking enough evidence are handled; they must not be forced into LOW.</w:t>
            </w:r>
          </w:p>
        </w:tc>
      </w:tr>
      <w:tr>
        <w:tc>
          <w:tcPr>
            <w:tcW w:type="dxa" w:w="4939"/>
            <w:vAlign w:val="top"/>
          </w:tcPr>
          <w:p>
            <w:pPr>
              <w:spacing w:after="0"/>
            </w:pPr>
            <w:r/>
            <w:r>
              <w:rPr>
                <w:rFonts w:ascii="Arial" w:hAnsi="Arial"/>
                <w:b w:val="0"/>
                <w:sz w:val="18"/>
              </w:rPr>
              <w:t>Label authority</w:t>
            </w:r>
          </w:p>
        </w:tc>
        <w:tc>
          <w:tcPr>
            <w:tcW w:type="dxa" w:w="4939"/>
            <w:vAlign w:val="top"/>
          </w:tcPr>
          <w:p>
            <w:pPr>
              <w:spacing w:after="0"/>
            </w:pPr>
            <w:r/>
            <w:r>
              <w:rPr>
                <w:rFonts w:ascii="Arial" w:hAnsi="Arial"/>
                <w:b w:val="0"/>
                <w:sz w:val="18"/>
              </w:rPr>
              <w:t>Qualified reviewer, adjudication protocol, documented rules, or verified outcome source.</w:t>
            </w:r>
          </w:p>
        </w:tc>
      </w:tr>
      <w:tr>
        <w:tc>
          <w:tcPr>
            <w:tcW w:type="dxa" w:w="4939"/>
            <w:vAlign w:val="top"/>
          </w:tcPr>
          <w:p>
            <w:pPr>
              <w:spacing w:after="0"/>
            </w:pPr>
            <w:r/>
            <w:r>
              <w:rPr>
                <w:rFonts w:ascii="Arial" w:hAnsi="Arial"/>
                <w:b w:val="0"/>
                <w:sz w:val="18"/>
              </w:rPr>
              <w:t>Disagreement process</w:t>
            </w:r>
          </w:p>
        </w:tc>
        <w:tc>
          <w:tcPr>
            <w:tcW w:type="dxa" w:w="4939"/>
            <w:vAlign w:val="top"/>
          </w:tcPr>
          <w:p>
            <w:pPr>
              <w:spacing w:after="0"/>
            </w:pPr>
            <w:r/>
            <w:r>
              <w:rPr>
                <w:rFonts w:ascii="Arial" w:hAnsi="Arial"/>
                <w:b w:val="0"/>
                <w:sz w:val="18"/>
              </w:rPr>
              <w:t>How conflicting reviewers or sources are resolved and recorded.</w:t>
            </w:r>
          </w:p>
        </w:tc>
      </w:tr>
    </w:tbl>
    <w:p/>
    <w:p>
      <w:r>
        <w:t>For the capstone, a rules-derived label may be used for a transparent prototype if that is the actual method, but the model must then be described as learning to reproduce a rule-defined classification rather than discovering independent clinical risk. Such a model must not be evaluated as independent confirmation of the same rules. If verified clinical outcomes are unavailable, that limitation must remain explicit.</w:t>
      </w:r>
    </w:p>
    <w:p>
      <w:pPr>
        <w:pStyle w:val="Heading1"/>
      </w:pPr>
      <w:r>
        <w:t>11.0 Labeling Protocol and Quality Control</w:t>
      </w:r>
    </w:p>
    <w:p>
      <w:pPr>
        <w:pStyle w:val="ListNumber"/>
      </w:pPr>
      <w:r>
        <w:t>Freeze the label definition and version before labeling begins.</w:t>
      </w:r>
    </w:p>
    <w:p>
      <w:pPr>
        <w:pStyle w:val="ListNumber"/>
      </w:pPr>
      <w:r>
        <w:t>Provide labelers with a written manual and examples, including uncertain and incomplete cases.</w:t>
      </w:r>
    </w:p>
    <w:p>
      <w:pPr>
        <w:pStyle w:val="ListNumber"/>
      </w:pPr>
      <w:r>
        <w:t>Keep model predictions hidden from labelers to prevent confirmation bias.</w:t>
      </w:r>
    </w:p>
    <w:p>
      <w:pPr>
        <w:pStyle w:val="ListNumber"/>
      </w:pPr>
      <w:r>
        <w:t>Use at least a documented secondary review for ambiguous or safety-critical cases where resources permit.</w:t>
      </w:r>
    </w:p>
    <w:p>
      <w:pPr>
        <w:pStyle w:val="ListNumber"/>
      </w:pPr>
      <w:r>
        <w:t>Record the source evidence, labeler, date, rule/version, and adjudication status.</w:t>
      </w:r>
    </w:p>
    <w:p>
      <w:pPr>
        <w:pStyle w:val="ListNumber"/>
      </w:pPr>
      <w:r>
        <w:t>Measure and report disagreement when multiple reviewers are used.</w:t>
      </w:r>
    </w:p>
    <w:p>
      <w:pPr>
        <w:pStyle w:val="ListNumber"/>
      </w:pPr>
      <w:r>
        <w:t>Never silently convert unknown, missing, or contradictory cases into LOW.</w:t>
      </w:r>
    </w:p>
    <w:p>
      <w:pPr>
        <w:pStyle w:val="ListNumber"/>
      </w:pPr>
      <w:r>
        <w:t>Archive the original source values and the derived label separately.</w:t>
      </w:r>
    </w:p>
    <w:p>
      <w:r>
        <w:br w:type="page"/>
      </w:r>
    </w:p>
    <w:p>
      <w:pPr>
        <w:pStyle w:val="Heading1"/>
      </w:pPr>
      <w:r>
        <w:t>12.0 Data Quality Framework</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top"/>
            <w:shd w:fill="D9EAF7"/>
          </w:tcPr>
          <w:p>
            <w:pPr>
              <w:spacing w:after="0"/>
            </w:pPr>
            <w:r/>
            <w:r>
              <w:rPr>
                <w:rFonts w:ascii="Arial" w:hAnsi="Arial"/>
                <w:b/>
                <w:sz w:val="18"/>
              </w:rPr>
              <w:t>Quality dimension</w:t>
            </w:r>
          </w:p>
        </w:tc>
        <w:tc>
          <w:tcPr>
            <w:tcW w:type="dxa" w:w="3293"/>
            <w:vAlign w:val="top"/>
            <w:shd w:fill="D9EAF7"/>
          </w:tcPr>
          <w:p>
            <w:pPr>
              <w:spacing w:after="0"/>
            </w:pPr>
            <w:r/>
            <w:r>
              <w:rPr>
                <w:rFonts w:ascii="Arial" w:hAnsi="Arial"/>
                <w:b/>
                <w:sz w:val="18"/>
              </w:rPr>
              <w:t>Question</w:t>
            </w:r>
          </w:p>
        </w:tc>
        <w:tc>
          <w:tcPr>
            <w:tcW w:type="dxa" w:w="3293"/>
            <w:vAlign w:val="top"/>
            <w:shd w:fill="D9EAF7"/>
          </w:tcPr>
          <w:p>
            <w:pPr>
              <w:spacing w:after="0"/>
            </w:pPr>
            <w:r/>
            <w:r>
              <w:rPr>
                <w:rFonts w:ascii="Arial" w:hAnsi="Arial"/>
                <w:b/>
                <w:sz w:val="18"/>
              </w:rPr>
              <w:t>Control</w:t>
            </w:r>
          </w:p>
        </w:tc>
      </w:tr>
      <w:tr>
        <w:tc>
          <w:tcPr>
            <w:tcW w:type="dxa" w:w="3293"/>
            <w:vAlign w:val="top"/>
          </w:tcPr>
          <w:p>
            <w:pPr>
              <w:spacing w:after="0"/>
            </w:pPr>
            <w:r/>
            <w:r>
              <w:rPr>
                <w:rFonts w:ascii="Arial" w:hAnsi="Arial"/>
                <w:b w:val="0"/>
                <w:sz w:val="18"/>
              </w:rPr>
              <w:t>Completeness</w:t>
            </w:r>
          </w:p>
        </w:tc>
        <w:tc>
          <w:tcPr>
            <w:tcW w:type="dxa" w:w="3293"/>
            <w:vAlign w:val="top"/>
          </w:tcPr>
          <w:p>
            <w:pPr>
              <w:spacing w:after="0"/>
            </w:pPr>
            <w:r/>
            <w:r>
              <w:rPr>
                <w:rFonts w:ascii="Arial" w:hAnsi="Arial"/>
                <w:b w:val="0"/>
                <w:sz w:val="18"/>
              </w:rPr>
              <w:t>Are required values present for the intended use?</w:t>
            </w:r>
          </w:p>
        </w:tc>
        <w:tc>
          <w:tcPr>
            <w:tcW w:type="dxa" w:w="3293"/>
            <w:vAlign w:val="top"/>
          </w:tcPr>
          <w:p>
            <w:pPr>
              <w:spacing w:after="0"/>
            </w:pPr>
            <w:r/>
            <w:r>
              <w:rPr>
                <w:rFonts w:ascii="Arial" w:hAnsi="Arial"/>
                <w:b w:val="0"/>
                <w:sz w:val="18"/>
              </w:rPr>
              <w:t>Field-level missingness report and minimum completeness rules.</w:t>
            </w:r>
          </w:p>
        </w:tc>
      </w:tr>
      <w:tr>
        <w:tc>
          <w:tcPr>
            <w:tcW w:type="dxa" w:w="3293"/>
            <w:vAlign w:val="top"/>
          </w:tcPr>
          <w:p>
            <w:pPr>
              <w:spacing w:after="0"/>
            </w:pPr>
            <w:r/>
            <w:r>
              <w:rPr>
                <w:rFonts w:ascii="Arial" w:hAnsi="Arial"/>
                <w:b w:val="0"/>
                <w:sz w:val="18"/>
              </w:rPr>
              <w:t>Validity</w:t>
            </w:r>
          </w:p>
        </w:tc>
        <w:tc>
          <w:tcPr>
            <w:tcW w:type="dxa" w:w="3293"/>
            <w:vAlign w:val="top"/>
          </w:tcPr>
          <w:p>
            <w:pPr>
              <w:spacing w:after="0"/>
            </w:pPr>
            <w:r/>
            <w:r>
              <w:rPr>
                <w:rFonts w:ascii="Arial" w:hAnsi="Arial"/>
                <w:b w:val="0"/>
                <w:sz w:val="18"/>
              </w:rPr>
              <w:t>Do values satisfy type, range, unit, and category rules?</w:t>
            </w:r>
          </w:p>
        </w:tc>
        <w:tc>
          <w:tcPr>
            <w:tcW w:type="dxa" w:w="3293"/>
            <w:vAlign w:val="top"/>
          </w:tcPr>
          <w:p>
            <w:pPr>
              <w:spacing w:after="0"/>
            </w:pPr>
            <w:r/>
            <w:r>
              <w:rPr>
                <w:rFonts w:ascii="Arial" w:hAnsi="Arial"/>
                <w:b w:val="0"/>
                <w:sz w:val="18"/>
              </w:rPr>
              <w:t>Automated schema and clinical plausibility checks.</w:t>
            </w:r>
          </w:p>
        </w:tc>
      </w:tr>
      <w:tr>
        <w:tc>
          <w:tcPr>
            <w:tcW w:type="dxa" w:w="3293"/>
            <w:vAlign w:val="top"/>
          </w:tcPr>
          <w:p>
            <w:pPr>
              <w:spacing w:after="0"/>
            </w:pPr>
            <w:r/>
            <w:r>
              <w:rPr>
                <w:rFonts w:ascii="Arial" w:hAnsi="Arial"/>
                <w:b w:val="0"/>
                <w:sz w:val="18"/>
              </w:rPr>
              <w:t>Consistency</w:t>
            </w:r>
          </w:p>
        </w:tc>
        <w:tc>
          <w:tcPr>
            <w:tcW w:type="dxa" w:w="3293"/>
            <w:vAlign w:val="top"/>
          </w:tcPr>
          <w:p>
            <w:pPr>
              <w:spacing w:after="0"/>
            </w:pPr>
            <w:r/>
            <w:r>
              <w:rPr>
                <w:rFonts w:ascii="Arial" w:hAnsi="Arial"/>
                <w:b w:val="0"/>
                <w:sz w:val="18"/>
              </w:rPr>
              <w:t>Do related fields agree?</w:t>
            </w:r>
          </w:p>
        </w:tc>
        <w:tc>
          <w:tcPr>
            <w:tcW w:type="dxa" w:w="3293"/>
            <w:vAlign w:val="top"/>
          </w:tcPr>
          <w:p>
            <w:pPr>
              <w:spacing w:after="0"/>
            </w:pPr>
            <w:r/>
            <w:r>
              <w:rPr>
                <w:rFonts w:ascii="Arial" w:hAnsi="Arial"/>
                <w:b w:val="0"/>
                <w:sz w:val="18"/>
              </w:rPr>
              <w:t>Cross-field checks, such as pregnancy dates and obstetric-history logic.</w:t>
            </w:r>
          </w:p>
        </w:tc>
      </w:tr>
      <w:tr>
        <w:tc>
          <w:tcPr>
            <w:tcW w:type="dxa" w:w="3293"/>
            <w:vAlign w:val="top"/>
          </w:tcPr>
          <w:p>
            <w:pPr>
              <w:spacing w:after="0"/>
            </w:pPr>
            <w:r/>
            <w:r>
              <w:rPr>
                <w:rFonts w:ascii="Arial" w:hAnsi="Arial"/>
                <w:b w:val="0"/>
                <w:sz w:val="18"/>
              </w:rPr>
              <w:t>Uniqueness</w:t>
            </w:r>
          </w:p>
        </w:tc>
        <w:tc>
          <w:tcPr>
            <w:tcW w:type="dxa" w:w="3293"/>
            <w:vAlign w:val="top"/>
          </w:tcPr>
          <w:p>
            <w:pPr>
              <w:spacing w:after="0"/>
            </w:pPr>
            <w:r/>
            <w:r>
              <w:rPr>
                <w:rFonts w:ascii="Arial" w:hAnsi="Arial"/>
                <w:b w:val="0"/>
                <w:sz w:val="18"/>
              </w:rPr>
              <w:t>Are duplicate patients, pregnancies, or assessments present?</w:t>
            </w:r>
          </w:p>
        </w:tc>
        <w:tc>
          <w:tcPr>
            <w:tcW w:type="dxa" w:w="3293"/>
            <w:vAlign w:val="top"/>
          </w:tcPr>
          <w:p>
            <w:pPr>
              <w:spacing w:after="0"/>
            </w:pPr>
            <w:r/>
            <w:r>
              <w:rPr>
                <w:rFonts w:ascii="Arial" w:hAnsi="Arial"/>
                <w:b w:val="0"/>
                <w:sz w:val="18"/>
              </w:rPr>
              <w:t>Deterministic and probabilistic duplicate review.</w:t>
            </w:r>
          </w:p>
        </w:tc>
      </w:tr>
      <w:tr>
        <w:tc>
          <w:tcPr>
            <w:tcW w:type="dxa" w:w="3293"/>
            <w:vAlign w:val="top"/>
          </w:tcPr>
          <w:p>
            <w:pPr>
              <w:spacing w:after="0"/>
            </w:pPr>
            <w:r/>
            <w:r>
              <w:rPr>
                <w:rFonts w:ascii="Arial" w:hAnsi="Arial"/>
                <w:b w:val="0"/>
                <w:sz w:val="18"/>
              </w:rPr>
              <w:t>Timeliness</w:t>
            </w:r>
          </w:p>
        </w:tc>
        <w:tc>
          <w:tcPr>
            <w:tcW w:type="dxa" w:w="3293"/>
            <w:vAlign w:val="top"/>
          </w:tcPr>
          <w:p>
            <w:pPr>
              <w:spacing w:after="0"/>
            </w:pPr>
            <w:r/>
            <w:r>
              <w:rPr>
                <w:rFonts w:ascii="Arial" w:hAnsi="Arial"/>
                <w:b w:val="0"/>
                <w:sz w:val="18"/>
              </w:rPr>
              <w:t>Were features known at the assessment time?</w:t>
            </w:r>
          </w:p>
        </w:tc>
        <w:tc>
          <w:tcPr>
            <w:tcW w:type="dxa" w:w="3293"/>
            <w:vAlign w:val="top"/>
          </w:tcPr>
          <w:p>
            <w:pPr>
              <w:spacing w:after="0"/>
            </w:pPr>
            <w:r/>
            <w:r>
              <w:rPr>
                <w:rFonts w:ascii="Arial" w:hAnsi="Arial"/>
                <w:b w:val="0"/>
                <w:sz w:val="18"/>
              </w:rPr>
              <w:t>Timestamp validation and future-data exclusion.</w:t>
            </w:r>
          </w:p>
        </w:tc>
      </w:tr>
      <w:tr>
        <w:tc>
          <w:tcPr>
            <w:tcW w:type="dxa" w:w="3293"/>
            <w:vAlign w:val="top"/>
          </w:tcPr>
          <w:p>
            <w:pPr>
              <w:spacing w:after="0"/>
            </w:pPr>
            <w:r/>
            <w:r>
              <w:rPr>
                <w:rFonts w:ascii="Arial" w:hAnsi="Arial"/>
                <w:b w:val="0"/>
                <w:sz w:val="18"/>
              </w:rPr>
              <w:t>Accuracy</w:t>
            </w:r>
          </w:p>
        </w:tc>
        <w:tc>
          <w:tcPr>
            <w:tcW w:type="dxa" w:w="3293"/>
            <w:vAlign w:val="top"/>
          </w:tcPr>
          <w:p>
            <w:pPr>
              <w:spacing w:after="0"/>
            </w:pPr>
            <w:r/>
            <w:r>
              <w:rPr>
                <w:rFonts w:ascii="Arial" w:hAnsi="Arial"/>
                <w:b w:val="0"/>
                <w:sz w:val="18"/>
              </w:rPr>
              <w:t>Does the dataset match the source record?</w:t>
            </w:r>
          </w:p>
        </w:tc>
        <w:tc>
          <w:tcPr>
            <w:tcW w:type="dxa" w:w="3293"/>
            <w:vAlign w:val="top"/>
          </w:tcPr>
          <w:p>
            <w:pPr>
              <w:spacing w:after="0"/>
            </w:pPr>
            <w:r/>
            <w:r>
              <w:rPr>
                <w:rFonts w:ascii="Arial" w:hAnsi="Arial"/>
                <w:b w:val="0"/>
                <w:sz w:val="18"/>
              </w:rPr>
              <w:t>Sampled source-to-dataset verification and correction logs.</w:t>
            </w:r>
          </w:p>
        </w:tc>
      </w:tr>
      <w:tr>
        <w:tc>
          <w:tcPr>
            <w:tcW w:type="dxa" w:w="3293"/>
            <w:vAlign w:val="top"/>
          </w:tcPr>
          <w:p>
            <w:pPr>
              <w:spacing w:after="0"/>
            </w:pPr>
            <w:r/>
            <w:r>
              <w:rPr>
                <w:rFonts w:ascii="Arial" w:hAnsi="Arial"/>
                <w:b w:val="0"/>
                <w:sz w:val="18"/>
              </w:rPr>
              <w:t>Provenance</w:t>
            </w:r>
          </w:p>
        </w:tc>
        <w:tc>
          <w:tcPr>
            <w:tcW w:type="dxa" w:w="3293"/>
            <w:vAlign w:val="top"/>
          </w:tcPr>
          <w:p>
            <w:pPr>
              <w:spacing w:after="0"/>
            </w:pPr>
            <w:r/>
            <w:r>
              <w:rPr>
                <w:rFonts w:ascii="Arial" w:hAnsi="Arial"/>
                <w:b w:val="0"/>
                <w:sz w:val="18"/>
              </w:rPr>
              <w:t>Can every value be traced to source and transformation?</w:t>
            </w:r>
          </w:p>
        </w:tc>
        <w:tc>
          <w:tcPr>
            <w:tcW w:type="dxa" w:w="3293"/>
            <w:vAlign w:val="top"/>
          </w:tcPr>
          <w:p>
            <w:pPr>
              <w:spacing w:after="0"/>
            </w:pPr>
            <w:r/>
            <w:r>
              <w:rPr>
                <w:rFonts w:ascii="Arial" w:hAnsi="Arial"/>
                <w:b w:val="0"/>
                <w:sz w:val="18"/>
              </w:rPr>
              <w:t>Lineage records and reproducible preparation code.</w:t>
            </w:r>
          </w:p>
        </w:tc>
      </w:tr>
      <w:tr>
        <w:tc>
          <w:tcPr>
            <w:tcW w:type="dxa" w:w="3293"/>
            <w:vAlign w:val="top"/>
          </w:tcPr>
          <w:p>
            <w:pPr>
              <w:spacing w:after="0"/>
            </w:pPr>
            <w:r/>
            <w:r>
              <w:rPr>
                <w:rFonts w:ascii="Arial" w:hAnsi="Arial"/>
                <w:b w:val="0"/>
                <w:sz w:val="18"/>
              </w:rPr>
              <w:t>Representativeness</w:t>
            </w:r>
          </w:p>
        </w:tc>
        <w:tc>
          <w:tcPr>
            <w:tcW w:type="dxa" w:w="3293"/>
            <w:vAlign w:val="top"/>
          </w:tcPr>
          <w:p>
            <w:pPr>
              <w:spacing w:after="0"/>
            </w:pPr>
            <w:r/>
            <w:r>
              <w:rPr>
                <w:rFonts w:ascii="Arial" w:hAnsi="Arial"/>
                <w:b w:val="0"/>
                <w:sz w:val="18"/>
              </w:rPr>
              <w:t>Does the dataset cover the intended population?</w:t>
            </w:r>
          </w:p>
        </w:tc>
        <w:tc>
          <w:tcPr>
            <w:tcW w:type="dxa" w:w="3293"/>
            <w:vAlign w:val="top"/>
          </w:tcPr>
          <w:p>
            <w:pPr>
              <w:spacing w:after="0"/>
            </w:pPr>
            <w:r/>
            <w:r>
              <w:rPr>
                <w:rFonts w:ascii="Arial" w:hAnsi="Arial"/>
                <w:b w:val="0"/>
                <w:sz w:val="18"/>
              </w:rPr>
              <w:t>Population comparison and subgroup distribution report.</w:t>
            </w:r>
          </w:p>
        </w:tc>
      </w:tr>
    </w:tbl>
    <w:p/>
    <w:p>
      <w:pPr>
        <w:pStyle w:val="Heading1"/>
      </w:pPr>
      <w:r>
        <w:t>13.0 Missing Data Architecture</w:t>
      </w:r>
    </w:p>
    <w:p>
      <w:r>
        <w:t>Missingness carries clinical meaning and must not be treated as a single blank value. Not assessed, unknown, not applicable, not recorded, and technically unavailable are different states. The dataset pipeline must preserve those distinctions until a documented preprocessing decision is applied.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Missing-data situation</w:t>
            </w:r>
          </w:p>
        </w:tc>
        <w:tc>
          <w:tcPr>
            <w:tcW w:type="dxa" w:w="4939"/>
            <w:vAlign w:val="top"/>
            <w:shd w:fill="D9EAF7"/>
          </w:tcPr>
          <w:p>
            <w:pPr>
              <w:spacing w:after="0"/>
            </w:pPr>
            <w:r/>
            <w:r>
              <w:rPr>
                <w:rFonts w:ascii="Arial" w:hAnsi="Arial"/>
                <w:b/>
                <w:sz w:val="18"/>
              </w:rPr>
              <w:t>Required handling</w:t>
            </w:r>
          </w:p>
        </w:tc>
      </w:tr>
      <w:tr>
        <w:tc>
          <w:tcPr>
            <w:tcW w:type="dxa" w:w="4939"/>
            <w:vAlign w:val="top"/>
          </w:tcPr>
          <w:p>
            <w:pPr>
              <w:spacing w:after="0"/>
            </w:pPr>
            <w:r/>
            <w:r>
              <w:rPr>
                <w:rFonts w:ascii="Arial" w:hAnsi="Arial"/>
                <w:b w:val="0"/>
                <w:sz w:val="18"/>
              </w:rPr>
              <w:t>Required label evidence missing</w:t>
            </w:r>
          </w:p>
        </w:tc>
        <w:tc>
          <w:tcPr>
            <w:tcW w:type="dxa" w:w="4939"/>
            <w:vAlign w:val="top"/>
          </w:tcPr>
          <w:p>
            <w:pPr>
              <w:spacing w:after="0"/>
            </w:pPr>
            <w:r/>
            <w:r>
              <w:rPr>
                <w:rFonts w:ascii="Arial" w:hAnsi="Arial"/>
                <w:b w:val="0"/>
                <w:sz w:val="18"/>
              </w:rPr>
              <w:t>Exclude from supervised training or assign an explicit unresolved status; never label LOW by default.</w:t>
            </w:r>
          </w:p>
        </w:tc>
      </w:tr>
      <w:tr>
        <w:tc>
          <w:tcPr>
            <w:tcW w:type="dxa" w:w="4939"/>
            <w:vAlign w:val="top"/>
          </w:tcPr>
          <w:p>
            <w:pPr>
              <w:spacing w:after="0"/>
            </w:pPr>
            <w:r/>
            <w:r>
              <w:rPr>
                <w:rFonts w:ascii="Arial" w:hAnsi="Arial"/>
                <w:b w:val="0"/>
                <w:sz w:val="18"/>
              </w:rPr>
              <w:t>Required prediction feature missing</w:t>
            </w:r>
          </w:p>
        </w:tc>
        <w:tc>
          <w:tcPr>
            <w:tcW w:type="dxa" w:w="4939"/>
            <w:vAlign w:val="top"/>
          </w:tcPr>
          <w:p>
            <w:pPr>
              <w:spacing w:after="0"/>
            </w:pPr>
            <w:r/>
            <w:r>
              <w:rPr>
                <w:rFonts w:ascii="Arial" w:hAnsi="Arial"/>
                <w:b w:val="0"/>
                <w:sz w:val="18"/>
              </w:rPr>
              <w:t>Follow the approved feature-schema policy; reject, preserve missing state, or apply a fitted imputation method.</w:t>
            </w:r>
          </w:p>
        </w:tc>
      </w:tr>
      <w:tr>
        <w:tc>
          <w:tcPr>
            <w:tcW w:type="dxa" w:w="4939"/>
            <w:vAlign w:val="top"/>
          </w:tcPr>
          <w:p>
            <w:pPr>
              <w:spacing w:after="0"/>
            </w:pPr>
            <w:r/>
            <w:r>
              <w:rPr>
                <w:rFonts w:ascii="Arial" w:hAnsi="Arial"/>
                <w:b w:val="0"/>
                <w:sz w:val="18"/>
              </w:rPr>
              <w:t>Optional feature missing</w:t>
            </w:r>
          </w:p>
        </w:tc>
        <w:tc>
          <w:tcPr>
            <w:tcW w:type="dxa" w:w="4939"/>
            <w:vAlign w:val="top"/>
          </w:tcPr>
          <w:p>
            <w:pPr>
              <w:spacing w:after="0"/>
            </w:pPr>
            <w:r/>
            <w:r>
              <w:rPr>
                <w:rFonts w:ascii="Arial" w:hAnsi="Arial"/>
                <w:b w:val="0"/>
                <w:sz w:val="18"/>
              </w:rPr>
              <w:t>Retain with documented missing-state encoding or training-fitted imputation.</w:t>
            </w:r>
          </w:p>
        </w:tc>
      </w:tr>
      <w:tr>
        <w:tc>
          <w:tcPr>
            <w:tcW w:type="dxa" w:w="4939"/>
            <w:vAlign w:val="top"/>
          </w:tcPr>
          <w:p>
            <w:pPr>
              <w:spacing w:after="0"/>
            </w:pPr>
            <w:r/>
            <w:r>
              <w:rPr>
                <w:rFonts w:ascii="Arial" w:hAnsi="Arial"/>
                <w:b w:val="0"/>
                <w:sz w:val="18"/>
              </w:rPr>
              <w:t>Systematic missingness by subgroup/site</w:t>
            </w:r>
          </w:p>
        </w:tc>
        <w:tc>
          <w:tcPr>
            <w:tcW w:type="dxa" w:w="4939"/>
            <w:vAlign w:val="top"/>
          </w:tcPr>
          <w:p>
            <w:pPr>
              <w:spacing w:after="0"/>
            </w:pPr>
            <w:r/>
            <w:r>
              <w:rPr>
                <w:rFonts w:ascii="Arial" w:hAnsi="Arial"/>
                <w:b w:val="0"/>
                <w:sz w:val="18"/>
              </w:rPr>
              <w:t>Investigate workflow bias and report subgroup effects.</w:t>
            </w:r>
          </w:p>
        </w:tc>
      </w:tr>
      <w:tr>
        <w:tc>
          <w:tcPr>
            <w:tcW w:type="dxa" w:w="4939"/>
            <w:vAlign w:val="top"/>
          </w:tcPr>
          <w:p>
            <w:pPr>
              <w:spacing w:after="0"/>
            </w:pPr>
            <w:r/>
            <w:r>
              <w:rPr>
                <w:rFonts w:ascii="Arial" w:hAnsi="Arial"/>
                <w:b w:val="0"/>
                <w:sz w:val="18"/>
              </w:rPr>
              <w:t>Value unavailable at prediction time but added later</w:t>
            </w:r>
          </w:p>
        </w:tc>
        <w:tc>
          <w:tcPr>
            <w:tcW w:type="dxa" w:w="4939"/>
            <w:vAlign w:val="top"/>
          </w:tcPr>
          <w:p>
            <w:pPr>
              <w:spacing w:after="0"/>
            </w:pPr>
            <w:r/>
            <w:r>
              <w:rPr>
                <w:rFonts w:ascii="Arial" w:hAnsi="Arial"/>
                <w:b w:val="0"/>
                <w:sz w:val="18"/>
              </w:rPr>
              <w:t>Exclude from the historical snapshot to prevent temporal leakage.</w:t>
            </w:r>
          </w:p>
        </w:tc>
      </w:tr>
      <w:tr>
        <w:tc>
          <w:tcPr>
            <w:tcW w:type="dxa" w:w="4939"/>
            <w:vAlign w:val="top"/>
          </w:tcPr>
          <w:p>
            <w:pPr>
              <w:spacing w:after="0"/>
            </w:pPr>
            <w:r/>
            <w:r>
              <w:rPr>
                <w:rFonts w:ascii="Arial" w:hAnsi="Arial"/>
                <w:b w:val="0"/>
                <w:sz w:val="18"/>
              </w:rPr>
              <w:t>Imputation</w:t>
            </w:r>
          </w:p>
        </w:tc>
        <w:tc>
          <w:tcPr>
            <w:tcW w:type="dxa" w:w="4939"/>
            <w:vAlign w:val="top"/>
          </w:tcPr>
          <w:p>
            <w:pPr>
              <w:spacing w:after="0"/>
            </w:pPr>
            <w:r/>
            <w:r>
              <w:rPr>
                <w:rFonts w:ascii="Arial" w:hAnsi="Arial"/>
                <w:b w:val="0"/>
                <w:sz w:val="18"/>
              </w:rPr>
              <w:t>Fit only on training data and apply unchanged to tuning/test/production data.</w:t>
            </w:r>
          </w:p>
        </w:tc>
      </w:tr>
    </w:tbl>
    <w:p/>
    <w:p>
      <w:r>
        <w:t>Simple deletion of incomplete records may produce a dataset representing only patients with unusually complete care. The effect of exclusions and imputation must therefore be reported, and sensitivity analyses should be planned where sample size permits.</w:t>
      </w:r>
    </w:p>
    <w:p>
      <w:pPr>
        <w:pStyle w:val="Heading1"/>
      </w:pPr>
      <w:r>
        <w:t>14.0 Outlier, Contradiction, and Error Management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Finding</w:t>
            </w:r>
          </w:p>
        </w:tc>
        <w:tc>
          <w:tcPr>
            <w:tcW w:type="dxa" w:w="4939"/>
            <w:vAlign w:val="top"/>
            <w:shd w:fill="D9EAF7"/>
          </w:tcPr>
          <w:p>
            <w:pPr>
              <w:spacing w:after="0"/>
            </w:pPr>
            <w:r/>
            <w:r>
              <w:rPr>
                <w:rFonts w:ascii="Arial" w:hAnsi="Arial"/>
                <w:b/>
                <w:sz w:val="18"/>
              </w:rPr>
              <w:t>Response</w:t>
            </w:r>
          </w:p>
        </w:tc>
      </w:tr>
      <w:tr>
        <w:tc>
          <w:tcPr>
            <w:tcW w:type="dxa" w:w="4939"/>
            <w:vAlign w:val="top"/>
          </w:tcPr>
          <w:p>
            <w:pPr>
              <w:spacing w:after="0"/>
            </w:pPr>
            <w:r/>
            <w:r>
              <w:rPr>
                <w:rFonts w:ascii="Arial" w:hAnsi="Arial"/>
                <w:b w:val="0"/>
                <w:sz w:val="18"/>
              </w:rPr>
              <w:t>Impossible value</w:t>
            </w:r>
          </w:p>
        </w:tc>
        <w:tc>
          <w:tcPr>
            <w:tcW w:type="dxa" w:w="4939"/>
            <w:vAlign w:val="top"/>
          </w:tcPr>
          <w:p>
            <w:pPr>
              <w:spacing w:after="0"/>
            </w:pPr>
            <w:r/>
            <w:r>
              <w:rPr>
                <w:rFonts w:ascii="Arial" w:hAnsi="Arial"/>
                <w:b w:val="0"/>
                <w:sz w:val="18"/>
              </w:rPr>
              <w:t>Quarantine the record or field; verify against source; never silently clip without documentation.</w:t>
            </w:r>
          </w:p>
        </w:tc>
      </w:tr>
      <w:tr>
        <w:tc>
          <w:tcPr>
            <w:tcW w:type="dxa" w:w="4939"/>
            <w:vAlign w:val="top"/>
          </w:tcPr>
          <w:p>
            <w:pPr>
              <w:spacing w:after="0"/>
            </w:pPr>
            <w:r/>
            <w:r>
              <w:rPr>
                <w:rFonts w:ascii="Arial" w:hAnsi="Arial"/>
                <w:b w:val="0"/>
                <w:sz w:val="18"/>
              </w:rPr>
              <w:t>Clinically extreme but possible value</w:t>
            </w:r>
          </w:p>
        </w:tc>
        <w:tc>
          <w:tcPr>
            <w:tcW w:type="dxa" w:w="4939"/>
            <w:vAlign w:val="top"/>
          </w:tcPr>
          <w:p>
            <w:pPr>
              <w:spacing w:after="0"/>
            </w:pPr>
            <w:r/>
            <w:r>
              <w:rPr>
                <w:rFonts w:ascii="Arial" w:hAnsi="Arial"/>
                <w:b w:val="0"/>
                <w:sz w:val="18"/>
              </w:rPr>
              <w:t>Retain after verification because rare high-risk cases may be important.</w:t>
            </w:r>
          </w:p>
        </w:tc>
      </w:tr>
      <w:tr>
        <w:tc>
          <w:tcPr>
            <w:tcW w:type="dxa" w:w="4939"/>
            <w:vAlign w:val="top"/>
          </w:tcPr>
          <w:p>
            <w:pPr>
              <w:spacing w:after="0"/>
            </w:pPr>
            <w:r/>
            <w:r>
              <w:rPr>
                <w:rFonts w:ascii="Arial" w:hAnsi="Arial"/>
                <w:b w:val="0"/>
                <w:sz w:val="18"/>
              </w:rPr>
              <w:t>Unit mismatch</w:t>
            </w:r>
          </w:p>
        </w:tc>
        <w:tc>
          <w:tcPr>
            <w:tcW w:type="dxa" w:w="4939"/>
            <w:vAlign w:val="top"/>
          </w:tcPr>
          <w:p>
            <w:pPr>
              <w:spacing w:after="0"/>
            </w:pPr>
            <w:r/>
            <w:r>
              <w:rPr>
                <w:rFonts w:ascii="Arial" w:hAnsi="Arial"/>
                <w:b w:val="0"/>
                <w:sz w:val="18"/>
              </w:rPr>
              <w:t>Convert only using an approved rule with source unit recorded.</w:t>
            </w:r>
          </w:p>
        </w:tc>
      </w:tr>
      <w:tr>
        <w:tc>
          <w:tcPr>
            <w:tcW w:type="dxa" w:w="4939"/>
            <w:vAlign w:val="top"/>
          </w:tcPr>
          <w:p>
            <w:pPr>
              <w:spacing w:after="0"/>
            </w:pPr>
            <w:r/>
            <w:r>
              <w:rPr>
                <w:rFonts w:ascii="Arial" w:hAnsi="Arial"/>
                <w:b w:val="0"/>
                <w:sz w:val="18"/>
              </w:rPr>
              <w:t>Contradictory related fields</w:t>
            </w:r>
          </w:p>
        </w:tc>
        <w:tc>
          <w:tcPr>
            <w:tcW w:type="dxa" w:w="4939"/>
            <w:vAlign w:val="top"/>
          </w:tcPr>
          <w:p>
            <w:pPr>
              <w:spacing w:after="0"/>
            </w:pPr>
            <w:r/>
            <w:r>
              <w:rPr>
                <w:rFonts w:ascii="Arial" w:hAnsi="Arial"/>
                <w:b w:val="0"/>
                <w:sz w:val="18"/>
              </w:rPr>
              <w:t>Flag for review and preserve the original values and resolution.</w:t>
            </w:r>
          </w:p>
        </w:tc>
      </w:tr>
      <w:tr>
        <w:tc>
          <w:tcPr>
            <w:tcW w:type="dxa" w:w="4939"/>
            <w:vAlign w:val="top"/>
          </w:tcPr>
          <w:p>
            <w:pPr>
              <w:spacing w:after="0"/>
            </w:pPr>
            <w:r/>
            <w:r>
              <w:rPr>
                <w:rFonts w:ascii="Arial" w:hAnsi="Arial"/>
                <w:b w:val="0"/>
                <w:sz w:val="18"/>
              </w:rPr>
              <w:t>Typographical or category error</w:t>
            </w:r>
          </w:p>
        </w:tc>
        <w:tc>
          <w:tcPr>
            <w:tcW w:type="dxa" w:w="4939"/>
            <w:vAlign w:val="top"/>
          </w:tcPr>
          <w:p>
            <w:pPr>
              <w:spacing w:after="0"/>
            </w:pPr>
            <w:r/>
            <w:r>
              <w:rPr>
                <w:rFonts w:ascii="Arial" w:hAnsi="Arial"/>
                <w:b w:val="0"/>
                <w:sz w:val="18"/>
              </w:rPr>
              <w:t>Correct only when supported by the source and record the correction.</w:t>
            </w:r>
          </w:p>
        </w:tc>
      </w:tr>
      <w:tr>
        <w:tc>
          <w:tcPr>
            <w:tcW w:type="dxa" w:w="4939"/>
            <w:vAlign w:val="top"/>
          </w:tcPr>
          <w:p>
            <w:pPr>
              <w:spacing w:after="0"/>
            </w:pPr>
            <w:r/>
            <w:r>
              <w:rPr>
                <w:rFonts w:ascii="Arial" w:hAnsi="Arial"/>
                <w:b w:val="0"/>
                <w:sz w:val="18"/>
              </w:rPr>
              <w:t>Unresolved uncertainty</w:t>
            </w:r>
          </w:p>
        </w:tc>
        <w:tc>
          <w:tcPr>
            <w:tcW w:type="dxa" w:w="4939"/>
            <w:vAlign w:val="top"/>
          </w:tcPr>
          <w:p>
            <w:pPr>
              <w:spacing w:after="0"/>
            </w:pPr>
            <w:r/>
            <w:r>
              <w:rPr>
                <w:rFonts w:ascii="Arial" w:hAnsi="Arial"/>
                <w:b w:val="0"/>
                <w:sz w:val="18"/>
              </w:rPr>
              <w:t>Represent as missing/unknown or exclude according to protocol; do not guess.</w:t>
            </w:r>
          </w:p>
        </w:tc>
      </w:tr>
    </w:tbl>
    <w:p/>
    <w:p>
      <w:pPr>
        <w:pStyle w:val="Heading1"/>
      </w:pPr>
      <w:r>
        <w:t>15.0 Duplicate and Longitudinal Record Management</w:t>
      </w:r>
    </w:p>
    <w:p>
      <w:pPr>
        <w:pStyle w:val="ListBullet"/>
      </w:pPr>
      <w:r>
        <w:t>Identify exact duplicate exports using stable keys and content hashes.</w:t>
      </w:r>
    </w:p>
    <w:p>
      <w:pPr>
        <w:pStyle w:val="ListBullet"/>
      </w:pPr>
      <w:r>
        <w:t>Review near-duplicates caused by repeated imports, spelling changes, or corrected records.</w:t>
      </w:r>
    </w:p>
    <w:p>
      <w:pPr>
        <w:pStyle w:val="ListBullet"/>
      </w:pPr>
      <w:r>
        <w:t>Distinguish legitimate repeated prenatal assessments from accidental duplicate rows.</w:t>
      </w:r>
    </w:p>
    <w:p>
      <w:pPr>
        <w:pStyle w:val="ListBullet"/>
      </w:pPr>
      <w:r>
        <w:t>Group all records by patient and pregnancy episode before data splitting.</w:t>
      </w:r>
    </w:p>
    <w:p>
      <w:pPr>
        <w:pStyle w:val="ListBullet"/>
      </w:pPr>
      <w:r>
        <w:t>Define whether one snapshot per pregnancy or multiple time-point snapshots are permitted.</w:t>
      </w:r>
    </w:p>
    <w:p>
      <w:pPr>
        <w:pStyle w:val="ListBullet"/>
      </w:pPr>
      <w:r>
        <w:t>When multiple snapshots are used, ensure future observations and outcomes do not leak backward.</w:t>
      </w:r>
    </w:p>
    <w:p>
      <w:pPr>
        <w:pStyle w:val="ListBullet"/>
      </w:pPr>
      <w:r>
        <w:t>Preserve a deduplication log listing retained and removed record identifiers and reasons.</w:t>
      </w:r>
    </w:p>
    <w:p>
      <w:pPr>
        <w:pStyle w:val="Heading1"/>
      </w:pPr>
      <w:r>
        <w:t>16.0 Data Partitioning and Leakage Prevention</w:t>
      </w:r>
    </w:p>
    <w:p>
      <w:r>
        <w:t>Training data are used to fit the model. Tuning or validation data support model and hyperparameter decisions. Test data are held independent and used only after development decisions are frozen. The partition method must reflect the data structure and intended deployment.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top"/>
            <w:shd w:fill="D9EAF7"/>
          </w:tcPr>
          <w:p>
            <w:pPr>
              <w:spacing w:after="0"/>
            </w:pPr>
            <w:r/>
            <w:r>
              <w:rPr>
                <w:rFonts w:ascii="Arial" w:hAnsi="Arial"/>
                <w:b/>
                <w:sz w:val="18"/>
              </w:rPr>
              <w:t>Leakage type</w:t>
            </w:r>
          </w:p>
        </w:tc>
        <w:tc>
          <w:tcPr>
            <w:tcW w:type="dxa" w:w="3293"/>
            <w:vAlign w:val="top"/>
            <w:shd w:fill="D9EAF7"/>
          </w:tcPr>
          <w:p>
            <w:pPr>
              <w:spacing w:after="0"/>
            </w:pPr>
            <w:r/>
            <w:r>
              <w:rPr>
                <w:rFonts w:ascii="Arial" w:hAnsi="Arial"/>
                <w:b/>
                <w:sz w:val="18"/>
              </w:rPr>
              <w:t>Example</w:t>
            </w:r>
          </w:p>
        </w:tc>
        <w:tc>
          <w:tcPr>
            <w:tcW w:type="dxa" w:w="3293"/>
            <w:vAlign w:val="top"/>
            <w:shd w:fill="D9EAF7"/>
          </w:tcPr>
          <w:p>
            <w:pPr>
              <w:spacing w:after="0"/>
            </w:pPr>
            <w:r/>
            <w:r>
              <w:rPr>
                <w:rFonts w:ascii="Arial" w:hAnsi="Arial"/>
                <w:b/>
                <w:sz w:val="18"/>
              </w:rPr>
              <w:t>Prevention</w:t>
            </w:r>
          </w:p>
        </w:tc>
      </w:tr>
      <w:tr>
        <w:tc>
          <w:tcPr>
            <w:tcW w:type="dxa" w:w="3293"/>
            <w:vAlign w:val="top"/>
          </w:tcPr>
          <w:p>
            <w:pPr>
              <w:spacing w:after="0"/>
            </w:pPr>
            <w:r/>
            <w:r>
              <w:rPr>
                <w:rFonts w:ascii="Arial" w:hAnsi="Arial"/>
                <w:b w:val="0"/>
                <w:sz w:val="18"/>
              </w:rPr>
              <w:t>Patient leakage</w:t>
            </w:r>
          </w:p>
        </w:tc>
        <w:tc>
          <w:tcPr>
            <w:tcW w:type="dxa" w:w="3293"/>
            <w:vAlign w:val="top"/>
          </w:tcPr>
          <w:p>
            <w:pPr>
              <w:spacing w:after="0"/>
            </w:pPr>
            <w:r/>
            <w:r>
              <w:rPr>
                <w:rFonts w:ascii="Arial" w:hAnsi="Arial"/>
                <w:b w:val="0"/>
                <w:sz w:val="18"/>
              </w:rPr>
              <w:t>Different pregnancies or visits from the same patient appear across partitions.</w:t>
            </w:r>
          </w:p>
        </w:tc>
        <w:tc>
          <w:tcPr>
            <w:tcW w:type="dxa" w:w="3293"/>
            <w:vAlign w:val="top"/>
          </w:tcPr>
          <w:p>
            <w:pPr>
              <w:spacing w:after="0"/>
            </w:pPr>
            <w:r/>
            <w:r>
              <w:rPr>
                <w:rFonts w:ascii="Arial" w:hAnsi="Arial"/>
                <w:b w:val="0"/>
                <w:sz w:val="18"/>
              </w:rPr>
              <w:t>Group split by patient unless a justified design requires otherwise.</w:t>
            </w:r>
          </w:p>
        </w:tc>
      </w:tr>
      <w:tr>
        <w:tc>
          <w:tcPr>
            <w:tcW w:type="dxa" w:w="3293"/>
            <w:vAlign w:val="top"/>
          </w:tcPr>
          <w:p>
            <w:pPr>
              <w:spacing w:after="0"/>
            </w:pPr>
            <w:r/>
            <w:r>
              <w:rPr>
                <w:rFonts w:ascii="Arial" w:hAnsi="Arial"/>
                <w:b w:val="0"/>
                <w:sz w:val="18"/>
              </w:rPr>
              <w:t>Pregnancy leakage</w:t>
            </w:r>
          </w:p>
        </w:tc>
        <w:tc>
          <w:tcPr>
            <w:tcW w:type="dxa" w:w="3293"/>
            <w:vAlign w:val="top"/>
          </w:tcPr>
          <w:p>
            <w:pPr>
              <w:spacing w:after="0"/>
            </w:pPr>
            <w:r/>
            <w:r>
              <w:rPr>
                <w:rFonts w:ascii="Arial" w:hAnsi="Arial"/>
                <w:b w:val="0"/>
                <w:sz w:val="18"/>
              </w:rPr>
              <w:t>Multiple snapshots from one pregnancy are split across training and test sets.</w:t>
            </w:r>
          </w:p>
        </w:tc>
        <w:tc>
          <w:tcPr>
            <w:tcW w:type="dxa" w:w="3293"/>
            <w:vAlign w:val="top"/>
          </w:tcPr>
          <w:p>
            <w:pPr>
              <w:spacing w:after="0"/>
            </w:pPr>
            <w:r/>
            <w:r>
              <w:rPr>
                <w:rFonts w:ascii="Arial" w:hAnsi="Arial"/>
                <w:b w:val="0"/>
                <w:sz w:val="18"/>
              </w:rPr>
              <w:t>Group by pregnancy episode.</w:t>
            </w:r>
          </w:p>
        </w:tc>
      </w:tr>
      <w:tr>
        <w:tc>
          <w:tcPr>
            <w:tcW w:type="dxa" w:w="3293"/>
            <w:vAlign w:val="top"/>
          </w:tcPr>
          <w:p>
            <w:pPr>
              <w:spacing w:after="0"/>
            </w:pPr>
            <w:r/>
            <w:r>
              <w:rPr>
                <w:rFonts w:ascii="Arial" w:hAnsi="Arial"/>
                <w:b w:val="0"/>
                <w:sz w:val="18"/>
              </w:rPr>
              <w:t>Temporal leakage</w:t>
            </w:r>
          </w:p>
        </w:tc>
        <w:tc>
          <w:tcPr>
            <w:tcW w:type="dxa" w:w="3293"/>
            <w:vAlign w:val="top"/>
          </w:tcPr>
          <w:p>
            <w:pPr>
              <w:spacing w:after="0"/>
            </w:pPr>
            <w:r/>
            <w:r>
              <w:rPr>
                <w:rFonts w:ascii="Arial" w:hAnsi="Arial"/>
                <w:b w:val="0"/>
                <w:sz w:val="18"/>
              </w:rPr>
              <w:t>A future diagnosis, delivery outcome, or corrected record is used in an earlier prediction.</w:t>
            </w:r>
          </w:p>
        </w:tc>
        <w:tc>
          <w:tcPr>
            <w:tcW w:type="dxa" w:w="3293"/>
            <w:vAlign w:val="top"/>
          </w:tcPr>
          <w:p>
            <w:pPr>
              <w:spacing w:after="0"/>
            </w:pPr>
            <w:r/>
            <w:r>
              <w:rPr>
                <w:rFonts w:ascii="Arial" w:hAnsi="Arial"/>
                <w:b w:val="0"/>
                <w:sz w:val="18"/>
              </w:rPr>
              <w:t>Create time-anchored snapshots and enforce cutoff timestamps.</w:t>
            </w:r>
          </w:p>
        </w:tc>
      </w:tr>
      <w:tr>
        <w:tc>
          <w:tcPr>
            <w:tcW w:type="dxa" w:w="3293"/>
            <w:vAlign w:val="top"/>
          </w:tcPr>
          <w:p>
            <w:pPr>
              <w:spacing w:after="0"/>
            </w:pPr>
            <w:r/>
            <w:r>
              <w:rPr>
                <w:rFonts w:ascii="Arial" w:hAnsi="Arial"/>
                <w:b w:val="0"/>
                <w:sz w:val="18"/>
              </w:rPr>
              <w:t>Preprocessing leakage</w:t>
            </w:r>
          </w:p>
        </w:tc>
        <w:tc>
          <w:tcPr>
            <w:tcW w:type="dxa" w:w="3293"/>
            <w:vAlign w:val="top"/>
          </w:tcPr>
          <w:p>
            <w:pPr>
              <w:spacing w:after="0"/>
            </w:pPr>
            <w:r/>
            <w:r>
              <w:rPr>
                <w:rFonts w:ascii="Arial" w:hAnsi="Arial"/>
                <w:b w:val="0"/>
                <w:sz w:val="18"/>
              </w:rPr>
              <w:t>Imputer, encoder, feature selector, or resampling method sees the test set.</w:t>
            </w:r>
          </w:p>
        </w:tc>
        <w:tc>
          <w:tcPr>
            <w:tcW w:type="dxa" w:w="3293"/>
            <w:vAlign w:val="top"/>
          </w:tcPr>
          <w:p>
            <w:pPr>
              <w:spacing w:after="0"/>
            </w:pPr>
            <w:r/>
            <w:r>
              <w:rPr>
                <w:rFonts w:ascii="Arial" w:hAnsi="Arial"/>
                <w:b w:val="0"/>
                <w:sz w:val="18"/>
              </w:rPr>
              <w:t>Fit every learned preprocessing step only on training data.</w:t>
            </w:r>
          </w:p>
        </w:tc>
      </w:tr>
      <w:tr>
        <w:tc>
          <w:tcPr>
            <w:tcW w:type="dxa" w:w="3293"/>
            <w:vAlign w:val="top"/>
          </w:tcPr>
          <w:p>
            <w:pPr>
              <w:spacing w:after="0"/>
            </w:pPr>
            <w:r/>
            <w:r>
              <w:rPr>
                <w:rFonts w:ascii="Arial" w:hAnsi="Arial"/>
                <w:b w:val="0"/>
                <w:sz w:val="18"/>
              </w:rPr>
              <w:t>Label leakage</w:t>
            </w:r>
          </w:p>
        </w:tc>
        <w:tc>
          <w:tcPr>
            <w:tcW w:type="dxa" w:w="3293"/>
            <w:vAlign w:val="top"/>
          </w:tcPr>
          <w:p>
            <w:pPr>
              <w:spacing w:after="0"/>
            </w:pPr>
            <w:r/>
            <w:r>
              <w:rPr>
                <w:rFonts w:ascii="Arial" w:hAnsi="Arial"/>
                <w:b w:val="0"/>
                <w:sz w:val="18"/>
              </w:rPr>
              <w:t>A feature directly contains or is derived from the target decision.</w:t>
            </w:r>
          </w:p>
        </w:tc>
        <w:tc>
          <w:tcPr>
            <w:tcW w:type="dxa" w:w="3293"/>
            <w:vAlign w:val="top"/>
          </w:tcPr>
          <w:p>
            <w:pPr>
              <w:spacing w:after="0"/>
            </w:pPr>
            <w:r/>
            <w:r>
              <w:rPr>
                <w:rFonts w:ascii="Arial" w:hAnsi="Arial"/>
                <w:b w:val="0"/>
                <w:sz w:val="18"/>
              </w:rPr>
              <w:t>Clinical and technical review of every feature derivation.</w:t>
            </w:r>
          </w:p>
        </w:tc>
      </w:tr>
      <w:tr>
        <w:tc>
          <w:tcPr>
            <w:tcW w:type="dxa" w:w="3293"/>
            <w:vAlign w:val="top"/>
          </w:tcPr>
          <w:p>
            <w:pPr>
              <w:spacing w:after="0"/>
            </w:pPr>
            <w:r/>
            <w:r>
              <w:rPr>
                <w:rFonts w:ascii="Arial" w:hAnsi="Arial"/>
                <w:b w:val="0"/>
                <w:sz w:val="18"/>
              </w:rPr>
              <w:t>Duplicate leakage</w:t>
            </w:r>
          </w:p>
        </w:tc>
        <w:tc>
          <w:tcPr>
            <w:tcW w:type="dxa" w:w="3293"/>
            <w:vAlign w:val="top"/>
          </w:tcPr>
          <w:p>
            <w:pPr>
              <w:spacing w:after="0"/>
            </w:pPr>
            <w:r/>
            <w:r>
              <w:rPr>
                <w:rFonts w:ascii="Arial" w:hAnsi="Arial"/>
                <w:b w:val="0"/>
                <w:sz w:val="18"/>
              </w:rPr>
              <w:t>Copied or near-identical rows appear in multiple partitions.</w:t>
            </w:r>
          </w:p>
        </w:tc>
        <w:tc>
          <w:tcPr>
            <w:tcW w:type="dxa" w:w="3293"/>
            <w:vAlign w:val="top"/>
          </w:tcPr>
          <w:p>
            <w:pPr>
              <w:spacing w:after="0"/>
            </w:pPr>
            <w:r/>
            <w:r>
              <w:rPr>
                <w:rFonts w:ascii="Arial" w:hAnsi="Arial"/>
                <w:b w:val="0"/>
                <w:sz w:val="18"/>
              </w:rPr>
              <w:t>Deduplicate before splitting and verify similarity.</w:t>
            </w:r>
          </w:p>
        </w:tc>
      </w:tr>
      <w:tr>
        <w:tc>
          <w:tcPr>
            <w:tcW w:type="dxa" w:w="3293"/>
            <w:vAlign w:val="top"/>
          </w:tcPr>
          <w:p>
            <w:pPr>
              <w:spacing w:after="0"/>
            </w:pPr>
            <w:r/>
            <w:r>
              <w:rPr>
                <w:rFonts w:ascii="Arial" w:hAnsi="Arial"/>
                <w:b w:val="0"/>
                <w:sz w:val="18"/>
              </w:rPr>
              <w:t>Human leakage</w:t>
            </w:r>
          </w:p>
        </w:tc>
        <w:tc>
          <w:tcPr>
            <w:tcW w:type="dxa" w:w="3293"/>
            <w:vAlign w:val="top"/>
          </w:tcPr>
          <w:p>
            <w:pPr>
              <w:spacing w:after="0"/>
            </w:pPr>
            <w:r/>
            <w:r>
              <w:rPr>
                <w:rFonts w:ascii="Arial" w:hAnsi="Arial"/>
                <w:b w:val="0"/>
                <w:sz w:val="18"/>
              </w:rPr>
              <w:t>Test performance influences feature or threshold changes.</w:t>
            </w:r>
          </w:p>
        </w:tc>
        <w:tc>
          <w:tcPr>
            <w:tcW w:type="dxa" w:w="3293"/>
            <w:vAlign w:val="top"/>
          </w:tcPr>
          <w:p>
            <w:pPr>
              <w:spacing w:after="0"/>
            </w:pPr>
            <w:r/>
            <w:r>
              <w:rPr>
                <w:rFonts w:ascii="Arial" w:hAnsi="Arial"/>
                <w:b w:val="0"/>
                <w:sz w:val="18"/>
              </w:rPr>
              <w:t>Lock the test set and document every access.</w:t>
            </w:r>
          </w:p>
        </w:tc>
      </w:tr>
    </w:tbl>
    <w:p/>
    <w:p>
      <w:pPr>
        <w:pStyle w:val="Heading1"/>
      </w:pPr>
      <w:r>
        <w:t>17.0 Representativeness, Equity, and Subgroup Coverage</w:t>
      </w:r>
    </w:p>
    <w:p>
      <w:r>
        <w:t>Overall accuracy can conceal weak performance in underrepresented groups. The dataset report must describe who is represented and who is not. Subgroups should be selected based on clinical relevance, expected use, sample size, privacy risk, and known risk of differential performance.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Assessment area</w:t>
            </w:r>
          </w:p>
        </w:tc>
        <w:tc>
          <w:tcPr>
            <w:tcW w:type="dxa" w:w="4939"/>
            <w:vAlign w:val="top"/>
            <w:shd w:fill="D9EAF7"/>
          </w:tcPr>
          <w:p>
            <w:pPr>
              <w:spacing w:after="0"/>
            </w:pPr>
            <w:r/>
            <w:r>
              <w:rPr>
                <w:rFonts w:ascii="Arial" w:hAnsi="Arial"/>
                <w:b/>
                <w:sz w:val="18"/>
              </w:rPr>
              <w:t>Minimum report</w:t>
            </w:r>
          </w:p>
        </w:tc>
      </w:tr>
      <w:tr>
        <w:tc>
          <w:tcPr>
            <w:tcW w:type="dxa" w:w="4939"/>
            <w:vAlign w:val="top"/>
          </w:tcPr>
          <w:p>
            <w:pPr>
              <w:spacing w:after="0"/>
            </w:pPr>
            <w:r/>
            <w:r>
              <w:rPr>
                <w:rFonts w:ascii="Arial" w:hAnsi="Arial"/>
                <w:b w:val="0"/>
                <w:sz w:val="18"/>
              </w:rPr>
              <w:t>Age</w:t>
            </w:r>
          </w:p>
        </w:tc>
        <w:tc>
          <w:tcPr>
            <w:tcW w:type="dxa" w:w="4939"/>
            <w:vAlign w:val="top"/>
          </w:tcPr>
          <w:p>
            <w:pPr>
              <w:spacing w:after="0"/>
            </w:pPr>
            <w:r/>
            <w:r>
              <w:rPr>
                <w:rFonts w:ascii="Arial" w:hAnsi="Arial"/>
                <w:b w:val="0"/>
                <w:sz w:val="18"/>
              </w:rPr>
              <w:t>Counts and label rates across clinically meaningful age groups.</w:t>
            </w:r>
          </w:p>
        </w:tc>
      </w:tr>
      <w:tr>
        <w:tc>
          <w:tcPr>
            <w:tcW w:type="dxa" w:w="4939"/>
            <w:vAlign w:val="top"/>
          </w:tcPr>
          <w:p>
            <w:pPr>
              <w:spacing w:after="0"/>
            </w:pPr>
            <w:r/>
            <w:r>
              <w:rPr>
                <w:rFonts w:ascii="Arial" w:hAnsi="Arial"/>
                <w:b w:val="0"/>
                <w:sz w:val="18"/>
              </w:rPr>
              <w:t>Pregnancy history</w:t>
            </w:r>
          </w:p>
        </w:tc>
        <w:tc>
          <w:tcPr>
            <w:tcW w:type="dxa" w:w="4939"/>
            <w:vAlign w:val="top"/>
          </w:tcPr>
          <w:p>
            <w:pPr>
              <w:spacing w:after="0"/>
            </w:pPr>
            <w:r/>
            <w:r>
              <w:rPr>
                <w:rFonts w:ascii="Arial" w:hAnsi="Arial"/>
                <w:b w:val="0"/>
                <w:sz w:val="18"/>
              </w:rPr>
              <w:t>First pregnancy versus prior pregnancy; previous cesarean and miscarriage-history coverage where available.</w:t>
            </w:r>
          </w:p>
        </w:tc>
      </w:tr>
      <w:tr>
        <w:tc>
          <w:tcPr>
            <w:tcW w:type="dxa" w:w="4939"/>
            <w:vAlign w:val="top"/>
          </w:tcPr>
          <w:p>
            <w:pPr>
              <w:spacing w:after="0"/>
            </w:pPr>
            <w:r/>
            <w:r>
              <w:rPr>
                <w:rFonts w:ascii="Arial" w:hAnsi="Arial"/>
                <w:b w:val="0"/>
                <w:sz w:val="18"/>
              </w:rPr>
              <w:t>Clinical risk factors</w:t>
            </w:r>
          </w:p>
        </w:tc>
        <w:tc>
          <w:tcPr>
            <w:tcW w:type="dxa" w:w="4939"/>
            <w:vAlign w:val="top"/>
          </w:tcPr>
          <w:p>
            <w:pPr>
              <w:spacing w:after="0"/>
            </w:pPr>
            <w:r/>
            <w:r>
              <w:rPr>
                <w:rFonts w:ascii="Arial" w:hAnsi="Arial"/>
                <w:b w:val="0"/>
                <w:sz w:val="18"/>
              </w:rPr>
              <w:t>Frequency of hypertension-related observations, diabetes, anemia, and modeled ultrasound categories.</w:t>
            </w:r>
          </w:p>
        </w:tc>
      </w:tr>
      <w:tr>
        <w:tc>
          <w:tcPr>
            <w:tcW w:type="dxa" w:w="4939"/>
            <w:vAlign w:val="top"/>
          </w:tcPr>
          <w:p>
            <w:pPr>
              <w:spacing w:after="0"/>
            </w:pPr>
            <w:r/>
            <w:r>
              <w:rPr>
                <w:rFonts w:ascii="Arial" w:hAnsi="Arial"/>
                <w:b w:val="0"/>
                <w:sz w:val="18"/>
              </w:rPr>
              <w:t>Missingness</w:t>
            </w:r>
          </w:p>
        </w:tc>
        <w:tc>
          <w:tcPr>
            <w:tcW w:type="dxa" w:w="4939"/>
            <w:vAlign w:val="top"/>
          </w:tcPr>
          <w:p>
            <w:pPr>
              <w:spacing w:after="0"/>
            </w:pPr>
            <w:r/>
            <w:r>
              <w:rPr>
                <w:rFonts w:ascii="Arial" w:hAnsi="Arial"/>
                <w:b w:val="0"/>
                <w:sz w:val="18"/>
              </w:rPr>
              <w:t>Missing rates by subgroup, source, and time period.</w:t>
            </w:r>
          </w:p>
        </w:tc>
      </w:tr>
      <w:tr>
        <w:tc>
          <w:tcPr>
            <w:tcW w:type="dxa" w:w="4939"/>
            <w:vAlign w:val="top"/>
          </w:tcPr>
          <w:p>
            <w:pPr>
              <w:spacing w:after="0"/>
            </w:pPr>
            <w:r/>
            <w:r>
              <w:rPr>
                <w:rFonts w:ascii="Arial" w:hAnsi="Arial"/>
                <w:b w:val="0"/>
                <w:sz w:val="18"/>
              </w:rPr>
              <w:t>Site/time</w:t>
            </w:r>
          </w:p>
        </w:tc>
        <w:tc>
          <w:tcPr>
            <w:tcW w:type="dxa" w:w="4939"/>
            <w:vAlign w:val="top"/>
          </w:tcPr>
          <w:p>
            <w:pPr>
              <w:spacing w:after="0"/>
            </w:pPr>
            <w:r/>
            <w:r>
              <w:rPr>
                <w:rFonts w:ascii="Arial" w:hAnsi="Arial"/>
                <w:b w:val="0"/>
                <w:sz w:val="18"/>
              </w:rPr>
              <w:t>Distribution by facility or collection period when multiple sources are used.</w:t>
            </w:r>
          </w:p>
        </w:tc>
      </w:tr>
      <w:tr>
        <w:tc>
          <w:tcPr>
            <w:tcW w:type="dxa" w:w="4939"/>
            <w:vAlign w:val="top"/>
          </w:tcPr>
          <w:p>
            <w:pPr>
              <w:spacing w:after="0"/>
            </w:pPr>
            <w:r/>
            <w:r>
              <w:rPr>
                <w:rFonts w:ascii="Arial" w:hAnsi="Arial"/>
                <w:b w:val="0"/>
                <w:sz w:val="18"/>
              </w:rPr>
              <w:t>Label prevalence</w:t>
            </w:r>
          </w:p>
        </w:tc>
        <w:tc>
          <w:tcPr>
            <w:tcW w:type="dxa" w:w="4939"/>
            <w:vAlign w:val="top"/>
          </w:tcPr>
          <w:p>
            <w:pPr>
              <w:spacing w:after="0"/>
            </w:pPr>
            <w:r/>
            <w:r>
              <w:rPr>
                <w:rFonts w:ascii="Arial" w:hAnsi="Arial"/>
                <w:b w:val="0"/>
                <w:sz w:val="18"/>
              </w:rPr>
              <w:t>HIGH and LOW proportions overall and by subgroup.</w:t>
            </w:r>
          </w:p>
        </w:tc>
      </w:tr>
      <w:tr>
        <w:tc>
          <w:tcPr>
            <w:tcW w:type="dxa" w:w="4939"/>
            <w:vAlign w:val="top"/>
          </w:tcPr>
          <w:p>
            <w:pPr>
              <w:spacing w:after="0"/>
            </w:pPr>
            <w:r/>
            <w:r>
              <w:rPr>
                <w:rFonts w:ascii="Arial" w:hAnsi="Arial"/>
                <w:b w:val="0"/>
                <w:sz w:val="18"/>
              </w:rPr>
              <w:t>Small groups</w:t>
            </w:r>
          </w:p>
        </w:tc>
        <w:tc>
          <w:tcPr>
            <w:tcW w:type="dxa" w:w="4939"/>
            <w:vAlign w:val="top"/>
          </w:tcPr>
          <w:p>
            <w:pPr>
              <w:spacing w:after="0"/>
            </w:pPr>
            <w:r/>
            <w:r>
              <w:rPr>
                <w:rFonts w:ascii="Arial" w:hAnsi="Arial"/>
                <w:b w:val="0"/>
                <w:sz w:val="18"/>
              </w:rPr>
              <w:t>Explicit warning when estimates are unstable or disclosure risk is high.</w:t>
            </w:r>
          </w:p>
        </w:tc>
      </w:tr>
    </w:tbl>
    <w:p/>
    <w:p>
      <w:r>
        <w:t>The goal is not to force numerical equality across groups. The goal is to identify where evidence is weak, where errors may be concentrated, and where deployment should be restricted or monitored.</w:t>
      </w:r>
    </w:p>
    <w:p>
      <w:pPr>
        <w:pStyle w:val="Heading1"/>
      </w:pPr>
      <w:r>
        <w:t>18.0 Class Balance and Sampling</w:t>
      </w:r>
    </w:p>
    <w:p>
      <w:r>
        <w:t>The proportion of HIGH and LOW labels influences training and evaluation. Artificial balancing may help model development but can distort probability interpretation and hide real prevalence. Any undersampling, oversampling, class weighting, or synthetic generation must occur only within the training partition and must be documented.</w:t>
      </w:r>
    </w:p>
    <w:p>
      <w:pPr>
        <w:pStyle w:val="ListBullet"/>
      </w:pPr>
      <w:r>
        <w:t>Report the natural label distribution before any resampling.</w:t>
      </w:r>
    </w:p>
    <w:p>
      <w:pPr>
        <w:pStyle w:val="ListBullet"/>
      </w:pPr>
      <w:r>
        <w:t>Preserve tuning and test distributions that reflect the chosen evaluation purpose.</w:t>
      </w:r>
    </w:p>
    <w:p>
      <w:pPr>
        <w:pStyle w:val="ListBullet"/>
      </w:pPr>
      <w:r>
        <w:t>Prioritize clinically important false-negative analysis rather than accuracy alone.</w:t>
      </w:r>
    </w:p>
    <w:p>
      <w:pPr>
        <w:pStyle w:val="ListBullet"/>
      </w:pPr>
      <w:r>
        <w:t>Do not duplicate minority-class test records to make performance appear more stable.</w:t>
      </w:r>
    </w:p>
    <w:p>
      <w:pPr>
        <w:pStyle w:val="ListBullet"/>
      </w:pPr>
      <w:r>
        <w:t>Treat synthetic examples as training aids, not independent clinical evidence.</w:t>
      </w:r>
    </w:p>
    <w:p>
      <w:pPr>
        <w:pStyle w:val="ListBullet"/>
      </w:pPr>
      <w:r>
        <w:t>Preserve the link between each derived training row and its original source record.</w:t>
      </w:r>
    </w:p>
    <w:p>
      <w:r>
        <w:br w:type="page"/>
      </w:r>
    </w:p>
    <w:p>
      <w:pPr>
        <w:pStyle w:val="Heading1"/>
      </w:pPr>
      <w:r>
        <w:t>19.0 Privacy, De-identification, and Philippine Data Protection</w:t>
      </w:r>
    </w:p>
    <w:p>
      <w:r>
        <w:t>Health information and age are treated as sensitive personal information under the Philippine Data Privacy Act of 2012. Dataset development must therefore use a declared, specific, and legitimate purpose; apply proportionality and data minimization; restrict access; and implement safeguards appropriate to sensitive clinical data. The project team should obtain qualified institutional and legal guidance before using real patient records for model development or research.</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Control area</w:t>
            </w:r>
          </w:p>
        </w:tc>
        <w:tc>
          <w:tcPr>
            <w:tcW w:type="dxa" w:w="4939"/>
            <w:vAlign w:val="top"/>
            <w:shd w:fill="D9EAF7"/>
          </w:tcPr>
          <w:p>
            <w:pPr>
              <w:spacing w:after="0"/>
            </w:pPr>
            <w:r/>
            <w:r>
              <w:rPr>
                <w:rFonts w:ascii="Arial" w:hAnsi="Arial"/>
                <w:b/>
                <w:sz w:val="18"/>
              </w:rPr>
              <w:t>Required architecture</w:t>
            </w:r>
          </w:p>
        </w:tc>
      </w:tr>
      <w:tr>
        <w:tc>
          <w:tcPr>
            <w:tcW w:type="dxa" w:w="4939"/>
            <w:vAlign w:val="top"/>
          </w:tcPr>
          <w:p>
            <w:pPr>
              <w:spacing w:after="0"/>
            </w:pPr>
            <w:r/>
            <w:r>
              <w:rPr>
                <w:rFonts w:ascii="Arial" w:hAnsi="Arial"/>
                <w:b w:val="0"/>
                <w:sz w:val="18"/>
              </w:rPr>
              <w:t>Direct identifiers</w:t>
            </w:r>
          </w:p>
        </w:tc>
        <w:tc>
          <w:tcPr>
            <w:tcW w:type="dxa" w:w="4939"/>
            <w:vAlign w:val="top"/>
          </w:tcPr>
          <w:p>
            <w:pPr>
              <w:spacing w:after="0"/>
            </w:pPr>
            <w:r/>
            <w:r>
              <w:rPr>
                <w:rFonts w:ascii="Arial" w:hAnsi="Arial"/>
                <w:b w:val="0"/>
                <w:sz w:val="18"/>
              </w:rPr>
              <w:t>Remove names, contact details, addresses, government identifiers, and unnecessary record numbers from the ML dataset.</w:t>
            </w:r>
          </w:p>
        </w:tc>
      </w:tr>
      <w:tr>
        <w:tc>
          <w:tcPr>
            <w:tcW w:type="dxa" w:w="4939"/>
            <w:vAlign w:val="top"/>
          </w:tcPr>
          <w:p>
            <w:pPr>
              <w:spacing w:after="0"/>
            </w:pPr>
            <w:r/>
            <w:r>
              <w:rPr>
                <w:rFonts w:ascii="Arial" w:hAnsi="Arial"/>
                <w:b w:val="0"/>
                <w:sz w:val="18"/>
              </w:rPr>
              <w:t>Pseudonymization</w:t>
            </w:r>
          </w:p>
        </w:tc>
        <w:tc>
          <w:tcPr>
            <w:tcW w:type="dxa" w:w="4939"/>
            <w:vAlign w:val="top"/>
          </w:tcPr>
          <w:p>
            <w:pPr>
              <w:spacing w:after="0"/>
            </w:pPr>
            <w:r/>
            <w:r>
              <w:rPr>
                <w:rFonts w:ascii="Arial" w:hAnsi="Arial"/>
                <w:b w:val="0"/>
                <w:sz w:val="18"/>
              </w:rPr>
              <w:t>Use controlled study identifiers; keep the re-identification key separate with stricter access.</w:t>
            </w:r>
          </w:p>
        </w:tc>
      </w:tr>
      <w:tr>
        <w:tc>
          <w:tcPr>
            <w:tcW w:type="dxa" w:w="4939"/>
            <w:vAlign w:val="top"/>
          </w:tcPr>
          <w:p>
            <w:pPr>
              <w:spacing w:after="0"/>
            </w:pPr>
            <w:r/>
            <w:r>
              <w:rPr>
                <w:rFonts w:ascii="Arial" w:hAnsi="Arial"/>
                <w:b w:val="0"/>
                <w:sz w:val="18"/>
              </w:rPr>
              <w:t>Date handling</w:t>
            </w:r>
          </w:p>
        </w:tc>
        <w:tc>
          <w:tcPr>
            <w:tcW w:type="dxa" w:w="4939"/>
            <w:vAlign w:val="top"/>
          </w:tcPr>
          <w:p>
            <w:pPr>
              <w:spacing w:after="0"/>
            </w:pPr>
            <w:r/>
            <w:r>
              <w:rPr>
                <w:rFonts w:ascii="Arial" w:hAnsi="Arial"/>
                <w:b w:val="0"/>
                <w:sz w:val="18"/>
              </w:rPr>
              <w:t>Retain only the precision required for the task; assess re-identification risk from rare dates and combinations.</w:t>
            </w:r>
          </w:p>
        </w:tc>
      </w:tr>
      <w:tr>
        <w:tc>
          <w:tcPr>
            <w:tcW w:type="dxa" w:w="4939"/>
            <w:vAlign w:val="top"/>
          </w:tcPr>
          <w:p>
            <w:pPr>
              <w:spacing w:after="0"/>
            </w:pPr>
            <w:r/>
            <w:r>
              <w:rPr>
                <w:rFonts w:ascii="Arial" w:hAnsi="Arial"/>
                <w:b w:val="0"/>
                <w:sz w:val="18"/>
              </w:rPr>
              <w:t>Access control</w:t>
            </w:r>
          </w:p>
        </w:tc>
        <w:tc>
          <w:tcPr>
            <w:tcW w:type="dxa" w:w="4939"/>
            <w:vAlign w:val="top"/>
          </w:tcPr>
          <w:p>
            <w:pPr>
              <w:spacing w:after="0"/>
            </w:pPr>
            <w:r/>
            <w:r>
              <w:rPr>
                <w:rFonts w:ascii="Arial" w:hAnsi="Arial"/>
                <w:b w:val="0"/>
                <w:sz w:val="18"/>
              </w:rPr>
              <w:t>Role-based access, least privilege, named authorized users, and periodic review.</w:t>
            </w:r>
          </w:p>
        </w:tc>
      </w:tr>
      <w:tr>
        <w:tc>
          <w:tcPr>
            <w:tcW w:type="dxa" w:w="4939"/>
            <w:vAlign w:val="top"/>
          </w:tcPr>
          <w:p>
            <w:pPr>
              <w:spacing w:after="0"/>
            </w:pPr>
            <w:r/>
            <w:r>
              <w:rPr>
                <w:rFonts w:ascii="Arial" w:hAnsi="Arial"/>
                <w:b w:val="0"/>
                <w:sz w:val="18"/>
              </w:rPr>
              <w:t>Storage and transfer</w:t>
            </w:r>
          </w:p>
        </w:tc>
        <w:tc>
          <w:tcPr>
            <w:tcW w:type="dxa" w:w="4939"/>
            <w:vAlign w:val="top"/>
          </w:tcPr>
          <w:p>
            <w:pPr>
              <w:spacing w:after="0"/>
            </w:pPr>
            <w:r/>
            <w:r>
              <w:rPr>
                <w:rFonts w:ascii="Arial" w:hAnsi="Arial"/>
                <w:b w:val="0"/>
                <w:sz w:val="18"/>
              </w:rPr>
              <w:t>Encrypted storage and approved transfer methods; no uncontrolled personal cloud or chat sharing.</w:t>
            </w:r>
          </w:p>
        </w:tc>
      </w:tr>
      <w:tr>
        <w:tc>
          <w:tcPr>
            <w:tcW w:type="dxa" w:w="4939"/>
            <w:vAlign w:val="top"/>
          </w:tcPr>
          <w:p>
            <w:pPr>
              <w:spacing w:after="0"/>
            </w:pPr>
            <w:r/>
            <w:r>
              <w:rPr>
                <w:rFonts w:ascii="Arial" w:hAnsi="Arial"/>
                <w:b w:val="0"/>
                <w:sz w:val="18"/>
              </w:rPr>
              <w:t>Logging</w:t>
            </w:r>
          </w:p>
        </w:tc>
        <w:tc>
          <w:tcPr>
            <w:tcW w:type="dxa" w:w="4939"/>
            <w:vAlign w:val="top"/>
          </w:tcPr>
          <w:p>
            <w:pPr>
              <w:spacing w:after="0"/>
            </w:pPr>
            <w:r/>
            <w:r>
              <w:rPr>
                <w:rFonts w:ascii="Arial" w:hAnsi="Arial"/>
                <w:b w:val="0"/>
                <w:sz w:val="18"/>
              </w:rPr>
              <w:t>Record access and processing without copying unnecessary health details into logs.</w:t>
            </w:r>
          </w:p>
        </w:tc>
      </w:tr>
      <w:tr>
        <w:tc>
          <w:tcPr>
            <w:tcW w:type="dxa" w:w="4939"/>
            <w:vAlign w:val="top"/>
          </w:tcPr>
          <w:p>
            <w:pPr>
              <w:spacing w:after="0"/>
            </w:pPr>
            <w:r/>
            <w:r>
              <w:rPr>
                <w:rFonts w:ascii="Arial" w:hAnsi="Arial"/>
                <w:b w:val="0"/>
                <w:sz w:val="18"/>
              </w:rPr>
              <w:t>Retention</w:t>
            </w:r>
          </w:p>
        </w:tc>
        <w:tc>
          <w:tcPr>
            <w:tcW w:type="dxa" w:w="4939"/>
            <w:vAlign w:val="top"/>
          </w:tcPr>
          <w:p>
            <w:pPr>
              <w:spacing w:after="0"/>
            </w:pPr>
            <w:r/>
            <w:r>
              <w:rPr>
                <w:rFonts w:ascii="Arial" w:hAnsi="Arial"/>
                <w:b w:val="0"/>
                <w:sz w:val="18"/>
              </w:rPr>
              <w:t>Define how long source extracts, working files, released datasets, and keys are kept and how they are destroyed.</w:t>
            </w:r>
          </w:p>
        </w:tc>
      </w:tr>
      <w:tr>
        <w:tc>
          <w:tcPr>
            <w:tcW w:type="dxa" w:w="4939"/>
            <w:vAlign w:val="top"/>
          </w:tcPr>
          <w:p>
            <w:pPr>
              <w:spacing w:after="0"/>
            </w:pPr>
            <w:r/>
            <w:r>
              <w:rPr>
                <w:rFonts w:ascii="Arial" w:hAnsi="Arial"/>
                <w:b w:val="0"/>
                <w:sz w:val="18"/>
              </w:rPr>
              <w:t>Incident response</w:t>
            </w:r>
          </w:p>
        </w:tc>
        <w:tc>
          <w:tcPr>
            <w:tcW w:type="dxa" w:w="4939"/>
            <w:vAlign w:val="top"/>
          </w:tcPr>
          <w:p>
            <w:pPr>
              <w:spacing w:after="0"/>
            </w:pPr>
            <w:r/>
            <w:r>
              <w:rPr>
                <w:rFonts w:ascii="Arial" w:hAnsi="Arial"/>
                <w:b w:val="0"/>
                <w:sz w:val="18"/>
              </w:rPr>
              <w:t>Document escalation, containment, assessment, and notification procedures.</w:t>
            </w:r>
          </w:p>
        </w:tc>
      </w:tr>
    </w:tbl>
    <w:p/>
    <w:p>
      <w:r>
        <w:t>De-identification reduces risk but does not automatically remove all privacy obligations, particularly when combinations of rare clinical and demographic features could permit re-identification. Public release of patient-derived datasets is outside the assumed scope of this capstone unless separately approved.</w:t>
      </w:r>
    </w:p>
    <w:p>
      <w:pPr>
        <w:pStyle w:val="Heading1"/>
      </w:pPr>
      <w:r>
        <w:t>20.0 Dataset Governance Roles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Role</w:t>
            </w:r>
          </w:p>
        </w:tc>
        <w:tc>
          <w:tcPr>
            <w:tcW w:type="dxa" w:w="4939"/>
            <w:vAlign w:val="top"/>
            <w:shd w:fill="D9EAF7"/>
          </w:tcPr>
          <w:p>
            <w:pPr>
              <w:spacing w:after="0"/>
            </w:pPr>
            <w:r/>
            <w:r>
              <w:rPr>
                <w:rFonts w:ascii="Arial" w:hAnsi="Arial"/>
                <w:b/>
                <w:sz w:val="18"/>
              </w:rPr>
              <w:t>Minimum responsibility</w:t>
            </w:r>
          </w:p>
        </w:tc>
      </w:tr>
      <w:tr>
        <w:tc>
          <w:tcPr>
            <w:tcW w:type="dxa" w:w="4939"/>
            <w:vAlign w:val="top"/>
          </w:tcPr>
          <w:p>
            <w:pPr>
              <w:spacing w:after="0"/>
            </w:pPr>
            <w:r/>
            <w:r>
              <w:rPr>
                <w:rFonts w:ascii="Arial" w:hAnsi="Arial"/>
                <w:b w:val="0"/>
                <w:sz w:val="18"/>
              </w:rPr>
              <w:t>Data owner/custodian</w:t>
            </w:r>
          </w:p>
        </w:tc>
        <w:tc>
          <w:tcPr>
            <w:tcW w:type="dxa" w:w="4939"/>
            <w:vAlign w:val="top"/>
          </w:tcPr>
          <w:p>
            <w:pPr>
              <w:spacing w:after="0"/>
            </w:pPr>
            <w:r/>
            <w:r>
              <w:rPr>
                <w:rFonts w:ascii="Arial" w:hAnsi="Arial"/>
                <w:b w:val="0"/>
                <w:sz w:val="18"/>
              </w:rPr>
              <w:t>Authorizes access and defines permissible use.</w:t>
            </w:r>
          </w:p>
        </w:tc>
      </w:tr>
      <w:tr>
        <w:tc>
          <w:tcPr>
            <w:tcW w:type="dxa" w:w="4939"/>
            <w:vAlign w:val="top"/>
          </w:tcPr>
          <w:p>
            <w:pPr>
              <w:spacing w:after="0"/>
            </w:pPr>
            <w:r/>
            <w:r>
              <w:rPr>
                <w:rFonts w:ascii="Arial" w:hAnsi="Arial"/>
                <w:b w:val="0"/>
                <w:sz w:val="18"/>
              </w:rPr>
              <w:t>Data steward</w:t>
            </w:r>
          </w:p>
        </w:tc>
        <w:tc>
          <w:tcPr>
            <w:tcW w:type="dxa" w:w="4939"/>
            <w:vAlign w:val="top"/>
          </w:tcPr>
          <w:p>
            <w:pPr>
              <w:spacing w:after="0"/>
            </w:pPr>
            <w:r/>
            <w:r>
              <w:rPr>
                <w:rFonts w:ascii="Arial" w:hAnsi="Arial"/>
                <w:b w:val="0"/>
                <w:sz w:val="18"/>
              </w:rPr>
              <w:t>Maintains provenance, dictionary, quality rules, access list, and dataset registry.</w:t>
            </w:r>
          </w:p>
        </w:tc>
      </w:tr>
      <w:tr>
        <w:tc>
          <w:tcPr>
            <w:tcW w:type="dxa" w:w="4939"/>
            <w:vAlign w:val="top"/>
          </w:tcPr>
          <w:p>
            <w:pPr>
              <w:spacing w:after="0"/>
            </w:pPr>
            <w:r/>
            <w:r>
              <w:rPr>
                <w:rFonts w:ascii="Arial" w:hAnsi="Arial"/>
                <w:b w:val="0"/>
                <w:sz w:val="18"/>
              </w:rPr>
              <w:t>Clinical reviewer</w:t>
            </w:r>
          </w:p>
        </w:tc>
        <w:tc>
          <w:tcPr>
            <w:tcW w:type="dxa" w:w="4939"/>
            <w:vAlign w:val="top"/>
          </w:tcPr>
          <w:p>
            <w:pPr>
              <w:spacing w:after="0"/>
            </w:pPr>
            <w:r/>
            <w:r>
              <w:rPr>
                <w:rFonts w:ascii="Arial" w:hAnsi="Arial"/>
                <w:b w:val="0"/>
                <w:sz w:val="18"/>
              </w:rPr>
              <w:t>Confirms clinical meaning, labeling protocol, plausibility checks, and limitations.</w:t>
            </w:r>
          </w:p>
        </w:tc>
      </w:tr>
      <w:tr>
        <w:tc>
          <w:tcPr>
            <w:tcW w:type="dxa" w:w="4939"/>
            <w:vAlign w:val="top"/>
          </w:tcPr>
          <w:p>
            <w:pPr>
              <w:spacing w:after="0"/>
            </w:pPr>
            <w:r/>
            <w:r>
              <w:rPr>
                <w:rFonts w:ascii="Arial" w:hAnsi="Arial"/>
                <w:b w:val="0"/>
                <w:sz w:val="18"/>
              </w:rPr>
              <w:t>Privacy or institutional reviewer</w:t>
            </w:r>
          </w:p>
        </w:tc>
        <w:tc>
          <w:tcPr>
            <w:tcW w:type="dxa" w:w="4939"/>
            <w:vAlign w:val="top"/>
          </w:tcPr>
          <w:p>
            <w:pPr>
              <w:spacing w:after="0"/>
            </w:pPr>
            <w:r/>
            <w:r>
              <w:rPr>
                <w:rFonts w:ascii="Arial" w:hAnsi="Arial"/>
                <w:b w:val="0"/>
                <w:sz w:val="18"/>
              </w:rPr>
              <w:t>Assesses lawful basis, consent/authorization, safeguards, retention, and disclosure risk.</w:t>
            </w:r>
          </w:p>
        </w:tc>
      </w:tr>
      <w:tr>
        <w:tc>
          <w:tcPr>
            <w:tcW w:type="dxa" w:w="4939"/>
            <w:vAlign w:val="top"/>
          </w:tcPr>
          <w:p>
            <w:pPr>
              <w:spacing w:after="0"/>
            </w:pPr>
            <w:r/>
            <w:r>
              <w:rPr>
                <w:rFonts w:ascii="Arial" w:hAnsi="Arial"/>
                <w:b w:val="0"/>
                <w:sz w:val="18"/>
              </w:rPr>
              <w:t>ML developer</w:t>
            </w:r>
          </w:p>
        </w:tc>
        <w:tc>
          <w:tcPr>
            <w:tcW w:type="dxa" w:w="4939"/>
            <w:vAlign w:val="top"/>
          </w:tcPr>
          <w:p>
            <w:pPr>
              <w:spacing w:after="0"/>
            </w:pPr>
            <w:r/>
            <w:r>
              <w:rPr>
                <w:rFonts w:ascii="Arial" w:hAnsi="Arial"/>
                <w:b w:val="0"/>
                <w:sz w:val="18"/>
              </w:rPr>
              <w:t>Implements reproducible extraction, cleaning, splitting, and packaging code.</w:t>
            </w:r>
          </w:p>
        </w:tc>
      </w:tr>
      <w:tr>
        <w:tc>
          <w:tcPr>
            <w:tcW w:type="dxa" w:w="4939"/>
            <w:vAlign w:val="top"/>
          </w:tcPr>
          <w:p>
            <w:pPr>
              <w:spacing w:after="0"/>
            </w:pPr>
            <w:r/>
            <w:r>
              <w:rPr>
                <w:rFonts w:ascii="Arial" w:hAnsi="Arial"/>
                <w:b w:val="0"/>
                <w:sz w:val="18"/>
              </w:rPr>
              <w:t>Independent evaluator</w:t>
            </w:r>
          </w:p>
        </w:tc>
        <w:tc>
          <w:tcPr>
            <w:tcW w:type="dxa" w:w="4939"/>
            <w:vAlign w:val="top"/>
          </w:tcPr>
          <w:p>
            <w:pPr>
              <w:spacing w:after="0"/>
            </w:pPr>
            <w:r/>
            <w:r>
              <w:rPr>
                <w:rFonts w:ascii="Arial" w:hAnsi="Arial"/>
                <w:b w:val="0"/>
                <w:sz w:val="18"/>
              </w:rPr>
              <w:t>Receives the locked test package after development decisions are frozen.</w:t>
            </w:r>
          </w:p>
        </w:tc>
      </w:tr>
      <w:tr>
        <w:tc>
          <w:tcPr>
            <w:tcW w:type="dxa" w:w="4939"/>
            <w:vAlign w:val="top"/>
          </w:tcPr>
          <w:p>
            <w:pPr>
              <w:spacing w:after="0"/>
            </w:pPr>
            <w:r/>
            <w:r>
              <w:rPr>
                <w:rFonts w:ascii="Arial" w:hAnsi="Arial"/>
                <w:b w:val="0"/>
                <w:sz w:val="18"/>
              </w:rPr>
              <w:t>Deployment approver</w:t>
            </w:r>
          </w:p>
        </w:tc>
        <w:tc>
          <w:tcPr>
            <w:tcW w:type="dxa" w:w="4939"/>
            <w:vAlign w:val="top"/>
          </w:tcPr>
          <w:p>
            <w:pPr>
              <w:spacing w:after="0"/>
            </w:pPr>
            <w:r/>
            <w:r>
              <w:rPr>
                <w:rFonts w:ascii="Arial" w:hAnsi="Arial"/>
                <w:b w:val="0"/>
                <w:sz w:val="18"/>
              </w:rPr>
              <w:t>Confirms dataset-model compatibility and evidence before model activation.</w:t>
            </w:r>
          </w:p>
        </w:tc>
      </w:tr>
    </w:tbl>
    <w:p/>
    <w:p>
      <w:pPr>
        <w:pStyle w:val="Heading1"/>
      </w:pPr>
      <w:r>
        <w:t>21.0 Dataset Versioning and Release Package</w:t>
      </w:r>
    </w:p>
    <w:p>
      <w:r>
        <w:t>A dataset version is immutable. Corrections or additions create a new version. The release must separate raw source snapshots, curated analytical data, partition assignments, and documentation so that the model can be traced to the exact data used.</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Package element</w:t>
            </w:r>
          </w:p>
        </w:tc>
        <w:tc>
          <w:tcPr>
            <w:tcW w:type="dxa" w:w="4939"/>
            <w:vAlign w:val="top"/>
            <w:shd w:fill="D9EAF7"/>
          </w:tcPr>
          <w:p>
            <w:pPr>
              <w:spacing w:after="0"/>
            </w:pPr>
            <w:r/>
            <w:r>
              <w:rPr>
                <w:rFonts w:ascii="Arial" w:hAnsi="Arial"/>
                <w:b/>
                <w:sz w:val="18"/>
              </w:rPr>
              <w:t>Purpose</w:t>
            </w:r>
          </w:p>
        </w:tc>
      </w:tr>
      <w:tr>
        <w:tc>
          <w:tcPr>
            <w:tcW w:type="dxa" w:w="4939"/>
            <w:vAlign w:val="top"/>
          </w:tcPr>
          <w:p>
            <w:pPr>
              <w:spacing w:after="0"/>
            </w:pPr>
            <w:r/>
            <w:r>
              <w:rPr>
                <w:rFonts w:ascii="Arial" w:hAnsi="Arial"/>
                <w:b w:val="0"/>
                <w:sz w:val="18"/>
              </w:rPr>
              <w:t>dataset_manifest.json</w:t>
            </w:r>
          </w:p>
        </w:tc>
        <w:tc>
          <w:tcPr>
            <w:tcW w:type="dxa" w:w="4939"/>
            <w:vAlign w:val="top"/>
          </w:tcPr>
          <w:p>
            <w:pPr>
              <w:spacing w:after="0"/>
            </w:pPr>
            <w:r/>
            <w:r>
              <w:rPr>
                <w:rFonts w:ascii="Arial" w:hAnsi="Arial"/>
                <w:b w:val="0"/>
                <w:sz w:val="18"/>
              </w:rPr>
              <w:t>Version, creation date, source versions, row counts, label counts, and file hashes.</w:t>
            </w:r>
          </w:p>
        </w:tc>
      </w:tr>
      <w:tr>
        <w:tc>
          <w:tcPr>
            <w:tcW w:type="dxa" w:w="4939"/>
            <w:vAlign w:val="top"/>
          </w:tcPr>
          <w:p>
            <w:pPr>
              <w:spacing w:after="0"/>
            </w:pPr>
            <w:r/>
            <w:r>
              <w:rPr>
                <w:rFonts w:ascii="Arial" w:hAnsi="Arial"/>
                <w:b w:val="0"/>
                <w:sz w:val="18"/>
              </w:rPr>
              <w:t>source_declaration</w:t>
            </w:r>
          </w:p>
        </w:tc>
        <w:tc>
          <w:tcPr>
            <w:tcW w:type="dxa" w:w="4939"/>
            <w:vAlign w:val="top"/>
          </w:tcPr>
          <w:p>
            <w:pPr>
              <w:spacing w:after="0"/>
            </w:pPr>
            <w:r/>
            <w:r>
              <w:rPr>
                <w:rFonts w:ascii="Arial" w:hAnsi="Arial"/>
                <w:b w:val="0"/>
                <w:sz w:val="18"/>
              </w:rPr>
              <w:t>Provenance, permissions, collection context, and known limitations.</w:t>
            </w:r>
          </w:p>
        </w:tc>
      </w:tr>
      <w:tr>
        <w:tc>
          <w:tcPr>
            <w:tcW w:type="dxa" w:w="4939"/>
            <w:vAlign w:val="top"/>
          </w:tcPr>
          <w:p>
            <w:pPr>
              <w:spacing w:after="0"/>
            </w:pPr>
            <w:r/>
            <w:r>
              <w:rPr>
                <w:rFonts w:ascii="Arial" w:hAnsi="Arial"/>
                <w:b w:val="0"/>
                <w:sz w:val="18"/>
              </w:rPr>
              <w:t>data_dictionary</w:t>
            </w:r>
          </w:p>
        </w:tc>
        <w:tc>
          <w:tcPr>
            <w:tcW w:type="dxa" w:w="4939"/>
            <w:vAlign w:val="top"/>
          </w:tcPr>
          <w:p>
            <w:pPr>
              <w:spacing w:after="0"/>
            </w:pPr>
            <w:r/>
            <w:r>
              <w:rPr>
                <w:rFonts w:ascii="Arial" w:hAnsi="Arial"/>
                <w:b w:val="0"/>
                <w:sz w:val="18"/>
              </w:rPr>
              <w:t>Feature and label definitions with units, domains, timing, and missing states.</w:t>
            </w:r>
          </w:p>
        </w:tc>
      </w:tr>
      <w:tr>
        <w:tc>
          <w:tcPr>
            <w:tcW w:type="dxa" w:w="4939"/>
            <w:vAlign w:val="top"/>
          </w:tcPr>
          <w:p>
            <w:pPr>
              <w:spacing w:after="0"/>
            </w:pPr>
            <w:r/>
            <w:r>
              <w:rPr>
                <w:rFonts w:ascii="Arial" w:hAnsi="Arial"/>
                <w:b w:val="0"/>
                <w:sz w:val="18"/>
              </w:rPr>
              <w:t>inclusion_exclusion_report</w:t>
            </w:r>
          </w:p>
        </w:tc>
        <w:tc>
          <w:tcPr>
            <w:tcW w:type="dxa" w:w="4939"/>
            <w:vAlign w:val="top"/>
          </w:tcPr>
          <w:p>
            <w:pPr>
              <w:spacing w:after="0"/>
            </w:pPr>
            <w:r/>
            <w:r>
              <w:rPr>
                <w:rFonts w:ascii="Arial" w:hAnsi="Arial"/>
                <w:b w:val="0"/>
                <w:sz w:val="18"/>
              </w:rPr>
              <w:t>Counts and reasons at each filtering stage.</w:t>
            </w:r>
          </w:p>
        </w:tc>
      </w:tr>
      <w:tr>
        <w:tc>
          <w:tcPr>
            <w:tcW w:type="dxa" w:w="4939"/>
            <w:vAlign w:val="top"/>
          </w:tcPr>
          <w:p>
            <w:pPr>
              <w:spacing w:after="0"/>
            </w:pPr>
            <w:r/>
            <w:r>
              <w:rPr>
                <w:rFonts w:ascii="Arial" w:hAnsi="Arial"/>
                <w:b w:val="0"/>
                <w:sz w:val="18"/>
              </w:rPr>
              <w:t>quality_report</w:t>
            </w:r>
          </w:p>
        </w:tc>
        <w:tc>
          <w:tcPr>
            <w:tcW w:type="dxa" w:w="4939"/>
            <w:vAlign w:val="top"/>
          </w:tcPr>
          <w:p>
            <w:pPr>
              <w:spacing w:after="0"/>
            </w:pPr>
            <w:r/>
            <w:r>
              <w:rPr>
                <w:rFonts w:ascii="Arial" w:hAnsi="Arial"/>
                <w:b w:val="0"/>
                <w:sz w:val="18"/>
              </w:rPr>
              <w:t>Missingness, validity, duplicates, contradictions, corrections, and unresolved issues.</w:t>
            </w:r>
          </w:p>
        </w:tc>
      </w:tr>
      <w:tr>
        <w:tc>
          <w:tcPr>
            <w:tcW w:type="dxa" w:w="4939"/>
            <w:vAlign w:val="top"/>
          </w:tcPr>
          <w:p>
            <w:pPr>
              <w:spacing w:after="0"/>
            </w:pPr>
            <w:r/>
            <w:r>
              <w:rPr>
                <w:rFonts w:ascii="Arial" w:hAnsi="Arial"/>
                <w:b w:val="0"/>
                <w:sz w:val="18"/>
              </w:rPr>
              <w:t>population_report</w:t>
            </w:r>
          </w:p>
        </w:tc>
        <w:tc>
          <w:tcPr>
            <w:tcW w:type="dxa" w:w="4939"/>
            <w:vAlign w:val="top"/>
          </w:tcPr>
          <w:p>
            <w:pPr>
              <w:spacing w:after="0"/>
            </w:pPr>
            <w:r/>
            <w:r>
              <w:rPr>
                <w:rFonts w:ascii="Arial" w:hAnsi="Arial"/>
                <w:b w:val="0"/>
                <w:sz w:val="18"/>
              </w:rPr>
              <w:t>Demographic, obstetric, clinical, site, time, and label distributions.</w:t>
            </w:r>
          </w:p>
        </w:tc>
      </w:tr>
      <w:tr>
        <w:tc>
          <w:tcPr>
            <w:tcW w:type="dxa" w:w="4939"/>
            <w:vAlign w:val="top"/>
          </w:tcPr>
          <w:p>
            <w:pPr>
              <w:spacing w:after="0"/>
            </w:pPr>
            <w:r/>
            <w:r>
              <w:rPr>
                <w:rFonts w:ascii="Arial" w:hAnsi="Arial"/>
                <w:b w:val="0"/>
                <w:sz w:val="18"/>
              </w:rPr>
              <w:t>partition_registry</w:t>
            </w:r>
          </w:p>
        </w:tc>
        <w:tc>
          <w:tcPr>
            <w:tcW w:type="dxa" w:w="4939"/>
            <w:vAlign w:val="top"/>
          </w:tcPr>
          <w:p>
            <w:pPr>
              <w:spacing w:after="0"/>
            </w:pPr>
            <w:r/>
            <w:r>
              <w:rPr>
                <w:rFonts w:ascii="Arial" w:hAnsi="Arial"/>
                <w:b w:val="0"/>
                <w:sz w:val="18"/>
              </w:rPr>
              <w:t>Immutable patient/pregnancy assignment to training, tuning, and test sets.</w:t>
            </w:r>
          </w:p>
        </w:tc>
      </w:tr>
      <w:tr>
        <w:tc>
          <w:tcPr>
            <w:tcW w:type="dxa" w:w="4939"/>
            <w:vAlign w:val="top"/>
          </w:tcPr>
          <w:p>
            <w:pPr>
              <w:spacing w:after="0"/>
            </w:pPr>
            <w:r/>
            <w:r>
              <w:rPr>
                <w:rFonts w:ascii="Arial" w:hAnsi="Arial"/>
                <w:b w:val="0"/>
                <w:sz w:val="18"/>
              </w:rPr>
              <w:t>transformation_code</w:t>
            </w:r>
          </w:p>
        </w:tc>
        <w:tc>
          <w:tcPr>
            <w:tcW w:type="dxa" w:w="4939"/>
            <w:vAlign w:val="top"/>
          </w:tcPr>
          <w:p>
            <w:pPr>
              <w:spacing w:after="0"/>
            </w:pPr>
            <w:r/>
            <w:r>
              <w:rPr>
                <w:rFonts w:ascii="Arial" w:hAnsi="Arial"/>
                <w:b w:val="0"/>
                <w:sz w:val="18"/>
              </w:rPr>
              <w:t>Version-controlled code that regenerates the curated data.</w:t>
            </w:r>
          </w:p>
        </w:tc>
      </w:tr>
      <w:tr>
        <w:tc>
          <w:tcPr>
            <w:tcW w:type="dxa" w:w="4939"/>
            <w:vAlign w:val="top"/>
          </w:tcPr>
          <w:p>
            <w:pPr>
              <w:spacing w:after="0"/>
            </w:pPr>
            <w:r/>
            <w:r>
              <w:rPr>
                <w:rFonts w:ascii="Arial" w:hAnsi="Arial"/>
                <w:b w:val="0"/>
                <w:sz w:val="18"/>
              </w:rPr>
              <w:t>approval_record</w:t>
            </w:r>
          </w:p>
        </w:tc>
        <w:tc>
          <w:tcPr>
            <w:tcW w:type="dxa" w:w="4939"/>
            <w:vAlign w:val="top"/>
          </w:tcPr>
          <w:p>
            <w:pPr>
              <w:spacing w:after="0"/>
            </w:pPr>
            <w:r/>
            <w:r>
              <w:rPr>
                <w:rFonts w:ascii="Arial" w:hAnsi="Arial"/>
                <w:b w:val="0"/>
                <w:sz w:val="18"/>
              </w:rPr>
              <w:t>Named review, decision, restrictions, and release status.</w:t>
            </w:r>
          </w:p>
        </w:tc>
      </w:tr>
      <w:tr>
        <w:tc>
          <w:tcPr>
            <w:tcW w:type="dxa" w:w="4939"/>
            <w:vAlign w:val="top"/>
          </w:tcPr>
          <w:p>
            <w:pPr>
              <w:spacing w:after="0"/>
            </w:pPr>
            <w:r/>
            <w:r>
              <w:rPr>
                <w:rFonts w:ascii="Arial" w:hAnsi="Arial"/>
                <w:b w:val="0"/>
                <w:sz w:val="18"/>
              </w:rPr>
              <w:t>integrity_hashes</w:t>
            </w:r>
          </w:p>
        </w:tc>
        <w:tc>
          <w:tcPr>
            <w:tcW w:type="dxa" w:w="4939"/>
            <w:vAlign w:val="top"/>
          </w:tcPr>
          <w:p>
            <w:pPr>
              <w:spacing w:after="0"/>
            </w:pPr>
            <w:r/>
            <w:r>
              <w:rPr>
                <w:rFonts w:ascii="Arial" w:hAnsi="Arial"/>
                <w:b w:val="0"/>
                <w:sz w:val="18"/>
              </w:rPr>
              <w:t>Hashes for all released artifacts.</w:t>
            </w:r>
          </w:p>
        </w:tc>
      </w:tr>
    </w:tbl>
    <w:p/>
    <w:p>
      <w:pPr>
        <w:pStyle w:val="Heading1"/>
      </w:pPr>
      <w:r>
        <w:t>22.0 Laravel-to-Dataset Mapping</w:t>
      </w:r>
    </w:p>
    <w:p>
      <w:r>
        <w:t>For future locally governed dataset creation, extraction should occur through a dedicated export pipeline rather than ad hoc database queries. The pipeline must preserve active-pregnancy identity, observation timing, source provenance, and current field definitions.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Application area</w:t>
            </w:r>
          </w:p>
        </w:tc>
        <w:tc>
          <w:tcPr>
            <w:tcW w:type="dxa" w:w="4939"/>
            <w:vAlign w:val="top"/>
            <w:shd w:fill="D9EAF7"/>
          </w:tcPr>
          <w:p>
            <w:pPr>
              <w:spacing w:after="0"/>
            </w:pPr>
            <w:r/>
            <w:r>
              <w:rPr>
                <w:rFonts w:ascii="Arial" w:hAnsi="Arial"/>
                <w:b/>
                <w:sz w:val="18"/>
              </w:rPr>
              <w:t>Dataset mapping requirement</w:t>
            </w:r>
          </w:p>
        </w:tc>
      </w:tr>
      <w:tr>
        <w:tc>
          <w:tcPr>
            <w:tcW w:type="dxa" w:w="4939"/>
            <w:vAlign w:val="top"/>
          </w:tcPr>
          <w:p>
            <w:pPr>
              <w:spacing w:after="0"/>
            </w:pPr>
            <w:r/>
            <w:r>
              <w:rPr>
                <w:rFonts w:ascii="Arial" w:hAnsi="Arial"/>
                <w:b w:val="0"/>
                <w:sz w:val="18"/>
              </w:rPr>
              <w:t>patients</w:t>
            </w:r>
          </w:p>
        </w:tc>
        <w:tc>
          <w:tcPr>
            <w:tcW w:type="dxa" w:w="4939"/>
            <w:vAlign w:val="top"/>
          </w:tcPr>
          <w:p>
            <w:pPr>
              <w:spacing w:after="0"/>
            </w:pPr>
            <w:r/>
            <w:r>
              <w:rPr>
                <w:rFonts w:ascii="Arial" w:hAnsi="Arial"/>
                <w:b w:val="0"/>
                <w:sz w:val="18"/>
              </w:rPr>
              <w:t>Use only necessary non-identifying demographic and pregnancy-context fields.</w:t>
            </w:r>
          </w:p>
        </w:tc>
      </w:tr>
      <w:tr>
        <w:tc>
          <w:tcPr>
            <w:tcW w:type="dxa" w:w="4939"/>
            <w:vAlign w:val="top"/>
          </w:tcPr>
          <w:p>
            <w:pPr>
              <w:spacing w:after="0"/>
            </w:pPr>
            <w:r/>
            <w:r>
              <w:rPr>
                <w:rFonts w:ascii="Arial" w:hAnsi="Arial"/>
                <w:b w:val="0"/>
                <w:sz w:val="18"/>
              </w:rPr>
              <w:t>prenatal_visits</w:t>
            </w:r>
          </w:p>
        </w:tc>
        <w:tc>
          <w:tcPr>
            <w:tcW w:type="dxa" w:w="4939"/>
            <w:vAlign w:val="top"/>
          </w:tcPr>
          <w:p>
            <w:pPr>
              <w:spacing w:after="0"/>
            </w:pPr>
            <w:r/>
            <w:r>
              <w:rPr>
                <w:rFonts w:ascii="Arial" w:hAnsi="Arial"/>
                <w:b w:val="0"/>
                <w:sz w:val="18"/>
              </w:rPr>
              <w:t>Preserve visit timestamp, measurement units, validation status, and source record ID.</w:t>
            </w:r>
          </w:p>
        </w:tc>
      </w:tr>
      <w:tr>
        <w:tc>
          <w:tcPr>
            <w:tcW w:type="dxa" w:w="4939"/>
            <w:vAlign w:val="top"/>
          </w:tcPr>
          <w:p>
            <w:pPr>
              <w:spacing w:after="0"/>
            </w:pPr>
            <w:r/>
            <w:r>
              <w:rPr>
                <w:rFonts w:ascii="Arial" w:hAnsi="Arial"/>
                <w:b w:val="0"/>
                <w:sz w:val="18"/>
              </w:rPr>
              <w:t>medical_histories</w:t>
            </w:r>
          </w:p>
        </w:tc>
        <w:tc>
          <w:tcPr>
            <w:tcW w:type="dxa" w:w="4939"/>
            <w:vAlign w:val="top"/>
          </w:tcPr>
          <w:p>
            <w:pPr>
              <w:spacing w:after="0"/>
            </w:pPr>
            <w:r/>
            <w:r>
              <w:rPr>
                <w:rFonts w:ascii="Arial" w:hAnsi="Arial"/>
                <w:b w:val="0"/>
                <w:sz w:val="18"/>
              </w:rPr>
              <w:t>Distinguish present, absent, unknown, not assessed, and source of information.</w:t>
            </w:r>
          </w:p>
        </w:tc>
      </w:tr>
      <w:tr>
        <w:tc>
          <w:tcPr>
            <w:tcW w:type="dxa" w:w="4939"/>
            <w:vAlign w:val="top"/>
          </w:tcPr>
          <w:p>
            <w:pPr>
              <w:spacing w:after="0"/>
            </w:pPr>
            <w:r/>
            <w:r>
              <w:rPr>
                <w:rFonts w:ascii="Arial" w:hAnsi="Arial"/>
                <w:b w:val="0"/>
                <w:sz w:val="18"/>
              </w:rPr>
              <w:t>ultrasounds</w:t>
            </w:r>
          </w:p>
        </w:tc>
        <w:tc>
          <w:tcPr>
            <w:tcW w:type="dxa" w:w="4939"/>
            <w:vAlign w:val="top"/>
          </w:tcPr>
          <w:p>
            <w:pPr>
              <w:spacing w:after="0"/>
            </w:pPr>
            <w:r/>
            <w:r>
              <w:rPr>
                <w:rFonts w:ascii="Arial" w:hAnsi="Arial"/>
                <w:b w:val="0"/>
                <w:sz w:val="18"/>
              </w:rPr>
              <w:t>Use only structured, validated fields approved for the ML feature schema; preserve examination date.</w:t>
            </w:r>
          </w:p>
        </w:tc>
      </w:tr>
      <w:tr>
        <w:tc>
          <w:tcPr>
            <w:tcW w:type="dxa" w:w="4939"/>
            <w:vAlign w:val="top"/>
          </w:tcPr>
          <w:p>
            <w:pPr>
              <w:spacing w:after="0"/>
            </w:pPr>
            <w:r/>
            <w:r>
              <w:rPr>
                <w:rFonts w:ascii="Arial" w:hAnsi="Arial"/>
                <w:b w:val="0"/>
                <w:sz w:val="18"/>
              </w:rPr>
              <w:t>birth_plans</w:t>
            </w:r>
          </w:p>
        </w:tc>
        <w:tc>
          <w:tcPr>
            <w:tcW w:type="dxa" w:w="4939"/>
            <w:vAlign w:val="top"/>
          </w:tcPr>
          <w:p>
            <w:pPr>
              <w:spacing w:after="0"/>
            </w:pPr>
            <w:r/>
            <w:r>
              <w:rPr>
                <w:rFonts w:ascii="Arial" w:hAnsi="Arial"/>
                <w:b w:val="0"/>
                <w:sz w:val="18"/>
              </w:rPr>
              <w:t>Do not assume administrative planning fields are predictive without justification and leakage review.</w:t>
            </w:r>
          </w:p>
        </w:tc>
      </w:tr>
      <w:tr>
        <w:tc>
          <w:tcPr>
            <w:tcW w:type="dxa" w:w="4939"/>
            <w:vAlign w:val="top"/>
          </w:tcPr>
          <w:p>
            <w:pPr>
              <w:spacing w:after="0"/>
            </w:pPr>
            <w:r/>
            <w:r>
              <w:rPr>
                <w:rFonts w:ascii="Arial" w:hAnsi="Arial"/>
                <w:b w:val="0"/>
                <w:sz w:val="18"/>
              </w:rPr>
              <w:t>referrals</w:t>
            </w:r>
          </w:p>
        </w:tc>
        <w:tc>
          <w:tcPr>
            <w:tcW w:type="dxa" w:w="4939"/>
            <w:vAlign w:val="top"/>
          </w:tcPr>
          <w:p>
            <w:pPr>
              <w:spacing w:after="0"/>
            </w:pPr>
            <w:r/>
            <w:r>
              <w:rPr>
                <w:rFonts w:ascii="Arial" w:hAnsi="Arial"/>
                <w:b w:val="0"/>
                <w:sz w:val="18"/>
              </w:rPr>
              <w:t>Referral action is a human/workflow outcome and may be influenced by the existing system; use as a label only with careful causal and circularity review.</w:t>
            </w:r>
          </w:p>
        </w:tc>
      </w:tr>
      <w:tr>
        <w:tc>
          <w:tcPr>
            <w:tcW w:type="dxa" w:w="4939"/>
            <w:vAlign w:val="top"/>
          </w:tcPr>
          <w:p>
            <w:pPr>
              <w:spacing w:after="0"/>
            </w:pPr>
            <w:r/>
            <w:r>
              <w:rPr>
                <w:rFonts w:ascii="Arial" w:hAnsi="Arial"/>
                <w:b w:val="0"/>
                <w:sz w:val="18"/>
              </w:rPr>
              <w:t>delivery and baby records</w:t>
            </w:r>
          </w:p>
        </w:tc>
        <w:tc>
          <w:tcPr>
            <w:tcW w:type="dxa" w:w="4939"/>
            <w:vAlign w:val="top"/>
          </w:tcPr>
          <w:p>
            <w:pPr>
              <w:spacing w:after="0"/>
            </w:pPr>
            <w:r/>
            <w:r>
              <w:rPr>
                <w:rFonts w:ascii="Arial" w:hAnsi="Arial"/>
                <w:b w:val="0"/>
                <w:sz w:val="18"/>
              </w:rPr>
              <w:t>Future outcomes must never enter prenatal feature snapshots; they may be candidate outcomes only under a separate protocol.</w:t>
            </w:r>
          </w:p>
        </w:tc>
      </w:tr>
      <w:tr>
        <w:tc>
          <w:tcPr>
            <w:tcW w:type="dxa" w:w="4939"/>
            <w:vAlign w:val="top"/>
          </w:tcPr>
          <w:p>
            <w:pPr>
              <w:spacing w:after="0"/>
            </w:pPr>
            <w:r/>
            <w:r>
              <w:rPr>
                <w:rFonts w:ascii="Arial" w:hAnsi="Arial"/>
                <w:b w:val="0"/>
                <w:sz w:val="18"/>
              </w:rPr>
              <w:t>audit logs</w:t>
            </w:r>
          </w:p>
        </w:tc>
        <w:tc>
          <w:tcPr>
            <w:tcW w:type="dxa" w:w="4939"/>
            <w:vAlign w:val="top"/>
          </w:tcPr>
          <w:p>
            <w:pPr>
              <w:spacing w:after="0"/>
            </w:pPr>
            <w:r/>
            <w:r>
              <w:rPr>
                <w:rFonts w:ascii="Arial" w:hAnsi="Arial"/>
                <w:b w:val="0"/>
                <w:sz w:val="18"/>
              </w:rPr>
              <w:t>Use to verify provenance and timing, not as unreviewed predictive features.</w:t>
            </w:r>
          </w:p>
        </w:tc>
      </w:tr>
    </w:tbl>
    <w:p/>
    <w:p>
      <w:r>
        <w:t>The dataset-export process should be read-only, version-controlled, and auditable. It should not modify clinical records. Extracted development data should be stored outside the production database under separate permissions.</w:t>
      </w:r>
    </w:p>
    <w:p>
      <w:pPr>
        <w:pStyle w:val="Heading1"/>
      </w:pPr>
      <w:r>
        <w:t>23.0 Dataset Processing Workflow</w:t>
      </w:r>
    </w:p>
    <w:p>
      <w:pPr>
        <w:pStyle w:val="ListNumber"/>
      </w:pPr>
      <w:r>
        <w:t>Approve the intended use, source, permissions, and dataset protocol.</w:t>
      </w:r>
    </w:p>
    <w:p>
      <w:pPr>
        <w:pStyle w:val="ListNumber"/>
      </w:pPr>
      <w:r>
        <w:t>Create an immutable source snapshot or controlled export.</w:t>
      </w:r>
    </w:p>
    <w:p>
      <w:pPr>
        <w:pStyle w:val="ListNumber"/>
      </w:pPr>
      <w:r>
        <w:t>Assign patient and pregnancy episode identifiers for grouping and leakage prevention.</w:t>
      </w:r>
    </w:p>
    <w:p>
      <w:pPr>
        <w:pStyle w:val="ListNumber"/>
      </w:pPr>
      <w:r>
        <w:t>Map source fields to the approved data dictionary.</w:t>
      </w:r>
    </w:p>
    <w:p>
      <w:pPr>
        <w:pStyle w:val="ListNumber"/>
      </w:pPr>
      <w:r>
        <w:t>Construct assessment-time snapshots without future information.</w:t>
      </w:r>
    </w:p>
    <w:p>
      <w:pPr>
        <w:pStyle w:val="ListNumber"/>
      </w:pPr>
      <w:r>
        <w:t>Apply inclusion and exclusion criteria while recording counts and reasons.</w:t>
      </w:r>
    </w:p>
    <w:p>
      <w:pPr>
        <w:pStyle w:val="ListNumber"/>
      </w:pPr>
      <w:r>
        <w:t>Run schema, range, consistency, duplicate, and provenance checks.</w:t>
      </w:r>
    </w:p>
    <w:p>
      <w:pPr>
        <w:pStyle w:val="ListNumber"/>
      </w:pPr>
      <w:r>
        <w:t>Assign labels using the frozen labeling protocol and adjudicate uncertainty.</w:t>
      </w:r>
    </w:p>
    <w:p>
      <w:pPr>
        <w:pStyle w:val="ListNumber"/>
      </w:pPr>
      <w:r>
        <w:t>Generate population, missingness, quality, and limitation reports.</w:t>
      </w:r>
    </w:p>
    <w:p>
      <w:pPr>
        <w:pStyle w:val="ListNumber"/>
      </w:pPr>
      <w:r>
        <w:t>Create grouped training, tuning, and locked test partitions.</w:t>
      </w:r>
    </w:p>
    <w:p>
      <w:pPr>
        <w:pStyle w:val="ListNumber"/>
      </w:pPr>
      <w:r>
        <w:t>Fit no learned preprocessing at dataset-release time unless explicitly part of the training pipeline; preserve raw analytical values.</w:t>
      </w:r>
    </w:p>
    <w:p>
      <w:pPr>
        <w:pStyle w:val="ListNumber"/>
      </w:pPr>
      <w:r>
        <w:t>Package, hash, review, approve, and register the immutable dataset release.</w:t>
      </w:r>
    </w:p>
    <w:p>
      <w:pPr>
        <w:pStyle w:val="Heading1"/>
      </w:pPr>
      <w:r>
        <w:t>24.0 Failure and Degraded-Evidence Handling</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Problem</w:t>
            </w:r>
          </w:p>
        </w:tc>
        <w:tc>
          <w:tcPr>
            <w:tcW w:type="dxa" w:w="4939"/>
            <w:vAlign w:val="top"/>
            <w:shd w:fill="D9EAF7"/>
          </w:tcPr>
          <w:p>
            <w:pPr>
              <w:spacing w:after="0"/>
            </w:pPr>
            <w:r/>
            <w:r>
              <w:rPr>
                <w:rFonts w:ascii="Arial" w:hAnsi="Arial"/>
                <w:b/>
                <w:sz w:val="18"/>
              </w:rPr>
              <w:t>Required decision</w:t>
            </w:r>
          </w:p>
        </w:tc>
      </w:tr>
      <w:tr>
        <w:tc>
          <w:tcPr>
            <w:tcW w:type="dxa" w:w="4939"/>
            <w:vAlign w:val="top"/>
          </w:tcPr>
          <w:p>
            <w:pPr>
              <w:spacing w:after="0"/>
            </w:pPr>
            <w:r/>
            <w:r>
              <w:rPr>
                <w:rFonts w:ascii="Arial" w:hAnsi="Arial"/>
                <w:b w:val="0"/>
                <w:sz w:val="18"/>
              </w:rPr>
              <w:t>Unknown original source or license</w:t>
            </w:r>
          </w:p>
        </w:tc>
        <w:tc>
          <w:tcPr>
            <w:tcW w:type="dxa" w:w="4939"/>
            <w:vAlign w:val="top"/>
          </w:tcPr>
          <w:p>
            <w:pPr>
              <w:spacing w:after="0"/>
            </w:pPr>
            <w:r/>
            <w:r>
              <w:rPr>
                <w:rFonts w:ascii="Arial" w:hAnsi="Arial"/>
                <w:b w:val="0"/>
                <w:sz w:val="18"/>
              </w:rPr>
              <w:t>Do not claim clinical reuse rights; restrict to internal experimentation until resolved.</w:t>
            </w:r>
          </w:p>
        </w:tc>
      </w:tr>
      <w:tr>
        <w:tc>
          <w:tcPr>
            <w:tcW w:type="dxa" w:w="4939"/>
            <w:vAlign w:val="top"/>
          </w:tcPr>
          <w:p>
            <w:pPr>
              <w:spacing w:after="0"/>
            </w:pPr>
            <w:r/>
            <w:r>
              <w:rPr>
                <w:rFonts w:ascii="Arial" w:hAnsi="Arial"/>
                <w:b w:val="0"/>
                <w:sz w:val="18"/>
              </w:rPr>
              <w:t>Unclear HIGH/LOW label origin</w:t>
            </w:r>
          </w:p>
        </w:tc>
        <w:tc>
          <w:tcPr>
            <w:tcW w:type="dxa" w:w="4939"/>
            <w:vAlign w:val="top"/>
          </w:tcPr>
          <w:p>
            <w:pPr>
              <w:spacing w:after="0"/>
            </w:pPr>
            <w:r/>
            <w:r>
              <w:rPr>
                <w:rFonts w:ascii="Arial" w:hAnsi="Arial"/>
                <w:b w:val="0"/>
                <w:sz w:val="18"/>
              </w:rPr>
              <w:t>Do not report the model as clinically validated; rebuild labels or classify the model as exploratory.</w:t>
            </w:r>
          </w:p>
        </w:tc>
      </w:tr>
      <w:tr>
        <w:tc>
          <w:tcPr>
            <w:tcW w:type="dxa" w:w="4939"/>
            <w:vAlign w:val="top"/>
          </w:tcPr>
          <w:p>
            <w:pPr>
              <w:spacing w:after="0"/>
            </w:pPr>
            <w:r/>
            <w:r>
              <w:rPr>
                <w:rFonts w:ascii="Arial" w:hAnsi="Arial"/>
                <w:b w:val="0"/>
                <w:sz w:val="18"/>
              </w:rPr>
              <w:t>Too few independent patients</w:t>
            </w:r>
          </w:p>
        </w:tc>
        <w:tc>
          <w:tcPr>
            <w:tcW w:type="dxa" w:w="4939"/>
            <w:vAlign w:val="top"/>
          </w:tcPr>
          <w:p>
            <w:pPr>
              <w:spacing w:after="0"/>
            </w:pPr>
            <w:r/>
            <w:r>
              <w:rPr>
                <w:rFonts w:ascii="Arial" w:hAnsi="Arial"/>
                <w:b w:val="0"/>
                <w:sz w:val="18"/>
              </w:rPr>
              <w:t>Report instability; avoid complex subgroup claims and deployment claims.</w:t>
            </w:r>
          </w:p>
        </w:tc>
      </w:tr>
      <w:tr>
        <w:tc>
          <w:tcPr>
            <w:tcW w:type="dxa" w:w="4939"/>
            <w:vAlign w:val="top"/>
          </w:tcPr>
          <w:p>
            <w:pPr>
              <w:spacing w:after="0"/>
            </w:pPr>
            <w:r/>
            <w:r>
              <w:rPr>
                <w:rFonts w:ascii="Arial" w:hAnsi="Arial"/>
                <w:b w:val="0"/>
                <w:sz w:val="18"/>
              </w:rPr>
              <w:t>Severe class imbalance</w:t>
            </w:r>
          </w:p>
        </w:tc>
        <w:tc>
          <w:tcPr>
            <w:tcW w:type="dxa" w:w="4939"/>
            <w:vAlign w:val="top"/>
          </w:tcPr>
          <w:p>
            <w:pPr>
              <w:spacing w:after="0"/>
            </w:pPr>
            <w:r/>
            <w:r>
              <w:rPr>
                <w:rFonts w:ascii="Arial" w:hAnsi="Arial"/>
                <w:b w:val="0"/>
                <w:sz w:val="18"/>
              </w:rPr>
              <w:t>Use appropriate training and evaluation methods, but do not manufacture test evidence.</w:t>
            </w:r>
          </w:p>
        </w:tc>
      </w:tr>
      <w:tr>
        <w:tc>
          <w:tcPr>
            <w:tcW w:type="dxa" w:w="4939"/>
            <w:vAlign w:val="top"/>
          </w:tcPr>
          <w:p>
            <w:pPr>
              <w:spacing w:after="0"/>
            </w:pPr>
            <w:r/>
            <w:r>
              <w:rPr>
                <w:rFonts w:ascii="Arial" w:hAnsi="Arial"/>
                <w:b w:val="0"/>
                <w:sz w:val="18"/>
              </w:rPr>
              <w:t>No independent test set</w:t>
            </w:r>
          </w:p>
        </w:tc>
        <w:tc>
          <w:tcPr>
            <w:tcW w:type="dxa" w:w="4939"/>
            <w:vAlign w:val="top"/>
          </w:tcPr>
          <w:p>
            <w:pPr>
              <w:spacing w:after="0"/>
            </w:pPr>
            <w:r/>
            <w:r>
              <w:rPr>
                <w:rFonts w:ascii="Arial" w:hAnsi="Arial"/>
                <w:b w:val="0"/>
                <w:sz w:val="18"/>
              </w:rPr>
              <w:t>Performance remains development performance and must be labeled as such.</w:t>
            </w:r>
          </w:p>
        </w:tc>
      </w:tr>
      <w:tr>
        <w:tc>
          <w:tcPr>
            <w:tcW w:type="dxa" w:w="4939"/>
            <w:vAlign w:val="top"/>
          </w:tcPr>
          <w:p>
            <w:pPr>
              <w:spacing w:after="0"/>
            </w:pPr>
            <w:r/>
            <w:r>
              <w:rPr>
                <w:rFonts w:ascii="Arial" w:hAnsi="Arial"/>
                <w:b w:val="0"/>
                <w:sz w:val="18"/>
              </w:rPr>
              <w:t>Population mismatch</w:t>
            </w:r>
          </w:p>
        </w:tc>
        <w:tc>
          <w:tcPr>
            <w:tcW w:type="dxa" w:w="4939"/>
            <w:vAlign w:val="top"/>
          </w:tcPr>
          <w:p>
            <w:pPr>
              <w:spacing w:after="0"/>
            </w:pPr>
            <w:r/>
            <w:r>
              <w:rPr>
                <w:rFonts w:ascii="Arial" w:hAnsi="Arial"/>
                <w:b w:val="0"/>
                <w:sz w:val="18"/>
              </w:rPr>
              <w:t>Restrict intended use and require local validation.</w:t>
            </w:r>
          </w:p>
        </w:tc>
      </w:tr>
      <w:tr>
        <w:tc>
          <w:tcPr>
            <w:tcW w:type="dxa" w:w="4939"/>
            <w:vAlign w:val="top"/>
          </w:tcPr>
          <w:p>
            <w:pPr>
              <w:spacing w:after="0"/>
            </w:pPr>
            <w:r/>
            <w:r>
              <w:rPr>
                <w:rFonts w:ascii="Arial" w:hAnsi="Arial"/>
                <w:b w:val="0"/>
                <w:sz w:val="18"/>
              </w:rPr>
              <w:t>Excessive missingness</w:t>
            </w:r>
          </w:p>
        </w:tc>
        <w:tc>
          <w:tcPr>
            <w:tcW w:type="dxa" w:w="4939"/>
            <w:vAlign w:val="top"/>
          </w:tcPr>
          <w:p>
            <w:pPr>
              <w:spacing w:after="0"/>
            </w:pPr>
            <w:r/>
            <w:r>
              <w:rPr>
                <w:rFonts w:ascii="Arial" w:hAnsi="Arial"/>
                <w:b w:val="0"/>
                <w:sz w:val="18"/>
              </w:rPr>
              <w:t>Investigate workflow and source quality; redesign features rather than hiding the problem.</w:t>
            </w:r>
          </w:p>
        </w:tc>
      </w:tr>
      <w:tr>
        <w:tc>
          <w:tcPr>
            <w:tcW w:type="dxa" w:w="4939"/>
            <w:vAlign w:val="top"/>
          </w:tcPr>
          <w:p>
            <w:pPr>
              <w:spacing w:after="0"/>
            </w:pPr>
            <w:r/>
            <w:r>
              <w:rPr>
                <w:rFonts w:ascii="Arial" w:hAnsi="Arial"/>
                <w:b w:val="0"/>
                <w:sz w:val="18"/>
              </w:rPr>
              <w:t>Privacy approval absent</w:t>
            </w:r>
          </w:p>
        </w:tc>
        <w:tc>
          <w:tcPr>
            <w:tcW w:type="dxa" w:w="4939"/>
            <w:vAlign w:val="top"/>
          </w:tcPr>
          <w:p>
            <w:pPr>
              <w:spacing w:after="0"/>
            </w:pPr>
            <w:r/>
            <w:r>
              <w:rPr>
                <w:rFonts w:ascii="Arial" w:hAnsi="Arial"/>
                <w:b w:val="0"/>
                <w:sz w:val="18"/>
              </w:rPr>
              <w:t>Do not export or process real patient data for ML development.</w:t>
            </w:r>
          </w:p>
        </w:tc>
      </w:tr>
      <w:tr>
        <w:tc>
          <w:tcPr>
            <w:tcW w:type="dxa" w:w="4939"/>
            <w:vAlign w:val="top"/>
          </w:tcPr>
          <w:p>
            <w:pPr>
              <w:spacing w:after="0"/>
            </w:pPr>
            <w:r/>
            <w:r>
              <w:rPr>
                <w:rFonts w:ascii="Arial" w:hAnsi="Arial"/>
                <w:b w:val="0"/>
                <w:sz w:val="18"/>
              </w:rPr>
              <w:t>Version mismatch with production features</w:t>
            </w:r>
          </w:p>
        </w:tc>
        <w:tc>
          <w:tcPr>
            <w:tcW w:type="dxa" w:w="4939"/>
            <w:vAlign w:val="top"/>
          </w:tcPr>
          <w:p>
            <w:pPr>
              <w:spacing w:after="0"/>
            </w:pPr>
            <w:r/>
            <w:r>
              <w:rPr>
                <w:rFonts w:ascii="Arial" w:hAnsi="Arial"/>
                <w:b w:val="0"/>
                <w:sz w:val="18"/>
              </w:rPr>
              <w:t>Block deployment or inference until compatibility is restored.</w:t>
            </w:r>
          </w:p>
        </w:tc>
      </w:tr>
    </w:tbl>
    <w:p/>
    <w:p>
      <w:pPr>
        <w:pStyle w:val="Heading1"/>
      </w:pPr>
      <w:r>
        <w:t>25.0 Verification and Test Requirements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top"/>
            <w:shd w:fill="D9EAF7"/>
          </w:tcPr>
          <w:p>
            <w:pPr>
              <w:spacing w:after="0"/>
            </w:pPr>
            <w:r/>
            <w:r>
              <w:rPr>
                <w:rFonts w:ascii="Arial" w:hAnsi="Arial"/>
                <w:b/>
                <w:sz w:val="18"/>
              </w:rPr>
              <w:t>Verification area</w:t>
            </w:r>
          </w:p>
        </w:tc>
        <w:tc>
          <w:tcPr>
            <w:tcW w:type="dxa" w:w="4939"/>
            <w:vAlign w:val="top"/>
            <w:shd w:fill="D9EAF7"/>
          </w:tcPr>
          <w:p>
            <w:pPr>
              <w:spacing w:after="0"/>
            </w:pPr>
            <w:r/>
            <w:r>
              <w:rPr>
                <w:rFonts w:ascii="Arial" w:hAnsi="Arial"/>
                <w:b/>
                <w:sz w:val="18"/>
              </w:rPr>
              <w:t>Minimum test or evidence</w:t>
            </w:r>
          </w:p>
        </w:tc>
      </w:tr>
      <w:tr>
        <w:tc>
          <w:tcPr>
            <w:tcW w:type="dxa" w:w="4939"/>
            <w:vAlign w:val="top"/>
          </w:tcPr>
          <w:p>
            <w:pPr>
              <w:spacing w:after="0"/>
            </w:pPr>
            <w:r/>
            <w:r>
              <w:rPr>
                <w:rFonts w:ascii="Arial" w:hAnsi="Arial"/>
                <w:b w:val="0"/>
                <w:sz w:val="18"/>
              </w:rPr>
              <w:t>Provenance</w:t>
            </w:r>
          </w:p>
        </w:tc>
        <w:tc>
          <w:tcPr>
            <w:tcW w:type="dxa" w:w="4939"/>
            <w:vAlign w:val="top"/>
          </w:tcPr>
          <w:p>
            <w:pPr>
              <w:spacing w:after="0"/>
            </w:pPr>
            <w:r/>
            <w:r>
              <w:rPr>
                <w:rFonts w:ascii="Arial" w:hAnsi="Arial"/>
                <w:b w:val="0"/>
                <w:sz w:val="18"/>
              </w:rPr>
              <w:t>Every released column and row can be traced to an approved source and transformation.</w:t>
            </w:r>
          </w:p>
        </w:tc>
      </w:tr>
      <w:tr>
        <w:tc>
          <w:tcPr>
            <w:tcW w:type="dxa" w:w="4939"/>
            <w:vAlign w:val="top"/>
          </w:tcPr>
          <w:p>
            <w:pPr>
              <w:spacing w:after="0"/>
            </w:pPr>
            <w:r/>
            <w:r>
              <w:rPr>
                <w:rFonts w:ascii="Arial" w:hAnsi="Arial"/>
                <w:b w:val="0"/>
                <w:sz w:val="18"/>
              </w:rPr>
              <w:t>Reproducibility</w:t>
            </w:r>
          </w:p>
        </w:tc>
        <w:tc>
          <w:tcPr>
            <w:tcW w:type="dxa" w:w="4939"/>
            <w:vAlign w:val="top"/>
          </w:tcPr>
          <w:p>
            <w:pPr>
              <w:spacing w:after="0"/>
            </w:pPr>
            <w:r/>
            <w:r>
              <w:rPr>
                <w:rFonts w:ascii="Arial" w:hAnsi="Arial"/>
                <w:b w:val="0"/>
                <w:sz w:val="18"/>
              </w:rPr>
              <w:t>A clean environment can regenerate the curated package and hashes from the source snapshot.</w:t>
            </w:r>
          </w:p>
        </w:tc>
      </w:tr>
      <w:tr>
        <w:tc>
          <w:tcPr>
            <w:tcW w:type="dxa" w:w="4939"/>
            <w:vAlign w:val="top"/>
          </w:tcPr>
          <w:p>
            <w:pPr>
              <w:spacing w:after="0"/>
            </w:pPr>
            <w:r/>
            <w:r>
              <w:rPr>
                <w:rFonts w:ascii="Arial" w:hAnsi="Arial"/>
                <w:b w:val="0"/>
                <w:sz w:val="18"/>
              </w:rPr>
              <w:t>Identity grouping</w:t>
            </w:r>
          </w:p>
        </w:tc>
        <w:tc>
          <w:tcPr>
            <w:tcW w:type="dxa" w:w="4939"/>
            <w:vAlign w:val="top"/>
          </w:tcPr>
          <w:p>
            <w:pPr>
              <w:spacing w:after="0"/>
            </w:pPr>
            <w:r/>
            <w:r>
              <w:rPr>
                <w:rFonts w:ascii="Arial" w:hAnsi="Arial"/>
                <w:b w:val="0"/>
                <w:sz w:val="18"/>
              </w:rPr>
              <w:t>Automated test confirms no patient or pregnancy crosses prohibited partitions.</w:t>
            </w:r>
          </w:p>
        </w:tc>
      </w:tr>
      <w:tr>
        <w:tc>
          <w:tcPr>
            <w:tcW w:type="dxa" w:w="4939"/>
            <w:vAlign w:val="top"/>
          </w:tcPr>
          <w:p>
            <w:pPr>
              <w:spacing w:after="0"/>
            </w:pPr>
            <w:r/>
            <w:r>
              <w:rPr>
                <w:rFonts w:ascii="Arial" w:hAnsi="Arial"/>
                <w:b w:val="0"/>
                <w:sz w:val="18"/>
              </w:rPr>
              <w:t>Temporal integrity</w:t>
            </w:r>
          </w:p>
        </w:tc>
        <w:tc>
          <w:tcPr>
            <w:tcW w:type="dxa" w:w="4939"/>
            <w:vAlign w:val="top"/>
          </w:tcPr>
          <w:p>
            <w:pPr>
              <w:spacing w:after="0"/>
            </w:pPr>
            <w:r/>
            <w:r>
              <w:rPr>
                <w:rFonts w:ascii="Arial" w:hAnsi="Arial"/>
                <w:b w:val="0"/>
                <w:sz w:val="18"/>
              </w:rPr>
              <w:t>Future records and post-assessment corrections are excluded from features.</w:t>
            </w:r>
          </w:p>
        </w:tc>
      </w:tr>
      <w:tr>
        <w:tc>
          <w:tcPr>
            <w:tcW w:type="dxa" w:w="4939"/>
            <w:vAlign w:val="top"/>
          </w:tcPr>
          <w:p>
            <w:pPr>
              <w:spacing w:after="0"/>
            </w:pPr>
            <w:r/>
            <w:r>
              <w:rPr>
                <w:rFonts w:ascii="Arial" w:hAnsi="Arial"/>
                <w:b w:val="0"/>
                <w:sz w:val="18"/>
              </w:rPr>
              <w:t>Label integrity</w:t>
            </w:r>
          </w:p>
        </w:tc>
        <w:tc>
          <w:tcPr>
            <w:tcW w:type="dxa" w:w="4939"/>
            <w:vAlign w:val="top"/>
          </w:tcPr>
          <w:p>
            <w:pPr>
              <w:spacing w:after="0"/>
            </w:pPr>
            <w:r/>
            <w:r>
              <w:rPr>
                <w:rFonts w:ascii="Arial" w:hAnsi="Arial"/>
                <w:b w:val="0"/>
                <w:sz w:val="18"/>
              </w:rPr>
              <w:t>Sampled labels match source evidence and approved protocol; unknown cases are not forced to LOW.</w:t>
            </w:r>
          </w:p>
        </w:tc>
      </w:tr>
      <w:tr>
        <w:tc>
          <w:tcPr>
            <w:tcW w:type="dxa" w:w="4939"/>
            <w:vAlign w:val="top"/>
          </w:tcPr>
          <w:p>
            <w:pPr>
              <w:spacing w:after="0"/>
            </w:pPr>
            <w:r/>
            <w:r>
              <w:rPr>
                <w:rFonts w:ascii="Arial" w:hAnsi="Arial"/>
                <w:b w:val="0"/>
                <w:sz w:val="18"/>
              </w:rPr>
              <w:t>Quality rules</w:t>
            </w:r>
          </w:p>
        </w:tc>
        <w:tc>
          <w:tcPr>
            <w:tcW w:type="dxa" w:w="4939"/>
            <w:vAlign w:val="top"/>
          </w:tcPr>
          <w:p>
            <w:pPr>
              <w:spacing w:after="0"/>
            </w:pPr>
            <w:r/>
            <w:r>
              <w:rPr>
                <w:rFonts w:ascii="Arial" w:hAnsi="Arial"/>
                <w:b w:val="0"/>
                <w:sz w:val="18"/>
              </w:rPr>
              <w:t>Boundary, unit, category, contradiction, and missing-state tests pass.</w:t>
            </w:r>
          </w:p>
        </w:tc>
      </w:tr>
      <w:tr>
        <w:tc>
          <w:tcPr>
            <w:tcW w:type="dxa" w:w="4939"/>
            <w:vAlign w:val="top"/>
          </w:tcPr>
          <w:p>
            <w:pPr>
              <w:spacing w:after="0"/>
            </w:pPr>
            <w:r/>
            <w:r>
              <w:rPr>
                <w:rFonts w:ascii="Arial" w:hAnsi="Arial"/>
                <w:b w:val="0"/>
                <w:sz w:val="18"/>
              </w:rPr>
              <w:t>Privacy</w:t>
            </w:r>
          </w:p>
        </w:tc>
        <w:tc>
          <w:tcPr>
            <w:tcW w:type="dxa" w:w="4939"/>
            <w:vAlign w:val="top"/>
          </w:tcPr>
          <w:p>
            <w:pPr>
              <w:spacing w:after="0"/>
            </w:pPr>
            <w:r/>
            <w:r>
              <w:rPr>
                <w:rFonts w:ascii="Arial" w:hAnsi="Arial"/>
                <w:b w:val="0"/>
                <w:sz w:val="18"/>
              </w:rPr>
              <w:t>Direct identifiers are absent and access/retention controls are documented.</w:t>
            </w:r>
          </w:p>
        </w:tc>
      </w:tr>
      <w:tr>
        <w:tc>
          <w:tcPr>
            <w:tcW w:type="dxa" w:w="4939"/>
            <w:vAlign w:val="top"/>
          </w:tcPr>
          <w:p>
            <w:pPr>
              <w:spacing w:after="0"/>
            </w:pPr>
            <w:r/>
            <w:r>
              <w:rPr>
                <w:rFonts w:ascii="Arial" w:hAnsi="Arial"/>
                <w:b w:val="0"/>
                <w:sz w:val="18"/>
              </w:rPr>
              <w:t>Representativeness</w:t>
            </w:r>
          </w:p>
        </w:tc>
        <w:tc>
          <w:tcPr>
            <w:tcW w:type="dxa" w:w="4939"/>
            <w:vAlign w:val="top"/>
          </w:tcPr>
          <w:p>
            <w:pPr>
              <w:spacing w:after="0"/>
            </w:pPr>
            <w:r/>
            <w:r>
              <w:rPr>
                <w:rFonts w:ascii="Arial" w:hAnsi="Arial"/>
                <w:b w:val="0"/>
                <w:sz w:val="18"/>
              </w:rPr>
              <w:t>Population and subgroup distributions and limitations are reported.</w:t>
            </w:r>
          </w:p>
        </w:tc>
      </w:tr>
      <w:tr>
        <w:tc>
          <w:tcPr>
            <w:tcW w:type="dxa" w:w="4939"/>
            <w:vAlign w:val="top"/>
          </w:tcPr>
          <w:p>
            <w:pPr>
              <w:spacing w:after="0"/>
            </w:pPr>
            <w:r/>
            <w:r>
              <w:rPr>
                <w:rFonts w:ascii="Arial" w:hAnsi="Arial"/>
                <w:b w:val="0"/>
                <w:sz w:val="18"/>
              </w:rPr>
              <w:t>Test independence</w:t>
            </w:r>
          </w:p>
        </w:tc>
        <w:tc>
          <w:tcPr>
            <w:tcW w:type="dxa" w:w="4939"/>
            <w:vAlign w:val="top"/>
          </w:tcPr>
          <w:p>
            <w:pPr>
              <w:spacing w:after="0"/>
            </w:pPr>
            <w:r/>
            <w:r>
              <w:rPr>
                <w:rFonts w:ascii="Arial" w:hAnsi="Arial"/>
                <w:b w:val="0"/>
                <w:sz w:val="18"/>
              </w:rPr>
              <w:t>Test data access and use are logged and development decisions are frozen before final evaluation.</w:t>
            </w:r>
          </w:p>
        </w:tc>
      </w:tr>
      <w:tr>
        <w:tc>
          <w:tcPr>
            <w:tcW w:type="dxa" w:w="4939"/>
            <w:vAlign w:val="top"/>
          </w:tcPr>
          <w:p>
            <w:pPr>
              <w:spacing w:after="0"/>
            </w:pPr>
            <w:r/>
            <w:r>
              <w:rPr>
                <w:rFonts w:ascii="Arial" w:hAnsi="Arial"/>
                <w:b w:val="0"/>
                <w:sz w:val="18"/>
              </w:rPr>
              <w:t>Compatibility</w:t>
            </w:r>
          </w:p>
        </w:tc>
        <w:tc>
          <w:tcPr>
            <w:tcW w:type="dxa" w:w="4939"/>
            <w:vAlign w:val="top"/>
          </w:tcPr>
          <w:p>
            <w:pPr>
              <w:spacing w:after="0"/>
            </w:pPr>
            <w:r/>
            <w:r>
              <w:rPr>
                <w:rFonts w:ascii="Arial" w:hAnsi="Arial"/>
                <w:b w:val="0"/>
                <w:sz w:val="18"/>
              </w:rPr>
              <w:t>Feature schema and dataset version match the model-development pipeline.</w:t>
            </w:r>
          </w:p>
        </w:tc>
      </w:tr>
    </w:tbl>
    <w:p/>
    <w:p>
      <w:pPr>
        <w:pStyle w:val="Heading1"/>
      </w:pPr>
      <w:r>
        <w:t>26.0 Part 2 Acceptance Criteria</w:t>
      </w:r>
    </w:p>
    <w:p>
      <w:pPr>
        <w:pStyle w:val="ListBullet"/>
      </w:pPr>
      <w:r>
        <w:t>The actual dataset source and permission basis are documented or explicitly identified as unresolved.</w:t>
      </w:r>
    </w:p>
    <w:p>
      <w:pPr>
        <w:pStyle w:val="ListBullet"/>
      </w:pPr>
      <w:r>
        <w:t>The intended population, setting, unit of observation, and prediction time are defined.</w:t>
      </w:r>
    </w:p>
    <w:p>
      <w:pPr>
        <w:pStyle w:val="ListBullet"/>
      </w:pPr>
      <w:r>
        <w:t>Patient, pregnancy, temporal, preprocessing, duplicate, and label leakage controls are specified.</w:t>
      </w:r>
    </w:p>
    <w:p>
      <w:pPr>
        <w:pStyle w:val="ListBullet"/>
      </w:pPr>
      <w:r>
        <w:t>A versioned data dictionary and label dictionary exist.</w:t>
      </w:r>
    </w:p>
    <w:p>
      <w:pPr>
        <w:pStyle w:val="ListBullet"/>
      </w:pPr>
      <w:r>
        <w:t>Inclusion, exclusion, missing-data, outlier, contradiction, and duplicate rules are documented.</w:t>
      </w:r>
    </w:p>
    <w:p>
      <w:pPr>
        <w:pStyle w:val="ListBullet"/>
      </w:pPr>
      <w:r>
        <w:t>Training, tuning, and locked test partitions are independently defined.</w:t>
      </w:r>
    </w:p>
    <w:p>
      <w:pPr>
        <w:pStyle w:val="ListBullet"/>
      </w:pPr>
      <w:r>
        <w:t>Population composition, class balance, subgroup coverage, and limitations are reported.</w:t>
      </w:r>
    </w:p>
    <w:p>
      <w:pPr>
        <w:pStyle w:val="ListBullet"/>
      </w:pPr>
      <w:r>
        <w:t>Privacy, de-identification, access, retention, and incident controls are defined for sensitive health data.</w:t>
      </w:r>
    </w:p>
    <w:p>
      <w:pPr>
        <w:pStyle w:val="ListBullet"/>
      </w:pPr>
      <w:r>
        <w:t>The dataset release is immutable, reproducible, hashed, reviewed, and linked to model versions.</w:t>
      </w:r>
    </w:p>
    <w:p>
      <w:pPr>
        <w:pStyle w:val="ListBullet"/>
      </w:pPr>
      <w:r>
        <w:t>No unsupported claim of Philippine-wide representativeness, clinical effectiveness, or regulatory approval is made.</w:t>
      </w:r>
    </w:p>
    <w:p>
      <w:pPr>
        <w:pStyle w:val="Heading1"/>
      </w:pPr>
      <w:r>
        <w:t>27.0 Required Project Evidence Before Part 2 Is Finalized</w:t>
      </w:r>
    </w:p>
    <w:p>
      <w:r>
        <w:t>This architecture can be approved as a design specification now, but the following project-specific evidence is still required before the dataset chapter becomes a factual account of the implemented model:</w:t>
      </w:r>
    </w:p>
    <w:p>
      <w:pPr>
        <w:pStyle w:val="ListBullet"/>
      </w:pPr>
      <w:r>
        <w:t>The exact file, database, repository, or public source used to train the existing Random Forest model.</w:t>
      </w:r>
    </w:p>
    <w:p>
      <w:pPr>
        <w:pStyle w:val="ListBullet"/>
      </w:pPr>
      <w:r>
        <w:t>The original dataset citation, license or permission, collection setting, and collection period.</w:t>
      </w:r>
    </w:p>
    <w:p>
      <w:pPr>
        <w:pStyle w:val="ListBullet"/>
      </w:pPr>
      <w:r>
        <w:t>The full column list and the exact columns currently passed to Python.</w:t>
      </w:r>
    </w:p>
    <w:p>
      <w:pPr>
        <w:pStyle w:val="ListBullet"/>
      </w:pPr>
      <w:r>
        <w:t>The current definition and origin of HIGH and LOW labels.</w:t>
      </w:r>
    </w:p>
    <w:p>
      <w:pPr>
        <w:pStyle w:val="ListBullet"/>
      </w:pPr>
      <w:r>
        <w:t>The number of unique patients, pregnancies, and rows before and after cleaning.</w:t>
      </w:r>
    </w:p>
    <w:p>
      <w:pPr>
        <w:pStyle w:val="ListBullet"/>
      </w:pPr>
      <w:r>
        <w:t>The current train/test or train/validation/test split method and random seed.</w:t>
      </w:r>
    </w:p>
    <w:p>
      <w:pPr>
        <w:pStyle w:val="ListBullet"/>
      </w:pPr>
      <w:r>
        <w:t>Any imputation, encoding, scaling, balancing, or resampling already performed.</w:t>
      </w:r>
    </w:p>
    <w:p>
      <w:pPr>
        <w:pStyle w:val="ListBullet"/>
      </w:pPr>
      <w:r>
        <w:t>The observed label distribution and any known duplicates or missing values.</w:t>
      </w:r>
    </w:p>
    <w:p>
      <w:pPr>
        <w:pStyle w:val="ListBullet"/>
      </w:pPr>
      <w:r>
        <w:t>The current training script, model artifact, preprocessing artifact, and evaluation output.</w:t>
      </w:r>
    </w:p>
    <w:p>
      <w:r>
        <w:t>Until these items are verified, the document intentionally distinguishes required architecture from confirmed implementation. This protects the manuscript from making claims that the source code or dataset cannot support.</w:t>
      </w:r>
    </w:p>
    <w:p>
      <w:pPr>
        <w:pStyle w:val="Heading1"/>
      </w:pPr>
      <w:r>
        <w:t>28.0 Transition to Part 3</w:t>
      </w:r>
    </w:p>
    <w:p>
      <w:r>
        <w:t>Part 3 will define the Feature Engineering and Preprocessing Architecture. It will convert the approved data dictionary into an exact model input schema, including feature timing, categorical encoding, missing-value representation, derived variables, unit normalization, preprocessing fit boundaries, leakage tests, and compatibility between training and production inference. Part 3 cannot be finalized correctly until the actual current dataset columns and Python input order are inspected.</w:t>
      </w:r>
    </w:p>
    <w:p>
      <w:pPr>
        <w:pStyle w:val="Heading1"/>
      </w:pPr>
      <w:r>
        <w:t>References</w:t>
      </w:r>
    </w:p>
    <w:p>
      <w:pPr>
        <w:pStyle w:val="ListNumber"/>
      </w:pPr>
      <w:r>
        <w:t>World Health Organization. Ethics and governance of artificial intelligence for health: WHO guidance. Geneva: WHO; 2021. ISBN 978-92-4-002920-0.</w:t>
      </w:r>
    </w:p>
    <w:p>
      <w:pPr>
        <w:pStyle w:val="ListNumber"/>
      </w:pPr>
      <w:r>
        <w:t>World Health Organization. Regulatory considerations on artificial intelligence for health. Geneva: WHO; 2023. ISBN 978-92-4-007887-1.</w:t>
      </w:r>
    </w:p>
    <w:p>
      <w:pPr>
        <w:pStyle w:val="ListNumber"/>
      </w:pPr>
      <w:r>
        <w:t>World Health Organization Regional Office for Europe. Health data governance in the age of artificial intelligence: policy imperatives for the WHO European Region. 2025.</w:t>
      </w:r>
    </w:p>
    <w:p>
      <w:pPr>
        <w:pStyle w:val="ListNumber"/>
      </w:pPr>
      <w:r>
        <w:t>International Medical Device Regulators Forum. Good Machine Learning Practice for Medical Device Development: Guiding Principles. Final document; January 2025.</w:t>
      </w:r>
    </w:p>
    <w:p>
      <w:pPr>
        <w:pStyle w:val="ListNumber"/>
      </w:pPr>
      <w:r>
        <w:t>U.S. Food and Drug Administration. Good Machine Learning Practice for Medical Device Development: Guiding Principles. FDA web resource.</w:t>
      </w:r>
    </w:p>
    <w:p>
      <w:pPr>
        <w:pStyle w:val="ListNumber"/>
      </w:pPr>
      <w:r>
        <w:t>U.S. Food and Drug Administration. Digital Health and Artificial Intelligence Glossary - Training Data, Tuning Data, and Test Data. Educational resource.</w:t>
      </w:r>
    </w:p>
    <w:p>
      <w:pPr>
        <w:pStyle w:val="ListNumber"/>
      </w:pPr>
      <w:r>
        <w:t>U.S. Food and Drug Administration, Health Canada, and Medicines and Healthcare products Regulatory Agency. Transparency for Machine Learning-Enabled Medical Devices: Guiding Principles. 2024.</w:t>
      </w:r>
    </w:p>
    <w:p>
      <w:pPr>
        <w:pStyle w:val="ListNumber"/>
      </w:pPr>
      <w:r>
        <w:t>National Institute of Standards and Technology. Artificial Intelligence Risk Management Framework (AI RMF 1.0). NIST AI 100-1; 2023, with AI RMF Playbook and AI Resource Center materials.</w:t>
      </w:r>
    </w:p>
    <w:p>
      <w:pPr>
        <w:pStyle w:val="ListNumber"/>
      </w:pPr>
      <w:r>
        <w:t>Republic of the Philippines. Republic Act No. 10173, Data Privacy Act of 2012.</w:t>
      </w:r>
    </w:p>
    <w:p>
      <w:pPr>
        <w:pStyle w:val="ListNumber"/>
      </w:pPr>
      <w:r>
        <w:t>National Privacy Commission. Implementing Rules and Regulations of Republic Act No. 10173.</w:t>
      </w:r>
    </w:p>
    <w:p>
      <w:pPr>
        <w:pStyle w:val="ListNumber"/>
      </w:pPr>
      <w:r>
        <w:t>Project Document 0. Clinical Data Inventory and Scope Analysis.</w:t>
      </w:r>
    </w:p>
    <w:p>
      <w:pPr>
        <w:pStyle w:val="ListNumber"/>
      </w:pPr>
      <w:r>
        <w:t>Project Document 1. Clinical Knowledge Base Specification.</w:t>
      </w:r>
    </w:p>
    <w:p>
      <w:pPr>
        <w:pStyle w:val="ListNumber"/>
      </w:pPr>
      <w:r>
        <w:t>Project Document 2. Clinical Decision Support Decision Engine Specification, Parts 1-12.</w:t>
      </w:r>
    </w:p>
    <w:p>
      <w:pPr>
        <w:pStyle w:val="ListNumber"/>
      </w:pPr>
      <w:r>
        <w:t>Project Document 3, Part 1. Machine Learning Philosophy and Architecture.</w:t>
      </w:r>
    </w:p>
    <w:p>
      <w:pPr>
        <w:pStyle w:val="Heading1"/>
      </w:pPr>
      <w:r>
        <w:t>Research Interpretation Note</w:t>
      </w:r>
    </w:p>
    <w:p>
      <w:r>
        <w:t>The WHO, IMDRF, FDA, NIST, and Philippine privacy materials are used as recognized design references for responsible data governance, quality, representativeness, independence, transparency, and lifecycle control. Their use does not establish that this capstone is a regulated medical device, clinically validated, approved by an ethics board, compliant by default, or authorized for real-world clinical deployment. Project-specific legal, institutional, clinical, and technical review remains necessary.</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Document 3 - Part 2 | Dataset Architecture and Governance | </w:t>
    </w:r>
    <w:r>
      <w:rPr>
        <w:rFonts w:ascii="Arial" w:hAnsi="Arial"/>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