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30"/>
        </w:rPr>
        <w:t>DOCUMENT 3</w:t>
      </w:r>
    </w:p>
    <w:p>
      <w:pPr>
        <w:jc w:val="center"/>
      </w:pPr>
      <w:r>
        <w:rPr>
          <w:b/>
          <w:color w:val="7F8C8D"/>
          <w:sz w:val="26"/>
        </w:rPr>
        <w:t>PART 6</w:t>
      </w:r>
    </w:p>
    <w:p>
      <w:pPr>
        <w:spacing w:before="480"/>
        <w:jc w:val="center"/>
      </w:pPr>
      <w:r>
        <w:rPr>
          <w:b/>
          <w:color w:val="17365D"/>
          <w:sz w:val="50"/>
        </w:rPr>
        <w:t>Model Evaluation Architecture</w:t>
      </w:r>
    </w:p>
    <w:p>
      <w:pPr>
        <w:jc w:val="center"/>
      </w:pPr>
      <w:r>
        <w:rPr>
          <w:i/>
          <w:color w:val="44546A"/>
          <w:sz w:val="24"/>
        </w:rPr>
        <w:t>Clinical performance assessment, uncertainty, error analysis, subgroup review, and evidence acceptance</w:t>
      </w:r>
    </w:p>
    <w:p/>
    <w:p/>
    <w:tbl>
      <w:tblPr>
        <w:tblStyle w:val="TableGrid"/>
        <w:tblW w:type="auto" w:w="0"/>
        <w:jc w:val="center"/>
        <w:tblLook w:firstColumn="1" w:firstRow="1" w:lastColumn="0" w:lastRow="0" w:noHBand="0" w:noVBand="1" w:val="04A0"/>
      </w:tblPr>
      <w:tblGrid>
        <w:gridCol w:w="4939"/>
        <w:gridCol w:w="4939"/>
      </w:tblGrid>
      <w:tr>
        <w:tc>
          <w:tcPr>
            <w:tcW w:type="dxa" w:w="4939"/>
            <w:shd w:fill="D9EAF7"/>
            <w:tcMar>
              <w:top w:w="60" w:type="dxa"/>
              <w:start w:w="75" w:type="dxa"/>
              <w:bottom w:w="60" w:type="dxa"/>
              <w:end w:w="75" w:type="dxa"/>
            </w:tcMar>
            <w:vAlign w:val="center"/>
          </w:tcPr>
          <w:p>
            <w:r>
              <w:rPr>
                <w:b/>
              </w:rPr>
              <w:t>System</w:t>
            </w:r>
          </w:p>
        </w:tc>
        <w:tc>
          <w:tcPr>
            <w:tcW w:type="dxa" w:w="4939"/>
            <w:tcMar>
              <w:top w:w="60" w:type="dxa"/>
              <w:start w:w="75" w:type="dxa"/>
              <w:bottom w:w="60" w:type="dxa"/>
              <w:end w:w="75" w:type="dxa"/>
            </w:tcMar>
            <w:vAlign w:val="center"/>
          </w:tcPr>
          <w:p>
            <w:r>
              <w:t>Explainable Clinical Decision Support System for a Web-Based Maternity Management System</w:t>
            </w:r>
          </w:p>
        </w:tc>
      </w:tr>
      <w:tr>
        <w:tc>
          <w:tcPr>
            <w:tcW w:type="dxa" w:w="4939"/>
            <w:shd w:fill="D9EAF7"/>
            <w:tcMar>
              <w:top w:w="60" w:type="dxa"/>
              <w:start w:w="75" w:type="dxa"/>
              <w:bottom w:w="60" w:type="dxa"/>
              <w:end w:w="75" w:type="dxa"/>
            </w:tcMar>
            <w:vAlign w:val="center"/>
          </w:tcPr>
          <w:p>
            <w:r>
              <w:rPr>
                <w:b/>
              </w:rPr>
              <w:t>Clinical setting</w:t>
            </w:r>
          </w:p>
        </w:tc>
        <w:tc>
          <w:tcPr>
            <w:tcW w:type="dxa" w:w="4939"/>
            <w:tcMar>
              <w:top w:w="60" w:type="dxa"/>
              <w:start w:w="75" w:type="dxa"/>
              <w:bottom w:w="60" w:type="dxa"/>
              <w:end w:w="75" w:type="dxa"/>
            </w:tcMar>
            <w:vAlign w:val="center"/>
          </w:tcPr>
          <w:p>
            <w:r>
              <w:t>Philippine lying-in clinic / maternity clinic</w:t>
            </w:r>
          </w:p>
        </w:tc>
      </w:tr>
      <w:tr>
        <w:tc>
          <w:tcPr>
            <w:tcW w:type="dxa" w:w="4939"/>
            <w:shd w:fill="D9EAF7"/>
            <w:tcMar>
              <w:top w:w="60" w:type="dxa"/>
              <w:start w:w="75" w:type="dxa"/>
              <w:bottom w:w="60" w:type="dxa"/>
              <w:end w:w="75" w:type="dxa"/>
            </w:tcMar>
            <w:vAlign w:val="center"/>
          </w:tcPr>
          <w:p>
            <w:r>
              <w:rPr>
                <w:b/>
              </w:rPr>
              <w:t>Technology scope</w:t>
            </w:r>
          </w:p>
        </w:tc>
        <w:tc>
          <w:tcPr>
            <w:tcW w:type="dxa" w:w="4939"/>
            <w:tcMar>
              <w:top w:w="60" w:type="dxa"/>
              <w:start w:w="75" w:type="dxa"/>
              <w:bottom w:w="60" w:type="dxa"/>
              <w:end w:w="75" w:type="dxa"/>
            </w:tcMar>
            <w:vAlign w:val="center"/>
          </w:tcPr>
          <w:p>
            <w:r>
              <w:t>Laravel, Python, Random Forest, deterministic clinical rules</w:t>
            </w:r>
          </w:p>
        </w:tc>
      </w:tr>
      <w:tr>
        <w:tc>
          <w:tcPr>
            <w:tcW w:type="dxa" w:w="4939"/>
            <w:shd w:fill="D9EAF7"/>
            <w:tcMar>
              <w:top w:w="60" w:type="dxa"/>
              <w:start w:w="75" w:type="dxa"/>
              <w:bottom w:w="60" w:type="dxa"/>
              <w:end w:w="75" w:type="dxa"/>
            </w:tcMar>
            <w:vAlign w:val="center"/>
          </w:tcPr>
          <w:p>
            <w:r>
              <w:rPr>
                <w:b/>
              </w:rPr>
              <w:t>Document status</w:t>
            </w:r>
          </w:p>
        </w:tc>
        <w:tc>
          <w:tcPr>
            <w:tcW w:type="dxa" w:w="4939"/>
            <w:tcMar>
              <w:top w:w="60" w:type="dxa"/>
              <w:start w:w="75" w:type="dxa"/>
              <w:bottom w:w="60" w:type="dxa"/>
              <w:end w:w="75" w:type="dxa"/>
            </w:tcMar>
            <w:vAlign w:val="center"/>
          </w:tcPr>
          <w:p>
            <w:r>
              <w:t>Research and architecture specification; implementation evidence must be verified</w:t>
            </w:r>
          </w:p>
        </w:tc>
      </w:tr>
      <w:tr>
        <w:tc>
          <w:tcPr>
            <w:tcW w:type="dxa" w:w="4939"/>
            <w:shd w:fill="D9EAF7"/>
            <w:tcMar>
              <w:top w:w="60" w:type="dxa"/>
              <w:start w:w="75" w:type="dxa"/>
              <w:bottom w:w="60" w:type="dxa"/>
              <w:end w:w="75" w:type="dxa"/>
            </w:tcMar>
            <w:vAlign w:val="center"/>
          </w:tcPr>
          <w:p>
            <w:r>
              <w:rPr>
                <w:b/>
              </w:rPr>
              <w:t>Safety boundary</w:t>
            </w:r>
          </w:p>
        </w:tc>
        <w:tc>
          <w:tcPr>
            <w:tcW w:type="dxa" w:w="4939"/>
            <w:tcMar>
              <w:top w:w="60" w:type="dxa"/>
              <w:start w:w="75" w:type="dxa"/>
              <w:bottom w:w="60" w:type="dxa"/>
              <w:end w:w="75" w:type="dxa"/>
            </w:tcMar>
            <w:vAlign w:val="center"/>
          </w:tcPr>
          <w:p>
            <w:r>
              <w:t>Advisory support only; not autonomous diagnosis or treatment</w:t>
            </w:r>
          </w:p>
        </w:tc>
      </w:tr>
    </w:tbl>
    <w:p/>
    <w:p>
      <w:pPr>
        <w:pStyle w:val="SafetyNote"/>
        <w:jc w:val="center"/>
      </w:pPr>
      <w:r>
        <w:t>Prepared as a design-control and research specification. Any claim of measured performance, clinical validation, explanation quality, or deployed behavior must be supported by reproducible project evidence before submission or presentation.</w:t>
      </w:r>
    </w:p>
    <w:p>
      <w:r>
        <w:br w:type="page"/>
      </w:r>
    </w:p>
    <w:p>
      <w:pPr>
        <w:pStyle w:val="Heading1"/>
      </w:pPr>
      <w:r>
        <w:t>Clinical Safety Statement</w:t>
      </w:r>
    </w:p>
    <w:p>
      <w:r>
        <w:t>Evaluation determines whether the Random Forest is suitable for its narrowly defined advisory role; it does not establish that the system can diagnose disease or guarantee a safe outcome. A favorable aggregate metric must never cancel deterministic HIGH-risk rules, emergency findings, incomplete records, or human judgment.</w:t>
      </w:r>
    </w:p>
    <w:p>
      <w:r>
        <w:t>No evaluation result should be presented as final until it is reproduced from the actual frozen test set, deployed preprocessing pipeline, selected model artifact, and documented class definitions.</w:t>
      </w:r>
    </w:p>
    <w:p>
      <w:pPr>
        <w:pStyle w:val="Heading1"/>
      </w:pPr>
      <w:r>
        <w:t>1. Executive Evaluation Decision</w:t>
      </w:r>
    </w:p>
    <w:p>
      <w:r>
        <w:t>The model shall be evaluated on an independent patient-level test set using a predeclared set of class-specific, threshold-dependent, ranking, calibration, and subgroup measures. The evaluation must emphasize false LOW predictions, because false reassurance can be more harmful than an unnecessary HIGH signal in a referral-oriented lying-in clinic. Accuracy alone is insufficient.</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Pr>
          <w:p>
            <w:r>
              <w:rPr>
                <w:b/>
                <w:color w:val="FFFFFF"/>
                <w:sz w:val="17"/>
              </w:rPr>
              <w:t>Evaluation element</w:t>
            </w:r>
          </w:p>
        </w:tc>
        <w:tc>
          <w:tcPr>
            <w:tcW w:type="dxa" w:w="3293"/>
            <w:shd w:fill="1F4E78"/>
          </w:tcPr>
          <w:p>
            <w:r>
              <w:rPr>
                <w:b/>
                <w:color w:val="FFFFFF"/>
                <w:sz w:val="17"/>
              </w:rPr>
              <w:t>Architecture requirement</w:t>
            </w:r>
          </w:p>
        </w:tc>
        <w:tc>
          <w:tcPr>
            <w:tcW w:type="dxa" w:w="3293"/>
            <w:shd w:fill="1F4E78"/>
          </w:tcPr>
          <w:p>
            <w:r>
              <w:rPr>
                <w:b/>
                <w:color w:val="FFFFFF"/>
                <w:sz w:val="17"/>
              </w:rPr>
              <w:t>Reason</w:t>
            </w:r>
          </w:p>
        </w:tc>
      </w:tr>
      <w:tr>
        <w:tc>
          <w:tcPr>
            <w:tcW w:type="dxa" w:w="3293"/>
            <w:tcMar>
              <w:top w:w="60" w:type="dxa"/>
              <w:start w:w="75" w:type="dxa"/>
              <w:bottom w:w="60" w:type="dxa"/>
              <w:end w:w="75" w:type="dxa"/>
            </w:tcMar>
            <w:vAlign w:val="center"/>
          </w:tcPr>
          <w:p>
            <w:r>
              <w:rPr>
                <w:sz w:val="16"/>
              </w:rPr>
              <w:t>Primary safety emphasis</w:t>
            </w:r>
          </w:p>
        </w:tc>
        <w:tc>
          <w:tcPr>
            <w:tcW w:type="dxa" w:w="3293"/>
            <w:tcMar>
              <w:top w:w="60" w:type="dxa"/>
              <w:start w:w="75" w:type="dxa"/>
              <w:bottom w:w="60" w:type="dxa"/>
              <w:end w:w="75" w:type="dxa"/>
            </w:tcMar>
            <w:vAlign w:val="center"/>
          </w:tcPr>
          <w:p>
            <w:r>
              <w:rPr>
                <w:sz w:val="16"/>
              </w:rPr>
              <w:t>HIGH-class sensitivity and false-LOW review</w:t>
            </w:r>
          </w:p>
        </w:tc>
        <w:tc>
          <w:tcPr>
            <w:tcW w:type="dxa" w:w="3293"/>
            <w:tcMar>
              <w:top w:w="60" w:type="dxa"/>
              <w:start w:w="75" w:type="dxa"/>
              <w:bottom w:w="60" w:type="dxa"/>
              <w:end w:w="75" w:type="dxa"/>
            </w:tcMar>
            <w:vAlign w:val="center"/>
          </w:tcPr>
          <w:p>
            <w:r>
              <w:rPr>
                <w:sz w:val="16"/>
              </w:rPr>
              <w:t>Directly examines missed labeled HIGH records.</w:t>
            </w:r>
          </w:p>
        </w:tc>
      </w:tr>
      <w:tr>
        <w:tc>
          <w:tcPr>
            <w:tcW w:type="dxa" w:w="3293"/>
            <w:tcMar>
              <w:top w:w="60" w:type="dxa"/>
              <w:start w:w="75" w:type="dxa"/>
              <w:bottom w:w="60" w:type="dxa"/>
              <w:end w:w="75" w:type="dxa"/>
            </w:tcMar>
            <w:vAlign w:val="center"/>
            <w:shd w:fill="F3F6F9"/>
          </w:tcPr>
          <w:p>
            <w:r>
              <w:rPr>
                <w:sz w:val="16"/>
              </w:rPr>
              <w:t>Specificity and precision</w:t>
            </w:r>
          </w:p>
        </w:tc>
        <w:tc>
          <w:tcPr>
            <w:tcW w:type="dxa" w:w="3293"/>
            <w:tcMar>
              <w:top w:w="60" w:type="dxa"/>
              <w:start w:w="75" w:type="dxa"/>
              <w:bottom w:w="60" w:type="dxa"/>
              <w:end w:w="75" w:type="dxa"/>
            </w:tcMar>
            <w:vAlign w:val="center"/>
            <w:shd w:fill="F3F6F9"/>
          </w:tcPr>
          <w:p>
            <w:r>
              <w:rPr>
                <w:sz w:val="16"/>
              </w:rPr>
              <w:t>Reported alongside sensitivity</w:t>
            </w:r>
          </w:p>
        </w:tc>
        <w:tc>
          <w:tcPr>
            <w:tcW w:type="dxa" w:w="3293"/>
            <w:tcMar>
              <w:top w:w="60" w:type="dxa"/>
              <w:start w:w="75" w:type="dxa"/>
              <w:bottom w:w="60" w:type="dxa"/>
              <w:end w:w="75" w:type="dxa"/>
            </w:tcMar>
            <w:vAlign w:val="center"/>
            <w:shd w:fill="F3F6F9"/>
          </w:tcPr>
          <w:p>
            <w:r>
              <w:rPr>
                <w:sz w:val="16"/>
              </w:rPr>
              <w:t>Quantifies unnecessary HIGH signals and referral burden.</w:t>
            </w:r>
          </w:p>
        </w:tc>
      </w:tr>
      <w:tr>
        <w:tc>
          <w:tcPr>
            <w:tcW w:type="dxa" w:w="3293"/>
            <w:tcMar>
              <w:top w:w="60" w:type="dxa"/>
              <w:start w:w="75" w:type="dxa"/>
              <w:bottom w:w="60" w:type="dxa"/>
              <w:end w:w="75" w:type="dxa"/>
            </w:tcMar>
            <w:vAlign w:val="center"/>
          </w:tcPr>
          <w:p>
            <w:r>
              <w:rPr>
                <w:sz w:val="16"/>
              </w:rPr>
              <w:t>Independent test set</w:t>
            </w:r>
          </w:p>
        </w:tc>
        <w:tc>
          <w:tcPr>
            <w:tcW w:type="dxa" w:w="3293"/>
            <w:tcMar>
              <w:top w:w="60" w:type="dxa"/>
              <w:start w:w="75" w:type="dxa"/>
              <w:bottom w:w="60" w:type="dxa"/>
              <w:end w:w="75" w:type="dxa"/>
            </w:tcMar>
            <w:vAlign w:val="center"/>
          </w:tcPr>
          <w:p>
            <w:r>
              <w:rPr>
                <w:sz w:val="16"/>
              </w:rPr>
              <w:t>Patient/pregnancy-level separation</w:t>
            </w:r>
          </w:p>
        </w:tc>
        <w:tc>
          <w:tcPr>
            <w:tcW w:type="dxa" w:w="3293"/>
            <w:tcMar>
              <w:top w:w="60" w:type="dxa"/>
              <w:start w:w="75" w:type="dxa"/>
              <w:bottom w:w="60" w:type="dxa"/>
              <w:end w:w="75" w:type="dxa"/>
            </w:tcMar>
            <w:vAlign w:val="center"/>
          </w:tcPr>
          <w:p>
            <w:r>
              <w:rPr>
                <w:sz w:val="16"/>
              </w:rPr>
              <w:t>Reduces optimistic leakage.</w:t>
            </w:r>
          </w:p>
        </w:tc>
      </w:tr>
      <w:tr>
        <w:tc>
          <w:tcPr>
            <w:tcW w:type="dxa" w:w="3293"/>
            <w:tcMar>
              <w:top w:w="60" w:type="dxa"/>
              <w:start w:w="75" w:type="dxa"/>
              <w:bottom w:w="60" w:type="dxa"/>
              <w:end w:w="75" w:type="dxa"/>
            </w:tcMar>
            <w:vAlign w:val="center"/>
            <w:shd w:fill="F3F6F9"/>
          </w:tcPr>
          <w:p>
            <w:r>
              <w:rPr>
                <w:sz w:val="16"/>
              </w:rPr>
              <w:t>Uncertainty</w:t>
            </w:r>
          </w:p>
        </w:tc>
        <w:tc>
          <w:tcPr>
            <w:tcW w:type="dxa" w:w="3293"/>
            <w:tcMar>
              <w:top w:w="60" w:type="dxa"/>
              <w:start w:w="75" w:type="dxa"/>
              <w:bottom w:w="60" w:type="dxa"/>
              <w:end w:w="75" w:type="dxa"/>
            </w:tcMar>
            <w:vAlign w:val="center"/>
            <w:shd w:fill="F3F6F9"/>
          </w:tcPr>
          <w:p>
            <w:r>
              <w:rPr>
                <w:sz w:val="16"/>
              </w:rPr>
              <w:t>Confidence intervals or clearly stated sample limitations</w:t>
            </w:r>
          </w:p>
        </w:tc>
        <w:tc>
          <w:tcPr>
            <w:tcW w:type="dxa" w:w="3293"/>
            <w:tcMar>
              <w:top w:w="60" w:type="dxa"/>
              <w:start w:w="75" w:type="dxa"/>
              <w:bottom w:w="60" w:type="dxa"/>
              <w:end w:w="75" w:type="dxa"/>
            </w:tcMar>
            <w:vAlign w:val="center"/>
            <w:shd w:fill="F3F6F9"/>
          </w:tcPr>
          <w:p>
            <w:r>
              <w:rPr>
                <w:sz w:val="16"/>
              </w:rPr>
              <w:t>Avoids false precision.</w:t>
            </w:r>
          </w:p>
        </w:tc>
      </w:tr>
      <w:tr>
        <w:tc>
          <w:tcPr>
            <w:tcW w:type="dxa" w:w="3293"/>
            <w:tcMar>
              <w:top w:w="60" w:type="dxa"/>
              <w:start w:w="75" w:type="dxa"/>
              <w:bottom w:w="60" w:type="dxa"/>
              <w:end w:w="75" w:type="dxa"/>
            </w:tcMar>
            <w:vAlign w:val="center"/>
          </w:tcPr>
          <w:p>
            <w:r>
              <w:rPr>
                <w:sz w:val="16"/>
              </w:rPr>
              <w:t>Calibration</w:t>
            </w:r>
          </w:p>
        </w:tc>
        <w:tc>
          <w:tcPr>
            <w:tcW w:type="dxa" w:w="3293"/>
            <w:tcMar>
              <w:top w:w="60" w:type="dxa"/>
              <w:start w:w="75" w:type="dxa"/>
              <w:bottom w:w="60" w:type="dxa"/>
              <w:end w:w="75" w:type="dxa"/>
            </w:tcMar>
            <w:vAlign w:val="center"/>
          </w:tcPr>
          <w:p>
            <w:r>
              <w:rPr>
                <w:sz w:val="16"/>
              </w:rPr>
              <w:t>Assessed only when probabilities are interpreted</w:t>
            </w:r>
          </w:p>
        </w:tc>
        <w:tc>
          <w:tcPr>
            <w:tcW w:type="dxa" w:w="3293"/>
            <w:tcMar>
              <w:top w:w="60" w:type="dxa"/>
              <w:start w:w="75" w:type="dxa"/>
              <w:bottom w:w="60" w:type="dxa"/>
              <w:end w:w="75" w:type="dxa"/>
            </w:tcMar>
            <w:vAlign w:val="center"/>
          </w:tcPr>
          <w:p>
            <w:r>
              <w:rPr>
                <w:sz w:val="16"/>
              </w:rPr>
              <w:t>A ranking score is not automatically a meaningful risk probability.</w:t>
            </w:r>
          </w:p>
        </w:tc>
      </w:tr>
      <w:tr>
        <w:tc>
          <w:tcPr>
            <w:tcW w:type="dxa" w:w="3293"/>
            <w:tcMar>
              <w:top w:w="60" w:type="dxa"/>
              <w:start w:w="75" w:type="dxa"/>
              <w:bottom w:w="60" w:type="dxa"/>
              <w:end w:w="75" w:type="dxa"/>
            </w:tcMar>
            <w:vAlign w:val="center"/>
            <w:shd w:fill="F3F6F9"/>
          </w:tcPr>
          <w:p>
            <w:r>
              <w:rPr>
                <w:sz w:val="16"/>
              </w:rPr>
              <w:t>Subgroup review</w:t>
            </w:r>
          </w:p>
        </w:tc>
        <w:tc>
          <w:tcPr>
            <w:tcW w:type="dxa" w:w="3293"/>
            <w:tcMar>
              <w:top w:w="60" w:type="dxa"/>
              <w:start w:w="75" w:type="dxa"/>
              <w:bottom w:w="60" w:type="dxa"/>
              <w:end w:w="75" w:type="dxa"/>
            </w:tcMar>
            <w:vAlign w:val="center"/>
            <w:shd w:fill="F3F6F9"/>
          </w:tcPr>
          <w:p>
            <w:r>
              <w:rPr>
                <w:sz w:val="16"/>
              </w:rPr>
              <w:t>Counts and class-specific errors by supported groups</w:t>
            </w:r>
          </w:p>
        </w:tc>
        <w:tc>
          <w:tcPr>
            <w:tcW w:type="dxa" w:w="3293"/>
            <w:tcMar>
              <w:top w:w="60" w:type="dxa"/>
              <w:start w:w="75" w:type="dxa"/>
              <w:bottom w:w="60" w:type="dxa"/>
              <w:end w:w="75" w:type="dxa"/>
            </w:tcMar>
            <w:vAlign w:val="center"/>
            <w:shd w:fill="F3F6F9"/>
          </w:tcPr>
          <w:p>
            <w:r>
              <w:rPr>
                <w:sz w:val="16"/>
              </w:rPr>
              <w:t>Supports equity and limitation analysis.</w:t>
            </w:r>
          </w:p>
        </w:tc>
      </w:tr>
      <w:tr>
        <w:tc>
          <w:tcPr>
            <w:tcW w:type="dxa" w:w="3293"/>
            <w:tcMar>
              <w:top w:w="60" w:type="dxa"/>
              <w:start w:w="75" w:type="dxa"/>
              <w:bottom w:w="60" w:type="dxa"/>
              <w:end w:w="75" w:type="dxa"/>
            </w:tcMar>
            <w:vAlign w:val="center"/>
          </w:tcPr>
          <w:p>
            <w:r>
              <w:rPr>
                <w:sz w:val="16"/>
              </w:rPr>
              <w:t>Final-system evaluation</w:t>
            </w:r>
          </w:p>
        </w:tc>
        <w:tc>
          <w:tcPr>
            <w:tcW w:type="dxa" w:w="3293"/>
            <w:tcMar>
              <w:top w:w="60" w:type="dxa"/>
              <w:start w:w="75" w:type="dxa"/>
              <w:bottom w:w="60" w:type="dxa"/>
              <w:end w:w="75" w:type="dxa"/>
            </w:tcMar>
            <w:vAlign w:val="center"/>
          </w:tcPr>
          <w:p>
            <w:r>
              <w:rPr>
                <w:sz w:val="16"/>
              </w:rPr>
              <w:t>Test the hybrid Decision Engine, not ML alone</w:t>
            </w:r>
          </w:p>
        </w:tc>
        <w:tc>
          <w:tcPr>
            <w:tcW w:type="dxa" w:w="3293"/>
            <w:tcMar>
              <w:top w:w="60" w:type="dxa"/>
              <w:start w:w="75" w:type="dxa"/>
              <w:bottom w:w="60" w:type="dxa"/>
              <w:end w:w="75" w:type="dxa"/>
            </w:tcMar>
            <w:vAlign w:val="center"/>
          </w:tcPr>
          <w:p>
            <w:r>
              <w:rPr>
                <w:sz w:val="16"/>
              </w:rPr>
              <w:t>The deployed behavior includes rules, completeness, and human workflow.</w:t>
            </w:r>
          </w:p>
        </w:tc>
      </w:tr>
    </w:tbl>
    <w:p/>
    <w:p>
      <w:pPr>
        <w:pStyle w:val="Heading1"/>
      </w:pPr>
      <w:r>
        <w:t>2. Purpose and Scope</w:t>
      </w:r>
    </w:p>
    <w:p>
      <w:r>
        <w:t>This chapter defines how the model and the complete hybrid assessment workflow are evaluated, documented, and accepted. It covers internal technical evaluation, clinically oriented error analysis, explanation of uncertainty, subgroup review, integration testing, and reporting. It does not invent numerical outcomes that have not been generated by the current repository.</w:t>
      </w:r>
    </w:p>
    <w:p>
      <w:pPr>
        <w:pStyle w:val="ListBullet"/>
      </w:pPr>
      <w:r>
        <w:t>Define a metric set matched to the HIGH/LOW classification task.</w:t>
      </w:r>
    </w:p>
    <w:p>
      <w:pPr>
        <w:pStyle w:val="ListBullet"/>
      </w:pPr>
      <w:r>
        <w:t>Distinguish model discrimination, threshold behavior, calibration, and workflow safety.</w:t>
      </w:r>
    </w:p>
    <w:p>
      <w:pPr>
        <w:pStyle w:val="ListBullet"/>
      </w:pPr>
      <w:r>
        <w:t>Specify how false HIGH and false LOW cases are reviewed.</w:t>
      </w:r>
    </w:p>
    <w:p>
      <w:pPr>
        <w:pStyle w:val="ListBullet"/>
      </w:pPr>
      <w:r>
        <w:t>Prevent misleading claims from small samples, class imbalance, or repeated records.</w:t>
      </w:r>
    </w:p>
    <w:p>
      <w:pPr>
        <w:pStyle w:val="ListBullet"/>
      </w:pPr>
      <w:r>
        <w:t>Establish acceptance evidence for defense, manuscript, and controlled deployment.</w:t>
      </w:r>
    </w:p>
    <w:p>
      <w:pPr>
        <w:pStyle w:val="Heading1"/>
      </w:pPr>
      <w:r>
        <w:t>3. Evaluation Objects: What Must Be Tested</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Pr>
          <w:p>
            <w:r>
              <w:rPr>
                <w:b/>
                <w:color w:val="FFFFFF"/>
                <w:sz w:val="17"/>
              </w:rPr>
              <w:t>Object</w:t>
            </w:r>
          </w:p>
        </w:tc>
        <w:tc>
          <w:tcPr>
            <w:tcW w:type="dxa" w:w="3293"/>
            <w:shd w:fill="1F4E78"/>
          </w:tcPr>
          <w:p>
            <w:r>
              <w:rPr>
                <w:b/>
                <w:color w:val="FFFFFF"/>
                <w:sz w:val="17"/>
              </w:rPr>
              <w:t>Question</w:t>
            </w:r>
          </w:p>
        </w:tc>
        <w:tc>
          <w:tcPr>
            <w:tcW w:type="dxa" w:w="3293"/>
            <w:shd w:fill="1F4E78"/>
          </w:tcPr>
          <w:p>
            <w:r>
              <w:rPr>
                <w:b/>
                <w:color w:val="FFFFFF"/>
                <w:sz w:val="17"/>
              </w:rPr>
              <w:t>Required evidence</w:t>
            </w:r>
          </w:p>
        </w:tc>
      </w:tr>
      <w:tr>
        <w:tc>
          <w:tcPr>
            <w:tcW w:type="dxa" w:w="3293"/>
            <w:tcMar>
              <w:top w:w="60" w:type="dxa"/>
              <w:start w:w="75" w:type="dxa"/>
              <w:bottom w:w="60" w:type="dxa"/>
              <w:end w:w="75" w:type="dxa"/>
            </w:tcMar>
            <w:vAlign w:val="center"/>
          </w:tcPr>
          <w:p>
            <w:r>
              <w:rPr>
                <w:sz w:val="16"/>
              </w:rPr>
              <w:t>Data pipeline</w:t>
            </w:r>
          </w:p>
        </w:tc>
        <w:tc>
          <w:tcPr>
            <w:tcW w:type="dxa" w:w="3293"/>
            <w:tcMar>
              <w:top w:w="60" w:type="dxa"/>
              <w:start w:w="75" w:type="dxa"/>
              <w:bottom w:w="60" w:type="dxa"/>
              <w:end w:w="75" w:type="dxa"/>
            </w:tcMar>
            <w:vAlign w:val="center"/>
          </w:tcPr>
          <w:p>
            <w:r>
              <w:rPr>
                <w:sz w:val="16"/>
              </w:rPr>
              <w:t>Does the same record become the same feature vector every time?</w:t>
            </w:r>
          </w:p>
        </w:tc>
        <w:tc>
          <w:tcPr>
            <w:tcW w:type="dxa" w:w="3293"/>
            <w:tcMar>
              <w:top w:w="60" w:type="dxa"/>
              <w:start w:w="75" w:type="dxa"/>
              <w:bottom w:w="60" w:type="dxa"/>
              <w:end w:w="75" w:type="dxa"/>
            </w:tcMar>
            <w:vAlign w:val="center"/>
          </w:tcPr>
          <w:p>
            <w:r>
              <w:rPr>
                <w:sz w:val="16"/>
              </w:rPr>
              <w:t>Schema, preprocessing, and test-vector checks.</w:t>
            </w:r>
          </w:p>
        </w:tc>
      </w:tr>
      <w:tr>
        <w:tc>
          <w:tcPr>
            <w:tcW w:type="dxa" w:w="3293"/>
            <w:tcMar>
              <w:top w:w="60" w:type="dxa"/>
              <w:start w:w="75" w:type="dxa"/>
              <w:bottom w:w="60" w:type="dxa"/>
              <w:end w:w="75" w:type="dxa"/>
            </w:tcMar>
            <w:vAlign w:val="center"/>
            <w:shd w:fill="F3F6F9"/>
          </w:tcPr>
          <w:p>
            <w:r>
              <w:rPr>
                <w:sz w:val="16"/>
              </w:rPr>
              <w:t>Random Forest model</w:t>
            </w:r>
          </w:p>
        </w:tc>
        <w:tc>
          <w:tcPr>
            <w:tcW w:type="dxa" w:w="3293"/>
            <w:tcMar>
              <w:top w:w="60" w:type="dxa"/>
              <w:start w:w="75" w:type="dxa"/>
              <w:bottom w:w="60" w:type="dxa"/>
              <w:end w:w="75" w:type="dxa"/>
            </w:tcMar>
            <w:vAlign w:val="center"/>
            <w:shd w:fill="F3F6F9"/>
          </w:tcPr>
          <w:p>
            <w:r>
              <w:rPr>
                <w:sz w:val="16"/>
              </w:rPr>
              <w:t>How well does the frozen model classify the defined labels?</w:t>
            </w:r>
          </w:p>
        </w:tc>
        <w:tc>
          <w:tcPr>
            <w:tcW w:type="dxa" w:w="3293"/>
            <w:tcMar>
              <w:top w:w="60" w:type="dxa"/>
              <w:start w:w="75" w:type="dxa"/>
              <w:bottom w:w="60" w:type="dxa"/>
              <w:end w:w="75" w:type="dxa"/>
            </w:tcMar>
            <w:vAlign w:val="center"/>
            <w:shd w:fill="F3F6F9"/>
          </w:tcPr>
          <w:p>
            <w:r>
              <w:rPr>
                <w:sz w:val="16"/>
              </w:rPr>
              <w:t>Independent test metrics and error review.</w:t>
            </w:r>
          </w:p>
        </w:tc>
      </w:tr>
      <w:tr>
        <w:tc>
          <w:tcPr>
            <w:tcW w:type="dxa" w:w="3293"/>
            <w:tcMar>
              <w:top w:w="60" w:type="dxa"/>
              <w:start w:w="75" w:type="dxa"/>
              <w:bottom w:w="60" w:type="dxa"/>
              <w:end w:w="75" w:type="dxa"/>
            </w:tcMar>
            <w:vAlign w:val="center"/>
          </w:tcPr>
          <w:p>
            <w:r>
              <w:rPr>
                <w:sz w:val="16"/>
              </w:rPr>
              <w:t>Python inference service</w:t>
            </w:r>
          </w:p>
        </w:tc>
        <w:tc>
          <w:tcPr>
            <w:tcW w:type="dxa" w:w="3293"/>
            <w:tcMar>
              <w:top w:w="60" w:type="dxa"/>
              <w:start w:w="75" w:type="dxa"/>
              <w:bottom w:w="60" w:type="dxa"/>
              <w:end w:w="75" w:type="dxa"/>
            </w:tcMar>
            <w:vAlign w:val="center"/>
          </w:tcPr>
          <w:p>
            <w:r>
              <w:rPr>
                <w:sz w:val="16"/>
              </w:rPr>
              <w:t>Does it return valid, versioned output and safe errors?</w:t>
            </w:r>
          </w:p>
        </w:tc>
        <w:tc>
          <w:tcPr>
            <w:tcW w:type="dxa" w:w="3293"/>
            <w:tcMar>
              <w:top w:w="60" w:type="dxa"/>
              <w:start w:w="75" w:type="dxa"/>
              <w:bottom w:w="60" w:type="dxa"/>
              <w:end w:w="75" w:type="dxa"/>
            </w:tcMar>
            <w:vAlign w:val="center"/>
          </w:tcPr>
          <w:p>
            <w:r>
              <w:rPr>
                <w:sz w:val="16"/>
              </w:rPr>
              <w:t>Unit and contract tests.</w:t>
            </w:r>
          </w:p>
        </w:tc>
      </w:tr>
      <w:tr>
        <w:tc>
          <w:tcPr>
            <w:tcW w:type="dxa" w:w="3293"/>
            <w:tcMar>
              <w:top w:w="60" w:type="dxa"/>
              <w:start w:w="75" w:type="dxa"/>
              <w:bottom w:w="60" w:type="dxa"/>
              <w:end w:w="75" w:type="dxa"/>
            </w:tcMar>
            <w:vAlign w:val="center"/>
            <w:shd w:fill="F3F6F9"/>
          </w:tcPr>
          <w:p>
            <w:r>
              <w:rPr>
                <w:sz w:val="16"/>
              </w:rPr>
              <w:t>Laravel integration</w:t>
            </w:r>
          </w:p>
        </w:tc>
        <w:tc>
          <w:tcPr>
            <w:tcW w:type="dxa" w:w="3293"/>
            <w:tcMar>
              <w:top w:w="60" w:type="dxa"/>
              <w:start w:w="75" w:type="dxa"/>
              <w:bottom w:w="60" w:type="dxa"/>
              <w:end w:w="75" w:type="dxa"/>
            </w:tcMar>
            <w:vAlign w:val="center"/>
            <w:shd w:fill="F3F6F9"/>
          </w:tcPr>
          <w:p>
            <w:r>
              <w:rPr>
                <w:sz w:val="16"/>
              </w:rPr>
              <w:t>Does the application validate, store, and reject output correctly?</w:t>
            </w:r>
          </w:p>
        </w:tc>
        <w:tc>
          <w:tcPr>
            <w:tcW w:type="dxa" w:w="3293"/>
            <w:tcMar>
              <w:top w:w="60" w:type="dxa"/>
              <w:start w:w="75" w:type="dxa"/>
              <w:bottom w:w="60" w:type="dxa"/>
              <w:end w:w="75" w:type="dxa"/>
            </w:tcMar>
            <w:vAlign w:val="center"/>
            <w:shd w:fill="F3F6F9"/>
          </w:tcPr>
          <w:p>
            <w:r>
              <w:rPr>
                <w:sz w:val="16"/>
              </w:rPr>
              <w:t>Integration tests and audit records.</w:t>
            </w:r>
          </w:p>
        </w:tc>
      </w:tr>
      <w:tr>
        <w:tc>
          <w:tcPr>
            <w:tcW w:type="dxa" w:w="3293"/>
            <w:tcMar>
              <w:top w:w="60" w:type="dxa"/>
              <w:start w:w="75" w:type="dxa"/>
              <w:bottom w:w="60" w:type="dxa"/>
              <w:end w:w="75" w:type="dxa"/>
            </w:tcMar>
            <w:vAlign w:val="center"/>
          </w:tcPr>
          <w:p>
            <w:r>
              <w:rPr>
                <w:sz w:val="16"/>
              </w:rPr>
              <w:t>Decision Engine</w:t>
            </w:r>
          </w:p>
        </w:tc>
        <w:tc>
          <w:tcPr>
            <w:tcW w:type="dxa" w:w="3293"/>
            <w:tcMar>
              <w:top w:w="60" w:type="dxa"/>
              <w:start w:w="75" w:type="dxa"/>
              <w:bottom w:w="60" w:type="dxa"/>
              <w:end w:w="75" w:type="dxa"/>
            </w:tcMar>
            <w:vAlign w:val="center"/>
          </w:tcPr>
          <w:p>
            <w:r>
              <w:rPr>
                <w:sz w:val="16"/>
              </w:rPr>
              <w:t>Are incomplete, emergency, and rule-based precedence applied correctly?</w:t>
            </w:r>
          </w:p>
        </w:tc>
        <w:tc>
          <w:tcPr>
            <w:tcW w:type="dxa" w:w="3293"/>
            <w:tcMar>
              <w:top w:w="60" w:type="dxa"/>
              <w:start w:w="75" w:type="dxa"/>
              <w:bottom w:w="60" w:type="dxa"/>
              <w:end w:w="75" w:type="dxa"/>
            </w:tcMar>
            <w:vAlign w:val="center"/>
          </w:tcPr>
          <w:p>
            <w:r>
              <w:rPr>
                <w:sz w:val="16"/>
              </w:rPr>
              <w:t>Decision-table and boundary tests.</w:t>
            </w:r>
          </w:p>
        </w:tc>
      </w:tr>
      <w:tr>
        <w:tc>
          <w:tcPr>
            <w:tcW w:type="dxa" w:w="3293"/>
            <w:tcMar>
              <w:top w:w="60" w:type="dxa"/>
              <w:start w:w="75" w:type="dxa"/>
              <w:bottom w:w="60" w:type="dxa"/>
              <w:end w:w="75" w:type="dxa"/>
            </w:tcMar>
            <w:vAlign w:val="center"/>
            <w:shd w:fill="F3F6F9"/>
          </w:tcPr>
          <w:p>
            <w:r>
              <w:rPr>
                <w:sz w:val="16"/>
              </w:rPr>
              <w:t>Human-AI workflow</w:t>
            </w:r>
          </w:p>
        </w:tc>
        <w:tc>
          <w:tcPr>
            <w:tcW w:type="dxa" w:w="3293"/>
            <w:tcMar>
              <w:top w:w="60" w:type="dxa"/>
              <w:start w:w="75" w:type="dxa"/>
              <w:bottom w:w="60" w:type="dxa"/>
              <w:end w:w="75" w:type="dxa"/>
            </w:tcMar>
            <w:vAlign w:val="center"/>
            <w:shd w:fill="F3F6F9"/>
          </w:tcPr>
          <w:p>
            <w:r>
              <w:rPr>
                <w:sz w:val="16"/>
              </w:rPr>
              <w:t>Can the intended user understand and act safely?</w:t>
            </w:r>
          </w:p>
        </w:tc>
        <w:tc>
          <w:tcPr>
            <w:tcW w:type="dxa" w:w="3293"/>
            <w:tcMar>
              <w:top w:w="60" w:type="dxa"/>
              <w:start w:w="75" w:type="dxa"/>
              <w:bottom w:w="60" w:type="dxa"/>
              <w:end w:w="75" w:type="dxa"/>
            </w:tcMar>
            <w:vAlign w:val="center"/>
            <w:shd w:fill="F3F6F9"/>
          </w:tcPr>
          <w:p>
            <w:r>
              <w:rPr>
                <w:sz w:val="16"/>
              </w:rPr>
              <w:t>Usability scenarios and supervised review.</w:t>
            </w:r>
          </w:p>
        </w:tc>
      </w:tr>
    </w:tbl>
    <w:p/>
    <w:p>
      <w:pPr>
        <w:pStyle w:val="Heading1"/>
      </w:pPr>
      <w:r>
        <w:t>4. Confusion Matrix as the Core Error Map</w:t>
      </w:r>
    </w:p>
    <w:p>
      <w:r>
        <w:t>For HIGH as the positive class, the confusion matrix separates correct HIGH predictions, correct LOW predictions, unnecessary HIGH signals, and missed HIGH records. Every reported metric should be traceable to these four counts.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Pr>
          <w:p>
            <w:r>
              <w:rPr>
                <w:b/>
                <w:color w:val="FFFFFF"/>
                <w:sz w:val="17"/>
              </w:rPr>
              <w:t>Actual / Predicted</w:t>
            </w:r>
          </w:p>
        </w:tc>
        <w:tc>
          <w:tcPr>
            <w:tcW w:type="dxa" w:w="3293"/>
            <w:shd w:fill="1F4E78"/>
          </w:tcPr>
          <w:p>
            <w:r>
              <w:rPr>
                <w:b/>
                <w:color w:val="FFFFFF"/>
                <w:sz w:val="17"/>
              </w:rPr>
              <w:t>HIGH</w:t>
            </w:r>
          </w:p>
        </w:tc>
        <w:tc>
          <w:tcPr>
            <w:tcW w:type="dxa" w:w="3293"/>
            <w:shd w:fill="1F4E78"/>
          </w:tcPr>
          <w:p>
            <w:r>
              <w:rPr>
                <w:b/>
                <w:color w:val="FFFFFF"/>
                <w:sz w:val="17"/>
              </w:rPr>
              <w:t>LOW</w:t>
            </w:r>
          </w:p>
        </w:tc>
      </w:tr>
      <w:tr>
        <w:tc>
          <w:tcPr>
            <w:tcW w:type="dxa" w:w="3293"/>
            <w:tcMar>
              <w:top w:w="60" w:type="dxa"/>
              <w:start w:w="75" w:type="dxa"/>
              <w:bottom w:w="60" w:type="dxa"/>
              <w:end w:w="75" w:type="dxa"/>
            </w:tcMar>
            <w:vAlign w:val="center"/>
          </w:tcPr>
          <w:p>
            <w:r>
              <w:rPr>
                <w:sz w:val="16"/>
              </w:rPr>
              <w:t>Actual HIGH</w:t>
            </w:r>
          </w:p>
        </w:tc>
        <w:tc>
          <w:tcPr>
            <w:tcW w:type="dxa" w:w="3293"/>
            <w:tcMar>
              <w:top w:w="60" w:type="dxa"/>
              <w:start w:w="75" w:type="dxa"/>
              <w:bottom w:w="60" w:type="dxa"/>
              <w:end w:w="75" w:type="dxa"/>
            </w:tcMar>
            <w:vAlign w:val="center"/>
          </w:tcPr>
          <w:p>
            <w:r>
              <w:rPr>
                <w:sz w:val="16"/>
              </w:rPr>
              <w:t>True Positive (TP): correctly identified HIGH</w:t>
            </w:r>
          </w:p>
        </w:tc>
        <w:tc>
          <w:tcPr>
            <w:tcW w:type="dxa" w:w="3293"/>
            <w:tcMar>
              <w:top w:w="60" w:type="dxa"/>
              <w:start w:w="75" w:type="dxa"/>
              <w:bottom w:w="60" w:type="dxa"/>
              <w:end w:w="75" w:type="dxa"/>
            </w:tcMar>
            <w:vAlign w:val="center"/>
          </w:tcPr>
          <w:p>
            <w:r>
              <w:rPr>
                <w:sz w:val="16"/>
              </w:rPr>
              <w:t>False Negative (FN): HIGH mislabeled LOW; priority safety error</w:t>
            </w:r>
          </w:p>
        </w:tc>
      </w:tr>
      <w:tr>
        <w:tc>
          <w:tcPr>
            <w:tcW w:type="dxa" w:w="3293"/>
            <w:tcMar>
              <w:top w:w="60" w:type="dxa"/>
              <w:start w:w="75" w:type="dxa"/>
              <w:bottom w:w="60" w:type="dxa"/>
              <w:end w:w="75" w:type="dxa"/>
            </w:tcMar>
            <w:vAlign w:val="center"/>
            <w:shd w:fill="F3F6F9"/>
          </w:tcPr>
          <w:p>
            <w:r>
              <w:rPr>
                <w:sz w:val="16"/>
              </w:rPr>
              <w:t>Actual LOW</w:t>
            </w:r>
          </w:p>
        </w:tc>
        <w:tc>
          <w:tcPr>
            <w:tcW w:type="dxa" w:w="3293"/>
            <w:tcMar>
              <w:top w:w="60" w:type="dxa"/>
              <w:start w:w="75" w:type="dxa"/>
              <w:bottom w:w="60" w:type="dxa"/>
              <w:end w:w="75" w:type="dxa"/>
            </w:tcMar>
            <w:vAlign w:val="center"/>
            <w:shd w:fill="F3F6F9"/>
          </w:tcPr>
          <w:p>
            <w:r>
              <w:rPr>
                <w:sz w:val="16"/>
              </w:rPr>
              <w:t>False Positive (FP): LOW mislabeled HIGH; may increase referral workload</w:t>
            </w:r>
          </w:p>
        </w:tc>
        <w:tc>
          <w:tcPr>
            <w:tcW w:type="dxa" w:w="3293"/>
            <w:tcMar>
              <w:top w:w="60" w:type="dxa"/>
              <w:start w:w="75" w:type="dxa"/>
              <w:bottom w:w="60" w:type="dxa"/>
              <w:end w:w="75" w:type="dxa"/>
            </w:tcMar>
            <w:vAlign w:val="center"/>
            <w:shd w:fill="F3F6F9"/>
          </w:tcPr>
          <w:p>
            <w:r>
              <w:rPr>
                <w:sz w:val="16"/>
              </w:rPr>
              <w:t>True Negative (TN): correctly identified LOW</w:t>
            </w:r>
          </w:p>
        </w:tc>
      </w:tr>
    </w:tbl>
    <w:p/>
    <w:tbl>
      <w:tblPr>
        <w:tblStyle w:val="TableGrid"/>
        <w:tblW w:type="auto" w:w="0"/>
        <w:jc w:val="center"/>
        <w:tblLook w:firstColumn="1" w:firstRow="1" w:lastColumn="0" w:lastRow="0" w:noHBand="0" w:noVBand="1" w:val="04A0"/>
      </w:tblPr>
      <w:tblGrid>
        <w:gridCol w:w="9878"/>
      </w:tblGrid>
      <w:tr>
        <w:tc>
          <w:tcPr>
            <w:tcW w:type="dxa" w:w="9878"/>
            <w:shd w:fill="17365D"/>
          </w:tcPr>
          <w:p>
            <w:r>
              <w:rPr>
                <w:b/>
                <w:color w:val="FFFFFF"/>
              </w:rPr>
              <w:t>Metric Foundations</w:t>
            </w:r>
          </w:p>
        </w:tc>
      </w:tr>
      <w:tr>
        <w:tc>
          <w:tcPr>
            <w:tcW w:type="dxa" w:w="9878"/>
            <w:shd w:fill="EAF2F8"/>
          </w:tcPr>
          <w:p>
            <w:pPr>
              <w:jc w:val="center"/>
            </w:pPr>
            <w:r>
              <w:rPr>
                <w:rFonts w:ascii="Consolas" w:hAnsi="Consolas"/>
                <w:sz w:val="18"/>
              </w:rPr>
              <w:t>Sensitivity = TP / (TP + FN)</w:t>
            </w:r>
          </w:p>
        </w:tc>
      </w:tr>
      <w:tr>
        <w:tc>
          <w:tcPr>
            <w:tcW w:type="dxa" w:w="9878"/>
            <w:shd w:fill="F7F9FB"/>
          </w:tcPr>
          <w:p>
            <w:pPr>
              <w:jc w:val="center"/>
            </w:pPr>
            <w:r>
              <w:rPr>
                <w:rFonts w:ascii="Consolas" w:hAnsi="Consolas"/>
                <w:sz w:val="18"/>
              </w:rPr>
              <w:t>Specificity = TN / (TN + FP)</w:t>
            </w:r>
          </w:p>
        </w:tc>
      </w:tr>
      <w:tr>
        <w:tc>
          <w:tcPr>
            <w:tcW w:type="dxa" w:w="9878"/>
            <w:shd w:fill="EAF2F8"/>
          </w:tcPr>
          <w:p>
            <w:pPr>
              <w:jc w:val="center"/>
            </w:pPr>
            <w:r>
              <w:rPr>
                <w:rFonts w:ascii="Consolas" w:hAnsi="Consolas"/>
                <w:sz w:val="18"/>
              </w:rPr>
              <w:t>Precision (PPV) = TP / (TP + FP)</w:t>
            </w:r>
          </w:p>
        </w:tc>
      </w:tr>
      <w:tr>
        <w:tc>
          <w:tcPr>
            <w:tcW w:type="dxa" w:w="9878"/>
            <w:shd w:fill="F7F9FB"/>
          </w:tcPr>
          <w:p>
            <w:pPr>
              <w:jc w:val="center"/>
            </w:pPr>
            <w:r>
              <w:rPr>
                <w:rFonts w:ascii="Consolas" w:hAnsi="Consolas"/>
                <w:sz w:val="18"/>
              </w:rPr>
              <w:t>Negative Predictive Value = TN / (TN + FN)</w:t>
            </w:r>
          </w:p>
        </w:tc>
      </w:tr>
      <w:tr>
        <w:tc>
          <w:tcPr>
            <w:tcW w:type="dxa" w:w="9878"/>
            <w:shd w:fill="EAF2F8"/>
          </w:tcPr>
          <w:p>
            <w:pPr>
              <w:jc w:val="center"/>
            </w:pPr>
            <w:r>
              <w:rPr>
                <w:rFonts w:ascii="Consolas" w:hAnsi="Consolas"/>
                <w:sz w:val="18"/>
              </w:rPr>
              <w:t>F1 = 2 × Precision × Recall / (Precision + Recall)</w:t>
            </w:r>
          </w:p>
        </w:tc>
      </w:tr>
      <w:tr>
        <w:tc>
          <w:tcPr>
            <w:tcW w:type="dxa" w:w="9878"/>
            <w:shd w:fill="F7F9FB"/>
          </w:tcPr>
          <w:p>
            <w:pPr>
              <w:jc w:val="center"/>
            </w:pPr>
            <w:r>
              <w:rPr>
                <w:rFonts w:ascii="Consolas" w:hAnsi="Consolas"/>
                <w:sz w:val="18"/>
              </w:rPr>
              <w:t>Accuracy = (TP + TN) / Total</w:t>
            </w:r>
          </w:p>
        </w:tc>
      </w:tr>
    </w:tbl>
    <w:p/>
    <w:p>
      <w:r>
        <w:t>The report must include raw counts, not percentages alone. A high percentage based on very few cases must be clearly qualified.</w:t>
      </w:r>
    </w:p>
    <w:p>
      <w:pPr>
        <w:pStyle w:val="Heading1"/>
      </w:pPr>
      <w:r>
        <w:t>5. Primary and Supporting Metrics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Pr>
          <w:p>
            <w:r>
              <w:rPr>
                <w:b/>
                <w:color w:val="FFFFFF"/>
                <w:sz w:val="17"/>
              </w:rPr>
              <w:t>Metric</w:t>
            </w:r>
          </w:p>
        </w:tc>
        <w:tc>
          <w:tcPr>
            <w:tcW w:type="dxa" w:w="3293"/>
            <w:shd w:fill="1F4E78"/>
          </w:tcPr>
          <w:p>
            <w:r>
              <w:rPr>
                <w:b/>
                <w:color w:val="FFFFFF"/>
                <w:sz w:val="17"/>
              </w:rPr>
              <w:t>Use in this project</w:t>
            </w:r>
          </w:p>
        </w:tc>
        <w:tc>
          <w:tcPr>
            <w:tcW w:type="dxa" w:w="3293"/>
            <w:shd w:fill="1F4E78"/>
          </w:tcPr>
          <w:p>
            <w:r>
              <w:rPr>
                <w:b/>
                <w:color w:val="FFFFFF"/>
                <w:sz w:val="17"/>
              </w:rPr>
              <w:t>Important limitation</w:t>
            </w:r>
          </w:p>
        </w:tc>
      </w:tr>
      <w:tr>
        <w:tc>
          <w:tcPr>
            <w:tcW w:type="dxa" w:w="3293"/>
            <w:tcMar>
              <w:top w:w="60" w:type="dxa"/>
              <w:start w:w="75" w:type="dxa"/>
              <w:bottom w:w="60" w:type="dxa"/>
              <w:end w:w="75" w:type="dxa"/>
            </w:tcMar>
            <w:vAlign w:val="center"/>
          </w:tcPr>
          <w:p>
            <w:r>
              <w:rPr>
                <w:sz w:val="16"/>
              </w:rPr>
              <w:t>Sensitivity / recall for HIGH</w:t>
            </w:r>
          </w:p>
        </w:tc>
        <w:tc>
          <w:tcPr>
            <w:tcW w:type="dxa" w:w="3293"/>
            <w:tcMar>
              <w:top w:w="60" w:type="dxa"/>
              <w:start w:w="75" w:type="dxa"/>
              <w:bottom w:w="60" w:type="dxa"/>
              <w:end w:w="75" w:type="dxa"/>
            </w:tcMar>
            <w:vAlign w:val="center"/>
          </w:tcPr>
          <w:p>
            <w:r>
              <w:rPr>
                <w:sz w:val="16"/>
              </w:rPr>
              <w:t>Primary measure of labeled HIGH detection.</w:t>
            </w:r>
          </w:p>
        </w:tc>
        <w:tc>
          <w:tcPr>
            <w:tcW w:type="dxa" w:w="3293"/>
            <w:tcMar>
              <w:top w:w="60" w:type="dxa"/>
              <w:start w:w="75" w:type="dxa"/>
              <w:bottom w:w="60" w:type="dxa"/>
              <w:end w:w="75" w:type="dxa"/>
            </w:tcMar>
            <w:vAlign w:val="center"/>
          </w:tcPr>
          <w:p>
            <w:r>
              <w:rPr>
                <w:sz w:val="16"/>
              </w:rPr>
              <w:t>Can be increased by predicting more cases HIGH, reducing specificity.</w:t>
            </w:r>
          </w:p>
        </w:tc>
      </w:tr>
      <w:tr>
        <w:tc>
          <w:tcPr>
            <w:tcW w:type="dxa" w:w="3293"/>
            <w:tcMar>
              <w:top w:w="60" w:type="dxa"/>
              <w:start w:w="75" w:type="dxa"/>
              <w:bottom w:w="60" w:type="dxa"/>
              <w:end w:w="75" w:type="dxa"/>
            </w:tcMar>
            <w:vAlign w:val="center"/>
            <w:shd w:fill="F3F6F9"/>
          </w:tcPr>
          <w:p>
            <w:r>
              <w:rPr>
                <w:sz w:val="16"/>
              </w:rPr>
              <w:t>Specificity</w:t>
            </w:r>
          </w:p>
        </w:tc>
        <w:tc>
          <w:tcPr>
            <w:tcW w:type="dxa" w:w="3293"/>
            <w:tcMar>
              <w:top w:w="60" w:type="dxa"/>
              <w:start w:w="75" w:type="dxa"/>
              <w:bottom w:w="60" w:type="dxa"/>
              <w:end w:w="75" w:type="dxa"/>
            </w:tcMar>
            <w:vAlign w:val="center"/>
            <w:shd w:fill="F3F6F9"/>
          </w:tcPr>
          <w:p>
            <w:r>
              <w:rPr>
                <w:sz w:val="16"/>
              </w:rPr>
              <w:t>Measures correct LOW recognition.</w:t>
            </w:r>
          </w:p>
        </w:tc>
        <w:tc>
          <w:tcPr>
            <w:tcW w:type="dxa" w:w="3293"/>
            <w:tcMar>
              <w:top w:w="60" w:type="dxa"/>
              <w:start w:w="75" w:type="dxa"/>
              <w:bottom w:w="60" w:type="dxa"/>
              <w:end w:w="75" w:type="dxa"/>
            </w:tcMar>
            <w:vAlign w:val="center"/>
            <w:shd w:fill="F3F6F9"/>
          </w:tcPr>
          <w:p>
            <w:r>
              <w:rPr>
                <w:sz w:val="16"/>
              </w:rPr>
              <w:t>Does not describe how many predicted HIGH cases are correct.</w:t>
            </w:r>
          </w:p>
        </w:tc>
      </w:tr>
      <w:tr>
        <w:tc>
          <w:tcPr>
            <w:tcW w:type="dxa" w:w="3293"/>
            <w:tcMar>
              <w:top w:w="60" w:type="dxa"/>
              <w:start w:w="75" w:type="dxa"/>
              <w:bottom w:w="60" w:type="dxa"/>
              <w:end w:w="75" w:type="dxa"/>
            </w:tcMar>
            <w:vAlign w:val="center"/>
          </w:tcPr>
          <w:p>
            <w:r>
              <w:rPr>
                <w:sz w:val="16"/>
              </w:rPr>
              <w:t>Precision / PPV</w:t>
            </w:r>
          </w:p>
        </w:tc>
        <w:tc>
          <w:tcPr>
            <w:tcW w:type="dxa" w:w="3293"/>
            <w:tcMar>
              <w:top w:w="60" w:type="dxa"/>
              <w:start w:w="75" w:type="dxa"/>
              <w:bottom w:w="60" w:type="dxa"/>
              <w:end w:w="75" w:type="dxa"/>
            </w:tcMar>
            <w:vAlign w:val="center"/>
          </w:tcPr>
          <w:p>
            <w:r>
              <w:rPr>
                <w:sz w:val="16"/>
              </w:rPr>
              <w:t>Estimates correctness of HIGH signals in the tested prevalence.</w:t>
            </w:r>
          </w:p>
        </w:tc>
        <w:tc>
          <w:tcPr>
            <w:tcW w:type="dxa" w:w="3293"/>
            <w:tcMar>
              <w:top w:w="60" w:type="dxa"/>
              <w:start w:w="75" w:type="dxa"/>
              <w:bottom w:w="60" w:type="dxa"/>
              <w:end w:w="75" w:type="dxa"/>
            </w:tcMar>
            <w:vAlign w:val="center"/>
          </w:tcPr>
          <w:p>
            <w:r>
              <w:rPr>
                <w:sz w:val="16"/>
              </w:rPr>
              <w:t>Changes when prevalence changes.</w:t>
            </w:r>
          </w:p>
        </w:tc>
      </w:tr>
      <w:tr>
        <w:tc>
          <w:tcPr>
            <w:tcW w:type="dxa" w:w="3293"/>
            <w:tcMar>
              <w:top w:w="60" w:type="dxa"/>
              <w:start w:w="75" w:type="dxa"/>
              <w:bottom w:w="60" w:type="dxa"/>
              <w:end w:w="75" w:type="dxa"/>
            </w:tcMar>
            <w:vAlign w:val="center"/>
            <w:shd w:fill="F3F6F9"/>
          </w:tcPr>
          <w:p>
            <w:r>
              <w:rPr>
                <w:sz w:val="16"/>
              </w:rPr>
              <w:t>NPV</w:t>
            </w:r>
          </w:p>
        </w:tc>
        <w:tc>
          <w:tcPr>
            <w:tcW w:type="dxa" w:w="3293"/>
            <w:tcMar>
              <w:top w:w="60" w:type="dxa"/>
              <w:start w:w="75" w:type="dxa"/>
              <w:bottom w:w="60" w:type="dxa"/>
              <w:end w:w="75" w:type="dxa"/>
            </w:tcMar>
            <w:vAlign w:val="center"/>
            <w:shd w:fill="F3F6F9"/>
          </w:tcPr>
          <w:p>
            <w:r>
              <w:rPr>
                <w:sz w:val="16"/>
              </w:rPr>
              <w:t>Estimates correctness of LOW signals in the tested prevalence.</w:t>
            </w:r>
          </w:p>
        </w:tc>
        <w:tc>
          <w:tcPr>
            <w:tcW w:type="dxa" w:w="3293"/>
            <w:tcMar>
              <w:top w:w="60" w:type="dxa"/>
              <w:start w:w="75" w:type="dxa"/>
              <w:bottom w:w="60" w:type="dxa"/>
              <w:end w:w="75" w:type="dxa"/>
            </w:tcMar>
            <w:vAlign w:val="center"/>
            <w:shd w:fill="F3F6F9"/>
          </w:tcPr>
          <w:p>
            <w:r>
              <w:rPr>
                <w:sz w:val="16"/>
              </w:rPr>
              <w:t>Can appear high when HIGH cases are rare.</w:t>
            </w:r>
          </w:p>
        </w:tc>
      </w:tr>
      <w:tr>
        <w:tc>
          <w:tcPr>
            <w:tcW w:type="dxa" w:w="3293"/>
            <w:tcMar>
              <w:top w:w="60" w:type="dxa"/>
              <w:start w:w="75" w:type="dxa"/>
              <w:bottom w:w="60" w:type="dxa"/>
              <w:end w:w="75" w:type="dxa"/>
            </w:tcMar>
            <w:vAlign w:val="center"/>
          </w:tcPr>
          <w:p>
            <w:r>
              <w:rPr>
                <w:sz w:val="16"/>
              </w:rPr>
              <w:t>F1 score</w:t>
            </w:r>
          </w:p>
        </w:tc>
        <w:tc>
          <w:tcPr>
            <w:tcW w:type="dxa" w:w="3293"/>
            <w:tcMar>
              <w:top w:w="60" w:type="dxa"/>
              <w:start w:w="75" w:type="dxa"/>
              <w:bottom w:w="60" w:type="dxa"/>
              <w:end w:w="75" w:type="dxa"/>
            </w:tcMar>
            <w:vAlign w:val="center"/>
          </w:tcPr>
          <w:p>
            <w:r>
              <w:rPr>
                <w:sz w:val="16"/>
              </w:rPr>
              <w:t>Summarizes precision and recall for HIGH.</w:t>
            </w:r>
          </w:p>
        </w:tc>
        <w:tc>
          <w:tcPr>
            <w:tcW w:type="dxa" w:w="3293"/>
            <w:tcMar>
              <w:top w:w="60" w:type="dxa"/>
              <w:start w:w="75" w:type="dxa"/>
              <w:bottom w:w="60" w:type="dxa"/>
              <w:end w:w="75" w:type="dxa"/>
            </w:tcMar>
            <w:vAlign w:val="center"/>
          </w:tcPr>
          <w:p>
            <w:r>
              <w:rPr>
                <w:sz w:val="16"/>
              </w:rPr>
              <w:t>Ignores true negatives and may hide safety trade-offs.</w:t>
            </w:r>
          </w:p>
        </w:tc>
      </w:tr>
      <w:tr>
        <w:tc>
          <w:tcPr>
            <w:tcW w:type="dxa" w:w="3293"/>
            <w:tcMar>
              <w:top w:w="60" w:type="dxa"/>
              <w:start w:w="75" w:type="dxa"/>
              <w:bottom w:w="60" w:type="dxa"/>
              <w:end w:w="75" w:type="dxa"/>
            </w:tcMar>
            <w:vAlign w:val="center"/>
            <w:shd w:fill="F3F6F9"/>
          </w:tcPr>
          <w:p>
            <w:r>
              <w:rPr>
                <w:sz w:val="16"/>
              </w:rPr>
              <w:t>Balanced accuracy</w:t>
            </w:r>
          </w:p>
        </w:tc>
        <w:tc>
          <w:tcPr>
            <w:tcW w:type="dxa" w:w="3293"/>
            <w:tcMar>
              <w:top w:w="60" w:type="dxa"/>
              <w:start w:w="75" w:type="dxa"/>
              <w:bottom w:w="60" w:type="dxa"/>
              <w:end w:w="75" w:type="dxa"/>
            </w:tcMar>
            <w:vAlign w:val="center"/>
            <w:shd w:fill="F3F6F9"/>
          </w:tcPr>
          <w:p>
            <w:r>
              <w:rPr>
                <w:sz w:val="16"/>
              </w:rPr>
              <w:t>Averages sensitivity and specificity.</w:t>
            </w:r>
          </w:p>
        </w:tc>
        <w:tc>
          <w:tcPr>
            <w:tcW w:type="dxa" w:w="3293"/>
            <w:tcMar>
              <w:top w:w="60" w:type="dxa"/>
              <w:start w:w="75" w:type="dxa"/>
              <w:bottom w:w="60" w:type="dxa"/>
              <w:end w:w="75" w:type="dxa"/>
            </w:tcMar>
            <w:vAlign w:val="center"/>
            <w:shd w:fill="F3F6F9"/>
          </w:tcPr>
          <w:p>
            <w:r>
              <w:rPr>
                <w:sz w:val="16"/>
              </w:rPr>
              <w:t>Still hides individual error types.</w:t>
            </w:r>
          </w:p>
        </w:tc>
      </w:tr>
      <w:tr>
        <w:tc>
          <w:tcPr>
            <w:tcW w:type="dxa" w:w="3293"/>
            <w:tcMar>
              <w:top w:w="60" w:type="dxa"/>
              <w:start w:w="75" w:type="dxa"/>
              <w:bottom w:w="60" w:type="dxa"/>
              <w:end w:w="75" w:type="dxa"/>
            </w:tcMar>
            <w:vAlign w:val="center"/>
          </w:tcPr>
          <w:p>
            <w:r>
              <w:rPr>
                <w:sz w:val="16"/>
              </w:rPr>
              <w:t>ROC-AUC</w:t>
            </w:r>
          </w:p>
        </w:tc>
        <w:tc>
          <w:tcPr>
            <w:tcW w:type="dxa" w:w="3293"/>
            <w:tcMar>
              <w:top w:w="60" w:type="dxa"/>
              <w:start w:w="75" w:type="dxa"/>
              <w:bottom w:w="60" w:type="dxa"/>
              <w:end w:w="75" w:type="dxa"/>
            </w:tcMar>
            <w:vAlign w:val="center"/>
          </w:tcPr>
          <w:p>
            <w:r>
              <w:rPr>
                <w:sz w:val="16"/>
              </w:rPr>
              <w:t>Evaluates ranking across thresholds.</w:t>
            </w:r>
          </w:p>
        </w:tc>
        <w:tc>
          <w:tcPr>
            <w:tcW w:type="dxa" w:w="3293"/>
            <w:tcMar>
              <w:top w:w="60" w:type="dxa"/>
              <w:start w:w="75" w:type="dxa"/>
              <w:bottom w:w="60" w:type="dxa"/>
              <w:end w:w="75" w:type="dxa"/>
            </w:tcMar>
            <w:vAlign w:val="center"/>
          </w:tcPr>
          <w:p>
            <w:r>
              <w:rPr>
                <w:sz w:val="16"/>
              </w:rPr>
              <w:t>Can appear favorable in imbalanced data.</w:t>
            </w:r>
          </w:p>
        </w:tc>
      </w:tr>
      <w:tr>
        <w:tc>
          <w:tcPr>
            <w:tcW w:type="dxa" w:w="3293"/>
            <w:tcMar>
              <w:top w:w="60" w:type="dxa"/>
              <w:start w:w="75" w:type="dxa"/>
              <w:bottom w:w="60" w:type="dxa"/>
              <w:end w:w="75" w:type="dxa"/>
            </w:tcMar>
            <w:vAlign w:val="center"/>
            <w:shd w:fill="F3F6F9"/>
          </w:tcPr>
          <w:p>
            <w:r>
              <w:rPr>
                <w:sz w:val="16"/>
              </w:rPr>
              <w:t>PR-AUC / average precision</w:t>
            </w:r>
          </w:p>
        </w:tc>
        <w:tc>
          <w:tcPr>
            <w:tcW w:type="dxa" w:w="3293"/>
            <w:tcMar>
              <w:top w:w="60" w:type="dxa"/>
              <w:start w:w="75" w:type="dxa"/>
              <w:bottom w:w="60" w:type="dxa"/>
              <w:end w:w="75" w:type="dxa"/>
            </w:tcMar>
            <w:vAlign w:val="center"/>
            <w:shd w:fill="F3F6F9"/>
          </w:tcPr>
          <w:p>
            <w:r>
              <w:rPr>
                <w:sz w:val="16"/>
              </w:rPr>
              <w:t>Focuses on positive-class retrieval.</w:t>
            </w:r>
          </w:p>
        </w:tc>
        <w:tc>
          <w:tcPr>
            <w:tcW w:type="dxa" w:w="3293"/>
            <w:tcMar>
              <w:top w:w="60" w:type="dxa"/>
              <w:start w:w="75" w:type="dxa"/>
              <w:bottom w:w="60" w:type="dxa"/>
              <w:end w:w="75" w:type="dxa"/>
            </w:tcMar>
            <w:vAlign w:val="center"/>
            <w:shd w:fill="F3F6F9"/>
          </w:tcPr>
          <w:p>
            <w:r>
              <w:rPr>
                <w:sz w:val="16"/>
              </w:rPr>
              <w:t>Depends strongly on prevalence.</w:t>
            </w:r>
          </w:p>
        </w:tc>
      </w:tr>
      <w:tr>
        <w:tc>
          <w:tcPr>
            <w:tcW w:type="dxa" w:w="3293"/>
            <w:tcMar>
              <w:top w:w="60" w:type="dxa"/>
              <w:start w:w="75" w:type="dxa"/>
              <w:bottom w:w="60" w:type="dxa"/>
              <w:end w:w="75" w:type="dxa"/>
            </w:tcMar>
            <w:vAlign w:val="center"/>
          </w:tcPr>
          <w:p>
            <w:r>
              <w:rPr>
                <w:sz w:val="16"/>
              </w:rPr>
              <w:t>Brier score / calibration curve</w:t>
            </w:r>
          </w:p>
        </w:tc>
        <w:tc>
          <w:tcPr>
            <w:tcW w:type="dxa" w:w="3293"/>
            <w:tcMar>
              <w:top w:w="60" w:type="dxa"/>
              <w:start w:w="75" w:type="dxa"/>
              <w:bottom w:w="60" w:type="dxa"/>
              <w:end w:w="75" w:type="dxa"/>
            </w:tcMar>
            <w:vAlign w:val="center"/>
          </w:tcPr>
          <w:p>
            <w:r>
              <w:rPr>
                <w:sz w:val="16"/>
              </w:rPr>
              <w:t>Assesses probabilistic accuracy when probability is used.</w:t>
            </w:r>
          </w:p>
        </w:tc>
        <w:tc>
          <w:tcPr>
            <w:tcW w:type="dxa" w:w="3293"/>
            <w:tcMar>
              <w:top w:w="60" w:type="dxa"/>
              <w:start w:w="75" w:type="dxa"/>
              <w:bottom w:w="60" w:type="dxa"/>
              <w:end w:w="75" w:type="dxa"/>
            </w:tcMar>
            <w:vAlign w:val="center"/>
          </w:tcPr>
          <w:p>
            <w:r>
              <w:rPr>
                <w:sz w:val="16"/>
              </w:rPr>
              <w:t>Not meaningful if only hard labels are produced or sample is too small.</w:t>
            </w:r>
          </w:p>
        </w:tc>
      </w:tr>
    </w:tbl>
    <w:p/>
    <w:p>
      <w:pPr>
        <w:pStyle w:val="Heading1"/>
      </w:pPr>
      <w:r>
        <w:t>6. Why Accuracy Is Not Enough</w:t>
      </w:r>
    </w:p>
    <w:p>
      <w:r>
        <w:t>If most records are LOW, a model can achieve high accuracy while missing many HIGH records. Therefore, accuracy may be reported only with class prevalence, confusion matrix, sensitivity, specificity, precision, and NPV. The majority-class baseline must also be shown so that the model is not credited for predicting the dominant class.</w:t>
      </w:r>
    </w:p>
    <w:p>
      <w:pPr>
        <w:pStyle w:val="Heading1"/>
      </w:pPr>
      <w:r>
        <w:t>7. Threshold Evaluation</w:t>
      </w:r>
    </w:p>
    <w:p>
      <w:r>
        <w:t>Random Forest can produce a score or estimated class probability, but the deployed HIGH/LOW label depends on a threshold. A threshold must be chosen using development or validation data before the final test set is examined. The selected point should reflect the bounded advisory role and the consequences of false LOW and false HIGH decisions.</w:t>
      </w:r>
    </w:p>
    <w:p>
      <w:pPr>
        <w:pStyle w:val="ListBullet"/>
      </w:pPr>
      <w:r>
        <w:t>Report the default or selected threshold explicitly.</w:t>
      </w:r>
    </w:p>
    <w:p>
      <w:pPr>
        <w:pStyle w:val="ListBullet"/>
      </w:pPr>
      <w:r>
        <w:t>Plot or tabulate sensitivity and specificity across candidate thresholds during development.</w:t>
      </w:r>
    </w:p>
    <w:p>
      <w:pPr>
        <w:pStyle w:val="ListBullet"/>
      </w:pPr>
      <w:r>
        <w:t>Do not change the threshold after seeing final test errors without declaring a new development cycle.</w:t>
      </w:r>
    </w:p>
    <w:p>
      <w:pPr>
        <w:pStyle w:val="ListBullet"/>
      </w:pPr>
      <w:r>
        <w:t>Do not present an uncalibrated score as a literal chance of maternal or fetal harm.</w:t>
      </w:r>
    </w:p>
    <w:p>
      <w:pPr>
        <w:pStyle w:val="ListBullet"/>
      </w:pPr>
      <w:r>
        <w:t>Keep deterministic clinical HIGH rules independent of the ML threshold.</w:t>
      </w:r>
    </w:p>
    <w:p>
      <w:pPr>
        <w:pStyle w:val="Heading1"/>
      </w:pPr>
      <w:r>
        <w:t>8. Probability Calibration</w:t>
      </w:r>
    </w:p>
    <w:p>
      <w:r>
        <w:t>Discrimination asks whether higher-scored records tend to be HIGH; calibration asks whether predicted probabilities correspond to observed frequencies. A model can discriminate well and still be poorly calibrated. Calibration should be evaluated only when the system intends to show or use probabilities, and calibration fitting must occur without contaminating the independent test set.</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7"/>
              </w:rPr>
              <w:t>Calibration evidence</w:t>
            </w:r>
          </w:p>
        </w:tc>
        <w:tc>
          <w:tcPr>
            <w:tcW w:type="dxa" w:w="4939"/>
            <w:shd w:fill="1F4E78"/>
          </w:tcPr>
          <w:p>
            <w:r>
              <w:rPr>
                <w:b/>
                <w:color w:val="FFFFFF"/>
                <w:sz w:val="17"/>
              </w:rPr>
              <w:t>Interpretation</w:t>
            </w:r>
          </w:p>
        </w:tc>
      </w:tr>
      <w:tr>
        <w:tc>
          <w:tcPr>
            <w:tcW w:type="dxa" w:w="4939"/>
            <w:tcMar>
              <w:top w:w="60" w:type="dxa"/>
              <w:start w:w="75" w:type="dxa"/>
              <w:bottom w:w="60" w:type="dxa"/>
              <w:end w:w="75" w:type="dxa"/>
            </w:tcMar>
            <w:vAlign w:val="center"/>
          </w:tcPr>
          <w:p>
            <w:r>
              <w:rPr>
                <w:sz w:val="16"/>
              </w:rPr>
              <w:t>Reliability/calibration curve</w:t>
            </w:r>
          </w:p>
        </w:tc>
        <w:tc>
          <w:tcPr>
            <w:tcW w:type="dxa" w:w="4939"/>
            <w:tcMar>
              <w:top w:w="60" w:type="dxa"/>
              <w:start w:w="75" w:type="dxa"/>
              <w:bottom w:w="60" w:type="dxa"/>
              <w:end w:w="75" w:type="dxa"/>
            </w:tcMar>
            <w:vAlign w:val="center"/>
          </w:tcPr>
          <w:p>
            <w:r>
              <w:rPr>
                <w:sz w:val="16"/>
              </w:rPr>
              <w:t>Compares predicted probability bins with observed HIGH frequency.</w:t>
            </w:r>
          </w:p>
        </w:tc>
      </w:tr>
      <w:tr>
        <w:tc>
          <w:tcPr>
            <w:tcW w:type="dxa" w:w="4939"/>
            <w:tcMar>
              <w:top w:w="60" w:type="dxa"/>
              <w:start w:w="75" w:type="dxa"/>
              <w:bottom w:w="60" w:type="dxa"/>
              <w:end w:w="75" w:type="dxa"/>
            </w:tcMar>
            <w:vAlign w:val="center"/>
            <w:shd w:fill="F3F6F9"/>
          </w:tcPr>
          <w:p>
            <w:r>
              <w:rPr>
                <w:sz w:val="16"/>
              </w:rPr>
              <w:t>Brier score</w:t>
            </w:r>
          </w:p>
        </w:tc>
        <w:tc>
          <w:tcPr>
            <w:tcW w:type="dxa" w:w="4939"/>
            <w:tcMar>
              <w:top w:w="60" w:type="dxa"/>
              <w:start w:w="75" w:type="dxa"/>
              <w:bottom w:w="60" w:type="dxa"/>
              <w:end w:w="75" w:type="dxa"/>
            </w:tcMar>
            <w:vAlign w:val="center"/>
            <w:shd w:fill="F3F6F9"/>
          </w:tcPr>
          <w:p>
            <w:r>
              <w:rPr>
                <w:sz w:val="16"/>
              </w:rPr>
              <w:t>Measures squared error of probabilistic predictions; lower is better.</w:t>
            </w:r>
          </w:p>
        </w:tc>
      </w:tr>
      <w:tr>
        <w:tc>
          <w:tcPr>
            <w:tcW w:type="dxa" w:w="4939"/>
            <w:tcMar>
              <w:top w:w="60" w:type="dxa"/>
              <w:start w:w="75" w:type="dxa"/>
              <w:bottom w:w="60" w:type="dxa"/>
              <w:end w:w="75" w:type="dxa"/>
            </w:tcMar>
            <w:vAlign w:val="center"/>
          </w:tcPr>
          <w:p>
            <w:r>
              <w:rPr>
                <w:sz w:val="16"/>
              </w:rPr>
              <w:t>Calibration intercept and slope</w:t>
            </w:r>
          </w:p>
        </w:tc>
        <w:tc>
          <w:tcPr>
            <w:tcW w:type="dxa" w:w="4939"/>
            <w:tcMar>
              <w:top w:w="60" w:type="dxa"/>
              <w:start w:w="75" w:type="dxa"/>
              <w:bottom w:w="60" w:type="dxa"/>
              <w:end w:w="75" w:type="dxa"/>
            </w:tcMar>
            <w:vAlign w:val="center"/>
          </w:tcPr>
          <w:p>
            <w:r>
              <w:rPr>
                <w:sz w:val="16"/>
              </w:rPr>
              <w:t>Assesses systematic over/underprediction and extremity where feasible.</w:t>
            </w:r>
          </w:p>
        </w:tc>
      </w:tr>
      <w:tr>
        <w:tc>
          <w:tcPr>
            <w:tcW w:type="dxa" w:w="4939"/>
            <w:tcMar>
              <w:top w:w="60" w:type="dxa"/>
              <w:start w:w="75" w:type="dxa"/>
              <w:bottom w:w="60" w:type="dxa"/>
              <w:end w:w="75" w:type="dxa"/>
            </w:tcMar>
            <w:vAlign w:val="center"/>
            <w:shd w:fill="F3F6F9"/>
          </w:tcPr>
          <w:p>
            <w:r>
              <w:rPr>
                <w:sz w:val="16"/>
              </w:rPr>
              <w:t>Calibration method</w:t>
            </w:r>
          </w:p>
        </w:tc>
        <w:tc>
          <w:tcPr>
            <w:tcW w:type="dxa" w:w="4939"/>
            <w:tcMar>
              <w:top w:w="60" w:type="dxa"/>
              <w:start w:w="75" w:type="dxa"/>
              <w:bottom w:w="60" w:type="dxa"/>
              <w:end w:w="75" w:type="dxa"/>
            </w:tcMar>
            <w:vAlign w:val="center"/>
            <w:shd w:fill="F3F6F9"/>
          </w:tcPr>
          <w:p>
            <w:r>
              <w:rPr>
                <w:sz w:val="16"/>
              </w:rPr>
              <w:t>Platt/sigmoid or isotonic methods must be fitted on separate validation data or within nested validation.</w:t>
            </w:r>
          </w:p>
        </w:tc>
      </w:tr>
      <w:tr>
        <w:tc>
          <w:tcPr>
            <w:tcW w:type="dxa" w:w="4939"/>
            <w:tcMar>
              <w:top w:w="60" w:type="dxa"/>
              <w:start w:w="75" w:type="dxa"/>
              <w:bottom w:w="60" w:type="dxa"/>
              <w:end w:w="75" w:type="dxa"/>
            </w:tcMar>
            <w:vAlign w:val="center"/>
          </w:tcPr>
          <w:p>
            <w:r>
              <w:rPr>
                <w:sz w:val="16"/>
              </w:rPr>
              <w:t>Decision</w:t>
            </w:r>
          </w:p>
        </w:tc>
        <w:tc>
          <w:tcPr>
            <w:tcW w:type="dxa" w:w="4939"/>
            <w:tcMar>
              <w:top w:w="60" w:type="dxa"/>
              <w:start w:w="75" w:type="dxa"/>
              <w:bottom w:w="60" w:type="dxa"/>
              <w:end w:w="75" w:type="dxa"/>
            </w:tcMar>
            <w:vAlign w:val="center"/>
          </w:tcPr>
          <w:p>
            <w:r>
              <w:rPr>
                <w:sz w:val="16"/>
              </w:rPr>
              <w:t>If calibration is weak or sample size inadequate, show only HIGH/LOW and describe score limitations.</w:t>
            </w:r>
          </w:p>
        </w:tc>
      </w:tr>
    </w:tbl>
    <w:p/>
    <w:p>
      <w:pPr>
        <w:pStyle w:val="Heading1"/>
      </w:pPr>
      <w:r>
        <w:t>9. Confidence Intervals and Statistical Uncertainty</w:t>
      </w:r>
    </w:p>
    <w:p>
      <w:r>
        <w:t>Point estimates can create false confidence, especially with small test sets. The evaluation report should include confidence intervals for key proportions when feasible, using an appropriate method such as Wilson or bootstrap intervals that preserve patient grouping. Where a valid interval cannot be estimated, the limitation must be stated plainly.</w:t>
      </w:r>
    </w:p>
    <w:p>
      <w:r>
        <w:t>Differences between two models should not be described as meaningful solely because one number is larger. The project should consider confidence intervals, paired errors, sample size, and clinical relevance.</w:t>
      </w:r>
    </w:p>
    <w:p>
      <w:pPr>
        <w:pStyle w:val="Heading1"/>
      </w:pPr>
      <w:r>
        <w:t>10. Error-Cost and Case Review</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Pr>
          <w:p>
            <w:r>
              <w:rPr>
                <w:b/>
                <w:color w:val="FFFFFF"/>
                <w:sz w:val="17"/>
              </w:rPr>
              <w:t>Error type</w:t>
            </w:r>
          </w:p>
        </w:tc>
        <w:tc>
          <w:tcPr>
            <w:tcW w:type="dxa" w:w="3293"/>
            <w:shd w:fill="1F4E78"/>
          </w:tcPr>
          <w:p>
            <w:r>
              <w:rPr>
                <w:b/>
                <w:color w:val="FFFFFF"/>
                <w:sz w:val="17"/>
              </w:rPr>
              <w:t>Potential consequence</w:t>
            </w:r>
          </w:p>
        </w:tc>
        <w:tc>
          <w:tcPr>
            <w:tcW w:type="dxa" w:w="3293"/>
            <w:shd w:fill="1F4E78"/>
          </w:tcPr>
          <w:p>
            <w:r>
              <w:rPr>
                <w:b/>
                <w:color w:val="FFFFFF"/>
                <w:sz w:val="17"/>
              </w:rPr>
              <w:t>Required review</w:t>
            </w:r>
          </w:p>
        </w:tc>
      </w:tr>
      <w:tr>
        <w:tc>
          <w:tcPr>
            <w:tcW w:type="dxa" w:w="3293"/>
            <w:tcMar>
              <w:top w:w="60" w:type="dxa"/>
              <w:start w:w="75" w:type="dxa"/>
              <w:bottom w:w="60" w:type="dxa"/>
              <w:end w:w="75" w:type="dxa"/>
            </w:tcMar>
            <w:vAlign w:val="center"/>
          </w:tcPr>
          <w:p>
            <w:r>
              <w:rPr>
                <w:sz w:val="16"/>
              </w:rPr>
              <w:t>False LOW</w:t>
            </w:r>
          </w:p>
        </w:tc>
        <w:tc>
          <w:tcPr>
            <w:tcW w:type="dxa" w:w="3293"/>
            <w:tcMar>
              <w:top w:w="60" w:type="dxa"/>
              <w:start w:w="75" w:type="dxa"/>
              <w:bottom w:w="60" w:type="dxa"/>
              <w:end w:w="75" w:type="dxa"/>
            </w:tcMar>
            <w:vAlign w:val="center"/>
          </w:tcPr>
          <w:p>
            <w:r>
              <w:rPr>
                <w:sz w:val="16"/>
              </w:rPr>
              <w:t>Possible false reassurance or delayed referral if users over-rely on ML.</w:t>
            </w:r>
          </w:p>
        </w:tc>
        <w:tc>
          <w:tcPr>
            <w:tcW w:type="dxa" w:w="3293"/>
            <w:tcMar>
              <w:top w:w="60" w:type="dxa"/>
              <w:start w:w="75" w:type="dxa"/>
              <w:bottom w:w="60" w:type="dxa"/>
              <w:end w:w="75" w:type="dxa"/>
            </w:tcMar>
            <w:vAlign w:val="center"/>
          </w:tcPr>
          <w:p>
            <w:r>
              <w:rPr>
                <w:sz w:val="16"/>
              </w:rPr>
              <w:t>Highest-priority review; verify labels, inputs, missingness, rules, and clinical factors.</w:t>
            </w:r>
          </w:p>
        </w:tc>
      </w:tr>
      <w:tr>
        <w:tc>
          <w:tcPr>
            <w:tcW w:type="dxa" w:w="3293"/>
            <w:tcMar>
              <w:top w:w="60" w:type="dxa"/>
              <w:start w:w="75" w:type="dxa"/>
              <w:bottom w:w="60" w:type="dxa"/>
              <w:end w:w="75" w:type="dxa"/>
            </w:tcMar>
            <w:vAlign w:val="center"/>
            <w:shd w:fill="F3F6F9"/>
          </w:tcPr>
          <w:p>
            <w:r>
              <w:rPr>
                <w:sz w:val="16"/>
              </w:rPr>
              <w:t>False HIGH</w:t>
            </w:r>
          </w:p>
        </w:tc>
        <w:tc>
          <w:tcPr>
            <w:tcW w:type="dxa" w:w="3293"/>
            <w:tcMar>
              <w:top w:w="60" w:type="dxa"/>
              <w:start w:w="75" w:type="dxa"/>
              <w:bottom w:w="60" w:type="dxa"/>
              <w:end w:w="75" w:type="dxa"/>
            </w:tcMar>
            <w:vAlign w:val="center"/>
            <w:shd w:fill="F3F6F9"/>
          </w:tcPr>
          <w:p>
            <w:r>
              <w:rPr>
                <w:sz w:val="16"/>
              </w:rPr>
              <w:t>May increase anxiety, review time, or referrals.</w:t>
            </w:r>
          </w:p>
        </w:tc>
        <w:tc>
          <w:tcPr>
            <w:tcW w:type="dxa" w:w="3293"/>
            <w:tcMar>
              <w:top w:w="60" w:type="dxa"/>
              <w:start w:w="75" w:type="dxa"/>
              <w:bottom w:w="60" w:type="dxa"/>
              <w:end w:w="75" w:type="dxa"/>
            </w:tcMar>
            <w:vAlign w:val="center"/>
            <w:shd w:fill="F3F6F9"/>
          </w:tcPr>
          <w:p>
            <w:r>
              <w:rPr>
                <w:sz w:val="16"/>
              </w:rPr>
              <w:t>Assess whether the signal is explainable and whether workload remains acceptable.</w:t>
            </w:r>
          </w:p>
        </w:tc>
      </w:tr>
      <w:tr>
        <w:tc>
          <w:tcPr>
            <w:tcW w:type="dxa" w:w="3293"/>
            <w:tcMar>
              <w:top w:w="60" w:type="dxa"/>
              <w:start w:w="75" w:type="dxa"/>
              <w:bottom w:w="60" w:type="dxa"/>
              <w:end w:w="75" w:type="dxa"/>
            </w:tcMar>
            <w:vAlign w:val="center"/>
          </w:tcPr>
          <w:p>
            <w:r>
              <w:rPr>
                <w:sz w:val="16"/>
              </w:rPr>
              <w:t>Invalid output</w:t>
            </w:r>
          </w:p>
        </w:tc>
        <w:tc>
          <w:tcPr>
            <w:tcW w:type="dxa" w:w="3293"/>
            <w:tcMar>
              <w:top w:w="60" w:type="dxa"/>
              <w:start w:w="75" w:type="dxa"/>
              <w:bottom w:w="60" w:type="dxa"/>
              <w:end w:w="75" w:type="dxa"/>
            </w:tcMar>
            <w:vAlign w:val="center"/>
          </w:tcPr>
          <w:p>
            <w:r>
              <w:rPr>
                <w:sz w:val="16"/>
              </w:rPr>
              <w:t>Could hide a model or integration failure.</w:t>
            </w:r>
          </w:p>
        </w:tc>
        <w:tc>
          <w:tcPr>
            <w:tcW w:type="dxa" w:w="3293"/>
            <w:tcMar>
              <w:top w:w="60" w:type="dxa"/>
              <w:start w:w="75" w:type="dxa"/>
              <w:bottom w:w="60" w:type="dxa"/>
              <w:end w:w="75" w:type="dxa"/>
            </w:tcMar>
            <w:vAlign w:val="center"/>
          </w:tcPr>
          <w:p>
            <w:r>
              <w:rPr>
                <w:sz w:val="16"/>
              </w:rPr>
              <w:t>Must become ASSESSMENT INCOMPLETE, never LOW.</w:t>
            </w:r>
          </w:p>
        </w:tc>
      </w:tr>
      <w:tr>
        <w:tc>
          <w:tcPr>
            <w:tcW w:type="dxa" w:w="3293"/>
            <w:tcMar>
              <w:top w:w="60" w:type="dxa"/>
              <w:start w:w="75" w:type="dxa"/>
              <w:bottom w:w="60" w:type="dxa"/>
              <w:end w:w="75" w:type="dxa"/>
            </w:tcMar>
            <w:vAlign w:val="center"/>
            <w:shd w:fill="F3F6F9"/>
          </w:tcPr>
          <w:p>
            <w:r>
              <w:rPr>
                <w:sz w:val="16"/>
              </w:rPr>
              <w:t>Rule/ML disagreement</w:t>
            </w:r>
          </w:p>
        </w:tc>
        <w:tc>
          <w:tcPr>
            <w:tcW w:type="dxa" w:w="3293"/>
            <w:tcMar>
              <w:top w:w="60" w:type="dxa"/>
              <w:start w:w="75" w:type="dxa"/>
              <w:bottom w:w="60" w:type="dxa"/>
              <w:end w:w="75" w:type="dxa"/>
            </w:tcMar>
            <w:vAlign w:val="center"/>
            <w:shd w:fill="F3F6F9"/>
          </w:tcPr>
          <w:p>
            <w:r>
              <w:rPr>
                <w:sz w:val="16"/>
              </w:rPr>
              <w:t>Can confuse the user.</w:t>
            </w:r>
          </w:p>
        </w:tc>
        <w:tc>
          <w:tcPr>
            <w:tcW w:type="dxa" w:w="3293"/>
            <w:tcMar>
              <w:top w:w="60" w:type="dxa"/>
              <w:start w:w="75" w:type="dxa"/>
              <w:bottom w:w="60" w:type="dxa"/>
              <w:end w:w="75" w:type="dxa"/>
            </w:tcMar>
            <w:vAlign w:val="center"/>
            <w:shd w:fill="F3F6F9"/>
          </w:tcPr>
          <w:p>
            <w:r>
              <w:rPr>
                <w:sz w:val="16"/>
              </w:rPr>
              <w:t>Final result follows rules; interface explains that rule-based safety evidence overrode ML.</w:t>
            </w:r>
          </w:p>
        </w:tc>
      </w:tr>
      <w:tr>
        <w:tc>
          <w:tcPr>
            <w:tcW w:type="dxa" w:w="3293"/>
            <w:tcMar>
              <w:top w:w="60" w:type="dxa"/>
              <w:start w:w="75" w:type="dxa"/>
              <w:bottom w:w="60" w:type="dxa"/>
              <w:end w:w="75" w:type="dxa"/>
            </w:tcMar>
            <w:vAlign w:val="center"/>
          </w:tcPr>
          <w:p>
            <w:r>
              <w:rPr>
                <w:sz w:val="16"/>
              </w:rPr>
              <w:t>Repeated unstable prediction</w:t>
            </w:r>
          </w:p>
        </w:tc>
        <w:tc>
          <w:tcPr>
            <w:tcW w:type="dxa" w:w="3293"/>
            <w:tcMar>
              <w:top w:w="60" w:type="dxa"/>
              <w:start w:w="75" w:type="dxa"/>
              <w:bottom w:w="60" w:type="dxa"/>
              <w:end w:w="75" w:type="dxa"/>
            </w:tcMar>
            <w:vAlign w:val="center"/>
          </w:tcPr>
          <w:p>
            <w:r>
              <w:rPr>
                <w:sz w:val="16"/>
              </w:rPr>
              <w:t>May indicate preprocessing or environment inconsistency.</w:t>
            </w:r>
          </w:p>
        </w:tc>
        <w:tc>
          <w:tcPr>
            <w:tcW w:type="dxa" w:w="3293"/>
            <w:tcMar>
              <w:top w:w="60" w:type="dxa"/>
              <w:start w:w="75" w:type="dxa"/>
              <w:bottom w:w="60" w:type="dxa"/>
              <w:end w:w="75" w:type="dxa"/>
            </w:tcMar>
            <w:vAlign w:val="center"/>
          </w:tcPr>
          <w:p>
            <w:r>
              <w:rPr>
                <w:sz w:val="16"/>
              </w:rPr>
              <w:t>Run deterministic test vectors and artifact-integrity checks.</w:t>
            </w:r>
          </w:p>
        </w:tc>
      </w:tr>
    </w:tbl>
    <w:p/>
    <w:p>
      <w:pPr>
        <w:pStyle w:val="Heading1"/>
      </w:pPr>
      <w:r>
        <w:t>11. Subgroup and Equity Evaluation</w:t>
      </w:r>
    </w:p>
    <w:p>
      <w:r>
        <w:t>WHO governance principles and GMLP emphasize inclusiveness, representative data, and performance of the human-AI team. The project should examine performance across clinically relevant groups only when counts are sufficient for responsible interpretation. Small groups should be reported as underpowered rather than declared equivalent.</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Pr>
          <w:p>
            <w:r>
              <w:rPr>
                <w:b/>
                <w:color w:val="FFFFFF"/>
                <w:sz w:val="17"/>
              </w:rPr>
              <w:t>Candidate subgroup</w:t>
            </w:r>
          </w:p>
        </w:tc>
        <w:tc>
          <w:tcPr>
            <w:tcW w:type="dxa" w:w="3293"/>
            <w:shd w:fill="1F4E78"/>
          </w:tcPr>
          <w:p>
            <w:r>
              <w:rPr>
                <w:b/>
                <w:color w:val="FFFFFF"/>
                <w:sz w:val="17"/>
              </w:rPr>
              <w:t>Measures</w:t>
            </w:r>
          </w:p>
        </w:tc>
        <w:tc>
          <w:tcPr>
            <w:tcW w:type="dxa" w:w="3293"/>
            <w:shd w:fill="1F4E78"/>
          </w:tcPr>
          <w:p>
            <w:r>
              <w:rPr>
                <w:b/>
                <w:color w:val="FFFFFF"/>
                <w:sz w:val="17"/>
              </w:rPr>
              <w:t>Caution</w:t>
            </w:r>
          </w:p>
        </w:tc>
      </w:tr>
      <w:tr>
        <w:tc>
          <w:tcPr>
            <w:tcW w:type="dxa" w:w="3293"/>
            <w:tcMar>
              <w:top w:w="60" w:type="dxa"/>
              <w:start w:w="75" w:type="dxa"/>
              <w:bottom w:w="60" w:type="dxa"/>
              <w:end w:w="75" w:type="dxa"/>
            </w:tcMar>
            <w:vAlign w:val="center"/>
          </w:tcPr>
          <w:p>
            <w:r>
              <w:rPr>
                <w:sz w:val="16"/>
              </w:rPr>
              <w:t>Age bands, including &lt;19 and ≥35</w:t>
            </w:r>
          </w:p>
        </w:tc>
        <w:tc>
          <w:tcPr>
            <w:tcW w:type="dxa" w:w="3293"/>
            <w:tcMar>
              <w:top w:w="60" w:type="dxa"/>
              <w:start w:w="75" w:type="dxa"/>
              <w:bottom w:w="60" w:type="dxa"/>
              <w:end w:w="75" w:type="dxa"/>
            </w:tcMar>
            <w:vAlign w:val="center"/>
          </w:tcPr>
          <w:p>
            <w:r>
              <w:rPr>
                <w:sz w:val="16"/>
              </w:rPr>
              <w:t>Counts, prevalence, sensitivity, specificity, errors.</w:t>
            </w:r>
          </w:p>
        </w:tc>
        <w:tc>
          <w:tcPr>
            <w:tcW w:type="dxa" w:w="3293"/>
            <w:tcMar>
              <w:top w:w="60" w:type="dxa"/>
              <w:start w:w="75" w:type="dxa"/>
              <w:bottom w:w="60" w:type="dxa"/>
              <w:end w:w="75" w:type="dxa"/>
            </w:tcMar>
            <w:vAlign w:val="center"/>
          </w:tcPr>
          <w:p>
            <w:r>
              <w:rPr>
                <w:sz w:val="16"/>
              </w:rPr>
              <w:t>Age is also used by explicit rules; distinguish ML behavior from rule behavior.</w:t>
            </w:r>
          </w:p>
        </w:tc>
      </w:tr>
      <w:tr>
        <w:tc>
          <w:tcPr>
            <w:tcW w:type="dxa" w:w="3293"/>
            <w:tcMar>
              <w:top w:w="60" w:type="dxa"/>
              <w:start w:w="75" w:type="dxa"/>
              <w:bottom w:w="60" w:type="dxa"/>
              <w:end w:w="75" w:type="dxa"/>
            </w:tcMar>
            <w:vAlign w:val="center"/>
            <w:shd w:fill="F3F6F9"/>
          </w:tcPr>
          <w:p>
            <w:r>
              <w:rPr>
                <w:sz w:val="16"/>
              </w:rPr>
              <w:t>First pregnancy vs previous pregnancy</w:t>
            </w:r>
          </w:p>
        </w:tc>
        <w:tc>
          <w:tcPr>
            <w:tcW w:type="dxa" w:w="3293"/>
            <w:tcMar>
              <w:top w:w="60" w:type="dxa"/>
              <w:start w:w="75" w:type="dxa"/>
              <w:bottom w:w="60" w:type="dxa"/>
              <w:end w:w="75" w:type="dxa"/>
            </w:tcMar>
            <w:vAlign w:val="center"/>
            <w:shd w:fill="F3F6F9"/>
          </w:tcPr>
          <w:p>
            <w:r>
              <w:rPr>
                <w:sz w:val="16"/>
              </w:rPr>
              <w:t>Class counts and error distribution.</w:t>
            </w:r>
          </w:p>
        </w:tc>
        <w:tc>
          <w:tcPr>
            <w:tcW w:type="dxa" w:w="3293"/>
            <w:tcMar>
              <w:top w:w="60" w:type="dxa"/>
              <w:start w:w="75" w:type="dxa"/>
              <w:bottom w:w="60" w:type="dxa"/>
              <w:end w:w="75" w:type="dxa"/>
            </w:tcMar>
            <w:vAlign w:val="center"/>
            <w:shd w:fill="F3F6F9"/>
          </w:tcPr>
          <w:p>
            <w:r>
              <w:rPr>
                <w:sz w:val="16"/>
              </w:rPr>
              <w:t>Verify consistent gravidity/parity definitions.</w:t>
            </w:r>
          </w:p>
        </w:tc>
      </w:tr>
      <w:tr>
        <w:tc>
          <w:tcPr>
            <w:tcW w:type="dxa" w:w="3293"/>
            <w:tcMar>
              <w:top w:w="60" w:type="dxa"/>
              <w:start w:w="75" w:type="dxa"/>
              <w:bottom w:w="60" w:type="dxa"/>
              <w:end w:w="75" w:type="dxa"/>
            </w:tcMar>
            <w:vAlign w:val="center"/>
          </w:tcPr>
          <w:p>
            <w:r>
              <w:rPr>
                <w:sz w:val="16"/>
              </w:rPr>
              <w:t>Previous cesarean / miscarriage history</w:t>
            </w:r>
          </w:p>
        </w:tc>
        <w:tc>
          <w:tcPr>
            <w:tcW w:type="dxa" w:w="3293"/>
            <w:tcMar>
              <w:top w:w="60" w:type="dxa"/>
              <w:start w:w="75" w:type="dxa"/>
              <w:bottom w:w="60" w:type="dxa"/>
              <w:end w:w="75" w:type="dxa"/>
            </w:tcMar>
            <w:vAlign w:val="center"/>
          </w:tcPr>
          <w:p>
            <w:r>
              <w:rPr>
                <w:sz w:val="16"/>
              </w:rPr>
              <w:t>Sensitivity and false-LOW review.</w:t>
            </w:r>
          </w:p>
        </w:tc>
        <w:tc>
          <w:tcPr>
            <w:tcW w:type="dxa" w:w="3293"/>
            <w:tcMar>
              <w:top w:w="60" w:type="dxa"/>
              <w:start w:w="75" w:type="dxa"/>
              <w:bottom w:w="60" w:type="dxa"/>
              <w:end w:w="75" w:type="dxa"/>
            </w:tcMar>
            <w:vAlign w:val="center"/>
          </w:tcPr>
          <w:p>
            <w:r>
              <w:rPr>
                <w:sz w:val="16"/>
              </w:rPr>
              <w:t>Sparse groups may yield unstable estimates.</w:t>
            </w:r>
          </w:p>
        </w:tc>
      </w:tr>
      <w:tr>
        <w:tc>
          <w:tcPr>
            <w:tcW w:type="dxa" w:w="3293"/>
            <w:tcMar>
              <w:top w:w="60" w:type="dxa"/>
              <w:start w:w="75" w:type="dxa"/>
              <w:bottom w:w="60" w:type="dxa"/>
              <w:end w:w="75" w:type="dxa"/>
            </w:tcMar>
            <w:vAlign w:val="center"/>
            <w:shd w:fill="F3F6F9"/>
          </w:tcPr>
          <w:p>
            <w:r>
              <w:rPr>
                <w:sz w:val="16"/>
              </w:rPr>
              <w:t>Diabetes or anemia status</w:t>
            </w:r>
          </w:p>
        </w:tc>
        <w:tc>
          <w:tcPr>
            <w:tcW w:type="dxa" w:w="3293"/>
            <w:tcMar>
              <w:top w:w="60" w:type="dxa"/>
              <w:start w:w="75" w:type="dxa"/>
              <w:bottom w:w="60" w:type="dxa"/>
              <w:end w:w="75" w:type="dxa"/>
            </w:tcMar>
            <w:vAlign w:val="center"/>
            <w:shd w:fill="F3F6F9"/>
          </w:tcPr>
          <w:p>
            <w:r>
              <w:rPr>
                <w:sz w:val="16"/>
              </w:rPr>
              <w:t>Class-specific performance.</w:t>
            </w:r>
          </w:p>
        </w:tc>
        <w:tc>
          <w:tcPr>
            <w:tcW w:type="dxa" w:w="3293"/>
            <w:tcMar>
              <w:top w:w="60" w:type="dxa"/>
              <w:start w:w="75" w:type="dxa"/>
              <w:bottom w:w="60" w:type="dxa"/>
              <w:end w:w="75" w:type="dxa"/>
            </w:tcMar>
            <w:vAlign w:val="center"/>
            <w:shd w:fill="F3F6F9"/>
          </w:tcPr>
          <w:p>
            <w:r>
              <w:rPr>
                <w:sz w:val="16"/>
              </w:rPr>
              <w:t>Confirm diagnosis source and data quality.</w:t>
            </w:r>
          </w:p>
        </w:tc>
      </w:tr>
      <w:tr>
        <w:tc>
          <w:tcPr>
            <w:tcW w:type="dxa" w:w="3293"/>
            <w:tcMar>
              <w:top w:w="60" w:type="dxa"/>
              <w:start w:w="75" w:type="dxa"/>
              <w:bottom w:w="60" w:type="dxa"/>
              <w:end w:w="75" w:type="dxa"/>
            </w:tcMar>
            <w:vAlign w:val="center"/>
          </w:tcPr>
          <w:p>
            <w:r>
              <w:rPr>
                <w:sz w:val="16"/>
              </w:rPr>
              <w:t>Record completeness or clinic period</w:t>
            </w:r>
          </w:p>
        </w:tc>
        <w:tc>
          <w:tcPr>
            <w:tcW w:type="dxa" w:w="3293"/>
            <w:tcMar>
              <w:top w:w="60" w:type="dxa"/>
              <w:start w:w="75" w:type="dxa"/>
              <w:bottom w:w="60" w:type="dxa"/>
              <w:end w:w="75" w:type="dxa"/>
            </w:tcMar>
            <w:vAlign w:val="center"/>
          </w:tcPr>
          <w:p>
            <w:r>
              <w:rPr>
                <w:sz w:val="16"/>
              </w:rPr>
              <w:t>Failure and drift patterns.</w:t>
            </w:r>
          </w:p>
        </w:tc>
        <w:tc>
          <w:tcPr>
            <w:tcW w:type="dxa" w:w="3293"/>
            <w:tcMar>
              <w:top w:w="60" w:type="dxa"/>
              <w:start w:w="75" w:type="dxa"/>
              <w:bottom w:w="60" w:type="dxa"/>
              <w:end w:w="75" w:type="dxa"/>
            </w:tcMar>
            <w:vAlign w:val="center"/>
          </w:tcPr>
          <w:p>
            <w:r>
              <w:rPr>
                <w:sz w:val="16"/>
              </w:rPr>
              <w:t>Incomplete cases should not be evaluated as model LOW.</w:t>
            </w:r>
          </w:p>
        </w:tc>
      </w:tr>
      <w:tr>
        <w:tc>
          <w:tcPr>
            <w:tcW w:type="dxa" w:w="3293"/>
            <w:tcMar>
              <w:top w:w="60" w:type="dxa"/>
              <w:start w:w="75" w:type="dxa"/>
              <w:bottom w:w="60" w:type="dxa"/>
              <w:end w:w="75" w:type="dxa"/>
            </w:tcMar>
            <w:vAlign w:val="center"/>
            <w:shd w:fill="F3F6F9"/>
          </w:tcPr>
          <w:p>
            <w:r>
              <w:rPr>
                <w:sz w:val="16"/>
              </w:rPr>
              <w:t>Other demographic groups</w:t>
            </w:r>
          </w:p>
        </w:tc>
        <w:tc>
          <w:tcPr>
            <w:tcW w:type="dxa" w:w="3293"/>
            <w:tcMar>
              <w:top w:w="60" w:type="dxa"/>
              <w:start w:w="75" w:type="dxa"/>
              <w:bottom w:w="60" w:type="dxa"/>
              <w:end w:w="75" w:type="dxa"/>
            </w:tcMar>
            <w:vAlign w:val="center"/>
            <w:shd w:fill="F3F6F9"/>
          </w:tcPr>
          <w:p>
            <w:r>
              <w:rPr>
                <w:sz w:val="16"/>
              </w:rPr>
              <w:t>Only where ethically collected and adequately represented.</w:t>
            </w:r>
          </w:p>
        </w:tc>
        <w:tc>
          <w:tcPr>
            <w:tcW w:type="dxa" w:w="3293"/>
            <w:tcMar>
              <w:top w:w="60" w:type="dxa"/>
              <w:start w:w="75" w:type="dxa"/>
              <w:bottom w:w="60" w:type="dxa"/>
              <w:end w:w="75" w:type="dxa"/>
            </w:tcMar>
            <w:vAlign w:val="center"/>
            <w:shd w:fill="F3F6F9"/>
          </w:tcPr>
          <w:p>
            <w:r>
              <w:rPr>
                <w:sz w:val="16"/>
              </w:rPr>
              <w:t>Do not infer fairness from absent data.</w:t>
            </w:r>
          </w:p>
        </w:tc>
      </w:tr>
    </w:tbl>
    <w:p/>
    <w:p>
      <w:pPr>
        <w:pStyle w:val="Heading1"/>
      </w:pPr>
      <w:r>
        <w:t>12. Cross-Validation and Internal Evaluation</w:t>
      </w:r>
    </w:p>
    <w:p>
      <w:r>
        <w:t>Cross-validation supports model selection and stability assessment inside the development data. When multiple records belong to one patient or pregnancy, grouped cross-validation is preferred. Cross-validation results do not replace a final independent test set and must be reported as distributions across folds, not only as one average.</w:t>
      </w:r>
    </w:p>
    <w:p>
      <w:pPr>
        <w:pStyle w:val="ListBullet"/>
      </w:pPr>
      <w:r>
        <w:t>Use stratification only when compatible with patient grouping.</w:t>
      </w:r>
    </w:p>
    <w:p>
      <w:pPr>
        <w:pStyle w:val="ListBullet"/>
      </w:pPr>
      <w:r>
        <w:t>Fit preprocessing separately inside every fold.</w:t>
      </w:r>
    </w:p>
    <w:p>
      <w:pPr>
        <w:pStyle w:val="ListBullet"/>
      </w:pPr>
      <w:r>
        <w:t>Record fold-level class counts and metrics.</w:t>
      </w:r>
    </w:p>
    <w:p>
      <w:pPr>
        <w:pStyle w:val="ListBullet"/>
      </w:pPr>
      <w:r>
        <w:t>Investigate large variation between folds.</w:t>
      </w:r>
    </w:p>
    <w:p>
      <w:pPr>
        <w:pStyle w:val="ListBullet"/>
      </w:pPr>
      <w:r>
        <w:t>Keep the independent test set outside all cross-validation and tuning.</w:t>
      </w:r>
    </w:p>
    <w:p>
      <w:pPr>
        <w:pStyle w:val="Heading1"/>
      </w:pPr>
      <w:r>
        <w:t>13. Hybrid Decision-Engine Evaluation</w:t>
      </w:r>
    </w:p>
    <w:p>
      <w:r>
        <w:t>Because the deployed output is not the Random Forest label alone, the complete system requires a separate evaluation. The hybrid evaluation should use a decision matrix that covers missing records, ML failure, every deterministic HIGH factor, urgent blood-pressure conditions, and conflicting ML/rule combinations.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7"/>
              </w:rPr>
              <w:t>Scenario</w:t>
            </w:r>
          </w:p>
        </w:tc>
        <w:tc>
          <w:tcPr>
            <w:tcW w:type="dxa" w:w="4939"/>
            <w:shd w:fill="1F4E78"/>
          </w:tcPr>
          <w:p>
            <w:r>
              <w:rPr>
                <w:b/>
                <w:color w:val="FFFFFF"/>
                <w:sz w:val="17"/>
              </w:rPr>
              <w:t>Expected final result</w:t>
            </w:r>
          </w:p>
        </w:tc>
      </w:tr>
      <w:tr>
        <w:tc>
          <w:tcPr>
            <w:tcW w:type="dxa" w:w="4939"/>
            <w:tcMar>
              <w:top w:w="60" w:type="dxa"/>
              <w:start w:w="75" w:type="dxa"/>
              <w:bottom w:w="60" w:type="dxa"/>
              <w:end w:w="75" w:type="dxa"/>
            </w:tcMar>
            <w:vAlign w:val="center"/>
          </w:tcPr>
          <w:p>
            <w:r>
              <w:rPr>
                <w:sz w:val="16"/>
              </w:rPr>
              <w:t>Required record missing</w:t>
            </w:r>
          </w:p>
        </w:tc>
        <w:tc>
          <w:tcPr>
            <w:tcW w:type="dxa" w:w="4939"/>
            <w:tcMar>
              <w:top w:w="60" w:type="dxa"/>
              <w:start w:w="75" w:type="dxa"/>
              <w:bottom w:w="60" w:type="dxa"/>
              <w:end w:w="75" w:type="dxa"/>
            </w:tcMar>
            <w:vAlign w:val="center"/>
          </w:tcPr>
          <w:p>
            <w:r>
              <w:rPr>
                <w:sz w:val="16"/>
              </w:rPr>
              <w:t>ASSESSMENT INCOMPLETE.</w:t>
            </w:r>
          </w:p>
        </w:tc>
      </w:tr>
      <w:tr>
        <w:tc>
          <w:tcPr>
            <w:tcW w:type="dxa" w:w="4939"/>
            <w:tcMar>
              <w:top w:w="60" w:type="dxa"/>
              <w:start w:w="75" w:type="dxa"/>
              <w:bottom w:w="60" w:type="dxa"/>
              <w:end w:w="75" w:type="dxa"/>
            </w:tcMar>
            <w:vAlign w:val="center"/>
            <w:shd w:fill="F3F6F9"/>
          </w:tcPr>
          <w:p>
            <w:r>
              <w:rPr>
                <w:sz w:val="16"/>
              </w:rPr>
              <w:t>ML process fails or output is not exactly HIGH/LOW</w:t>
            </w:r>
          </w:p>
        </w:tc>
        <w:tc>
          <w:tcPr>
            <w:tcW w:type="dxa" w:w="4939"/>
            <w:tcMar>
              <w:top w:w="60" w:type="dxa"/>
              <w:start w:w="75" w:type="dxa"/>
              <w:bottom w:w="60" w:type="dxa"/>
              <w:end w:w="75" w:type="dxa"/>
            </w:tcMar>
            <w:vAlign w:val="center"/>
            <w:shd w:fill="F3F6F9"/>
          </w:tcPr>
          <w:p>
            <w:r>
              <w:rPr>
                <w:sz w:val="16"/>
              </w:rPr>
              <w:t>ASSESSMENT INCOMPLETE.</w:t>
            </w:r>
          </w:p>
        </w:tc>
      </w:tr>
      <w:tr>
        <w:tc>
          <w:tcPr>
            <w:tcW w:type="dxa" w:w="4939"/>
            <w:tcMar>
              <w:top w:w="60" w:type="dxa"/>
              <w:start w:w="75" w:type="dxa"/>
              <w:bottom w:w="60" w:type="dxa"/>
              <w:end w:w="75" w:type="dxa"/>
            </w:tcMar>
            <w:vAlign w:val="center"/>
          </w:tcPr>
          <w:p>
            <w:r>
              <w:rPr>
                <w:sz w:val="16"/>
              </w:rPr>
              <w:t>ML LOW and no rule-based factor, all records complete</w:t>
            </w:r>
          </w:p>
        </w:tc>
        <w:tc>
          <w:tcPr>
            <w:tcW w:type="dxa" w:w="4939"/>
            <w:tcMar>
              <w:top w:w="60" w:type="dxa"/>
              <w:start w:w="75" w:type="dxa"/>
              <w:bottom w:w="60" w:type="dxa"/>
              <w:end w:w="75" w:type="dxa"/>
            </w:tcMar>
            <w:vAlign w:val="center"/>
          </w:tcPr>
          <w:p>
            <w:r>
              <w:rPr>
                <w:sz w:val="16"/>
              </w:rPr>
              <w:t>LOW.</w:t>
            </w:r>
          </w:p>
        </w:tc>
      </w:tr>
      <w:tr>
        <w:tc>
          <w:tcPr>
            <w:tcW w:type="dxa" w:w="4939"/>
            <w:tcMar>
              <w:top w:w="60" w:type="dxa"/>
              <w:start w:w="75" w:type="dxa"/>
              <w:bottom w:w="60" w:type="dxa"/>
              <w:end w:w="75" w:type="dxa"/>
            </w:tcMar>
            <w:vAlign w:val="center"/>
            <w:shd w:fill="F3F6F9"/>
          </w:tcPr>
          <w:p>
            <w:r>
              <w:rPr>
                <w:sz w:val="16"/>
              </w:rPr>
              <w:t>ML HIGH, all required evidence valid</w:t>
            </w:r>
          </w:p>
        </w:tc>
        <w:tc>
          <w:tcPr>
            <w:tcW w:type="dxa" w:w="4939"/>
            <w:tcMar>
              <w:top w:w="60" w:type="dxa"/>
              <w:start w:w="75" w:type="dxa"/>
              <w:bottom w:w="60" w:type="dxa"/>
              <w:end w:w="75" w:type="dxa"/>
            </w:tcMar>
            <w:vAlign w:val="center"/>
            <w:shd w:fill="F3F6F9"/>
          </w:tcPr>
          <w:p>
            <w:r>
              <w:rPr>
                <w:sz w:val="16"/>
              </w:rPr>
              <w:t>HIGH.</w:t>
            </w:r>
          </w:p>
        </w:tc>
      </w:tr>
      <w:tr>
        <w:tc>
          <w:tcPr>
            <w:tcW w:type="dxa" w:w="4939"/>
            <w:tcMar>
              <w:top w:w="60" w:type="dxa"/>
              <w:start w:w="75" w:type="dxa"/>
              <w:bottom w:w="60" w:type="dxa"/>
              <w:end w:w="75" w:type="dxa"/>
            </w:tcMar>
            <w:vAlign w:val="center"/>
          </w:tcPr>
          <w:p>
            <w:r>
              <w:rPr>
                <w:sz w:val="16"/>
              </w:rPr>
              <w:t>ML LOW but any deterministic HIGH factor is present</w:t>
            </w:r>
          </w:p>
        </w:tc>
        <w:tc>
          <w:tcPr>
            <w:tcW w:type="dxa" w:w="4939"/>
            <w:tcMar>
              <w:top w:w="60" w:type="dxa"/>
              <w:start w:w="75" w:type="dxa"/>
              <w:bottom w:w="60" w:type="dxa"/>
              <w:end w:w="75" w:type="dxa"/>
            </w:tcMar>
            <w:vAlign w:val="center"/>
          </w:tcPr>
          <w:p>
            <w:r>
              <w:rPr>
                <w:sz w:val="16"/>
              </w:rPr>
              <w:t>HIGH.</w:t>
            </w:r>
          </w:p>
        </w:tc>
      </w:tr>
      <w:tr>
        <w:tc>
          <w:tcPr>
            <w:tcW w:type="dxa" w:w="4939"/>
            <w:tcMar>
              <w:top w:w="60" w:type="dxa"/>
              <w:start w:w="75" w:type="dxa"/>
              <w:bottom w:w="60" w:type="dxa"/>
              <w:end w:w="75" w:type="dxa"/>
            </w:tcMar>
            <w:vAlign w:val="center"/>
            <w:shd w:fill="F3F6F9"/>
          </w:tcPr>
          <w:p>
            <w:r>
              <w:rPr>
                <w:sz w:val="16"/>
              </w:rPr>
              <w:t>Blood pressure ≥160/110</w:t>
            </w:r>
          </w:p>
        </w:tc>
        <w:tc>
          <w:tcPr>
            <w:tcW w:type="dxa" w:w="4939"/>
            <w:tcMar>
              <w:top w:w="60" w:type="dxa"/>
              <w:start w:w="75" w:type="dxa"/>
              <w:bottom w:w="60" w:type="dxa"/>
              <w:end w:w="75" w:type="dxa"/>
            </w:tcMar>
            <w:vAlign w:val="center"/>
            <w:shd w:fill="F3F6F9"/>
          </w:tcPr>
          <w:p>
            <w:r>
              <w:rPr>
                <w:sz w:val="16"/>
              </w:rPr>
              <w:t>HIGH with urgent wording/escalation.</w:t>
            </w:r>
          </w:p>
        </w:tc>
      </w:tr>
      <w:tr>
        <w:tc>
          <w:tcPr>
            <w:tcW w:type="dxa" w:w="4939"/>
            <w:tcMar>
              <w:top w:w="60" w:type="dxa"/>
              <w:start w:w="75" w:type="dxa"/>
              <w:bottom w:w="60" w:type="dxa"/>
              <w:end w:w="75" w:type="dxa"/>
            </w:tcMar>
            <w:vAlign w:val="center"/>
          </w:tcPr>
          <w:p>
            <w:r>
              <w:rPr>
                <w:sz w:val="16"/>
              </w:rPr>
              <w:t>Delivered patient record</w:t>
            </w:r>
          </w:p>
        </w:tc>
        <w:tc>
          <w:tcPr>
            <w:tcW w:type="dxa" w:w="4939"/>
            <w:tcMar>
              <w:top w:w="60" w:type="dxa"/>
              <w:start w:w="75" w:type="dxa"/>
              <w:bottom w:w="60" w:type="dxa"/>
              <w:end w:w="75" w:type="dxa"/>
            </w:tcMar>
            <w:vAlign w:val="center"/>
          </w:tcPr>
          <w:p>
            <w:r>
              <w:rPr>
                <w:sz w:val="16"/>
              </w:rPr>
              <w:t>Read-only historical workflow; no new assessment modification.</w:t>
            </w:r>
          </w:p>
        </w:tc>
      </w:tr>
    </w:tbl>
    <w:p/>
    <w:p>
      <w:pPr>
        <w:pStyle w:val="Heading1"/>
      </w:pPr>
      <w:r>
        <w:t>14. External and Prospective Validation</w:t>
      </w:r>
    </w:p>
    <w:p>
      <w:r>
        <w:t>Internal test performance does not establish generalizability to another clinic, province, device, or documentation process. External validation requires data not used in development and should preserve the intended-use population and workflow. Prospective evaluation should observe the human-AI process without allowing an unvalidated model to independently direct care.</w:t>
      </w:r>
    </w:p>
    <w:p>
      <w:r>
        <w:t>For the capstone, absence of external or prospective validation should be stated as a limitation, not hidden. The system may be described as a prototype or research CDSS pending broader validation.</w:t>
      </w:r>
    </w:p>
    <w:p>
      <w:pPr>
        <w:pStyle w:val="Heading1"/>
      </w:pPr>
      <w:r>
        <w:t>15. Usability and Human-Factors Evaluation</w:t>
      </w:r>
    </w:p>
    <w:p>
      <w:r>
        <w:t>Evaluation should verify that a midwife or authorized user can distinguish the final risk result, the rule-based reasons, the ML contribution, the incomplete state, and the recommended next action. FDA transparency guidance emphasizes communicating information appropriate to the audience, environment, workflow, timing, and purpose.</w:t>
      </w:r>
    </w:p>
    <w:p>
      <w:pPr>
        <w:pStyle w:val="ListBullet"/>
      </w:pPr>
      <w:r>
        <w:t>Users can identify whether the result came from deterministic factors, ML, or both.</w:t>
      </w:r>
    </w:p>
    <w:p>
      <w:pPr>
        <w:pStyle w:val="ListBullet"/>
      </w:pPr>
      <w:r>
        <w:t>Users understand that LOW is not a guarantee of safety.</w:t>
      </w:r>
    </w:p>
    <w:p>
      <w:pPr>
        <w:pStyle w:val="ListBullet"/>
      </w:pPr>
      <w:r>
        <w:t>Users recognize ASSESSMENT INCOMPLETE as a need for missing data or technical review.</w:t>
      </w:r>
    </w:p>
    <w:p>
      <w:pPr>
        <w:pStyle w:val="ListBullet"/>
      </w:pPr>
      <w:r>
        <w:t>Urgent findings are visually and textually distinct from routine referral guidance.</w:t>
      </w:r>
    </w:p>
    <w:p>
      <w:pPr>
        <w:pStyle w:val="ListBullet"/>
      </w:pPr>
      <w:r>
        <w:t>Explanations do not overload the user or imply causal certainty.</w:t>
      </w:r>
    </w:p>
    <w:p>
      <w:pPr>
        <w:pStyle w:val="ListBullet"/>
      </w:pPr>
      <w:r>
        <w:t>The interface preserves the authority of human review and referral protocols.</w:t>
      </w:r>
    </w:p>
    <w:p>
      <w:pPr>
        <w:pStyle w:val="Heading1"/>
      </w:pPr>
      <w:r>
        <w:t>16. Reporting Template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7"/>
              </w:rPr>
              <w:t>Report section</w:t>
            </w:r>
          </w:p>
        </w:tc>
        <w:tc>
          <w:tcPr>
            <w:tcW w:type="dxa" w:w="4939"/>
            <w:shd w:fill="1F4E78"/>
          </w:tcPr>
          <w:p>
            <w:r>
              <w:rPr>
                <w:b/>
                <w:color w:val="FFFFFF"/>
                <w:sz w:val="17"/>
              </w:rPr>
              <w:t>Required content</w:t>
            </w:r>
          </w:p>
        </w:tc>
      </w:tr>
      <w:tr>
        <w:tc>
          <w:tcPr>
            <w:tcW w:type="dxa" w:w="4939"/>
            <w:tcMar>
              <w:top w:w="60" w:type="dxa"/>
              <w:start w:w="75" w:type="dxa"/>
              <w:bottom w:w="60" w:type="dxa"/>
              <w:end w:w="75" w:type="dxa"/>
            </w:tcMar>
            <w:vAlign w:val="center"/>
          </w:tcPr>
          <w:p>
            <w:r>
              <w:rPr>
                <w:sz w:val="16"/>
              </w:rPr>
              <w:t>Dataset and split</w:t>
            </w:r>
          </w:p>
        </w:tc>
        <w:tc>
          <w:tcPr>
            <w:tcW w:type="dxa" w:w="4939"/>
            <w:tcMar>
              <w:top w:w="60" w:type="dxa"/>
              <w:start w:w="75" w:type="dxa"/>
              <w:bottom w:w="60" w:type="dxa"/>
              <w:end w:w="75" w:type="dxa"/>
            </w:tcMar>
            <w:vAlign w:val="center"/>
          </w:tcPr>
          <w:p>
            <w:r>
              <w:rPr>
                <w:sz w:val="16"/>
              </w:rPr>
              <w:t>Dataset version, patient/record counts, prevalence, inclusion/exclusion, grouping method.</w:t>
            </w:r>
          </w:p>
        </w:tc>
      </w:tr>
      <w:tr>
        <w:tc>
          <w:tcPr>
            <w:tcW w:type="dxa" w:w="4939"/>
            <w:tcMar>
              <w:top w:w="60" w:type="dxa"/>
              <w:start w:w="75" w:type="dxa"/>
              <w:bottom w:w="60" w:type="dxa"/>
              <w:end w:w="75" w:type="dxa"/>
            </w:tcMar>
            <w:vAlign w:val="center"/>
            <w:shd w:fill="F3F6F9"/>
          </w:tcPr>
          <w:p>
            <w:r>
              <w:rPr>
                <w:sz w:val="16"/>
              </w:rPr>
              <w:t>Model and threshold</w:t>
            </w:r>
          </w:p>
        </w:tc>
        <w:tc>
          <w:tcPr>
            <w:tcW w:type="dxa" w:w="4939"/>
            <w:tcMar>
              <w:top w:w="60" w:type="dxa"/>
              <w:start w:w="75" w:type="dxa"/>
              <w:bottom w:w="60" w:type="dxa"/>
              <w:end w:w="75" w:type="dxa"/>
            </w:tcMar>
            <w:vAlign w:val="center"/>
            <w:shd w:fill="F3F6F9"/>
          </w:tcPr>
          <w:p>
            <w:r>
              <w:rPr>
                <w:sz w:val="16"/>
              </w:rPr>
              <w:t>Artifact version, schema version, parameters, threshold, preprocessing.</w:t>
            </w:r>
          </w:p>
        </w:tc>
      </w:tr>
      <w:tr>
        <w:tc>
          <w:tcPr>
            <w:tcW w:type="dxa" w:w="4939"/>
            <w:tcMar>
              <w:top w:w="60" w:type="dxa"/>
              <w:start w:w="75" w:type="dxa"/>
              <w:bottom w:w="60" w:type="dxa"/>
              <w:end w:w="75" w:type="dxa"/>
            </w:tcMar>
            <w:vAlign w:val="center"/>
          </w:tcPr>
          <w:p>
            <w:r>
              <w:rPr>
                <w:sz w:val="16"/>
              </w:rPr>
              <w:t>Primary results</w:t>
            </w:r>
          </w:p>
        </w:tc>
        <w:tc>
          <w:tcPr>
            <w:tcW w:type="dxa" w:w="4939"/>
            <w:tcMar>
              <w:top w:w="60" w:type="dxa"/>
              <w:start w:w="75" w:type="dxa"/>
              <w:bottom w:w="60" w:type="dxa"/>
              <w:end w:w="75" w:type="dxa"/>
            </w:tcMar>
            <w:vAlign w:val="center"/>
          </w:tcPr>
          <w:p>
            <w:r>
              <w:rPr>
                <w:sz w:val="16"/>
              </w:rPr>
              <w:t>Confusion matrix, sensitivity, specificity, precision, NPV, F1, balanced accuracy.</w:t>
            </w:r>
          </w:p>
        </w:tc>
      </w:tr>
      <w:tr>
        <w:tc>
          <w:tcPr>
            <w:tcW w:type="dxa" w:w="4939"/>
            <w:tcMar>
              <w:top w:w="60" w:type="dxa"/>
              <w:start w:w="75" w:type="dxa"/>
              <w:bottom w:w="60" w:type="dxa"/>
              <w:end w:w="75" w:type="dxa"/>
            </w:tcMar>
            <w:vAlign w:val="center"/>
            <w:shd w:fill="F3F6F9"/>
          </w:tcPr>
          <w:p>
            <w:r>
              <w:rPr>
                <w:sz w:val="16"/>
              </w:rPr>
              <w:t>Ranking/calibration</w:t>
            </w:r>
          </w:p>
        </w:tc>
        <w:tc>
          <w:tcPr>
            <w:tcW w:type="dxa" w:w="4939"/>
            <w:tcMar>
              <w:top w:w="60" w:type="dxa"/>
              <w:start w:w="75" w:type="dxa"/>
              <w:bottom w:w="60" w:type="dxa"/>
              <w:end w:w="75" w:type="dxa"/>
            </w:tcMar>
            <w:vAlign w:val="center"/>
            <w:shd w:fill="F3F6F9"/>
          </w:tcPr>
          <w:p>
            <w:r>
              <w:rPr>
                <w:sz w:val="16"/>
              </w:rPr>
              <w:t>ROC-AUC, PR-AUC, calibration evidence only when appropriate.</w:t>
            </w:r>
          </w:p>
        </w:tc>
      </w:tr>
      <w:tr>
        <w:tc>
          <w:tcPr>
            <w:tcW w:type="dxa" w:w="4939"/>
            <w:tcMar>
              <w:top w:w="60" w:type="dxa"/>
              <w:start w:w="75" w:type="dxa"/>
              <w:bottom w:w="60" w:type="dxa"/>
              <w:end w:w="75" w:type="dxa"/>
            </w:tcMar>
            <w:vAlign w:val="center"/>
          </w:tcPr>
          <w:p>
            <w:r>
              <w:rPr>
                <w:sz w:val="16"/>
              </w:rPr>
              <w:t>Uncertainty</w:t>
            </w:r>
          </w:p>
        </w:tc>
        <w:tc>
          <w:tcPr>
            <w:tcW w:type="dxa" w:w="4939"/>
            <w:tcMar>
              <w:top w:w="60" w:type="dxa"/>
              <w:start w:w="75" w:type="dxa"/>
              <w:bottom w:w="60" w:type="dxa"/>
              <w:end w:w="75" w:type="dxa"/>
            </w:tcMar>
            <w:vAlign w:val="center"/>
          </w:tcPr>
          <w:p>
            <w:r>
              <w:rPr>
                <w:sz w:val="16"/>
              </w:rPr>
              <w:t>Confidence intervals and small-sample caveats.</w:t>
            </w:r>
          </w:p>
        </w:tc>
      </w:tr>
      <w:tr>
        <w:tc>
          <w:tcPr>
            <w:tcW w:type="dxa" w:w="4939"/>
            <w:tcMar>
              <w:top w:w="60" w:type="dxa"/>
              <w:start w:w="75" w:type="dxa"/>
              <w:bottom w:w="60" w:type="dxa"/>
              <w:end w:w="75" w:type="dxa"/>
            </w:tcMar>
            <w:vAlign w:val="center"/>
            <w:shd w:fill="F3F6F9"/>
          </w:tcPr>
          <w:p>
            <w:r>
              <w:rPr>
                <w:sz w:val="16"/>
              </w:rPr>
              <w:t>Subgroups</w:t>
            </w:r>
          </w:p>
        </w:tc>
        <w:tc>
          <w:tcPr>
            <w:tcW w:type="dxa" w:w="4939"/>
            <w:tcMar>
              <w:top w:w="60" w:type="dxa"/>
              <w:start w:w="75" w:type="dxa"/>
              <w:bottom w:w="60" w:type="dxa"/>
              <w:end w:w="75" w:type="dxa"/>
            </w:tcMar>
            <w:vAlign w:val="center"/>
            <w:shd w:fill="F3F6F9"/>
          </w:tcPr>
          <w:p>
            <w:r>
              <w:rPr>
                <w:sz w:val="16"/>
              </w:rPr>
              <w:t>Counts, metrics, errors, unsupported groups.</w:t>
            </w:r>
          </w:p>
        </w:tc>
      </w:tr>
      <w:tr>
        <w:tc>
          <w:tcPr>
            <w:tcW w:type="dxa" w:w="4939"/>
            <w:tcMar>
              <w:top w:w="60" w:type="dxa"/>
              <w:start w:w="75" w:type="dxa"/>
              <w:bottom w:w="60" w:type="dxa"/>
              <w:end w:w="75" w:type="dxa"/>
            </w:tcMar>
            <w:vAlign w:val="center"/>
          </w:tcPr>
          <w:p>
            <w:r>
              <w:rPr>
                <w:sz w:val="16"/>
              </w:rPr>
              <w:t>Error review</w:t>
            </w:r>
          </w:p>
        </w:tc>
        <w:tc>
          <w:tcPr>
            <w:tcW w:type="dxa" w:w="4939"/>
            <w:tcMar>
              <w:top w:w="60" w:type="dxa"/>
              <w:start w:w="75" w:type="dxa"/>
              <w:bottom w:w="60" w:type="dxa"/>
              <w:end w:w="75" w:type="dxa"/>
            </w:tcMar>
            <w:vAlign w:val="center"/>
          </w:tcPr>
          <w:p>
            <w:r>
              <w:rPr>
                <w:sz w:val="16"/>
              </w:rPr>
              <w:t>False LOW and false HIGH themes without exposing patient identity.</w:t>
            </w:r>
          </w:p>
        </w:tc>
      </w:tr>
      <w:tr>
        <w:tc>
          <w:tcPr>
            <w:tcW w:type="dxa" w:w="4939"/>
            <w:tcMar>
              <w:top w:w="60" w:type="dxa"/>
              <w:start w:w="75" w:type="dxa"/>
              <w:bottom w:w="60" w:type="dxa"/>
              <w:end w:w="75" w:type="dxa"/>
            </w:tcMar>
            <w:vAlign w:val="center"/>
            <w:shd w:fill="F3F6F9"/>
          </w:tcPr>
          <w:p>
            <w:r>
              <w:rPr>
                <w:sz w:val="16"/>
              </w:rPr>
              <w:t>Hybrid workflow</w:t>
            </w:r>
          </w:p>
        </w:tc>
        <w:tc>
          <w:tcPr>
            <w:tcW w:type="dxa" w:w="4939"/>
            <w:tcMar>
              <w:top w:w="60" w:type="dxa"/>
              <w:start w:w="75" w:type="dxa"/>
              <w:bottom w:w="60" w:type="dxa"/>
              <w:end w:w="75" w:type="dxa"/>
            </w:tcMar>
            <w:vAlign w:val="center"/>
            <w:shd w:fill="F3F6F9"/>
          </w:tcPr>
          <w:p>
            <w:r>
              <w:rPr>
                <w:sz w:val="16"/>
              </w:rPr>
              <w:t>Decision-engine and failure-safe test results.</w:t>
            </w:r>
          </w:p>
        </w:tc>
      </w:tr>
      <w:tr>
        <w:tc>
          <w:tcPr>
            <w:tcW w:type="dxa" w:w="4939"/>
            <w:tcMar>
              <w:top w:w="60" w:type="dxa"/>
              <w:start w:w="75" w:type="dxa"/>
              <w:bottom w:w="60" w:type="dxa"/>
              <w:end w:w="75" w:type="dxa"/>
            </w:tcMar>
            <w:vAlign w:val="center"/>
          </w:tcPr>
          <w:p>
            <w:r>
              <w:rPr>
                <w:sz w:val="16"/>
              </w:rPr>
              <w:t>Limitations</w:t>
            </w:r>
          </w:p>
        </w:tc>
        <w:tc>
          <w:tcPr>
            <w:tcW w:type="dxa" w:w="4939"/>
            <w:tcMar>
              <w:top w:w="60" w:type="dxa"/>
              <w:start w:w="75" w:type="dxa"/>
              <w:bottom w:w="60" w:type="dxa"/>
              <w:end w:w="75" w:type="dxa"/>
            </w:tcMar>
            <w:vAlign w:val="center"/>
          </w:tcPr>
          <w:p>
            <w:r>
              <w:rPr>
                <w:sz w:val="16"/>
              </w:rPr>
              <w:t>Internal validation, label quality, sample size, site specificity, missing outcomes.</w:t>
            </w:r>
          </w:p>
        </w:tc>
      </w:tr>
      <w:tr>
        <w:tc>
          <w:tcPr>
            <w:tcW w:type="dxa" w:w="4939"/>
            <w:tcMar>
              <w:top w:w="60" w:type="dxa"/>
              <w:start w:w="75" w:type="dxa"/>
              <w:bottom w:w="60" w:type="dxa"/>
              <w:end w:w="75" w:type="dxa"/>
            </w:tcMar>
            <w:vAlign w:val="center"/>
            <w:shd w:fill="F3F6F9"/>
          </w:tcPr>
          <w:p>
            <w:r>
              <w:rPr>
                <w:sz w:val="16"/>
              </w:rPr>
              <w:t>Approval</w:t>
            </w:r>
          </w:p>
        </w:tc>
        <w:tc>
          <w:tcPr>
            <w:tcW w:type="dxa" w:w="4939"/>
            <w:tcMar>
              <w:top w:w="60" w:type="dxa"/>
              <w:start w:w="75" w:type="dxa"/>
              <w:bottom w:w="60" w:type="dxa"/>
              <w:end w:w="75" w:type="dxa"/>
            </w:tcMar>
            <w:vAlign w:val="center"/>
            <w:shd w:fill="F3F6F9"/>
          </w:tcPr>
          <w:p>
            <w:r>
              <w:rPr>
                <w:sz w:val="16"/>
              </w:rPr>
              <w:t>Reviewer, date, decision, restrictions, and required follow-up.</w:t>
            </w:r>
          </w:p>
        </w:tc>
      </w:tr>
    </w:tbl>
    <w:p/>
    <w:p>
      <w:pPr>
        <w:pStyle w:val="Heading1"/>
      </w:pPr>
      <w:r>
        <w:t>17. Evaluation Acceptance Criteria</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7"/>
              </w:rPr>
              <w:t>ID</w:t>
            </w:r>
          </w:p>
        </w:tc>
        <w:tc>
          <w:tcPr>
            <w:tcW w:type="dxa" w:w="4939"/>
            <w:shd w:fill="1F4E78"/>
          </w:tcPr>
          <w:p>
            <w:r>
              <w:rPr>
                <w:b/>
                <w:color w:val="FFFFFF"/>
                <w:sz w:val="17"/>
              </w:rPr>
              <w:t>Acceptance requirement</w:t>
            </w:r>
          </w:p>
        </w:tc>
      </w:tr>
      <w:tr>
        <w:tc>
          <w:tcPr>
            <w:tcW w:type="dxa" w:w="4939"/>
            <w:tcMar>
              <w:top w:w="60" w:type="dxa"/>
              <w:start w:w="75" w:type="dxa"/>
              <w:bottom w:w="60" w:type="dxa"/>
              <w:end w:w="75" w:type="dxa"/>
            </w:tcMar>
            <w:vAlign w:val="center"/>
          </w:tcPr>
          <w:p>
            <w:r>
              <w:rPr>
                <w:sz w:val="16"/>
              </w:rPr>
              <w:t>EV-01</w:t>
            </w:r>
          </w:p>
        </w:tc>
        <w:tc>
          <w:tcPr>
            <w:tcW w:type="dxa" w:w="4939"/>
            <w:tcMar>
              <w:top w:w="60" w:type="dxa"/>
              <w:start w:w="75" w:type="dxa"/>
              <w:bottom w:w="60" w:type="dxa"/>
              <w:end w:w="75" w:type="dxa"/>
            </w:tcMar>
            <w:vAlign w:val="center"/>
          </w:tcPr>
          <w:p>
            <w:r>
              <w:rPr>
                <w:sz w:val="16"/>
              </w:rPr>
              <w:t>All results come from the approved frozen pipeline and documented dataset release.</w:t>
            </w:r>
          </w:p>
        </w:tc>
      </w:tr>
      <w:tr>
        <w:tc>
          <w:tcPr>
            <w:tcW w:type="dxa" w:w="4939"/>
            <w:tcMar>
              <w:top w:w="60" w:type="dxa"/>
              <w:start w:w="75" w:type="dxa"/>
              <w:bottom w:w="60" w:type="dxa"/>
              <w:end w:w="75" w:type="dxa"/>
            </w:tcMar>
            <w:vAlign w:val="center"/>
            <w:shd w:fill="F3F6F9"/>
          </w:tcPr>
          <w:p>
            <w:r>
              <w:rPr>
                <w:sz w:val="16"/>
              </w:rPr>
              <w:t>EV-02</w:t>
            </w:r>
          </w:p>
        </w:tc>
        <w:tc>
          <w:tcPr>
            <w:tcW w:type="dxa" w:w="4939"/>
            <w:tcMar>
              <w:top w:w="60" w:type="dxa"/>
              <w:start w:w="75" w:type="dxa"/>
              <w:bottom w:w="60" w:type="dxa"/>
              <w:end w:w="75" w:type="dxa"/>
            </w:tcMar>
            <w:vAlign w:val="center"/>
            <w:shd w:fill="F3F6F9"/>
          </w:tcPr>
          <w:p>
            <w:r>
              <w:rPr>
                <w:sz w:val="16"/>
              </w:rPr>
              <w:t>No patient or pregnancy appears across development and independent test partitions.</w:t>
            </w:r>
          </w:p>
        </w:tc>
      </w:tr>
      <w:tr>
        <w:tc>
          <w:tcPr>
            <w:tcW w:type="dxa" w:w="4939"/>
            <w:tcMar>
              <w:top w:w="60" w:type="dxa"/>
              <w:start w:w="75" w:type="dxa"/>
              <w:bottom w:w="60" w:type="dxa"/>
              <w:end w:w="75" w:type="dxa"/>
            </w:tcMar>
            <w:vAlign w:val="center"/>
          </w:tcPr>
          <w:p>
            <w:r>
              <w:rPr>
                <w:sz w:val="16"/>
              </w:rPr>
              <w:t>EV-03</w:t>
            </w:r>
          </w:p>
        </w:tc>
        <w:tc>
          <w:tcPr>
            <w:tcW w:type="dxa" w:w="4939"/>
            <w:tcMar>
              <w:top w:w="60" w:type="dxa"/>
              <w:start w:w="75" w:type="dxa"/>
              <w:bottom w:w="60" w:type="dxa"/>
              <w:end w:w="75" w:type="dxa"/>
            </w:tcMar>
            <w:vAlign w:val="center"/>
          </w:tcPr>
          <w:p>
            <w:r>
              <w:rPr>
                <w:sz w:val="16"/>
              </w:rPr>
              <w:t>The report includes raw confusion-matrix counts and class prevalence.</w:t>
            </w:r>
          </w:p>
        </w:tc>
      </w:tr>
      <w:tr>
        <w:tc>
          <w:tcPr>
            <w:tcW w:type="dxa" w:w="4939"/>
            <w:tcMar>
              <w:top w:w="60" w:type="dxa"/>
              <w:start w:w="75" w:type="dxa"/>
              <w:bottom w:w="60" w:type="dxa"/>
              <w:end w:w="75" w:type="dxa"/>
            </w:tcMar>
            <w:vAlign w:val="center"/>
            <w:shd w:fill="F3F6F9"/>
          </w:tcPr>
          <w:p>
            <w:r>
              <w:rPr>
                <w:sz w:val="16"/>
              </w:rPr>
              <w:t>EV-04</w:t>
            </w:r>
          </w:p>
        </w:tc>
        <w:tc>
          <w:tcPr>
            <w:tcW w:type="dxa" w:w="4939"/>
            <w:tcMar>
              <w:top w:w="60" w:type="dxa"/>
              <w:start w:w="75" w:type="dxa"/>
              <w:bottom w:w="60" w:type="dxa"/>
              <w:end w:w="75" w:type="dxa"/>
            </w:tcMar>
            <w:vAlign w:val="center"/>
            <w:shd w:fill="F3F6F9"/>
          </w:tcPr>
          <w:p>
            <w:r>
              <w:rPr>
                <w:sz w:val="16"/>
              </w:rPr>
              <w:t>Accuracy is not reported without sensitivity, specificity, precision, NPV, and a majority baseline.</w:t>
            </w:r>
          </w:p>
        </w:tc>
      </w:tr>
      <w:tr>
        <w:tc>
          <w:tcPr>
            <w:tcW w:type="dxa" w:w="4939"/>
            <w:tcMar>
              <w:top w:w="60" w:type="dxa"/>
              <w:start w:w="75" w:type="dxa"/>
              <w:bottom w:w="60" w:type="dxa"/>
              <w:end w:w="75" w:type="dxa"/>
            </w:tcMar>
            <w:vAlign w:val="center"/>
          </w:tcPr>
          <w:p>
            <w:r>
              <w:rPr>
                <w:sz w:val="16"/>
              </w:rPr>
              <w:t>EV-05</w:t>
            </w:r>
          </w:p>
        </w:tc>
        <w:tc>
          <w:tcPr>
            <w:tcW w:type="dxa" w:w="4939"/>
            <w:tcMar>
              <w:top w:w="60" w:type="dxa"/>
              <w:start w:w="75" w:type="dxa"/>
              <w:bottom w:w="60" w:type="dxa"/>
              <w:end w:w="75" w:type="dxa"/>
            </w:tcMar>
            <w:vAlign w:val="center"/>
          </w:tcPr>
          <w:p>
            <w:r>
              <w:rPr>
                <w:sz w:val="16"/>
              </w:rPr>
              <w:t>False LOW records receive structured case review.</w:t>
            </w:r>
          </w:p>
        </w:tc>
      </w:tr>
      <w:tr>
        <w:tc>
          <w:tcPr>
            <w:tcW w:type="dxa" w:w="4939"/>
            <w:tcMar>
              <w:top w:w="60" w:type="dxa"/>
              <w:start w:w="75" w:type="dxa"/>
              <w:bottom w:w="60" w:type="dxa"/>
              <w:end w:w="75" w:type="dxa"/>
            </w:tcMar>
            <w:vAlign w:val="center"/>
            <w:shd w:fill="F3F6F9"/>
          </w:tcPr>
          <w:p>
            <w:r>
              <w:rPr>
                <w:sz w:val="16"/>
              </w:rPr>
              <w:t>EV-06</w:t>
            </w:r>
          </w:p>
        </w:tc>
        <w:tc>
          <w:tcPr>
            <w:tcW w:type="dxa" w:w="4939"/>
            <w:tcMar>
              <w:top w:w="60" w:type="dxa"/>
              <w:start w:w="75" w:type="dxa"/>
              <w:bottom w:w="60" w:type="dxa"/>
              <w:end w:w="75" w:type="dxa"/>
            </w:tcMar>
            <w:vAlign w:val="center"/>
            <w:shd w:fill="F3F6F9"/>
          </w:tcPr>
          <w:p>
            <w:r>
              <w:rPr>
                <w:sz w:val="16"/>
              </w:rPr>
              <w:t>Threshold selection is completed before independent test evaluation.</w:t>
            </w:r>
          </w:p>
        </w:tc>
      </w:tr>
      <w:tr>
        <w:tc>
          <w:tcPr>
            <w:tcW w:type="dxa" w:w="4939"/>
            <w:tcMar>
              <w:top w:w="60" w:type="dxa"/>
              <w:start w:w="75" w:type="dxa"/>
              <w:bottom w:w="60" w:type="dxa"/>
              <w:end w:w="75" w:type="dxa"/>
            </w:tcMar>
            <w:vAlign w:val="center"/>
          </w:tcPr>
          <w:p>
            <w:r>
              <w:rPr>
                <w:sz w:val="16"/>
              </w:rPr>
              <w:t>EV-07</w:t>
            </w:r>
          </w:p>
        </w:tc>
        <w:tc>
          <w:tcPr>
            <w:tcW w:type="dxa" w:w="4939"/>
            <w:tcMar>
              <w:top w:w="60" w:type="dxa"/>
              <w:start w:w="75" w:type="dxa"/>
              <w:bottom w:w="60" w:type="dxa"/>
              <w:end w:w="75" w:type="dxa"/>
            </w:tcMar>
            <w:vAlign w:val="center"/>
          </w:tcPr>
          <w:p>
            <w:r>
              <w:rPr>
                <w:sz w:val="16"/>
              </w:rPr>
              <w:t>Probabilities are not presented as clinical risk unless calibration is evaluated and justified.</w:t>
            </w:r>
          </w:p>
        </w:tc>
      </w:tr>
      <w:tr>
        <w:tc>
          <w:tcPr>
            <w:tcW w:type="dxa" w:w="4939"/>
            <w:tcMar>
              <w:top w:w="60" w:type="dxa"/>
              <w:start w:w="75" w:type="dxa"/>
              <w:bottom w:w="60" w:type="dxa"/>
              <w:end w:w="75" w:type="dxa"/>
            </w:tcMar>
            <w:vAlign w:val="center"/>
            <w:shd w:fill="F3F6F9"/>
          </w:tcPr>
          <w:p>
            <w:r>
              <w:rPr>
                <w:sz w:val="16"/>
              </w:rPr>
              <w:t>EV-08</w:t>
            </w:r>
          </w:p>
        </w:tc>
        <w:tc>
          <w:tcPr>
            <w:tcW w:type="dxa" w:w="4939"/>
            <w:tcMar>
              <w:top w:w="60" w:type="dxa"/>
              <w:start w:w="75" w:type="dxa"/>
              <w:bottom w:w="60" w:type="dxa"/>
              <w:end w:w="75" w:type="dxa"/>
            </w:tcMar>
            <w:vAlign w:val="center"/>
            <w:shd w:fill="F3F6F9"/>
          </w:tcPr>
          <w:p>
            <w:r>
              <w:rPr>
                <w:sz w:val="16"/>
              </w:rPr>
              <w:t>Supported subgroup results include sample sizes and uncertainty.</w:t>
            </w:r>
          </w:p>
        </w:tc>
      </w:tr>
      <w:tr>
        <w:tc>
          <w:tcPr>
            <w:tcW w:type="dxa" w:w="4939"/>
            <w:tcMar>
              <w:top w:w="60" w:type="dxa"/>
              <w:start w:w="75" w:type="dxa"/>
              <w:bottom w:w="60" w:type="dxa"/>
              <w:end w:w="75" w:type="dxa"/>
            </w:tcMar>
            <w:vAlign w:val="center"/>
          </w:tcPr>
          <w:p>
            <w:r>
              <w:rPr>
                <w:sz w:val="16"/>
              </w:rPr>
              <w:t>EV-09</w:t>
            </w:r>
          </w:p>
        </w:tc>
        <w:tc>
          <w:tcPr>
            <w:tcW w:type="dxa" w:w="4939"/>
            <w:tcMar>
              <w:top w:w="60" w:type="dxa"/>
              <w:start w:w="75" w:type="dxa"/>
              <w:bottom w:w="60" w:type="dxa"/>
              <w:end w:w="75" w:type="dxa"/>
            </w:tcMar>
            <w:vAlign w:val="center"/>
          </w:tcPr>
          <w:p>
            <w:r>
              <w:rPr>
                <w:sz w:val="16"/>
              </w:rPr>
              <w:t>All missing/invalid ML outputs produce ASSESSMENT INCOMPLETE in integration tests.</w:t>
            </w:r>
          </w:p>
        </w:tc>
      </w:tr>
      <w:tr>
        <w:tc>
          <w:tcPr>
            <w:tcW w:type="dxa" w:w="4939"/>
            <w:tcMar>
              <w:top w:w="60" w:type="dxa"/>
              <w:start w:w="75" w:type="dxa"/>
              <w:bottom w:w="60" w:type="dxa"/>
              <w:end w:w="75" w:type="dxa"/>
            </w:tcMar>
            <w:vAlign w:val="center"/>
            <w:shd w:fill="F3F6F9"/>
          </w:tcPr>
          <w:p>
            <w:r>
              <w:rPr>
                <w:sz w:val="16"/>
              </w:rPr>
              <w:t>EV-10</w:t>
            </w:r>
          </w:p>
        </w:tc>
        <w:tc>
          <w:tcPr>
            <w:tcW w:type="dxa" w:w="4939"/>
            <w:tcMar>
              <w:top w:w="60" w:type="dxa"/>
              <w:start w:w="75" w:type="dxa"/>
              <w:bottom w:w="60" w:type="dxa"/>
              <w:end w:w="75" w:type="dxa"/>
            </w:tcMar>
            <w:vAlign w:val="center"/>
            <w:shd w:fill="F3F6F9"/>
          </w:tcPr>
          <w:p>
            <w:r>
              <w:rPr>
                <w:sz w:val="16"/>
              </w:rPr>
              <w:t>All deterministic HIGH and urgent conditions override ML LOW.</w:t>
            </w:r>
          </w:p>
        </w:tc>
      </w:tr>
      <w:tr>
        <w:tc>
          <w:tcPr>
            <w:tcW w:type="dxa" w:w="4939"/>
            <w:tcMar>
              <w:top w:w="60" w:type="dxa"/>
              <w:start w:w="75" w:type="dxa"/>
              <w:bottom w:w="60" w:type="dxa"/>
              <w:end w:w="75" w:type="dxa"/>
            </w:tcMar>
            <w:vAlign w:val="center"/>
          </w:tcPr>
          <w:p>
            <w:r>
              <w:rPr>
                <w:sz w:val="16"/>
              </w:rPr>
              <w:t>EV-11</w:t>
            </w:r>
          </w:p>
        </w:tc>
        <w:tc>
          <w:tcPr>
            <w:tcW w:type="dxa" w:w="4939"/>
            <w:tcMar>
              <w:top w:w="60" w:type="dxa"/>
              <w:start w:w="75" w:type="dxa"/>
              <w:bottom w:w="60" w:type="dxa"/>
              <w:end w:w="75" w:type="dxa"/>
            </w:tcMar>
            <w:vAlign w:val="center"/>
          </w:tcPr>
          <w:p>
            <w:r>
              <w:rPr>
                <w:sz w:val="16"/>
              </w:rPr>
              <w:t>System-level usability scenarios are completed with intended users or supervised representatives.</w:t>
            </w:r>
          </w:p>
        </w:tc>
      </w:tr>
      <w:tr>
        <w:tc>
          <w:tcPr>
            <w:tcW w:type="dxa" w:w="4939"/>
            <w:tcMar>
              <w:top w:w="60" w:type="dxa"/>
              <w:start w:w="75" w:type="dxa"/>
              <w:bottom w:w="60" w:type="dxa"/>
              <w:end w:w="75" w:type="dxa"/>
            </w:tcMar>
            <w:vAlign w:val="center"/>
            <w:shd w:fill="F3F6F9"/>
          </w:tcPr>
          <w:p>
            <w:r>
              <w:rPr>
                <w:sz w:val="16"/>
              </w:rPr>
              <w:t>EV-12</w:t>
            </w:r>
          </w:p>
        </w:tc>
        <w:tc>
          <w:tcPr>
            <w:tcW w:type="dxa" w:w="4939"/>
            <w:tcMar>
              <w:top w:w="60" w:type="dxa"/>
              <w:start w:w="75" w:type="dxa"/>
              <w:bottom w:w="60" w:type="dxa"/>
              <w:end w:w="75" w:type="dxa"/>
            </w:tcMar>
            <w:vAlign w:val="center"/>
            <w:shd w:fill="F3F6F9"/>
          </w:tcPr>
          <w:p>
            <w:r>
              <w:rPr>
                <w:sz w:val="16"/>
              </w:rPr>
              <w:t>Claims clearly distinguish internal model evaluation from clinical or external validation.</w:t>
            </w:r>
          </w:p>
        </w:tc>
      </w:tr>
    </w:tbl>
    <w:p/>
    <w:p>
      <w:pPr>
        <w:pStyle w:val="Heading1"/>
      </w:pPr>
      <w:r>
        <w:t>18. Evidence Required From the Actual Project</w:t>
      </w:r>
    </w:p>
    <w:p>
      <w:pPr>
        <w:pStyle w:val="ListBullet"/>
      </w:pPr>
      <w:r>
        <w:t>Frozen independent test identifiers and class counts.</w:t>
      </w:r>
    </w:p>
    <w:p>
      <w:pPr>
        <w:pStyle w:val="ListBullet"/>
      </w:pPr>
      <w:r>
        <w:t>Actual confusion matrix and metric calculations.</w:t>
      </w:r>
    </w:p>
    <w:p>
      <w:pPr>
        <w:pStyle w:val="ListBullet"/>
      </w:pPr>
      <w:r>
        <w:t>Probability outputs and threshold configuration, if used.</w:t>
      </w:r>
    </w:p>
    <w:p>
      <w:pPr>
        <w:pStyle w:val="ListBullet"/>
      </w:pPr>
      <w:r>
        <w:t>Cross-validation fold results and grouping method.</w:t>
      </w:r>
    </w:p>
    <w:p>
      <w:pPr>
        <w:pStyle w:val="ListBullet"/>
      </w:pPr>
      <w:r>
        <w:t>False LOW and false HIGH case-review worksheet.</w:t>
      </w:r>
    </w:p>
    <w:p>
      <w:pPr>
        <w:pStyle w:val="ListBullet"/>
      </w:pPr>
      <w:r>
        <w:t>Subgroup counts and metrics that are statistically supportable.</w:t>
      </w:r>
    </w:p>
    <w:p>
      <w:pPr>
        <w:pStyle w:val="ListBullet"/>
      </w:pPr>
      <w:r>
        <w:t>Decision-engine automated test results for all rule combinations.</w:t>
      </w:r>
    </w:p>
    <w:p>
      <w:pPr>
        <w:pStyle w:val="ListBullet"/>
      </w:pPr>
      <w:r>
        <w:t>Laravel/Python failure-path tests and sample structured responses.</w:t>
      </w:r>
    </w:p>
    <w:p>
      <w:pPr>
        <w:pStyle w:val="ListBullet"/>
      </w:pPr>
      <w:r>
        <w:t>Usability test protocol and summarized observations.</w:t>
      </w:r>
    </w:p>
    <w:p>
      <w:pPr>
        <w:pStyle w:val="ListBullet"/>
      </w:pPr>
      <w:r>
        <w:t>Model version, feature schema, dependency versions, and artifact hash.</w:t>
      </w:r>
    </w:p>
    <w:p>
      <w:pPr>
        <w:pStyle w:val="Heading1"/>
      </w:pPr>
      <w:r>
        <w:t>19. Transition to Part 7</w:t>
      </w:r>
    </w:p>
    <w:p>
      <w:r>
        <w:t>Part 7 defines how the system communicates its logic and evidence to developers, reviewers, and clinic users. It separates deterministic clinical reasons from model explanations and establishes safeguards against misleading feature-importance or causal claims.</w:t>
      </w:r>
    </w:p>
    <w:p>
      <w:pPr>
        <w:pStyle w:val="Heading1"/>
      </w:pPr>
      <w:r>
        <w:t>References</w:t>
      </w:r>
    </w:p>
    <w:p>
      <w:pPr>
        <w:pStyle w:val="ListNumber"/>
      </w:pPr>
      <w:r>
        <w:t>World Health Organization. Ethics and governance of artificial intelligence for health. WHO; 2021.</w:t>
      </w:r>
    </w:p>
    <w:p>
      <w:pPr>
        <w:pStyle w:val="ListNumber"/>
      </w:pPr>
      <w:r>
        <w:t>International Medical Device Regulators Forum. Good Machine Learning Practice for Medical Device Development: Guiding Principles. Final document; 2025.</w:t>
      </w:r>
    </w:p>
    <w:p>
      <w:pPr>
        <w:pStyle w:val="ListNumber"/>
      </w:pPr>
      <w:r>
        <w:t>U.S. Food and Drug Administration, Health Canada, and MHRA. Transparency for Machine Learning-Enabled Medical Devices: Guiding Principles; 2024.</w:t>
      </w:r>
    </w:p>
    <w:p>
      <w:pPr>
        <w:pStyle w:val="ListNumber"/>
      </w:pPr>
      <w:r>
        <w:t>National Institute of Standards and Technology. Artificial Intelligence Risk Management Framework (AI RMF 1.0). NIST AI 100-1; 2023.</w:t>
      </w:r>
    </w:p>
    <w:p>
      <w:pPr>
        <w:pStyle w:val="ListNumber"/>
      </w:pPr>
      <w:r>
        <w:t>scikit-learn developers. Classification metrics, model evaluation, precision-recall, ROC, and calibration documentation, stable release.</w:t>
      </w:r>
    </w:p>
    <w:p>
      <w:pPr>
        <w:pStyle w:val="ListNumber"/>
      </w:pPr>
      <w:r>
        <w:t>Collins GS, et al. TRIPOD+AI statement for reporting clinical prediction models that use regression or machine learning methods. BMJ; 2024.</w:t>
      </w:r>
    </w:p>
    <w:sectPr w:rsidR="00FC693F" w:rsidRPr="0006063C" w:rsidSect="00034616">
      <w:headerReference w:type="default" r:id="rId9"/>
      <w:footerReference w:type="default" r:id="rId10"/>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DOCUMENT 3 • PART 6 • MACHINE LEARNING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fetyNote">
    <w:name w:val="Safety Note"/>
    <w:rPr>
      <w:rFonts w:ascii="Aptos" w:hAnsi="Aptos"/>
      <w:b/>
      <w:color w:val="9C000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