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30"/>
        </w:rPr>
        <w:t>DOCUMENT 3</w:t>
      </w:r>
    </w:p>
    <w:p>
      <w:pPr>
        <w:jc w:val="center"/>
      </w:pPr>
      <w:r>
        <w:rPr>
          <w:b/>
          <w:color w:val="7F8C8D"/>
          <w:sz w:val="26"/>
        </w:rPr>
        <w:t>PART 7</w:t>
      </w:r>
    </w:p>
    <w:p>
      <w:pPr>
        <w:spacing w:before="480"/>
        <w:jc w:val="center"/>
      </w:pPr>
      <w:r>
        <w:rPr>
          <w:b/>
          <w:color w:val="17365D"/>
          <w:sz w:val="50"/>
        </w:rPr>
        <w:t>Explainable Machine Learning Architecture</w:t>
      </w:r>
    </w:p>
    <w:p>
      <w:pPr>
        <w:jc w:val="center"/>
      </w:pPr>
      <w:r>
        <w:rPr>
          <w:i/>
          <w:color w:val="44546A"/>
          <w:sz w:val="24"/>
        </w:rPr>
        <w:t>Transparent evidence, intelligible communication, auditability, and safe human oversight</w:t>
      </w:r>
    </w:p>
    <w:p/>
    <w:p/>
    <w:tbl>
      <w:tblPr>
        <w:tblStyle w:val="TableGrid"/>
        <w:tblW w:type="auto" w:w="0"/>
        <w:jc w:val="center"/>
        <w:tblLook w:firstColumn="1" w:firstRow="1" w:lastColumn="0" w:lastRow="0" w:noHBand="0" w:noVBand="1" w:val="04A0"/>
      </w:tblPr>
      <w:tblGrid>
        <w:gridCol w:w="4939"/>
        <w:gridCol w:w="4939"/>
      </w:tblGrid>
      <w:tr>
        <w:tc>
          <w:tcPr>
            <w:tcW w:type="dxa" w:w="4939"/>
            <w:shd w:fill="D9EAF7"/>
            <w:tcMar>
              <w:top w:w="60" w:type="dxa"/>
              <w:start w:w="75" w:type="dxa"/>
              <w:bottom w:w="60" w:type="dxa"/>
              <w:end w:w="75" w:type="dxa"/>
            </w:tcMar>
            <w:vAlign w:val="center"/>
          </w:tcPr>
          <w:p>
            <w:r>
              <w:rPr>
                <w:b/>
              </w:rPr>
              <w:t>System</w:t>
            </w:r>
          </w:p>
        </w:tc>
        <w:tc>
          <w:tcPr>
            <w:tcW w:type="dxa" w:w="4939"/>
            <w:tcMar>
              <w:top w:w="60" w:type="dxa"/>
              <w:start w:w="75" w:type="dxa"/>
              <w:bottom w:w="60" w:type="dxa"/>
              <w:end w:w="75" w:type="dxa"/>
            </w:tcMar>
            <w:vAlign w:val="center"/>
          </w:tcPr>
          <w:p>
            <w:r>
              <w:t>Explainable Clinical Decision Support System for a Web-Based Maternity Management System</w:t>
            </w:r>
          </w:p>
        </w:tc>
      </w:tr>
      <w:tr>
        <w:tc>
          <w:tcPr>
            <w:tcW w:type="dxa" w:w="4939"/>
            <w:shd w:fill="D9EAF7"/>
            <w:tcMar>
              <w:top w:w="60" w:type="dxa"/>
              <w:start w:w="75" w:type="dxa"/>
              <w:bottom w:w="60" w:type="dxa"/>
              <w:end w:w="75" w:type="dxa"/>
            </w:tcMar>
            <w:vAlign w:val="center"/>
          </w:tcPr>
          <w:p>
            <w:r>
              <w:rPr>
                <w:b/>
              </w:rPr>
              <w:t>Clinical setting</w:t>
            </w:r>
          </w:p>
        </w:tc>
        <w:tc>
          <w:tcPr>
            <w:tcW w:type="dxa" w:w="4939"/>
            <w:tcMar>
              <w:top w:w="60" w:type="dxa"/>
              <w:start w:w="75" w:type="dxa"/>
              <w:bottom w:w="60" w:type="dxa"/>
              <w:end w:w="75" w:type="dxa"/>
            </w:tcMar>
            <w:vAlign w:val="center"/>
          </w:tcPr>
          <w:p>
            <w:r>
              <w:t>Philippine lying-in clinic / maternity clinic</w:t>
            </w:r>
          </w:p>
        </w:tc>
      </w:tr>
      <w:tr>
        <w:tc>
          <w:tcPr>
            <w:tcW w:type="dxa" w:w="4939"/>
            <w:shd w:fill="D9EAF7"/>
            <w:tcMar>
              <w:top w:w="60" w:type="dxa"/>
              <w:start w:w="75" w:type="dxa"/>
              <w:bottom w:w="60" w:type="dxa"/>
              <w:end w:w="75" w:type="dxa"/>
            </w:tcMar>
            <w:vAlign w:val="center"/>
          </w:tcPr>
          <w:p>
            <w:r>
              <w:rPr>
                <w:b/>
              </w:rPr>
              <w:t>Technology scope</w:t>
            </w:r>
          </w:p>
        </w:tc>
        <w:tc>
          <w:tcPr>
            <w:tcW w:type="dxa" w:w="4939"/>
            <w:tcMar>
              <w:top w:w="60" w:type="dxa"/>
              <w:start w:w="75" w:type="dxa"/>
              <w:bottom w:w="60" w:type="dxa"/>
              <w:end w:w="75" w:type="dxa"/>
            </w:tcMar>
            <w:vAlign w:val="center"/>
          </w:tcPr>
          <w:p>
            <w:r>
              <w:t>Laravel, Python, Random Forest, deterministic clinical rules</w:t>
            </w:r>
          </w:p>
        </w:tc>
      </w:tr>
      <w:tr>
        <w:tc>
          <w:tcPr>
            <w:tcW w:type="dxa" w:w="4939"/>
            <w:shd w:fill="D9EAF7"/>
            <w:tcMar>
              <w:top w:w="60" w:type="dxa"/>
              <w:start w:w="75" w:type="dxa"/>
              <w:bottom w:w="60" w:type="dxa"/>
              <w:end w:w="75" w:type="dxa"/>
            </w:tcMar>
            <w:vAlign w:val="center"/>
          </w:tcPr>
          <w:p>
            <w:r>
              <w:rPr>
                <w:b/>
              </w:rPr>
              <w:t>Document status</w:t>
            </w:r>
          </w:p>
        </w:tc>
        <w:tc>
          <w:tcPr>
            <w:tcW w:type="dxa" w:w="4939"/>
            <w:tcMar>
              <w:top w:w="60" w:type="dxa"/>
              <w:start w:w="75" w:type="dxa"/>
              <w:bottom w:w="60" w:type="dxa"/>
              <w:end w:w="75" w:type="dxa"/>
            </w:tcMar>
            <w:vAlign w:val="center"/>
          </w:tcPr>
          <w:p>
            <w:r>
              <w:t>Research and architecture specification; implementation evidence must be verified</w:t>
            </w:r>
          </w:p>
        </w:tc>
      </w:tr>
      <w:tr>
        <w:tc>
          <w:tcPr>
            <w:tcW w:type="dxa" w:w="4939"/>
            <w:shd w:fill="D9EAF7"/>
            <w:tcMar>
              <w:top w:w="60" w:type="dxa"/>
              <w:start w:w="75" w:type="dxa"/>
              <w:bottom w:w="60" w:type="dxa"/>
              <w:end w:w="75" w:type="dxa"/>
            </w:tcMar>
            <w:vAlign w:val="center"/>
          </w:tcPr>
          <w:p>
            <w:r>
              <w:rPr>
                <w:b/>
              </w:rPr>
              <w:t>Safety boundary</w:t>
            </w:r>
          </w:p>
        </w:tc>
        <w:tc>
          <w:tcPr>
            <w:tcW w:type="dxa" w:w="4939"/>
            <w:tcMar>
              <w:top w:w="60" w:type="dxa"/>
              <w:start w:w="75" w:type="dxa"/>
              <w:bottom w:w="60" w:type="dxa"/>
              <w:end w:w="75" w:type="dxa"/>
            </w:tcMar>
            <w:vAlign w:val="center"/>
          </w:tcPr>
          <w:p>
            <w:r>
              <w:t>Advisory support only; not autonomous diagnosis or treatment</w:t>
            </w:r>
          </w:p>
        </w:tc>
      </w:tr>
    </w:tbl>
    <w:p/>
    <w:p>
      <w:pPr>
        <w:pStyle w:val="SafetyNote"/>
        <w:jc w:val="center"/>
      </w:pPr>
      <w:r>
        <w:t>Prepared as a design-control and research specification. Any claim of measured performance, clinical validation, explanation quality, or deployed behavior must be supported by reproducible project evidence before submission or presentation.</w:t>
      </w:r>
    </w:p>
    <w:p>
      <w:r>
        <w:br w:type="page"/>
      </w:r>
    </w:p>
    <w:p>
      <w:pPr>
        <w:pStyle w:val="Heading1"/>
      </w:pPr>
      <w:r>
        <w:t>Clinical Safety Statement</w:t>
      </w:r>
    </w:p>
    <w:p>
      <w:r>
        <w:t>Explainability is a communication and governance mechanism; it does not make an inaccurate model safe and does not transform statistical association into clinical causation. The final clinical-support result must prioritize explicit rule-based reasons, completeness status, urgent findings, and human judgment over any model explanation.</w:t>
      </w:r>
    </w:p>
    <w:p>
      <w:r>
        <w:t>An explanation must never be used to rationalize an invalid prediction, suppress a referral, or present LOW as a guarantee. When the ML component fails or lacks a valid output, the system should explain the technical incompleteness rather than fabricate a reason.</w:t>
      </w:r>
    </w:p>
    <w:p>
      <w:pPr>
        <w:pStyle w:val="Heading1"/>
      </w:pPr>
      <w:r>
        <w:t>1. Executive Explainability Decision</w:t>
      </w:r>
    </w:p>
    <w:p>
      <w:r>
        <w:t>The system shall implement layered explainability. The first layer explains the final Decision Engine result using explicit deterministic factors and completeness checks. The second layer communicates the bounded ML contribution using validated model-inspection methods and cautious language. The third layer provides technical provenance for developers and auditors. These layers must not be collapsed into one generic “AI reason.”</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1F4E78"/>
          </w:tcPr>
          <w:p>
            <w:r>
              <w:rPr>
                <w:b/>
                <w:color w:val="FFFFFF"/>
                <w:sz w:val="17"/>
              </w:rPr>
              <w:t>Layer</w:t>
            </w:r>
          </w:p>
        </w:tc>
        <w:tc>
          <w:tcPr>
            <w:tcW w:type="dxa" w:w="2469"/>
            <w:shd w:fill="1F4E78"/>
          </w:tcPr>
          <w:p>
            <w:r>
              <w:rPr>
                <w:b/>
                <w:color w:val="FFFFFF"/>
                <w:sz w:val="17"/>
              </w:rPr>
              <w:t>Audience</w:t>
            </w:r>
          </w:p>
        </w:tc>
        <w:tc>
          <w:tcPr>
            <w:tcW w:type="dxa" w:w="2469"/>
            <w:shd w:fill="1F4E78"/>
          </w:tcPr>
          <w:p>
            <w:r>
              <w:rPr>
                <w:b/>
                <w:color w:val="FFFFFF"/>
                <w:sz w:val="17"/>
              </w:rPr>
              <w:t>Content</w:t>
            </w:r>
          </w:p>
        </w:tc>
        <w:tc>
          <w:tcPr>
            <w:tcW w:type="dxa" w:w="2469"/>
            <w:shd w:fill="1F4E78"/>
          </w:tcPr>
          <w:p>
            <w:r>
              <w:rPr>
                <w:b/>
                <w:color w:val="FFFFFF"/>
                <w:sz w:val="17"/>
              </w:rPr>
              <w:t>Authority</w:t>
            </w:r>
          </w:p>
        </w:tc>
      </w:tr>
      <w:tr>
        <w:tc>
          <w:tcPr>
            <w:tcW w:type="dxa" w:w="2469"/>
            <w:tcMar>
              <w:top w:w="60" w:type="dxa"/>
              <w:start w:w="75" w:type="dxa"/>
              <w:bottom w:w="60" w:type="dxa"/>
              <w:end w:w="75" w:type="dxa"/>
            </w:tcMar>
            <w:vAlign w:val="center"/>
          </w:tcPr>
          <w:p>
            <w:r>
              <w:rPr>
                <w:sz w:val="16"/>
              </w:rPr>
              <w:t>Clinical decision explanation</w:t>
            </w:r>
          </w:p>
        </w:tc>
        <w:tc>
          <w:tcPr>
            <w:tcW w:type="dxa" w:w="2469"/>
            <w:tcMar>
              <w:top w:w="60" w:type="dxa"/>
              <w:start w:w="75" w:type="dxa"/>
              <w:bottom w:w="60" w:type="dxa"/>
              <w:end w:w="75" w:type="dxa"/>
            </w:tcMar>
            <w:vAlign w:val="center"/>
          </w:tcPr>
          <w:p>
            <w:r>
              <w:rPr>
                <w:sz w:val="16"/>
              </w:rPr>
              <w:t>Midwife / authorized clinic user</w:t>
            </w:r>
          </w:p>
        </w:tc>
        <w:tc>
          <w:tcPr>
            <w:tcW w:type="dxa" w:w="2469"/>
            <w:tcMar>
              <w:top w:w="60" w:type="dxa"/>
              <w:start w:w="75" w:type="dxa"/>
              <w:bottom w:w="60" w:type="dxa"/>
              <w:end w:w="75" w:type="dxa"/>
            </w:tcMar>
            <w:vAlign w:val="center"/>
          </w:tcPr>
          <w:p>
            <w:r>
              <w:rPr>
                <w:sz w:val="16"/>
              </w:rPr>
              <w:t>Final status, explicit risk factors, urgent condition, missing evidence, recommended action.</w:t>
            </w:r>
          </w:p>
        </w:tc>
        <w:tc>
          <w:tcPr>
            <w:tcW w:type="dxa" w:w="2469"/>
            <w:tcMar>
              <w:top w:w="60" w:type="dxa"/>
              <w:start w:w="75" w:type="dxa"/>
              <w:bottom w:w="60" w:type="dxa"/>
              <w:end w:w="75" w:type="dxa"/>
            </w:tcMar>
            <w:vAlign w:val="center"/>
          </w:tcPr>
          <w:p>
            <w:r>
              <w:rPr>
                <w:sz w:val="16"/>
              </w:rPr>
              <w:t>Highest explanatory priority.</w:t>
            </w:r>
          </w:p>
        </w:tc>
      </w:tr>
      <w:tr>
        <w:tc>
          <w:tcPr>
            <w:tcW w:type="dxa" w:w="2469"/>
            <w:tcMar>
              <w:top w:w="60" w:type="dxa"/>
              <w:start w:w="75" w:type="dxa"/>
              <w:bottom w:w="60" w:type="dxa"/>
              <w:end w:w="75" w:type="dxa"/>
            </w:tcMar>
            <w:vAlign w:val="center"/>
            <w:shd w:fill="F3F6F9"/>
          </w:tcPr>
          <w:p>
            <w:r>
              <w:rPr>
                <w:sz w:val="16"/>
              </w:rPr>
              <w:t>ML contribution explanation</w:t>
            </w:r>
          </w:p>
        </w:tc>
        <w:tc>
          <w:tcPr>
            <w:tcW w:type="dxa" w:w="2469"/>
            <w:tcMar>
              <w:top w:w="60" w:type="dxa"/>
              <w:start w:w="75" w:type="dxa"/>
              <w:bottom w:w="60" w:type="dxa"/>
              <w:end w:w="75" w:type="dxa"/>
            </w:tcMar>
            <w:vAlign w:val="center"/>
            <w:shd w:fill="F3F6F9"/>
          </w:tcPr>
          <w:p>
            <w:r>
              <w:rPr>
                <w:sz w:val="16"/>
              </w:rPr>
              <w:t>Trained user / reviewer</w:t>
            </w:r>
          </w:p>
        </w:tc>
        <w:tc>
          <w:tcPr>
            <w:tcW w:type="dxa" w:w="2469"/>
            <w:tcMar>
              <w:top w:w="60" w:type="dxa"/>
              <w:start w:w="75" w:type="dxa"/>
              <w:bottom w:w="60" w:type="dxa"/>
              <w:end w:w="75" w:type="dxa"/>
            </w:tcMar>
            <w:vAlign w:val="center"/>
            <w:shd w:fill="F3F6F9"/>
          </w:tcPr>
          <w:p>
            <w:r>
              <w:rPr>
                <w:sz w:val="16"/>
              </w:rPr>
              <w:t>Whether ML returned HIGH or LOW; selected influential inputs where validated.</w:t>
            </w:r>
          </w:p>
        </w:tc>
        <w:tc>
          <w:tcPr>
            <w:tcW w:type="dxa" w:w="2469"/>
            <w:tcMar>
              <w:top w:w="60" w:type="dxa"/>
              <w:start w:w="75" w:type="dxa"/>
              <w:bottom w:w="60" w:type="dxa"/>
              <w:end w:w="75" w:type="dxa"/>
            </w:tcMar>
            <w:vAlign w:val="center"/>
            <w:shd w:fill="F3F6F9"/>
          </w:tcPr>
          <w:p>
            <w:r>
              <w:rPr>
                <w:sz w:val="16"/>
              </w:rPr>
              <w:t>Supportive only.</w:t>
            </w:r>
          </w:p>
        </w:tc>
      </w:tr>
      <w:tr>
        <w:tc>
          <w:tcPr>
            <w:tcW w:type="dxa" w:w="2469"/>
            <w:tcMar>
              <w:top w:w="60" w:type="dxa"/>
              <w:start w:w="75" w:type="dxa"/>
              <w:bottom w:w="60" w:type="dxa"/>
              <w:end w:w="75" w:type="dxa"/>
            </w:tcMar>
            <w:vAlign w:val="center"/>
          </w:tcPr>
          <w:p>
            <w:r>
              <w:rPr>
                <w:sz w:val="16"/>
              </w:rPr>
              <w:t>Technical provenance</w:t>
            </w:r>
          </w:p>
        </w:tc>
        <w:tc>
          <w:tcPr>
            <w:tcW w:type="dxa" w:w="2469"/>
            <w:tcMar>
              <w:top w:w="60" w:type="dxa"/>
              <w:start w:w="75" w:type="dxa"/>
              <w:bottom w:w="60" w:type="dxa"/>
              <w:end w:w="75" w:type="dxa"/>
            </w:tcMar>
            <w:vAlign w:val="center"/>
          </w:tcPr>
          <w:p>
            <w:r>
              <w:rPr>
                <w:sz w:val="16"/>
              </w:rPr>
              <w:t>Developer / auditor / panel</w:t>
            </w:r>
          </w:p>
        </w:tc>
        <w:tc>
          <w:tcPr>
            <w:tcW w:type="dxa" w:w="2469"/>
            <w:tcMar>
              <w:top w:w="60" w:type="dxa"/>
              <w:start w:w="75" w:type="dxa"/>
              <w:bottom w:w="60" w:type="dxa"/>
              <w:end w:w="75" w:type="dxa"/>
            </w:tcMar>
            <w:vAlign w:val="center"/>
          </w:tcPr>
          <w:p>
            <w:r>
              <w:rPr>
                <w:sz w:val="16"/>
              </w:rPr>
              <w:t>Model version, schema, execution status, feature vector reference, explanation method, timestamp.</w:t>
            </w:r>
          </w:p>
        </w:tc>
        <w:tc>
          <w:tcPr>
            <w:tcW w:type="dxa" w:w="2469"/>
            <w:tcMar>
              <w:top w:w="60" w:type="dxa"/>
              <w:start w:w="75" w:type="dxa"/>
              <w:bottom w:w="60" w:type="dxa"/>
              <w:end w:w="75" w:type="dxa"/>
            </w:tcMar>
            <w:vAlign w:val="center"/>
          </w:tcPr>
          <w:p>
            <w:r>
              <w:rPr>
                <w:sz w:val="16"/>
              </w:rPr>
              <w:t>Audit and reproducibility.</w:t>
            </w:r>
          </w:p>
        </w:tc>
      </w:tr>
      <w:tr>
        <w:tc>
          <w:tcPr>
            <w:tcW w:type="dxa" w:w="2469"/>
            <w:tcMar>
              <w:top w:w="60" w:type="dxa"/>
              <w:start w:w="75" w:type="dxa"/>
              <w:bottom w:w="60" w:type="dxa"/>
              <w:end w:w="75" w:type="dxa"/>
            </w:tcMar>
            <w:vAlign w:val="center"/>
            <w:shd w:fill="F3F6F9"/>
          </w:tcPr>
          <w:p>
            <w:r>
              <w:rPr>
                <w:sz w:val="16"/>
              </w:rPr>
              <w:t>Research explanation</w:t>
            </w:r>
          </w:p>
        </w:tc>
        <w:tc>
          <w:tcPr>
            <w:tcW w:type="dxa" w:w="2469"/>
            <w:tcMar>
              <w:top w:w="60" w:type="dxa"/>
              <w:start w:w="75" w:type="dxa"/>
              <w:bottom w:w="60" w:type="dxa"/>
              <w:end w:w="75" w:type="dxa"/>
            </w:tcMar>
            <w:vAlign w:val="center"/>
            <w:shd w:fill="F3F6F9"/>
          </w:tcPr>
          <w:p>
            <w:r>
              <w:rPr>
                <w:sz w:val="16"/>
              </w:rPr>
              <w:t>Capstone panel / researcher</w:t>
            </w:r>
          </w:p>
        </w:tc>
        <w:tc>
          <w:tcPr>
            <w:tcW w:type="dxa" w:w="2469"/>
            <w:tcMar>
              <w:top w:w="60" w:type="dxa"/>
              <w:start w:w="75" w:type="dxa"/>
              <w:bottom w:w="60" w:type="dxa"/>
              <w:end w:w="75" w:type="dxa"/>
            </w:tcMar>
            <w:vAlign w:val="center"/>
            <w:shd w:fill="F3F6F9"/>
          </w:tcPr>
          <w:p>
            <w:r>
              <w:rPr>
                <w:sz w:val="16"/>
              </w:rPr>
              <w:t>Global behavior, limitations, subgroup evidence, stability.</w:t>
            </w:r>
          </w:p>
        </w:tc>
        <w:tc>
          <w:tcPr>
            <w:tcW w:type="dxa" w:w="2469"/>
            <w:tcMar>
              <w:top w:w="60" w:type="dxa"/>
              <w:start w:w="75" w:type="dxa"/>
              <w:bottom w:w="60" w:type="dxa"/>
              <w:end w:w="75" w:type="dxa"/>
            </w:tcMar>
            <w:vAlign w:val="center"/>
            <w:shd w:fill="F3F6F9"/>
          </w:tcPr>
          <w:p>
            <w:r>
              <w:rPr>
                <w:sz w:val="16"/>
              </w:rPr>
              <w:t>Scientific interpretation only.</w:t>
            </w:r>
          </w:p>
        </w:tc>
      </w:tr>
    </w:tbl>
    <w:p/>
    <w:p>
      <w:pPr>
        <w:pStyle w:val="Heading1"/>
      </w:pPr>
      <w:r>
        <w:t>2. Purpose and Scope</w:t>
      </w:r>
    </w:p>
    <w:p>
      <w:r>
        <w:t>This chapter specifies what the system should explain, to whom, at what point in the workflow, and with what limitations. It covers global model inspection, local case explanations, deterministic rule explanations, interface wording, provenance, testing, and governance. It does not claim that a particular SHAP, permutation, or local explanation implementation already exists unless supported by the repository.</w:t>
      </w:r>
    </w:p>
    <w:p>
      <w:pPr>
        <w:pStyle w:val="Heading1"/>
      </w:pPr>
      <w:r>
        <w:t>3. Explainability, Interpretability, and Transparency</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7"/>
              </w:rPr>
              <w:t>Concept</w:t>
            </w:r>
          </w:p>
        </w:tc>
        <w:tc>
          <w:tcPr>
            <w:tcW w:type="dxa" w:w="4939"/>
            <w:shd w:fill="1F4E78"/>
          </w:tcPr>
          <w:p>
            <w:r>
              <w:rPr>
                <w:b/>
                <w:color w:val="FFFFFF"/>
                <w:sz w:val="17"/>
              </w:rPr>
              <w:t>Meaning in this architecture</w:t>
            </w:r>
          </w:p>
        </w:tc>
      </w:tr>
      <w:tr>
        <w:tc>
          <w:tcPr>
            <w:tcW w:type="dxa" w:w="4939"/>
            <w:tcMar>
              <w:top w:w="60" w:type="dxa"/>
              <w:start w:w="75" w:type="dxa"/>
              <w:bottom w:w="60" w:type="dxa"/>
              <w:end w:w="75" w:type="dxa"/>
            </w:tcMar>
            <w:vAlign w:val="center"/>
          </w:tcPr>
          <w:p>
            <w:r>
              <w:rPr>
                <w:sz w:val="16"/>
              </w:rPr>
              <w:t>Transparency</w:t>
            </w:r>
          </w:p>
        </w:tc>
        <w:tc>
          <w:tcPr>
            <w:tcW w:type="dxa" w:w="4939"/>
            <w:tcMar>
              <w:top w:w="60" w:type="dxa"/>
              <w:start w:w="75" w:type="dxa"/>
              <w:bottom w:w="60" w:type="dxa"/>
              <w:end w:w="75" w:type="dxa"/>
            </w:tcMar>
            <w:vAlign w:val="center"/>
          </w:tcPr>
          <w:p>
            <w:r>
              <w:rPr>
                <w:sz w:val="16"/>
              </w:rPr>
              <w:t>Clear information about intended use, development, performance, limits, updates, and workflow.</w:t>
            </w:r>
          </w:p>
        </w:tc>
      </w:tr>
      <w:tr>
        <w:tc>
          <w:tcPr>
            <w:tcW w:type="dxa" w:w="4939"/>
            <w:tcMar>
              <w:top w:w="60" w:type="dxa"/>
              <w:start w:w="75" w:type="dxa"/>
              <w:bottom w:w="60" w:type="dxa"/>
              <w:end w:w="75" w:type="dxa"/>
            </w:tcMar>
            <w:vAlign w:val="center"/>
            <w:shd w:fill="F3F6F9"/>
          </w:tcPr>
          <w:p>
            <w:r>
              <w:rPr>
                <w:sz w:val="16"/>
              </w:rPr>
              <w:t>Interpretability</w:t>
            </w:r>
          </w:p>
        </w:tc>
        <w:tc>
          <w:tcPr>
            <w:tcW w:type="dxa" w:w="4939"/>
            <w:tcMar>
              <w:top w:w="60" w:type="dxa"/>
              <w:start w:w="75" w:type="dxa"/>
              <w:bottom w:w="60" w:type="dxa"/>
              <w:end w:w="75" w:type="dxa"/>
            </w:tcMar>
            <w:vAlign w:val="center"/>
            <w:shd w:fill="F3F6F9"/>
          </w:tcPr>
          <w:p>
            <w:r>
              <w:rPr>
                <w:sz w:val="16"/>
              </w:rPr>
              <w:t>How readily a person can understand the relationship between inputs and model behavior.</w:t>
            </w:r>
          </w:p>
        </w:tc>
      </w:tr>
      <w:tr>
        <w:tc>
          <w:tcPr>
            <w:tcW w:type="dxa" w:w="4939"/>
            <w:tcMar>
              <w:top w:w="60" w:type="dxa"/>
              <w:start w:w="75" w:type="dxa"/>
              <w:bottom w:w="60" w:type="dxa"/>
              <w:end w:w="75" w:type="dxa"/>
            </w:tcMar>
            <w:vAlign w:val="center"/>
          </w:tcPr>
          <w:p>
            <w:r>
              <w:rPr>
                <w:sz w:val="16"/>
              </w:rPr>
              <w:t>Explainability</w:t>
            </w:r>
          </w:p>
        </w:tc>
        <w:tc>
          <w:tcPr>
            <w:tcW w:type="dxa" w:w="4939"/>
            <w:tcMar>
              <w:top w:w="60" w:type="dxa"/>
              <w:start w:w="75" w:type="dxa"/>
              <w:bottom w:w="60" w:type="dxa"/>
              <w:end w:w="75" w:type="dxa"/>
            </w:tcMar>
            <w:vAlign w:val="center"/>
          </w:tcPr>
          <w:p>
            <w:r>
              <w:rPr>
                <w:sz w:val="16"/>
              </w:rPr>
              <w:t>Methods and communication used to describe the basis of a result in understandable terms.</w:t>
            </w:r>
          </w:p>
        </w:tc>
      </w:tr>
      <w:tr>
        <w:tc>
          <w:tcPr>
            <w:tcW w:type="dxa" w:w="4939"/>
            <w:tcMar>
              <w:top w:w="60" w:type="dxa"/>
              <w:start w:w="75" w:type="dxa"/>
              <w:bottom w:w="60" w:type="dxa"/>
              <w:end w:w="75" w:type="dxa"/>
            </w:tcMar>
            <w:vAlign w:val="center"/>
            <w:shd w:fill="F3F6F9"/>
          </w:tcPr>
          <w:p>
            <w:r>
              <w:rPr>
                <w:sz w:val="16"/>
              </w:rPr>
              <w:t>Traceability</w:t>
            </w:r>
          </w:p>
        </w:tc>
        <w:tc>
          <w:tcPr>
            <w:tcW w:type="dxa" w:w="4939"/>
            <w:tcMar>
              <w:top w:w="60" w:type="dxa"/>
              <w:start w:w="75" w:type="dxa"/>
              <w:bottom w:w="60" w:type="dxa"/>
              <w:end w:w="75" w:type="dxa"/>
            </w:tcMar>
            <w:vAlign w:val="center"/>
            <w:shd w:fill="F3F6F9"/>
          </w:tcPr>
          <w:p>
            <w:r>
              <w:rPr>
                <w:sz w:val="16"/>
              </w:rPr>
              <w:t>Ability to reconstruct which data, rules, model, and software version produced an assessment.</w:t>
            </w:r>
          </w:p>
        </w:tc>
      </w:tr>
      <w:tr>
        <w:tc>
          <w:tcPr>
            <w:tcW w:type="dxa" w:w="4939"/>
            <w:tcMar>
              <w:top w:w="60" w:type="dxa"/>
              <w:start w:w="75" w:type="dxa"/>
              <w:bottom w:w="60" w:type="dxa"/>
              <w:end w:w="75" w:type="dxa"/>
            </w:tcMar>
            <w:vAlign w:val="center"/>
          </w:tcPr>
          <w:p>
            <w:r>
              <w:rPr>
                <w:sz w:val="16"/>
              </w:rPr>
              <w:t>Justification</w:t>
            </w:r>
          </w:p>
        </w:tc>
        <w:tc>
          <w:tcPr>
            <w:tcW w:type="dxa" w:w="4939"/>
            <w:tcMar>
              <w:top w:w="60" w:type="dxa"/>
              <w:start w:w="75" w:type="dxa"/>
              <w:bottom w:w="60" w:type="dxa"/>
              <w:end w:w="75" w:type="dxa"/>
            </w:tcMar>
            <w:vAlign w:val="center"/>
          </w:tcPr>
          <w:p>
            <w:r>
              <w:rPr>
                <w:sz w:val="16"/>
              </w:rPr>
              <w:t>The clinical and governance reason for using the tool; not the same as explaining one prediction.</w:t>
            </w:r>
          </w:p>
        </w:tc>
      </w:tr>
    </w:tbl>
    <w:p/>
    <w:p>
      <w:r>
        <w:t>FDA transparency principles describe explainability as one aspect of broader transparency and emphasize tailoring content to relevant audiences, workflow, timing, and context. WHO guidance likewise identifies transparency, explainability, and intelligibility as core principles for AI in health.</w:t>
      </w:r>
    </w:p>
    <w:p>
      <w:pPr>
        <w:pStyle w:val="Heading1"/>
      </w:pPr>
      <w:r>
        <w:t>4. What the Final Result Must Explain</w:t>
      </w:r>
    </w:p>
    <w:tbl>
      <w:tblPr>
        <w:tblStyle w:val="TableGrid"/>
        <w:tblW w:type="auto" w:w="0"/>
        <w:jc w:val="center"/>
        <w:tblLook w:firstColumn="1" w:firstRow="1" w:lastColumn="0" w:lastRow="0" w:noHBand="0" w:noVBand="1" w:val="04A0"/>
      </w:tblPr>
      <w:tblGrid>
        <w:gridCol w:w="9878"/>
      </w:tblGrid>
      <w:tr>
        <w:tc>
          <w:tcPr>
            <w:tcW w:type="dxa" w:w="9878"/>
            <w:shd w:fill="17365D"/>
          </w:tcPr>
          <w:p>
            <w:r>
              <w:rPr>
                <w:b/>
                <w:color w:val="FFFFFF"/>
              </w:rPr>
              <w:t>Explanation Precedence</w:t>
            </w:r>
          </w:p>
        </w:tc>
      </w:tr>
      <w:tr>
        <w:tc>
          <w:tcPr>
            <w:tcW w:type="dxa" w:w="9878"/>
            <w:shd w:fill="EAF2F8"/>
          </w:tcPr>
          <w:p>
            <w:pPr>
              <w:jc w:val="center"/>
            </w:pPr>
            <w:r>
              <w:rPr>
                <w:rFonts w:ascii="Consolas" w:hAnsi="Consolas"/>
                <w:sz w:val="18"/>
              </w:rPr>
              <w:t>1. Is the assessment complete and technically valid?</w:t>
            </w:r>
          </w:p>
        </w:tc>
      </w:tr>
      <w:tr>
        <w:tc>
          <w:tcPr>
            <w:tcW w:type="dxa" w:w="9878"/>
            <w:shd w:fill="F7F9FB"/>
          </w:tcPr>
          <w:p>
            <w:pPr>
              <w:jc w:val="center"/>
            </w:pPr>
            <w:r>
              <w:rPr>
                <w:rFonts w:ascii="Consolas" w:hAnsi="Consolas"/>
                <w:sz w:val="18"/>
              </w:rPr>
              <w:t>2. Is an urgent or deterministic HIGH-risk condition present?</w:t>
            </w:r>
          </w:p>
        </w:tc>
      </w:tr>
      <w:tr>
        <w:tc>
          <w:tcPr>
            <w:tcW w:type="dxa" w:w="9878"/>
            <w:shd w:fill="EAF2F8"/>
          </w:tcPr>
          <w:p>
            <w:pPr>
              <w:jc w:val="center"/>
            </w:pPr>
            <w:r>
              <w:rPr>
                <w:rFonts w:ascii="Consolas" w:hAnsi="Consolas"/>
                <w:sz w:val="18"/>
              </w:rPr>
              <w:t>3. What explicit clinical factors determined the final result?</w:t>
            </w:r>
          </w:p>
        </w:tc>
      </w:tr>
      <w:tr>
        <w:tc>
          <w:tcPr>
            <w:tcW w:type="dxa" w:w="9878"/>
            <w:shd w:fill="F7F9FB"/>
          </w:tcPr>
          <w:p>
            <w:pPr>
              <w:jc w:val="center"/>
            </w:pPr>
            <w:r>
              <w:rPr>
                <w:rFonts w:ascii="Consolas" w:hAnsi="Consolas"/>
                <w:sz w:val="18"/>
              </w:rPr>
              <w:t>4. What did the ML component contribute?</w:t>
            </w:r>
          </w:p>
        </w:tc>
      </w:tr>
      <w:tr>
        <w:tc>
          <w:tcPr>
            <w:tcW w:type="dxa" w:w="9878"/>
            <w:shd w:fill="EAF2F8"/>
          </w:tcPr>
          <w:p>
            <w:pPr>
              <w:jc w:val="center"/>
            </w:pPr>
            <w:r>
              <w:rPr>
                <w:rFonts w:ascii="Consolas" w:hAnsi="Consolas"/>
                <w:sz w:val="18"/>
              </w:rPr>
              <w:t>5. What action and human review are required?</w:t>
            </w:r>
          </w:p>
        </w:tc>
      </w:tr>
      <w:tr>
        <w:tc>
          <w:tcPr>
            <w:tcW w:type="dxa" w:w="9878"/>
            <w:shd w:fill="F7F9FB"/>
          </w:tcPr>
          <w:p>
            <w:pPr>
              <w:jc w:val="center"/>
            </w:pPr>
            <w:r>
              <w:rPr>
                <w:rFonts w:ascii="Consolas" w:hAnsi="Consolas"/>
                <w:sz w:val="18"/>
              </w:rPr>
              <w:t>6. Which versions and records produced the result?</w:t>
            </w:r>
          </w:p>
        </w:tc>
      </w:tr>
    </w:tbl>
    <w:p/>
    <w:p>
      <w:r>
        <w:t>This order prevents the interface from emphasizing a model score while hiding the more important clinical reason. For example, a blood pressure of 160/110 or above should be shown as an urgent explicit factor even if the model returns LOW.</w:t>
      </w:r>
    </w:p>
    <w:p>
      <w:pPr>
        <w:pStyle w:val="Heading1"/>
      </w:pPr>
      <w:r>
        <w:t>5. Decision-Engine Explanations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7"/>
              </w:rPr>
              <w:t>Final state</w:t>
            </w:r>
          </w:p>
        </w:tc>
        <w:tc>
          <w:tcPr>
            <w:tcW w:type="dxa" w:w="4939"/>
            <w:shd w:fill="1F4E78"/>
          </w:tcPr>
          <w:p>
            <w:r>
              <w:rPr>
                <w:b/>
                <w:color w:val="FFFFFF"/>
                <w:sz w:val="17"/>
              </w:rPr>
              <w:t>Minimum explanation</w:t>
            </w:r>
          </w:p>
        </w:tc>
      </w:tr>
      <w:tr>
        <w:tc>
          <w:tcPr>
            <w:tcW w:type="dxa" w:w="4939"/>
            <w:tcMar>
              <w:top w:w="60" w:type="dxa"/>
              <w:start w:w="75" w:type="dxa"/>
              <w:bottom w:w="60" w:type="dxa"/>
              <w:end w:w="75" w:type="dxa"/>
            </w:tcMar>
            <w:vAlign w:val="center"/>
          </w:tcPr>
          <w:p>
            <w:r>
              <w:rPr>
                <w:sz w:val="16"/>
              </w:rPr>
              <w:t>HIGH — urgent</w:t>
            </w:r>
          </w:p>
        </w:tc>
        <w:tc>
          <w:tcPr>
            <w:tcW w:type="dxa" w:w="4939"/>
            <w:tcMar>
              <w:top w:w="60" w:type="dxa"/>
              <w:start w:w="75" w:type="dxa"/>
              <w:bottom w:w="60" w:type="dxa"/>
              <w:end w:w="75" w:type="dxa"/>
            </w:tcMar>
            <w:vAlign w:val="center"/>
          </w:tcPr>
          <w:p>
            <w:r>
              <w:rPr>
                <w:sz w:val="16"/>
              </w:rPr>
              <w:t>State the urgent finding, advise immediate escalation/referral according to clinic protocol, and show that ML cannot override it.</w:t>
            </w:r>
          </w:p>
        </w:tc>
      </w:tr>
      <w:tr>
        <w:tc>
          <w:tcPr>
            <w:tcW w:type="dxa" w:w="4939"/>
            <w:tcMar>
              <w:top w:w="60" w:type="dxa"/>
              <w:start w:w="75" w:type="dxa"/>
              <w:bottom w:w="60" w:type="dxa"/>
              <w:end w:w="75" w:type="dxa"/>
            </w:tcMar>
            <w:vAlign w:val="center"/>
            <w:shd w:fill="F3F6F9"/>
          </w:tcPr>
          <w:p>
            <w:r>
              <w:rPr>
                <w:sz w:val="16"/>
              </w:rPr>
              <w:t>HIGH — rule-based</w:t>
            </w:r>
          </w:p>
        </w:tc>
        <w:tc>
          <w:tcPr>
            <w:tcW w:type="dxa" w:w="4939"/>
            <w:tcMar>
              <w:top w:w="60" w:type="dxa"/>
              <w:start w:w="75" w:type="dxa"/>
              <w:bottom w:w="60" w:type="dxa"/>
              <w:end w:w="75" w:type="dxa"/>
            </w:tcMar>
            <w:vAlign w:val="center"/>
            <w:shd w:fill="F3F6F9"/>
          </w:tcPr>
          <w:p>
            <w:r>
              <w:rPr>
                <w:sz w:val="16"/>
              </w:rPr>
              <w:t>List each documented deterministic factor that triggered HIGH and the applicable referral recommendation.</w:t>
            </w:r>
          </w:p>
        </w:tc>
      </w:tr>
      <w:tr>
        <w:tc>
          <w:tcPr>
            <w:tcW w:type="dxa" w:w="4939"/>
            <w:tcMar>
              <w:top w:w="60" w:type="dxa"/>
              <w:start w:w="75" w:type="dxa"/>
              <w:bottom w:w="60" w:type="dxa"/>
              <w:end w:w="75" w:type="dxa"/>
            </w:tcMar>
            <w:vAlign w:val="center"/>
          </w:tcPr>
          <w:p>
            <w:r>
              <w:rPr>
                <w:sz w:val="16"/>
              </w:rPr>
              <w:t>HIGH — ML contribution only</w:t>
            </w:r>
          </w:p>
        </w:tc>
        <w:tc>
          <w:tcPr>
            <w:tcW w:type="dxa" w:w="4939"/>
            <w:tcMar>
              <w:top w:w="60" w:type="dxa"/>
              <w:start w:w="75" w:type="dxa"/>
              <w:bottom w:w="60" w:type="dxa"/>
              <w:end w:w="75" w:type="dxa"/>
            </w:tcMar>
            <w:vAlign w:val="center"/>
          </w:tcPr>
          <w:p>
            <w:r>
              <w:rPr>
                <w:sz w:val="16"/>
              </w:rPr>
              <w:t>State that the model identified a HIGH pattern, that this is supportive rather than diagnostic, and that human review is required.</w:t>
            </w:r>
          </w:p>
        </w:tc>
      </w:tr>
      <w:tr>
        <w:tc>
          <w:tcPr>
            <w:tcW w:type="dxa" w:w="4939"/>
            <w:tcMar>
              <w:top w:w="60" w:type="dxa"/>
              <w:start w:w="75" w:type="dxa"/>
              <w:bottom w:w="60" w:type="dxa"/>
              <w:end w:w="75" w:type="dxa"/>
            </w:tcMar>
            <w:vAlign w:val="center"/>
            <w:shd w:fill="F3F6F9"/>
          </w:tcPr>
          <w:p>
            <w:r>
              <w:rPr>
                <w:sz w:val="16"/>
              </w:rPr>
              <w:t>LOW</w:t>
            </w:r>
          </w:p>
        </w:tc>
        <w:tc>
          <w:tcPr>
            <w:tcW w:type="dxa" w:w="4939"/>
            <w:tcMar>
              <w:top w:w="60" w:type="dxa"/>
              <w:start w:w="75" w:type="dxa"/>
              <w:bottom w:w="60" w:type="dxa"/>
              <w:end w:w="75" w:type="dxa"/>
            </w:tcMar>
            <w:vAlign w:val="center"/>
            <w:shd w:fill="F3F6F9"/>
          </w:tcPr>
          <w:p>
            <w:r>
              <w:rPr>
                <w:sz w:val="16"/>
              </w:rPr>
              <w:t>State that no configured HIGH factor was detected, required records were present, and ML returned LOW; explicitly state that LOW does not guarantee absence of complications.</w:t>
            </w:r>
          </w:p>
        </w:tc>
      </w:tr>
      <w:tr>
        <w:tc>
          <w:tcPr>
            <w:tcW w:type="dxa" w:w="4939"/>
            <w:tcMar>
              <w:top w:w="60" w:type="dxa"/>
              <w:start w:w="75" w:type="dxa"/>
              <w:bottom w:w="60" w:type="dxa"/>
              <w:end w:w="75" w:type="dxa"/>
            </w:tcMar>
            <w:vAlign w:val="center"/>
          </w:tcPr>
          <w:p>
            <w:r>
              <w:rPr>
                <w:sz w:val="16"/>
              </w:rPr>
              <w:t>ASSESSMENT INCOMPLETE</w:t>
            </w:r>
          </w:p>
        </w:tc>
        <w:tc>
          <w:tcPr>
            <w:tcW w:type="dxa" w:w="4939"/>
            <w:tcMar>
              <w:top w:w="60" w:type="dxa"/>
              <w:start w:w="75" w:type="dxa"/>
              <w:bottom w:w="60" w:type="dxa"/>
              <w:end w:w="75" w:type="dxa"/>
            </w:tcMar>
            <w:vAlign w:val="center"/>
          </w:tcPr>
          <w:p>
            <w:r>
              <w:rPr>
                <w:sz w:val="16"/>
              </w:rPr>
              <w:t>List missing required records or technical validation failure; do not display a LOW-like reassurance.</w:t>
            </w:r>
          </w:p>
        </w:tc>
      </w:tr>
      <w:tr>
        <w:tc>
          <w:tcPr>
            <w:tcW w:type="dxa" w:w="4939"/>
            <w:tcMar>
              <w:top w:w="60" w:type="dxa"/>
              <w:start w:w="75" w:type="dxa"/>
              <w:bottom w:w="60" w:type="dxa"/>
              <w:end w:w="75" w:type="dxa"/>
            </w:tcMar>
            <w:vAlign w:val="center"/>
            <w:shd w:fill="F3F6F9"/>
          </w:tcPr>
          <w:p>
            <w:r>
              <w:rPr>
                <w:sz w:val="16"/>
              </w:rPr>
              <w:t>Delivered / historical</w:t>
            </w:r>
          </w:p>
        </w:tc>
        <w:tc>
          <w:tcPr>
            <w:tcW w:type="dxa" w:w="4939"/>
            <w:tcMar>
              <w:top w:w="60" w:type="dxa"/>
              <w:start w:w="75" w:type="dxa"/>
              <w:bottom w:w="60" w:type="dxa"/>
              <w:end w:w="75" w:type="dxa"/>
            </w:tcMar>
            <w:vAlign w:val="center"/>
            <w:shd w:fill="F3F6F9"/>
          </w:tcPr>
          <w:p>
            <w:r>
              <w:rPr>
                <w:sz w:val="16"/>
              </w:rPr>
              <w:t>State that the pregnancy is completed and the record is read-only; do not imply a current assessment.</w:t>
            </w:r>
          </w:p>
        </w:tc>
      </w:tr>
    </w:tbl>
    <w:p/>
    <w:p>
      <w:pPr>
        <w:pStyle w:val="Heading1"/>
      </w:pPr>
      <w:r>
        <w:t>6. Global Model Explanation</w:t>
      </w:r>
    </w:p>
    <w:p>
      <w:r>
        <w:t>Global explanation describes general model behavior across an evaluation dataset. It can help developers and reviewers understand which features the model relies on, how performance changes across groups, and whether reliance appears clinically plausible. Global results must be calculated on appropriate held-out or validation data and tied to a specific model version.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7"/>
              </w:rPr>
              <w:t>Method</w:t>
            </w:r>
          </w:p>
        </w:tc>
        <w:tc>
          <w:tcPr>
            <w:tcW w:type="dxa" w:w="3293"/>
            <w:shd w:fill="1F4E78"/>
          </w:tcPr>
          <w:p>
            <w:r>
              <w:rPr>
                <w:b/>
                <w:color w:val="FFFFFF"/>
                <w:sz w:val="17"/>
              </w:rPr>
              <w:t>Appropriate use</w:t>
            </w:r>
          </w:p>
        </w:tc>
        <w:tc>
          <w:tcPr>
            <w:tcW w:type="dxa" w:w="3293"/>
            <w:shd w:fill="1F4E78"/>
          </w:tcPr>
          <w:p>
            <w:r>
              <w:rPr>
                <w:b/>
                <w:color w:val="FFFFFF"/>
                <w:sz w:val="17"/>
              </w:rPr>
              <w:t>Limitation</w:t>
            </w:r>
          </w:p>
        </w:tc>
      </w:tr>
      <w:tr>
        <w:tc>
          <w:tcPr>
            <w:tcW w:type="dxa" w:w="3293"/>
            <w:tcMar>
              <w:top w:w="60" w:type="dxa"/>
              <w:start w:w="75" w:type="dxa"/>
              <w:bottom w:w="60" w:type="dxa"/>
              <w:end w:w="75" w:type="dxa"/>
            </w:tcMar>
            <w:vAlign w:val="center"/>
          </w:tcPr>
          <w:p>
            <w:r>
              <w:rPr>
                <w:sz w:val="16"/>
              </w:rPr>
              <w:t>Permutation feature importance</w:t>
            </w:r>
          </w:p>
        </w:tc>
        <w:tc>
          <w:tcPr>
            <w:tcW w:type="dxa" w:w="3293"/>
            <w:tcMar>
              <w:top w:w="60" w:type="dxa"/>
              <w:start w:w="75" w:type="dxa"/>
              <w:bottom w:w="60" w:type="dxa"/>
              <w:end w:w="75" w:type="dxa"/>
            </w:tcMar>
            <w:vAlign w:val="center"/>
          </w:tcPr>
          <w:p>
            <w:r>
              <w:rPr>
                <w:sz w:val="16"/>
              </w:rPr>
              <w:t>Measures performance decrease after shuffling one feature.</w:t>
            </w:r>
          </w:p>
        </w:tc>
        <w:tc>
          <w:tcPr>
            <w:tcW w:type="dxa" w:w="3293"/>
            <w:tcMar>
              <w:top w:w="60" w:type="dxa"/>
              <w:start w:w="75" w:type="dxa"/>
              <w:bottom w:w="60" w:type="dxa"/>
              <w:end w:w="75" w:type="dxa"/>
            </w:tcMar>
            <w:vAlign w:val="center"/>
          </w:tcPr>
          <w:p>
            <w:r>
              <w:rPr>
                <w:sz w:val="16"/>
              </w:rPr>
              <w:t>Correlated features can share or obscure importance; depends on chosen metric and dataset.</w:t>
            </w:r>
          </w:p>
        </w:tc>
      </w:tr>
      <w:tr>
        <w:tc>
          <w:tcPr>
            <w:tcW w:type="dxa" w:w="3293"/>
            <w:tcMar>
              <w:top w:w="60" w:type="dxa"/>
              <w:start w:w="75" w:type="dxa"/>
              <w:bottom w:w="60" w:type="dxa"/>
              <w:end w:w="75" w:type="dxa"/>
            </w:tcMar>
            <w:vAlign w:val="center"/>
            <w:shd w:fill="F3F6F9"/>
          </w:tcPr>
          <w:p>
            <w:r>
              <w:rPr>
                <w:sz w:val="16"/>
              </w:rPr>
              <w:t>Impurity-based Random Forest importance</w:t>
            </w:r>
          </w:p>
        </w:tc>
        <w:tc>
          <w:tcPr>
            <w:tcW w:type="dxa" w:w="3293"/>
            <w:tcMar>
              <w:top w:w="60" w:type="dxa"/>
              <w:start w:w="75" w:type="dxa"/>
              <w:bottom w:w="60" w:type="dxa"/>
              <w:end w:w="75" w:type="dxa"/>
            </w:tcMar>
            <w:vAlign w:val="center"/>
            <w:shd w:fill="F3F6F9"/>
          </w:tcPr>
          <w:p>
            <w:r>
              <w:rPr>
                <w:sz w:val="16"/>
              </w:rPr>
              <w:t>Quick internal diagnostic.</w:t>
            </w:r>
          </w:p>
        </w:tc>
        <w:tc>
          <w:tcPr>
            <w:tcW w:type="dxa" w:w="3293"/>
            <w:tcMar>
              <w:top w:w="60" w:type="dxa"/>
              <w:start w:w="75" w:type="dxa"/>
              <w:bottom w:w="60" w:type="dxa"/>
              <w:end w:w="75" w:type="dxa"/>
            </w:tcMar>
            <w:vAlign w:val="center"/>
            <w:shd w:fill="F3F6F9"/>
          </w:tcPr>
          <w:p>
            <w:r>
              <w:rPr>
                <w:sz w:val="16"/>
              </w:rPr>
              <w:t>Biased toward variables with many possible split points; not sufficient alone.</w:t>
            </w:r>
          </w:p>
        </w:tc>
      </w:tr>
      <w:tr>
        <w:tc>
          <w:tcPr>
            <w:tcW w:type="dxa" w:w="3293"/>
            <w:tcMar>
              <w:top w:w="60" w:type="dxa"/>
              <w:start w:w="75" w:type="dxa"/>
              <w:bottom w:w="60" w:type="dxa"/>
              <w:end w:w="75" w:type="dxa"/>
            </w:tcMar>
            <w:vAlign w:val="center"/>
          </w:tcPr>
          <w:p>
            <w:r>
              <w:rPr>
                <w:sz w:val="16"/>
              </w:rPr>
              <w:t>Partial dependence</w:t>
            </w:r>
          </w:p>
        </w:tc>
        <w:tc>
          <w:tcPr>
            <w:tcW w:type="dxa" w:w="3293"/>
            <w:tcMar>
              <w:top w:w="60" w:type="dxa"/>
              <w:start w:w="75" w:type="dxa"/>
              <w:bottom w:w="60" w:type="dxa"/>
              <w:end w:w="75" w:type="dxa"/>
            </w:tcMar>
            <w:vAlign w:val="center"/>
          </w:tcPr>
          <w:p>
            <w:r>
              <w:rPr>
                <w:sz w:val="16"/>
              </w:rPr>
              <w:t>Shows average prediction behavior as one/two features vary.</w:t>
            </w:r>
          </w:p>
        </w:tc>
        <w:tc>
          <w:tcPr>
            <w:tcW w:type="dxa" w:w="3293"/>
            <w:tcMar>
              <w:top w:w="60" w:type="dxa"/>
              <w:start w:w="75" w:type="dxa"/>
              <w:bottom w:w="60" w:type="dxa"/>
              <w:end w:w="75" w:type="dxa"/>
            </w:tcMar>
            <w:vAlign w:val="center"/>
          </w:tcPr>
          <w:p>
            <w:r>
              <w:rPr>
                <w:sz w:val="16"/>
              </w:rPr>
              <w:t>Can be misleading when features are correlated or combinations are unrealistic.</w:t>
            </w:r>
          </w:p>
        </w:tc>
      </w:tr>
      <w:tr>
        <w:tc>
          <w:tcPr>
            <w:tcW w:type="dxa" w:w="3293"/>
            <w:tcMar>
              <w:top w:w="60" w:type="dxa"/>
              <w:start w:w="75" w:type="dxa"/>
              <w:bottom w:w="60" w:type="dxa"/>
              <w:end w:w="75" w:type="dxa"/>
            </w:tcMar>
            <w:vAlign w:val="center"/>
            <w:shd w:fill="F3F6F9"/>
          </w:tcPr>
          <w:p>
            <w:r>
              <w:rPr>
                <w:sz w:val="16"/>
              </w:rPr>
              <w:t>Accumulated local effects</w:t>
            </w:r>
          </w:p>
        </w:tc>
        <w:tc>
          <w:tcPr>
            <w:tcW w:type="dxa" w:w="3293"/>
            <w:tcMar>
              <w:top w:w="60" w:type="dxa"/>
              <w:start w:w="75" w:type="dxa"/>
              <w:bottom w:w="60" w:type="dxa"/>
              <w:end w:w="75" w:type="dxa"/>
            </w:tcMar>
            <w:vAlign w:val="center"/>
            <w:shd w:fill="F3F6F9"/>
          </w:tcPr>
          <w:p>
            <w:r>
              <w:rPr>
                <w:sz w:val="16"/>
              </w:rPr>
              <w:t>Alternative for correlated features where implemented correctly.</w:t>
            </w:r>
          </w:p>
        </w:tc>
        <w:tc>
          <w:tcPr>
            <w:tcW w:type="dxa" w:w="3293"/>
            <w:tcMar>
              <w:top w:w="60" w:type="dxa"/>
              <w:start w:w="75" w:type="dxa"/>
              <w:bottom w:w="60" w:type="dxa"/>
              <w:end w:w="75" w:type="dxa"/>
            </w:tcMar>
            <w:vAlign w:val="center"/>
            <w:shd w:fill="F3F6F9"/>
          </w:tcPr>
          <w:p>
            <w:r>
              <w:rPr>
                <w:sz w:val="16"/>
              </w:rPr>
              <w:t>More complex to communicate and still not causal.</w:t>
            </w:r>
          </w:p>
        </w:tc>
      </w:tr>
      <w:tr>
        <w:tc>
          <w:tcPr>
            <w:tcW w:type="dxa" w:w="3293"/>
            <w:tcMar>
              <w:top w:w="60" w:type="dxa"/>
              <w:start w:w="75" w:type="dxa"/>
              <w:bottom w:w="60" w:type="dxa"/>
              <w:end w:w="75" w:type="dxa"/>
            </w:tcMar>
            <w:vAlign w:val="center"/>
          </w:tcPr>
          <w:p>
            <w:r>
              <w:rPr>
                <w:sz w:val="16"/>
              </w:rPr>
              <w:t>Subgroup performance</w:t>
            </w:r>
          </w:p>
        </w:tc>
        <w:tc>
          <w:tcPr>
            <w:tcW w:type="dxa" w:w="3293"/>
            <w:tcMar>
              <w:top w:w="60" w:type="dxa"/>
              <w:start w:w="75" w:type="dxa"/>
              <w:bottom w:w="60" w:type="dxa"/>
              <w:end w:w="75" w:type="dxa"/>
            </w:tcMar>
            <w:vAlign w:val="center"/>
          </w:tcPr>
          <w:p>
            <w:r>
              <w:rPr>
                <w:sz w:val="16"/>
              </w:rPr>
              <w:t>Shows where behavior may differ across populations.</w:t>
            </w:r>
          </w:p>
        </w:tc>
        <w:tc>
          <w:tcPr>
            <w:tcW w:type="dxa" w:w="3293"/>
            <w:tcMar>
              <w:top w:w="60" w:type="dxa"/>
              <w:start w:w="75" w:type="dxa"/>
              <w:bottom w:w="60" w:type="dxa"/>
              <w:end w:w="75" w:type="dxa"/>
            </w:tcMar>
            <w:vAlign w:val="center"/>
          </w:tcPr>
          <w:p>
            <w:r>
              <w:rPr>
                <w:sz w:val="16"/>
              </w:rPr>
              <w:t>Requires adequate sample size and reliable labels.</w:t>
            </w:r>
          </w:p>
        </w:tc>
      </w:tr>
      <w:tr>
        <w:tc>
          <w:tcPr>
            <w:tcW w:type="dxa" w:w="3293"/>
            <w:tcMar>
              <w:top w:w="60" w:type="dxa"/>
              <w:start w:w="75" w:type="dxa"/>
              <w:bottom w:w="60" w:type="dxa"/>
              <w:end w:w="75" w:type="dxa"/>
            </w:tcMar>
            <w:vAlign w:val="center"/>
            <w:shd w:fill="F3F6F9"/>
          </w:tcPr>
          <w:p>
            <w:r>
              <w:rPr>
                <w:sz w:val="16"/>
              </w:rPr>
              <w:t>Rule/model disagreement analysis</w:t>
            </w:r>
          </w:p>
        </w:tc>
        <w:tc>
          <w:tcPr>
            <w:tcW w:type="dxa" w:w="3293"/>
            <w:tcMar>
              <w:top w:w="60" w:type="dxa"/>
              <w:start w:w="75" w:type="dxa"/>
              <w:bottom w:w="60" w:type="dxa"/>
              <w:end w:w="75" w:type="dxa"/>
            </w:tcMar>
            <w:vAlign w:val="center"/>
            <w:shd w:fill="F3F6F9"/>
          </w:tcPr>
          <w:p>
            <w:r>
              <w:rPr>
                <w:sz w:val="16"/>
              </w:rPr>
              <w:t>Shows how often explicit rules override ML.</w:t>
            </w:r>
          </w:p>
        </w:tc>
        <w:tc>
          <w:tcPr>
            <w:tcW w:type="dxa" w:w="3293"/>
            <w:tcMar>
              <w:top w:w="60" w:type="dxa"/>
              <w:start w:w="75" w:type="dxa"/>
              <w:bottom w:w="60" w:type="dxa"/>
              <w:end w:w="75" w:type="dxa"/>
            </w:tcMar>
            <w:vAlign w:val="center"/>
            <w:shd w:fill="F3F6F9"/>
          </w:tcPr>
          <w:p>
            <w:r>
              <w:rPr>
                <w:sz w:val="16"/>
              </w:rPr>
              <w:t>Reflects both model and rule design; requires careful interpretation.</w:t>
            </w:r>
          </w:p>
        </w:tc>
      </w:tr>
    </w:tbl>
    <w:p/>
    <w:p>
      <w:pPr>
        <w:pStyle w:val="Heading1"/>
      </w:pPr>
      <w:r>
        <w:t>7. Local Case Explanation</w:t>
      </w:r>
    </w:p>
    <w:p>
      <w:r>
        <w:t>A local explanation describes the model evidence for one prediction. It should be generated from the exact deployed preprocessing pipeline and model artifact. The explanation must use the patient’s validated values and must identify whether the final result was actually determined by ML or overridden by a deterministic rule.</w:t>
      </w:r>
    </w:p>
    <w:p>
      <w:pPr>
        <w:pStyle w:val="ListBullet"/>
      </w:pPr>
      <w:r>
        <w:t>Present only a small number of the strongest validated contributors.</w:t>
      </w:r>
    </w:p>
    <w:p>
      <w:pPr>
        <w:pStyle w:val="ListBullet"/>
      </w:pPr>
      <w:r>
        <w:t>Show direction carefully, such as “contributed toward HIGH” rather than “caused HIGH.”</w:t>
      </w:r>
    </w:p>
    <w:p>
      <w:pPr>
        <w:pStyle w:val="ListBullet"/>
      </w:pPr>
      <w:r>
        <w:t>Display actual input values and units when clinically appropriate.</w:t>
      </w:r>
    </w:p>
    <w:p>
      <w:pPr>
        <w:pStyle w:val="ListBullet"/>
      </w:pPr>
      <w:r>
        <w:t>Distinguish absent information from a normal or negative finding.</w:t>
      </w:r>
    </w:p>
    <w:p>
      <w:pPr>
        <w:pStyle w:val="ListBullet"/>
      </w:pPr>
      <w:r>
        <w:t>Do not explain a LOW result by saying a patient is safe.</w:t>
      </w:r>
    </w:p>
    <w:p>
      <w:pPr>
        <w:pStyle w:val="ListBullet"/>
      </w:pPr>
      <w:r>
        <w:t>If local explanations are unstable or not validated, omit them and show only the ML label plus explicit limitations.</w:t>
      </w:r>
    </w:p>
    <w:p>
      <w:pPr>
        <w:pStyle w:val="Heading1"/>
      </w:pPr>
      <w:r>
        <w:t>8. Candidate Local Explanation Methods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7"/>
              </w:rPr>
              <w:t>Method</w:t>
            </w:r>
          </w:p>
        </w:tc>
        <w:tc>
          <w:tcPr>
            <w:tcW w:type="dxa" w:w="3293"/>
            <w:shd w:fill="1F4E78"/>
          </w:tcPr>
          <w:p>
            <w:r>
              <w:rPr>
                <w:b/>
                <w:color w:val="FFFFFF"/>
                <w:sz w:val="17"/>
              </w:rPr>
              <w:t>Potential role</w:t>
            </w:r>
          </w:p>
        </w:tc>
        <w:tc>
          <w:tcPr>
            <w:tcW w:type="dxa" w:w="3293"/>
            <w:shd w:fill="1F4E78"/>
          </w:tcPr>
          <w:p>
            <w:r>
              <w:rPr>
                <w:b/>
                <w:color w:val="FFFFFF"/>
                <w:sz w:val="17"/>
              </w:rPr>
              <w:t>Required controls</w:t>
            </w:r>
          </w:p>
        </w:tc>
      </w:tr>
      <w:tr>
        <w:tc>
          <w:tcPr>
            <w:tcW w:type="dxa" w:w="3293"/>
            <w:tcMar>
              <w:top w:w="60" w:type="dxa"/>
              <w:start w:w="75" w:type="dxa"/>
              <w:bottom w:w="60" w:type="dxa"/>
              <w:end w:w="75" w:type="dxa"/>
            </w:tcMar>
            <w:vAlign w:val="center"/>
          </w:tcPr>
          <w:p>
            <w:r>
              <w:rPr>
                <w:sz w:val="16"/>
              </w:rPr>
              <w:t>Tree-specific SHAP values</w:t>
            </w:r>
          </w:p>
        </w:tc>
        <w:tc>
          <w:tcPr>
            <w:tcW w:type="dxa" w:w="3293"/>
            <w:tcMar>
              <w:top w:w="60" w:type="dxa"/>
              <w:start w:w="75" w:type="dxa"/>
              <w:bottom w:w="60" w:type="dxa"/>
              <w:end w:w="75" w:type="dxa"/>
            </w:tcMar>
            <w:vAlign w:val="center"/>
          </w:tcPr>
          <w:p>
            <w:r>
              <w:rPr>
                <w:sz w:val="16"/>
              </w:rPr>
              <w:t>Detailed additive explanation for tree ensembles.</w:t>
            </w:r>
          </w:p>
        </w:tc>
        <w:tc>
          <w:tcPr>
            <w:tcW w:type="dxa" w:w="3293"/>
            <w:tcMar>
              <w:top w:w="60" w:type="dxa"/>
              <w:start w:w="75" w:type="dxa"/>
              <w:bottom w:w="60" w:type="dxa"/>
              <w:end w:w="75" w:type="dxa"/>
            </w:tcMar>
            <w:vAlign w:val="center"/>
          </w:tcPr>
          <w:p>
            <w:r>
              <w:rPr>
                <w:sz w:val="16"/>
              </w:rPr>
              <w:t>Version-lock implementation; test output stability; avoid causal language; explain baseline carefully.</w:t>
            </w:r>
          </w:p>
        </w:tc>
      </w:tr>
      <w:tr>
        <w:tc>
          <w:tcPr>
            <w:tcW w:type="dxa" w:w="3293"/>
            <w:tcMar>
              <w:top w:w="60" w:type="dxa"/>
              <w:start w:w="75" w:type="dxa"/>
              <w:bottom w:w="60" w:type="dxa"/>
              <w:end w:w="75" w:type="dxa"/>
            </w:tcMar>
            <w:vAlign w:val="center"/>
            <w:shd w:fill="F3F6F9"/>
          </w:tcPr>
          <w:p>
            <w:r>
              <w:rPr>
                <w:sz w:val="16"/>
              </w:rPr>
              <w:t>Local permutation or feature ablation</w:t>
            </w:r>
          </w:p>
        </w:tc>
        <w:tc>
          <w:tcPr>
            <w:tcW w:type="dxa" w:w="3293"/>
            <w:tcMar>
              <w:top w:w="60" w:type="dxa"/>
              <w:start w:w="75" w:type="dxa"/>
              <w:bottom w:w="60" w:type="dxa"/>
              <w:end w:w="75" w:type="dxa"/>
            </w:tcMar>
            <w:vAlign w:val="center"/>
            <w:shd w:fill="F3F6F9"/>
          </w:tcPr>
          <w:p>
            <w:r>
              <w:rPr>
                <w:sz w:val="16"/>
              </w:rPr>
              <w:t>Shows prediction sensitivity to changing/removing inputs.</w:t>
            </w:r>
          </w:p>
        </w:tc>
        <w:tc>
          <w:tcPr>
            <w:tcW w:type="dxa" w:w="3293"/>
            <w:tcMar>
              <w:top w:w="60" w:type="dxa"/>
              <w:start w:w="75" w:type="dxa"/>
              <w:bottom w:w="60" w:type="dxa"/>
              <w:end w:w="75" w:type="dxa"/>
            </w:tcMar>
            <w:vAlign w:val="center"/>
            <w:shd w:fill="F3F6F9"/>
          </w:tcPr>
          <w:p>
            <w:r>
              <w:rPr>
                <w:sz w:val="16"/>
              </w:rPr>
              <w:t>Changes must remain clinically plausible; correlated features complicate interpretation.</w:t>
            </w:r>
          </w:p>
        </w:tc>
      </w:tr>
      <w:tr>
        <w:tc>
          <w:tcPr>
            <w:tcW w:type="dxa" w:w="3293"/>
            <w:tcMar>
              <w:top w:w="60" w:type="dxa"/>
              <w:start w:w="75" w:type="dxa"/>
              <w:bottom w:w="60" w:type="dxa"/>
              <w:end w:w="75" w:type="dxa"/>
            </w:tcMar>
            <w:vAlign w:val="center"/>
          </w:tcPr>
          <w:p>
            <w:r>
              <w:rPr>
                <w:sz w:val="16"/>
              </w:rPr>
              <w:t>Counterfactual examples</w:t>
            </w:r>
          </w:p>
        </w:tc>
        <w:tc>
          <w:tcPr>
            <w:tcW w:type="dxa" w:w="3293"/>
            <w:tcMar>
              <w:top w:w="60" w:type="dxa"/>
              <w:start w:w="75" w:type="dxa"/>
              <w:bottom w:w="60" w:type="dxa"/>
              <w:end w:w="75" w:type="dxa"/>
            </w:tcMar>
            <w:vAlign w:val="center"/>
          </w:tcPr>
          <w:p>
            <w:r>
              <w:rPr>
                <w:sz w:val="16"/>
              </w:rPr>
              <w:t>Shows a minimal input change that could alter prediction.</w:t>
            </w:r>
          </w:p>
        </w:tc>
        <w:tc>
          <w:tcPr>
            <w:tcW w:type="dxa" w:w="3293"/>
            <w:tcMar>
              <w:top w:w="60" w:type="dxa"/>
              <w:start w:w="75" w:type="dxa"/>
              <w:bottom w:w="60" w:type="dxa"/>
              <w:end w:w="75" w:type="dxa"/>
            </w:tcMar>
            <w:vAlign w:val="center"/>
          </w:tcPr>
          <w:p>
            <w:r>
              <w:rPr>
                <w:sz w:val="16"/>
              </w:rPr>
              <w:t>High risk of unsafe or impossible suggestions; not recommended for patient-facing use.</w:t>
            </w:r>
          </w:p>
        </w:tc>
      </w:tr>
      <w:tr>
        <w:tc>
          <w:tcPr>
            <w:tcW w:type="dxa" w:w="3293"/>
            <w:tcMar>
              <w:top w:w="60" w:type="dxa"/>
              <w:start w:w="75" w:type="dxa"/>
              <w:bottom w:w="60" w:type="dxa"/>
              <w:end w:w="75" w:type="dxa"/>
            </w:tcMar>
            <w:vAlign w:val="center"/>
            <w:shd w:fill="F3F6F9"/>
          </w:tcPr>
          <w:p>
            <w:r>
              <w:rPr>
                <w:sz w:val="16"/>
              </w:rPr>
              <w:t>Decision path from one tree</w:t>
            </w:r>
          </w:p>
        </w:tc>
        <w:tc>
          <w:tcPr>
            <w:tcW w:type="dxa" w:w="3293"/>
            <w:tcMar>
              <w:top w:w="60" w:type="dxa"/>
              <w:start w:w="75" w:type="dxa"/>
              <w:bottom w:w="60" w:type="dxa"/>
              <w:end w:w="75" w:type="dxa"/>
            </w:tcMar>
            <w:vAlign w:val="center"/>
            <w:shd w:fill="F3F6F9"/>
          </w:tcPr>
          <w:p>
            <w:r>
              <w:rPr>
                <w:sz w:val="16"/>
              </w:rPr>
              <w:t>Easy to visualize for a single tree.</w:t>
            </w:r>
          </w:p>
        </w:tc>
        <w:tc>
          <w:tcPr>
            <w:tcW w:type="dxa" w:w="3293"/>
            <w:tcMar>
              <w:top w:w="60" w:type="dxa"/>
              <w:start w:w="75" w:type="dxa"/>
              <w:bottom w:w="60" w:type="dxa"/>
              <w:end w:w="75" w:type="dxa"/>
            </w:tcMar>
            <w:vAlign w:val="center"/>
            <w:shd w:fill="F3F6F9"/>
          </w:tcPr>
          <w:p>
            <w:r>
              <w:rPr>
                <w:sz w:val="16"/>
              </w:rPr>
              <w:t>Not representative of the full forest; must not be presented as the forest’s complete logic.</w:t>
            </w:r>
          </w:p>
        </w:tc>
      </w:tr>
      <w:tr>
        <w:tc>
          <w:tcPr>
            <w:tcW w:type="dxa" w:w="3293"/>
            <w:tcMar>
              <w:top w:w="60" w:type="dxa"/>
              <w:start w:w="75" w:type="dxa"/>
              <w:bottom w:w="60" w:type="dxa"/>
              <w:end w:w="75" w:type="dxa"/>
            </w:tcMar>
            <w:vAlign w:val="center"/>
          </w:tcPr>
          <w:p>
            <w:r>
              <w:rPr>
                <w:sz w:val="16"/>
              </w:rPr>
              <w:t>Nearest similar cases</w:t>
            </w:r>
          </w:p>
        </w:tc>
        <w:tc>
          <w:tcPr>
            <w:tcW w:type="dxa" w:w="3293"/>
            <w:tcMar>
              <w:top w:w="60" w:type="dxa"/>
              <w:start w:w="75" w:type="dxa"/>
              <w:bottom w:w="60" w:type="dxa"/>
              <w:end w:w="75" w:type="dxa"/>
            </w:tcMar>
            <w:vAlign w:val="center"/>
          </w:tcPr>
          <w:p>
            <w:r>
              <w:rPr>
                <w:sz w:val="16"/>
              </w:rPr>
              <w:t>May support pattern understanding.</w:t>
            </w:r>
          </w:p>
        </w:tc>
        <w:tc>
          <w:tcPr>
            <w:tcW w:type="dxa" w:w="3293"/>
            <w:tcMar>
              <w:top w:w="60" w:type="dxa"/>
              <w:start w:w="75" w:type="dxa"/>
              <w:bottom w:w="60" w:type="dxa"/>
              <w:end w:w="75" w:type="dxa"/>
            </w:tcMar>
            <w:vAlign w:val="center"/>
          </w:tcPr>
          <w:p>
            <w:r>
              <w:rPr>
                <w:sz w:val="16"/>
              </w:rPr>
              <w:t>Privacy, bias, and misleading similarity risks; not recommended without strong governance.</w:t>
            </w:r>
          </w:p>
        </w:tc>
      </w:tr>
    </w:tbl>
    <w:p/>
    <w:p>
      <w:r>
        <w:t>For this capstone, the safest defensible implementation is to prioritize explicit decision-engine reasons and use permutation importance for global inspection. Tree-specific local explanations may be added only after technical validation and interface testing.</w:t>
      </w:r>
    </w:p>
    <w:p>
      <w:pPr>
        <w:pStyle w:val="Heading1"/>
      </w:pPr>
      <w:r>
        <w:t>9. Feature Importance Is Not Causation</w:t>
      </w:r>
    </w:p>
    <w:p>
      <w:r>
        <w:t>A feature can be important because it is correlated with the label, correlated with another feature, affected by data collection, or used as a proxy. Importance does not prove that changing the feature will change clinical risk. Explanations should use phrases such as “the model relied on,” “contributed toward,” or “was associated with,” never “caused.”</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7"/>
              </w:rPr>
              <w:t>Unsafe statement</w:t>
            </w:r>
          </w:p>
        </w:tc>
        <w:tc>
          <w:tcPr>
            <w:tcW w:type="dxa" w:w="4939"/>
            <w:shd w:fill="1F4E78"/>
          </w:tcPr>
          <w:p>
            <w:r>
              <w:rPr>
                <w:b/>
                <w:color w:val="FFFFFF"/>
                <w:sz w:val="17"/>
              </w:rPr>
              <w:t>Safer statement</w:t>
            </w:r>
          </w:p>
        </w:tc>
      </w:tr>
      <w:tr>
        <w:tc>
          <w:tcPr>
            <w:tcW w:type="dxa" w:w="4939"/>
            <w:tcMar>
              <w:top w:w="60" w:type="dxa"/>
              <w:start w:w="75" w:type="dxa"/>
              <w:bottom w:w="60" w:type="dxa"/>
              <w:end w:w="75" w:type="dxa"/>
            </w:tcMar>
            <w:vAlign w:val="center"/>
          </w:tcPr>
          <w:p>
            <w:r>
              <w:rPr>
                <w:sz w:val="16"/>
              </w:rPr>
              <w:t>“Age caused the patient to be high risk.”</w:t>
            </w:r>
          </w:p>
        </w:tc>
        <w:tc>
          <w:tcPr>
            <w:tcW w:type="dxa" w:w="4939"/>
            <w:tcMar>
              <w:top w:w="60" w:type="dxa"/>
              <w:start w:w="75" w:type="dxa"/>
              <w:bottom w:w="60" w:type="dxa"/>
              <w:end w:w="75" w:type="dxa"/>
            </w:tcMar>
            <w:vAlign w:val="center"/>
          </w:tcPr>
          <w:p>
            <w:r>
              <w:rPr>
                <w:sz w:val="16"/>
              </w:rPr>
              <w:t>“Age contributed to the model’s HIGH classification; the final result also follows the documented clinical rule when applicable.”</w:t>
            </w:r>
          </w:p>
        </w:tc>
      </w:tr>
      <w:tr>
        <w:tc>
          <w:tcPr>
            <w:tcW w:type="dxa" w:w="4939"/>
            <w:tcMar>
              <w:top w:w="60" w:type="dxa"/>
              <w:start w:w="75" w:type="dxa"/>
              <w:bottom w:w="60" w:type="dxa"/>
              <w:end w:w="75" w:type="dxa"/>
            </w:tcMar>
            <w:vAlign w:val="center"/>
            <w:shd w:fill="F3F6F9"/>
          </w:tcPr>
          <w:p>
            <w:r>
              <w:rPr>
                <w:sz w:val="16"/>
              </w:rPr>
              <w:t>“The model is 92% sure.”</w:t>
            </w:r>
          </w:p>
        </w:tc>
        <w:tc>
          <w:tcPr>
            <w:tcW w:type="dxa" w:w="4939"/>
            <w:tcMar>
              <w:top w:w="60" w:type="dxa"/>
              <w:start w:w="75" w:type="dxa"/>
              <w:bottom w:w="60" w:type="dxa"/>
              <w:end w:w="75" w:type="dxa"/>
            </w:tcMar>
            <w:vAlign w:val="center"/>
            <w:shd w:fill="F3F6F9"/>
          </w:tcPr>
          <w:p>
            <w:r>
              <w:rPr>
                <w:sz w:val="16"/>
              </w:rPr>
              <w:t>“The model produced a score of 0.92; this score should not be interpreted as a probability of harm unless calibration has been validated.”</w:t>
            </w:r>
          </w:p>
        </w:tc>
      </w:tr>
      <w:tr>
        <w:tc>
          <w:tcPr>
            <w:tcW w:type="dxa" w:w="4939"/>
            <w:tcMar>
              <w:top w:w="60" w:type="dxa"/>
              <w:start w:w="75" w:type="dxa"/>
              <w:bottom w:w="60" w:type="dxa"/>
              <w:end w:w="75" w:type="dxa"/>
            </w:tcMar>
            <w:vAlign w:val="center"/>
          </w:tcPr>
          <w:p>
            <w:r>
              <w:rPr>
                <w:sz w:val="16"/>
              </w:rPr>
              <w:t>“No risk was found.”</w:t>
            </w:r>
          </w:p>
        </w:tc>
        <w:tc>
          <w:tcPr>
            <w:tcW w:type="dxa" w:w="4939"/>
            <w:tcMar>
              <w:top w:w="60" w:type="dxa"/>
              <w:start w:w="75" w:type="dxa"/>
              <w:bottom w:w="60" w:type="dxa"/>
              <w:end w:w="75" w:type="dxa"/>
            </w:tcMar>
            <w:vAlign w:val="center"/>
          </w:tcPr>
          <w:p>
            <w:r>
              <w:rPr>
                <w:sz w:val="16"/>
              </w:rPr>
              <w:t>“No configured HIGH factor was detected and the model returned LOW; continued clinical monitoring is still required.”</w:t>
            </w:r>
          </w:p>
        </w:tc>
      </w:tr>
      <w:tr>
        <w:tc>
          <w:tcPr>
            <w:tcW w:type="dxa" w:w="4939"/>
            <w:tcMar>
              <w:top w:w="60" w:type="dxa"/>
              <w:start w:w="75" w:type="dxa"/>
              <w:bottom w:w="60" w:type="dxa"/>
              <w:end w:w="75" w:type="dxa"/>
            </w:tcMar>
            <w:vAlign w:val="center"/>
            <w:shd w:fill="F3F6F9"/>
          </w:tcPr>
          <w:p>
            <w:r>
              <w:rPr>
                <w:sz w:val="16"/>
              </w:rPr>
              <w:t>“This feature is the most medically important.”</w:t>
            </w:r>
          </w:p>
        </w:tc>
        <w:tc>
          <w:tcPr>
            <w:tcW w:type="dxa" w:w="4939"/>
            <w:tcMar>
              <w:top w:w="60" w:type="dxa"/>
              <w:start w:w="75" w:type="dxa"/>
              <w:bottom w:w="60" w:type="dxa"/>
              <w:end w:w="75" w:type="dxa"/>
            </w:tcMar>
            <w:vAlign w:val="center"/>
            <w:shd w:fill="F3F6F9"/>
          </w:tcPr>
          <w:p>
            <w:r>
              <w:rPr>
                <w:sz w:val="16"/>
              </w:rPr>
              <w:t>“This feature had the largest measured importance for this model and evaluation dataset.”</w:t>
            </w:r>
          </w:p>
        </w:tc>
      </w:tr>
    </w:tbl>
    <w:p/>
    <w:p>
      <w:pPr>
        <w:pStyle w:val="Heading1"/>
      </w:pPr>
      <w:r>
        <w:t>10. Handling Correlated and Redundant Features</w:t>
      </w:r>
    </w:p>
    <w:p>
      <w:r>
        <w:t>Prenatal variables may be related, and multiple fields may encode overlapping information. In a Random Forest, importance can be distributed across correlated features or concentrated unpredictably. The explanation report should identify known correlations and avoid ranking features as if they were independent clinical causes.</w:t>
      </w:r>
    </w:p>
    <w:p>
      <w:pPr>
        <w:pStyle w:val="ListBullet"/>
      </w:pPr>
      <w:r>
        <w:t>Inspect correlation and category overlap during feature engineering.</w:t>
      </w:r>
    </w:p>
    <w:p>
      <w:pPr>
        <w:pStyle w:val="ListBullet"/>
      </w:pPr>
      <w:r>
        <w:t>Use grouped permutation importance when justified.</w:t>
      </w:r>
    </w:p>
    <w:p>
      <w:pPr>
        <w:pStyle w:val="ListBullet"/>
      </w:pPr>
      <w:r>
        <w:t>Compare importance across repeated fits and validation samples.</w:t>
      </w:r>
    </w:p>
    <w:p>
      <w:pPr>
        <w:pStyle w:val="ListBullet"/>
      </w:pPr>
      <w:r>
        <w:t>Report unstable rankings as unstable.</w:t>
      </w:r>
    </w:p>
    <w:p>
      <w:pPr>
        <w:pStyle w:val="ListBullet"/>
      </w:pPr>
      <w:r>
        <w:t>Do not remove clinically necessary fields solely because one importance method ranks them low.</w:t>
      </w:r>
    </w:p>
    <w:p>
      <w:pPr>
        <w:pStyle w:val="Heading1"/>
      </w:pPr>
      <w:r>
        <w:t>11. Explanation Stability and Fidelity</w:t>
      </w:r>
    </w:p>
    <w:p>
      <w:r>
        <w:t>An explanation is useful only if it faithfully represents the deployed model and remains reasonably stable for equivalent inputs. Testing should compare explanations across repeated runs, artifact reloads, software environments, and small clinically plausible input changes.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7"/>
              </w:rPr>
              <w:t>Test</w:t>
            </w:r>
          </w:p>
        </w:tc>
        <w:tc>
          <w:tcPr>
            <w:tcW w:type="dxa" w:w="4939"/>
            <w:shd w:fill="1F4E78"/>
          </w:tcPr>
          <w:p>
            <w:r>
              <w:rPr>
                <w:b/>
                <w:color w:val="FFFFFF"/>
                <w:sz w:val="17"/>
              </w:rPr>
              <w:t>Acceptance intent</w:t>
            </w:r>
          </w:p>
        </w:tc>
      </w:tr>
      <w:tr>
        <w:tc>
          <w:tcPr>
            <w:tcW w:type="dxa" w:w="4939"/>
            <w:tcMar>
              <w:top w:w="60" w:type="dxa"/>
              <w:start w:w="75" w:type="dxa"/>
              <w:bottom w:w="60" w:type="dxa"/>
              <w:end w:w="75" w:type="dxa"/>
            </w:tcMar>
            <w:vAlign w:val="center"/>
          </w:tcPr>
          <w:p>
            <w:r>
              <w:rPr>
                <w:sz w:val="16"/>
              </w:rPr>
              <w:t>Determinism test</w:t>
            </w:r>
          </w:p>
        </w:tc>
        <w:tc>
          <w:tcPr>
            <w:tcW w:type="dxa" w:w="4939"/>
            <w:tcMar>
              <w:top w:w="60" w:type="dxa"/>
              <w:start w:w="75" w:type="dxa"/>
              <w:bottom w:w="60" w:type="dxa"/>
              <w:end w:w="75" w:type="dxa"/>
            </w:tcMar>
            <w:vAlign w:val="center"/>
          </w:tcPr>
          <w:p>
            <w:r>
              <w:rPr>
                <w:sz w:val="16"/>
              </w:rPr>
              <w:t>Same artifact and feature vector produce the same prediction and explanation.</w:t>
            </w:r>
          </w:p>
        </w:tc>
      </w:tr>
      <w:tr>
        <w:tc>
          <w:tcPr>
            <w:tcW w:type="dxa" w:w="4939"/>
            <w:tcMar>
              <w:top w:w="60" w:type="dxa"/>
              <w:start w:w="75" w:type="dxa"/>
              <w:bottom w:w="60" w:type="dxa"/>
              <w:end w:w="75" w:type="dxa"/>
            </w:tcMar>
            <w:vAlign w:val="center"/>
            <w:shd w:fill="F3F6F9"/>
          </w:tcPr>
          <w:p>
            <w:r>
              <w:rPr>
                <w:sz w:val="16"/>
              </w:rPr>
              <w:t>Artifact-version test</w:t>
            </w:r>
          </w:p>
        </w:tc>
        <w:tc>
          <w:tcPr>
            <w:tcW w:type="dxa" w:w="4939"/>
            <w:tcMar>
              <w:top w:w="60" w:type="dxa"/>
              <w:start w:w="75" w:type="dxa"/>
              <w:bottom w:w="60" w:type="dxa"/>
              <w:end w:w="75" w:type="dxa"/>
            </w:tcMar>
            <w:vAlign w:val="center"/>
            <w:shd w:fill="F3F6F9"/>
          </w:tcPr>
          <w:p>
            <w:r>
              <w:rPr>
                <w:sz w:val="16"/>
              </w:rPr>
              <w:t>Explanation identifies and uses the active approved model version.</w:t>
            </w:r>
          </w:p>
        </w:tc>
      </w:tr>
      <w:tr>
        <w:tc>
          <w:tcPr>
            <w:tcW w:type="dxa" w:w="4939"/>
            <w:tcMar>
              <w:top w:w="60" w:type="dxa"/>
              <w:start w:w="75" w:type="dxa"/>
              <w:bottom w:w="60" w:type="dxa"/>
              <w:end w:w="75" w:type="dxa"/>
            </w:tcMar>
            <w:vAlign w:val="center"/>
          </w:tcPr>
          <w:p>
            <w:r>
              <w:rPr>
                <w:sz w:val="16"/>
              </w:rPr>
              <w:t>Preprocessing fidelity</w:t>
            </w:r>
          </w:p>
        </w:tc>
        <w:tc>
          <w:tcPr>
            <w:tcW w:type="dxa" w:w="4939"/>
            <w:tcMar>
              <w:top w:w="60" w:type="dxa"/>
              <w:start w:w="75" w:type="dxa"/>
              <w:bottom w:w="60" w:type="dxa"/>
              <w:end w:w="75" w:type="dxa"/>
            </w:tcMar>
            <w:vAlign w:val="center"/>
          </w:tcPr>
          <w:p>
            <w:r>
              <w:rPr>
                <w:sz w:val="16"/>
              </w:rPr>
              <w:t>Explanation is based on the transformed values actually used by the model.</w:t>
            </w:r>
          </w:p>
        </w:tc>
      </w:tr>
      <w:tr>
        <w:tc>
          <w:tcPr>
            <w:tcW w:type="dxa" w:w="4939"/>
            <w:tcMar>
              <w:top w:w="60" w:type="dxa"/>
              <w:start w:w="75" w:type="dxa"/>
              <w:bottom w:w="60" w:type="dxa"/>
              <w:end w:w="75" w:type="dxa"/>
            </w:tcMar>
            <w:vAlign w:val="center"/>
            <w:shd w:fill="F3F6F9"/>
          </w:tcPr>
          <w:p>
            <w:r>
              <w:rPr>
                <w:sz w:val="16"/>
              </w:rPr>
              <w:t>Perturbation test</w:t>
            </w:r>
          </w:p>
        </w:tc>
        <w:tc>
          <w:tcPr>
            <w:tcW w:type="dxa" w:w="4939"/>
            <w:tcMar>
              <w:top w:w="60" w:type="dxa"/>
              <w:start w:w="75" w:type="dxa"/>
              <w:bottom w:w="60" w:type="dxa"/>
              <w:end w:w="75" w:type="dxa"/>
            </w:tcMar>
            <w:vAlign w:val="center"/>
            <w:shd w:fill="F3F6F9"/>
          </w:tcPr>
          <w:p>
            <w:r>
              <w:rPr>
                <w:sz w:val="16"/>
              </w:rPr>
              <w:t>Small changes do not cause unexplained, extreme explanation reversals without prediction change.</w:t>
            </w:r>
          </w:p>
        </w:tc>
      </w:tr>
      <w:tr>
        <w:tc>
          <w:tcPr>
            <w:tcW w:type="dxa" w:w="4939"/>
            <w:tcMar>
              <w:top w:w="60" w:type="dxa"/>
              <w:start w:w="75" w:type="dxa"/>
              <w:bottom w:w="60" w:type="dxa"/>
              <w:end w:w="75" w:type="dxa"/>
            </w:tcMar>
            <w:vAlign w:val="center"/>
          </w:tcPr>
          <w:p>
            <w:r>
              <w:rPr>
                <w:sz w:val="16"/>
              </w:rPr>
              <w:t>Correlated-feature test</w:t>
            </w:r>
          </w:p>
        </w:tc>
        <w:tc>
          <w:tcPr>
            <w:tcW w:type="dxa" w:w="4939"/>
            <w:tcMar>
              <w:top w:w="60" w:type="dxa"/>
              <w:start w:w="75" w:type="dxa"/>
              <w:bottom w:w="60" w:type="dxa"/>
              <w:end w:w="75" w:type="dxa"/>
            </w:tcMar>
            <w:vAlign w:val="center"/>
          </w:tcPr>
          <w:p>
            <w:r>
              <w:rPr>
                <w:sz w:val="16"/>
              </w:rPr>
              <w:t>Known correlated variables are not overinterpreted independently.</w:t>
            </w:r>
          </w:p>
        </w:tc>
      </w:tr>
      <w:tr>
        <w:tc>
          <w:tcPr>
            <w:tcW w:type="dxa" w:w="4939"/>
            <w:tcMar>
              <w:top w:w="60" w:type="dxa"/>
              <w:start w:w="75" w:type="dxa"/>
              <w:bottom w:w="60" w:type="dxa"/>
              <w:end w:w="75" w:type="dxa"/>
            </w:tcMar>
            <w:vAlign w:val="center"/>
            <w:shd w:fill="F3F6F9"/>
          </w:tcPr>
          <w:p>
            <w:r>
              <w:rPr>
                <w:sz w:val="16"/>
              </w:rPr>
              <w:t>Rule-override test</w:t>
            </w:r>
          </w:p>
        </w:tc>
        <w:tc>
          <w:tcPr>
            <w:tcW w:type="dxa" w:w="4939"/>
            <w:tcMar>
              <w:top w:w="60" w:type="dxa"/>
              <w:start w:w="75" w:type="dxa"/>
              <w:bottom w:w="60" w:type="dxa"/>
              <w:end w:w="75" w:type="dxa"/>
            </w:tcMar>
            <w:vAlign w:val="center"/>
            <w:shd w:fill="F3F6F9"/>
          </w:tcPr>
          <w:p>
            <w:r>
              <w:rPr>
                <w:sz w:val="16"/>
              </w:rPr>
              <w:t>Interface states when the final HIGH result came from rules despite ML LOW.</w:t>
            </w:r>
          </w:p>
        </w:tc>
      </w:tr>
    </w:tbl>
    <w:p/>
    <w:p>
      <w:pPr>
        <w:pStyle w:val="Heading1"/>
      </w:pPr>
      <w:r>
        <w:t>12. Audience-Specific Communication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7"/>
              </w:rPr>
              <w:t>Audience</w:t>
            </w:r>
          </w:p>
        </w:tc>
        <w:tc>
          <w:tcPr>
            <w:tcW w:type="dxa" w:w="3293"/>
            <w:shd w:fill="1F4E78"/>
          </w:tcPr>
          <w:p>
            <w:r>
              <w:rPr>
                <w:b/>
                <w:color w:val="FFFFFF"/>
                <w:sz w:val="17"/>
              </w:rPr>
              <w:t>Needs</w:t>
            </w:r>
          </w:p>
        </w:tc>
        <w:tc>
          <w:tcPr>
            <w:tcW w:type="dxa" w:w="3293"/>
            <w:shd w:fill="1F4E78"/>
          </w:tcPr>
          <w:p>
            <w:r>
              <w:rPr>
                <w:b/>
                <w:color w:val="FFFFFF"/>
                <w:sz w:val="17"/>
              </w:rPr>
              <w:t>Avoid</w:t>
            </w:r>
          </w:p>
        </w:tc>
      </w:tr>
      <w:tr>
        <w:tc>
          <w:tcPr>
            <w:tcW w:type="dxa" w:w="3293"/>
            <w:tcMar>
              <w:top w:w="60" w:type="dxa"/>
              <w:start w:w="75" w:type="dxa"/>
              <w:bottom w:w="60" w:type="dxa"/>
              <w:end w:w="75" w:type="dxa"/>
            </w:tcMar>
            <w:vAlign w:val="center"/>
          </w:tcPr>
          <w:p>
            <w:r>
              <w:rPr>
                <w:sz w:val="16"/>
              </w:rPr>
              <w:t>Midwife / clinic user</w:t>
            </w:r>
          </w:p>
        </w:tc>
        <w:tc>
          <w:tcPr>
            <w:tcW w:type="dxa" w:w="3293"/>
            <w:tcMar>
              <w:top w:w="60" w:type="dxa"/>
              <w:start w:w="75" w:type="dxa"/>
              <w:bottom w:w="60" w:type="dxa"/>
              <w:end w:w="75" w:type="dxa"/>
            </w:tcMar>
            <w:vAlign w:val="center"/>
          </w:tcPr>
          <w:p>
            <w:r>
              <w:rPr>
                <w:sz w:val="16"/>
              </w:rPr>
              <w:t>Clear final status, explicit reasons, urgency, missing data, next action.</w:t>
            </w:r>
          </w:p>
        </w:tc>
        <w:tc>
          <w:tcPr>
            <w:tcW w:type="dxa" w:w="3293"/>
            <w:tcMar>
              <w:top w:w="60" w:type="dxa"/>
              <w:start w:w="75" w:type="dxa"/>
              <w:bottom w:w="60" w:type="dxa"/>
              <w:end w:w="75" w:type="dxa"/>
            </w:tcMar>
            <w:vAlign w:val="center"/>
          </w:tcPr>
          <w:p>
            <w:r>
              <w:rPr>
                <w:sz w:val="16"/>
              </w:rPr>
              <w:t>Technical plots, raw SHAP values, probability jargon.</w:t>
            </w:r>
          </w:p>
        </w:tc>
      </w:tr>
      <w:tr>
        <w:tc>
          <w:tcPr>
            <w:tcW w:type="dxa" w:w="3293"/>
            <w:tcMar>
              <w:top w:w="60" w:type="dxa"/>
              <w:start w:w="75" w:type="dxa"/>
              <w:bottom w:w="60" w:type="dxa"/>
              <w:end w:w="75" w:type="dxa"/>
            </w:tcMar>
            <w:vAlign w:val="center"/>
            <w:shd w:fill="F3F6F9"/>
          </w:tcPr>
          <w:p>
            <w:r>
              <w:rPr>
                <w:sz w:val="16"/>
              </w:rPr>
              <w:t>Patient</w:t>
            </w:r>
          </w:p>
        </w:tc>
        <w:tc>
          <w:tcPr>
            <w:tcW w:type="dxa" w:w="3293"/>
            <w:tcMar>
              <w:top w:w="60" w:type="dxa"/>
              <w:start w:w="75" w:type="dxa"/>
              <w:bottom w:w="60" w:type="dxa"/>
              <w:end w:w="75" w:type="dxa"/>
            </w:tcMar>
            <w:vAlign w:val="center"/>
            <w:shd w:fill="F3F6F9"/>
          </w:tcPr>
          <w:p>
            <w:r>
              <w:rPr>
                <w:sz w:val="16"/>
              </w:rPr>
              <w:t>Plain-language explanation delivered by qualified staff, referral purpose, opportunity for questions.</w:t>
            </w:r>
          </w:p>
        </w:tc>
        <w:tc>
          <w:tcPr>
            <w:tcW w:type="dxa" w:w="3293"/>
            <w:tcMar>
              <w:top w:w="60" w:type="dxa"/>
              <w:start w:w="75" w:type="dxa"/>
              <w:bottom w:w="60" w:type="dxa"/>
              <w:end w:w="75" w:type="dxa"/>
            </w:tcMar>
            <w:vAlign w:val="center"/>
            <w:shd w:fill="F3F6F9"/>
          </w:tcPr>
          <w:p>
            <w:r>
              <w:rPr>
                <w:sz w:val="16"/>
              </w:rPr>
              <w:t>Unsupervised AI output, deterministic-sounding predictions, unnecessary technical detail.</w:t>
            </w:r>
          </w:p>
        </w:tc>
      </w:tr>
      <w:tr>
        <w:tc>
          <w:tcPr>
            <w:tcW w:type="dxa" w:w="3293"/>
            <w:tcMar>
              <w:top w:w="60" w:type="dxa"/>
              <w:start w:w="75" w:type="dxa"/>
              <w:bottom w:w="60" w:type="dxa"/>
              <w:end w:w="75" w:type="dxa"/>
            </w:tcMar>
            <w:vAlign w:val="center"/>
          </w:tcPr>
          <w:p>
            <w:r>
              <w:rPr>
                <w:sz w:val="16"/>
              </w:rPr>
              <w:t>Developer</w:t>
            </w:r>
          </w:p>
        </w:tc>
        <w:tc>
          <w:tcPr>
            <w:tcW w:type="dxa" w:w="3293"/>
            <w:tcMar>
              <w:top w:w="60" w:type="dxa"/>
              <w:start w:w="75" w:type="dxa"/>
              <w:bottom w:w="60" w:type="dxa"/>
              <w:end w:w="75" w:type="dxa"/>
            </w:tcMar>
            <w:vAlign w:val="center"/>
          </w:tcPr>
          <w:p>
            <w:r>
              <w:rPr>
                <w:sz w:val="16"/>
              </w:rPr>
              <w:t>Schema, model version, feature transformations, execution errors, explanation method.</w:t>
            </w:r>
          </w:p>
        </w:tc>
        <w:tc>
          <w:tcPr>
            <w:tcW w:type="dxa" w:w="3293"/>
            <w:tcMar>
              <w:top w:w="60" w:type="dxa"/>
              <w:start w:w="75" w:type="dxa"/>
              <w:bottom w:w="60" w:type="dxa"/>
              <w:end w:w="75" w:type="dxa"/>
            </w:tcMar>
            <w:vAlign w:val="center"/>
          </w:tcPr>
          <w:p>
            <w:r>
              <w:rPr>
                <w:sz w:val="16"/>
              </w:rPr>
              <w:t>Access to unnecessary patient identifiers.</w:t>
            </w:r>
          </w:p>
        </w:tc>
      </w:tr>
      <w:tr>
        <w:tc>
          <w:tcPr>
            <w:tcW w:type="dxa" w:w="3293"/>
            <w:tcMar>
              <w:top w:w="60" w:type="dxa"/>
              <w:start w:w="75" w:type="dxa"/>
              <w:bottom w:w="60" w:type="dxa"/>
              <w:end w:w="75" w:type="dxa"/>
            </w:tcMar>
            <w:vAlign w:val="center"/>
            <w:shd w:fill="F3F6F9"/>
          </w:tcPr>
          <w:p>
            <w:r>
              <w:rPr>
                <w:sz w:val="16"/>
              </w:rPr>
              <w:t>Research panel</w:t>
            </w:r>
          </w:p>
        </w:tc>
        <w:tc>
          <w:tcPr>
            <w:tcW w:type="dxa" w:w="3293"/>
            <w:tcMar>
              <w:top w:w="60" w:type="dxa"/>
              <w:start w:w="75" w:type="dxa"/>
              <w:bottom w:w="60" w:type="dxa"/>
              <w:end w:w="75" w:type="dxa"/>
            </w:tcMar>
            <w:vAlign w:val="center"/>
            <w:shd w:fill="F3F6F9"/>
          </w:tcPr>
          <w:p>
            <w:r>
              <w:rPr>
                <w:sz w:val="16"/>
              </w:rPr>
              <w:t>Method rationale, validation evidence, limitations, examples, governance.</w:t>
            </w:r>
          </w:p>
        </w:tc>
        <w:tc>
          <w:tcPr>
            <w:tcW w:type="dxa" w:w="3293"/>
            <w:tcMar>
              <w:top w:w="60" w:type="dxa"/>
              <w:start w:w="75" w:type="dxa"/>
              <w:bottom w:w="60" w:type="dxa"/>
              <w:end w:w="75" w:type="dxa"/>
            </w:tcMar>
            <w:vAlign w:val="center"/>
            <w:shd w:fill="F3F6F9"/>
          </w:tcPr>
          <w:p>
            <w:r>
              <w:rPr>
                <w:sz w:val="16"/>
              </w:rPr>
              <w:t>Claims beyond actual implementation or results.</w:t>
            </w:r>
          </w:p>
        </w:tc>
      </w:tr>
      <w:tr>
        <w:tc>
          <w:tcPr>
            <w:tcW w:type="dxa" w:w="3293"/>
            <w:tcMar>
              <w:top w:w="60" w:type="dxa"/>
              <w:start w:w="75" w:type="dxa"/>
              <w:bottom w:w="60" w:type="dxa"/>
              <w:end w:w="75" w:type="dxa"/>
            </w:tcMar>
            <w:vAlign w:val="center"/>
          </w:tcPr>
          <w:p>
            <w:r>
              <w:rPr>
                <w:sz w:val="16"/>
              </w:rPr>
              <w:t>Administrator / auditor</w:t>
            </w:r>
          </w:p>
        </w:tc>
        <w:tc>
          <w:tcPr>
            <w:tcW w:type="dxa" w:w="3293"/>
            <w:tcMar>
              <w:top w:w="60" w:type="dxa"/>
              <w:start w:w="75" w:type="dxa"/>
              <w:bottom w:w="60" w:type="dxa"/>
              <w:end w:w="75" w:type="dxa"/>
            </w:tcMar>
            <w:vAlign w:val="center"/>
          </w:tcPr>
          <w:p>
            <w:r>
              <w:rPr>
                <w:sz w:val="16"/>
              </w:rPr>
              <w:t>Release history, approvals, performance summary, incidents, rollback.</w:t>
            </w:r>
          </w:p>
        </w:tc>
        <w:tc>
          <w:tcPr>
            <w:tcW w:type="dxa" w:w="3293"/>
            <w:tcMar>
              <w:top w:w="60" w:type="dxa"/>
              <w:start w:w="75" w:type="dxa"/>
              <w:bottom w:w="60" w:type="dxa"/>
              <w:end w:w="75" w:type="dxa"/>
            </w:tcMar>
            <w:vAlign w:val="center"/>
          </w:tcPr>
          <w:p>
            <w:r>
              <w:rPr>
                <w:sz w:val="16"/>
              </w:rPr>
              <w:t>Case-level clinical detail beyond role needs.</w:t>
            </w:r>
          </w:p>
        </w:tc>
      </w:tr>
    </w:tbl>
    <w:p/>
    <w:p>
      <w:pPr>
        <w:pStyle w:val="Heading1"/>
      </w:pPr>
      <w:r>
        <w:t>13. User-Interface Explanation Pattern</w:t>
      </w:r>
    </w:p>
    <w:tbl>
      <w:tblPr>
        <w:tblStyle w:val="TableGrid"/>
        <w:tblW w:type="auto" w:w="0"/>
        <w:jc w:val="center"/>
        <w:tblLook w:firstColumn="1" w:firstRow="1" w:lastColumn="0" w:lastRow="0" w:noHBand="0" w:noVBand="1" w:val="04A0"/>
      </w:tblPr>
      <w:tblGrid>
        <w:gridCol w:w="9878"/>
      </w:tblGrid>
      <w:tr>
        <w:tc>
          <w:tcPr>
            <w:tcW w:type="dxa" w:w="9878"/>
            <w:shd w:fill="17365D"/>
          </w:tcPr>
          <w:p>
            <w:r>
              <w:rPr>
                <w:b/>
                <w:color w:val="FFFFFF"/>
              </w:rPr>
              <w:t>Recommended Assessment Card</w:t>
            </w:r>
          </w:p>
        </w:tc>
      </w:tr>
      <w:tr>
        <w:tc>
          <w:tcPr>
            <w:tcW w:type="dxa" w:w="9878"/>
            <w:shd w:fill="EAF2F8"/>
          </w:tcPr>
          <w:p>
            <w:pPr>
              <w:jc w:val="center"/>
            </w:pPr>
            <w:r>
              <w:rPr>
                <w:rFonts w:ascii="Consolas" w:hAnsi="Consolas"/>
                <w:sz w:val="18"/>
              </w:rPr>
              <w:t>FINAL RESULT: HIGH / LOW / ASSESSMENT INCOMPLETE</w:t>
            </w:r>
          </w:p>
        </w:tc>
      </w:tr>
      <w:tr>
        <w:tc>
          <w:tcPr>
            <w:tcW w:type="dxa" w:w="9878"/>
            <w:shd w:fill="F7F9FB"/>
          </w:tcPr>
          <w:p>
            <w:pPr>
              <w:jc w:val="center"/>
            </w:pPr>
            <w:r>
              <w:rPr>
                <w:rFonts w:ascii="Consolas" w:hAnsi="Consolas"/>
                <w:sz w:val="18"/>
              </w:rPr>
              <w:t>Primary reason: explicit urgent/rule factor or missing requirement</w:t>
            </w:r>
          </w:p>
        </w:tc>
      </w:tr>
      <w:tr>
        <w:tc>
          <w:tcPr>
            <w:tcW w:type="dxa" w:w="9878"/>
            <w:shd w:fill="EAF2F8"/>
          </w:tcPr>
          <w:p>
            <w:pPr>
              <w:jc w:val="center"/>
            </w:pPr>
            <w:r>
              <w:rPr>
                <w:rFonts w:ascii="Consolas" w:hAnsi="Consolas"/>
                <w:sz w:val="18"/>
              </w:rPr>
              <w:t>Other documented factors: concise list</w:t>
            </w:r>
          </w:p>
        </w:tc>
      </w:tr>
      <w:tr>
        <w:tc>
          <w:tcPr>
            <w:tcW w:type="dxa" w:w="9878"/>
            <w:shd w:fill="F7F9FB"/>
          </w:tcPr>
          <w:p>
            <w:pPr>
              <w:jc w:val="center"/>
            </w:pPr>
            <w:r>
              <w:rPr>
                <w:rFonts w:ascii="Consolas" w:hAnsi="Consolas"/>
                <w:sz w:val="18"/>
              </w:rPr>
              <w:t>ML contribution: HIGH or LOW, model version, supportive-only notice</w:t>
            </w:r>
          </w:p>
        </w:tc>
      </w:tr>
      <w:tr>
        <w:tc>
          <w:tcPr>
            <w:tcW w:type="dxa" w:w="9878"/>
            <w:shd w:fill="EAF2F8"/>
          </w:tcPr>
          <w:p>
            <w:pPr>
              <w:jc w:val="center"/>
            </w:pPr>
            <w:r>
              <w:rPr>
                <w:rFonts w:ascii="Consolas" w:hAnsi="Consolas"/>
                <w:sz w:val="18"/>
              </w:rPr>
              <w:t>Recommended action: referral/review/complete records according to protocol</w:t>
            </w:r>
          </w:p>
        </w:tc>
      </w:tr>
      <w:tr>
        <w:tc>
          <w:tcPr>
            <w:tcW w:type="dxa" w:w="9878"/>
            <w:shd w:fill="F7F9FB"/>
          </w:tcPr>
          <w:p>
            <w:pPr>
              <w:jc w:val="center"/>
            </w:pPr>
            <w:r>
              <w:rPr>
                <w:rFonts w:ascii="Consolas" w:hAnsi="Consolas"/>
                <w:sz w:val="18"/>
              </w:rPr>
              <w:t>Safety notice: not a diagnosis; human review remains required</w:t>
            </w:r>
          </w:p>
        </w:tc>
      </w:tr>
    </w:tbl>
    <w:p/>
    <w:p>
      <w:r>
        <w:t>The explanation card should use accessible wording and clear visual hierarchy. Color must not be the only signal. HIGH, LOW, and INCOMPLETE require text labels and distinct icons or structure. Urgent findings must be more prominent than general model information.</w:t>
      </w:r>
    </w:p>
    <w:p>
      <w:pPr>
        <w:pStyle w:val="Heading1"/>
      </w:pPr>
      <w:r>
        <w:t>14. Auditability and Provenance</w:t>
      </w:r>
    </w:p>
    <w:p>
      <w:r>
        <w:t>Every assessment should preserve enough provenance to reconstruct the output without storing unnecessary duplicated sensitive data. Provenance supports incident review, reproducibility, and accountability.</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7"/>
              </w:rPr>
              <w:t>Audit field</w:t>
            </w:r>
          </w:p>
        </w:tc>
        <w:tc>
          <w:tcPr>
            <w:tcW w:type="dxa" w:w="4939"/>
            <w:shd w:fill="1F4E78"/>
          </w:tcPr>
          <w:p>
            <w:r>
              <w:rPr>
                <w:b/>
                <w:color w:val="FFFFFF"/>
                <w:sz w:val="17"/>
              </w:rPr>
              <w:t>Purpose</w:t>
            </w:r>
          </w:p>
        </w:tc>
      </w:tr>
      <w:tr>
        <w:tc>
          <w:tcPr>
            <w:tcW w:type="dxa" w:w="4939"/>
            <w:tcMar>
              <w:top w:w="60" w:type="dxa"/>
              <w:start w:w="75" w:type="dxa"/>
              <w:bottom w:w="60" w:type="dxa"/>
              <w:end w:w="75" w:type="dxa"/>
            </w:tcMar>
            <w:vAlign w:val="center"/>
          </w:tcPr>
          <w:p>
            <w:r>
              <w:rPr>
                <w:sz w:val="16"/>
              </w:rPr>
              <w:t>Assessment ID and timestamp</w:t>
            </w:r>
          </w:p>
        </w:tc>
        <w:tc>
          <w:tcPr>
            <w:tcW w:type="dxa" w:w="4939"/>
            <w:tcMar>
              <w:top w:w="60" w:type="dxa"/>
              <w:start w:w="75" w:type="dxa"/>
              <w:bottom w:w="60" w:type="dxa"/>
              <w:end w:w="75" w:type="dxa"/>
            </w:tcMar>
            <w:vAlign w:val="center"/>
          </w:tcPr>
          <w:p>
            <w:r>
              <w:rPr>
                <w:sz w:val="16"/>
              </w:rPr>
              <w:t>Identifies the event.</w:t>
            </w:r>
          </w:p>
        </w:tc>
      </w:tr>
      <w:tr>
        <w:tc>
          <w:tcPr>
            <w:tcW w:type="dxa" w:w="4939"/>
            <w:tcMar>
              <w:top w:w="60" w:type="dxa"/>
              <w:start w:w="75" w:type="dxa"/>
              <w:bottom w:w="60" w:type="dxa"/>
              <w:end w:w="75" w:type="dxa"/>
            </w:tcMar>
            <w:vAlign w:val="center"/>
            <w:shd w:fill="F3F6F9"/>
          </w:tcPr>
          <w:p>
            <w:r>
              <w:rPr>
                <w:sz w:val="16"/>
              </w:rPr>
              <w:t>Patient/pregnancy record reference</w:t>
            </w:r>
          </w:p>
        </w:tc>
        <w:tc>
          <w:tcPr>
            <w:tcW w:type="dxa" w:w="4939"/>
            <w:tcMar>
              <w:top w:w="60" w:type="dxa"/>
              <w:start w:w="75" w:type="dxa"/>
              <w:bottom w:w="60" w:type="dxa"/>
              <w:end w:w="75" w:type="dxa"/>
            </w:tcMar>
            <w:vAlign w:val="center"/>
            <w:shd w:fill="F3F6F9"/>
          </w:tcPr>
          <w:p>
            <w:r>
              <w:rPr>
                <w:sz w:val="16"/>
              </w:rPr>
              <w:t>Links to authorized source data.</w:t>
            </w:r>
          </w:p>
        </w:tc>
      </w:tr>
      <w:tr>
        <w:tc>
          <w:tcPr>
            <w:tcW w:type="dxa" w:w="4939"/>
            <w:tcMar>
              <w:top w:w="60" w:type="dxa"/>
              <w:start w:w="75" w:type="dxa"/>
              <w:bottom w:w="60" w:type="dxa"/>
              <w:end w:w="75" w:type="dxa"/>
            </w:tcMar>
            <w:vAlign w:val="center"/>
          </w:tcPr>
          <w:p>
            <w:r>
              <w:rPr>
                <w:sz w:val="16"/>
              </w:rPr>
              <w:t>Feature schema version</w:t>
            </w:r>
          </w:p>
        </w:tc>
        <w:tc>
          <w:tcPr>
            <w:tcW w:type="dxa" w:w="4939"/>
            <w:tcMar>
              <w:top w:w="60" w:type="dxa"/>
              <w:start w:w="75" w:type="dxa"/>
              <w:bottom w:w="60" w:type="dxa"/>
              <w:end w:w="75" w:type="dxa"/>
            </w:tcMar>
            <w:vAlign w:val="center"/>
          </w:tcPr>
          <w:p>
            <w:r>
              <w:rPr>
                <w:sz w:val="16"/>
              </w:rPr>
              <w:t>Identifies the input contract.</w:t>
            </w:r>
          </w:p>
        </w:tc>
      </w:tr>
      <w:tr>
        <w:tc>
          <w:tcPr>
            <w:tcW w:type="dxa" w:w="4939"/>
            <w:tcMar>
              <w:top w:w="60" w:type="dxa"/>
              <w:start w:w="75" w:type="dxa"/>
              <w:bottom w:w="60" w:type="dxa"/>
              <w:end w:w="75" w:type="dxa"/>
            </w:tcMar>
            <w:vAlign w:val="center"/>
            <w:shd w:fill="F3F6F9"/>
          </w:tcPr>
          <w:p>
            <w:r>
              <w:rPr>
                <w:sz w:val="16"/>
              </w:rPr>
              <w:t>Model ID/version and artifact hash</w:t>
            </w:r>
          </w:p>
        </w:tc>
        <w:tc>
          <w:tcPr>
            <w:tcW w:type="dxa" w:w="4939"/>
            <w:tcMar>
              <w:top w:w="60" w:type="dxa"/>
              <w:start w:w="75" w:type="dxa"/>
              <w:bottom w:w="60" w:type="dxa"/>
              <w:end w:w="75" w:type="dxa"/>
            </w:tcMar>
            <w:vAlign w:val="center"/>
            <w:shd w:fill="F3F6F9"/>
          </w:tcPr>
          <w:p>
            <w:r>
              <w:rPr>
                <w:sz w:val="16"/>
              </w:rPr>
              <w:t>Identifies the deployed classifier.</w:t>
            </w:r>
          </w:p>
        </w:tc>
      </w:tr>
      <w:tr>
        <w:tc>
          <w:tcPr>
            <w:tcW w:type="dxa" w:w="4939"/>
            <w:tcMar>
              <w:top w:w="60" w:type="dxa"/>
              <w:start w:w="75" w:type="dxa"/>
              <w:bottom w:w="60" w:type="dxa"/>
              <w:end w:w="75" w:type="dxa"/>
            </w:tcMar>
            <w:vAlign w:val="center"/>
          </w:tcPr>
          <w:p>
            <w:r>
              <w:rPr>
                <w:sz w:val="16"/>
              </w:rPr>
              <w:t>ML execution status and label</w:t>
            </w:r>
          </w:p>
        </w:tc>
        <w:tc>
          <w:tcPr>
            <w:tcW w:type="dxa" w:w="4939"/>
            <w:tcMar>
              <w:top w:w="60" w:type="dxa"/>
              <w:start w:w="75" w:type="dxa"/>
              <w:bottom w:w="60" w:type="dxa"/>
              <w:end w:w="75" w:type="dxa"/>
            </w:tcMar>
            <w:vAlign w:val="center"/>
          </w:tcPr>
          <w:p>
            <w:r>
              <w:rPr>
                <w:sz w:val="16"/>
              </w:rPr>
              <w:t>Distinguishes valid output from failure.</w:t>
            </w:r>
          </w:p>
        </w:tc>
      </w:tr>
      <w:tr>
        <w:tc>
          <w:tcPr>
            <w:tcW w:type="dxa" w:w="4939"/>
            <w:tcMar>
              <w:top w:w="60" w:type="dxa"/>
              <w:start w:w="75" w:type="dxa"/>
              <w:bottom w:w="60" w:type="dxa"/>
              <w:end w:w="75" w:type="dxa"/>
            </w:tcMar>
            <w:vAlign w:val="center"/>
            <w:shd w:fill="F3F6F9"/>
          </w:tcPr>
          <w:p>
            <w:r>
              <w:rPr>
                <w:sz w:val="16"/>
              </w:rPr>
              <w:t>Triggered rule identifiers</w:t>
            </w:r>
          </w:p>
        </w:tc>
        <w:tc>
          <w:tcPr>
            <w:tcW w:type="dxa" w:w="4939"/>
            <w:tcMar>
              <w:top w:w="60" w:type="dxa"/>
              <w:start w:w="75" w:type="dxa"/>
              <w:bottom w:w="60" w:type="dxa"/>
              <w:end w:w="75" w:type="dxa"/>
            </w:tcMar>
            <w:vAlign w:val="center"/>
            <w:shd w:fill="F3F6F9"/>
          </w:tcPr>
          <w:p>
            <w:r>
              <w:rPr>
                <w:sz w:val="16"/>
              </w:rPr>
              <w:t>Explains deterministic precedence.</w:t>
            </w:r>
          </w:p>
        </w:tc>
      </w:tr>
      <w:tr>
        <w:tc>
          <w:tcPr>
            <w:tcW w:type="dxa" w:w="4939"/>
            <w:tcMar>
              <w:top w:w="60" w:type="dxa"/>
              <w:start w:w="75" w:type="dxa"/>
              <w:bottom w:w="60" w:type="dxa"/>
              <w:end w:w="75" w:type="dxa"/>
            </w:tcMar>
            <w:vAlign w:val="center"/>
          </w:tcPr>
          <w:p>
            <w:r>
              <w:rPr>
                <w:sz w:val="16"/>
              </w:rPr>
              <w:t>Final result and recommendation</w:t>
            </w:r>
          </w:p>
        </w:tc>
        <w:tc>
          <w:tcPr>
            <w:tcW w:type="dxa" w:w="4939"/>
            <w:tcMar>
              <w:top w:w="60" w:type="dxa"/>
              <w:start w:w="75" w:type="dxa"/>
              <w:bottom w:w="60" w:type="dxa"/>
              <w:end w:w="75" w:type="dxa"/>
            </w:tcMar>
            <w:vAlign w:val="center"/>
          </w:tcPr>
          <w:p>
            <w:r>
              <w:rPr>
                <w:sz w:val="16"/>
              </w:rPr>
              <w:t>Records system output.</w:t>
            </w:r>
          </w:p>
        </w:tc>
      </w:tr>
      <w:tr>
        <w:tc>
          <w:tcPr>
            <w:tcW w:type="dxa" w:w="4939"/>
            <w:tcMar>
              <w:top w:w="60" w:type="dxa"/>
              <w:start w:w="75" w:type="dxa"/>
              <w:bottom w:w="60" w:type="dxa"/>
              <w:end w:w="75" w:type="dxa"/>
            </w:tcMar>
            <w:vAlign w:val="center"/>
            <w:shd w:fill="F3F6F9"/>
          </w:tcPr>
          <w:p>
            <w:r>
              <w:rPr>
                <w:sz w:val="16"/>
              </w:rPr>
              <w:t>Explanation method/version</w:t>
            </w:r>
          </w:p>
        </w:tc>
        <w:tc>
          <w:tcPr>
            <w:tcW w:type="dxa" w:w="4939"/>
            <w:tcMar>
              <w:top w:w="60" w:type="dxa"/>
              <w:start w:w="75" w:type="dxa"/>
              <w:bottom w:w="60" w:type="dxa"/>
              <w:end w:w="75" w:type="dxa"/>
            </w:tcMar>
            <w:vAlign w:val="center"/>
            <w:shd w:fill="F3F6F9"/>
          </w:tcPr>
          <w:p>
            <w:r>
              <w:rPr>
                <w:sz w:val="16"/>
              </w:rPr>
              <w:t>Identifies how ML evidence was generated.</w:t>
            </w:r>
          </w:p>
        </w:tc>
      </w:tr>
      <w:tr>
        <w:tc>
          <w:tcPr>
            <w:tcW w:type="dxa" w:w="4939"/>
            <w:tcMar>
              <w:top w:w="60" w:type="dxa"/>
              <w:start w:w="75" w:type="dxa"/>
              <w:bottom w:w="60" w:type="dxa"/>
              <w:end w:w="75" w:type="dxa"/>
            </w:tcMar>
            <w:vAlign w:val="center"/>
          </w:tcPr>
          <w:p>
            <w:r>
              <w:rPr>
                <w:sz w:val="16"/>
              </w:rPr>
              <w:t>User and subsequent action</w:t>
            </w:r>
          </w:p>
        </w:tc>
        <w:tc>
          <w:tcPr>
            <w:tcW w:type="dxa" w:w="4939"/>
            <w:tcMar>
              <w:top w:w="60" w:type="dxa"/>
              <w:start w:w="75" w:type="dxa"/>
              <w:bottom w:w="60" w:type="dxa"/>
              <w:end w:w="75" w:type="dxa"/>
            </w:tcMar>
            <w:vAlign w:val="center"/>
          </w:tcPr>
          <w:p>
            <w:r>
              <w:rPr>
                <w:sz w:val="16"/>
              </w:rPr>
              <w:t>Supports accountability and workflow review.</w:t>
            </w:r>
          </w:p>
        </w:tc>
      </w:tr>
      <w:tr>
        <w:tc>
          <w:tcPr>
            <w:tcW w:type="dxa" w:w="4939"/>
            <w:tcMar>
              <w:top w:w="60" w:type="dxa"/>
              <w:start w:w="75" w:type="dxa"/>
              <w:bottom w:w="60" w:type="dxa"/>
              <w:end w:w="75" w:type="dxa"/>
            </w:tcMar>
            <w:vAlign w:val="center"/>
            <w:shd w:fill="F3F6F9"/>
          </w:tcPr>
          <w:p>
            <w:r>
              <w:rPr>
                <w:sz w:val="16"/>
              </w:rPr>
              <w:t>Override or correction note</w:t>
            </w:r>
          </w:p>
        </w:tc>
        <w:tc>
          <w:tcPr>
            <w:tcW w:type="dxa" w:w="4939"/>
            <w:tcMar>
              <w:top w:w="60" w:type="dxa"/>
              <w:start w:w="75" w:type="dxa"/>
              <w:bottom w:w="60" w:type="dxa"/>
              <w:end w:w="75" w:type="dxa"/>
            </w:tcMar>
            <w:vAlign w:val="center"/>
            <w:shd w:fill="F3F6F9"/>
          </w:tcPr>
          <w:p>
            <w:r>
              <w:rPr>
                <w:sz w:val="16"/>
              </w:rPr>
              <w:t>Records authorized human action without hiding original output.</w:t>
            </w:r>
          </w:p>
        </w:tc>
      </w:tr>
    </w:tbl>
    <w:p/>
    <w:p>
      <w:pPr>
        <w:pStyle w:val="Heading1"/>
      </w:pPr>
      <w:r>
        <w:t>15. Human Oversight and Contestability</w:t>
      </w:r>
    </w:p>
    <w:p>
      <w:r>
        <w:t>WHO emphasizes human autonomy and accountability. Users must be able to question the output, inspect the underlying documented factors, correct erroneous source data through authorized workflows, and record a professional decision that differs from the recommendation. The system should never silently rewrite the historical assessment after data correction; it should preserve an audit trail and generate a new assessment version where appropriate.</w:t>
      </w:r>
    </w:p>
    <w:p>
      <w:pPr>
        <w:pStyle w:val="ListBullet"/>
      </w:pPr>
      <w:r>
        <w:t>The user can open the source record for each listed factor.</w:t>
      </w:r>
    </w:p>
    <w:p>
      <w:pPr>
        <w:pStyle w:val="ListBullet"/>
      </w:pPr>
      <w:r>
        <w:t>The interface identifies missing or invalid evidence.</w:t>
      </w:r>
    </w:p>
    <w:p>
      <w:pPr>
        <w:pStyle w:val="ListBullet"/>
      </w:pPr>
      <w:r>
        <w:t>The user can document referral, refusal, waiver, or escalation according to clinic policy.</w:t>
      </w:r>
    </w:p>
    <w:p>
      <w:pPr>
        <w:pStyle w:val="ListBullet"/>
      </w:pPr>
      <w:r>
        <w:t>Authorized corrections trigger controlled recalculation.</w:t>
      </w:r>
    </w:p>
    <w:p>
      <w:pPr>
        <w:pStyle w:val="ListBullet"/>
      </w:pPr>
      <w:r>
        <w:t>The original result, changed data, and revised result remain traceable.</w:t>
      </w:r>
    </w:p>
    <w:p>
      <w:pPr>
        <w:pStyle w:val="ListBullet"/>
      </w:pPr>
      <w:r>
        <w:t>Explanations are not used to pressure the patient or remove informed choice.</w:t>
      </w:r>
    </w:p>
    <w:p>
      <w:pPr>
        <w:pStyle w:val="Heading1"/>
      </w:pPr>
      <w:r>
        <w:t>16. Explanation Failure Modes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7"/>
              </w:rPr>
              <w:t>Failure mode</w:t>
            </w:r>
          </w:p>
        </w:tc>
        <w:tc>
          <w:tcPr>
            <w:tcW w:type="dxa" w:w="3293"/>
            <w:shd w:fill="1F4E78"/>
          </w:tcPr>
          <w:p>
            <w:r>
              <w:rPr>
                <w:b/>
                <w:color w:val="FFFFFF"/>
                <w:sz w:val="17"/>
              </w:rPr>
              <w:t>Risk</w:t>
            </w:r>
          </w:p>
        </w:tc>
        <w:tc>
          <w:tcPr>
            <w:tcW w:type="dxa" w:w="3293"/>
            <w:shd w:fill="1F4E78"/>
          </w:tcPr>
          <w:p>
            <w:r>
              <w:rPr>
                <w:b/>
                <w:color w:val="FFFFFF"/>
                <w:sz w:val="17"/>
              </w:rPr>
              <w:t>Required safeguard</w:t>
            </w:r>
          </w:p>
        </w:tc>
      </w:tr>
      <w:tr>
        <w:tc>
          <w:tcPr>
            <w:tcW w:type="dxa" w:w="3293"/>
            <w:tcMar>
              <w:top w:w="60" w:type="dxa"/>
              <w:start w:w="75" w:type="dxa"/>
              <w:bottom w:w="60" w:type="dxa"/>
              <w:end w:w="75" w:type="dxa"/>
            </w:tcMar>
            <w:vAlign w:val="center"/>
          </w:tcPr>
          <w:p>
            <w:r>
              <w:rPr>
                <w:sz w:val="16"/>
              </w:rPr>
              <w:t>Model output invalid but explanation displayed</w:t>
            </w:r>
          </w:p>
        </w:tc>
        <w:tc>
          <w:tcPr>
            <w:tcW w:type="dxa" w:w="3293"/>
            <w:tcMar>
              <w:top w:w="60" w:type="dxa"/>
              <w:start w:w="75" w:type="dxa"/>
              <w:bottom w:w="60" w:type="dxa"/>
              <w:end w:w="75" w:type="dxa"/>
            </w:tcMar>
            <w:vAlign w:val="center"/>
          </w:tcPr>
          <w:p>
            <w:r>
              <w:rPr>
                <w:sz w:val="16"/>
              </w:rPr>
              <w:t>Fabricated confidence.</w:t>
            </w:r>
          </w:p>
        </w:tc>
        <w:tc>
          <w:tcPr>
            <w:tcW w:type="dxa" w:w="3293"/>
            <w:tcMar>
              <w:top w:w="60" w:type="dxa"/>
              <w:start w:w="75" w:type="dxa"/>
              <w:bottom w:w="60" w:type="dxa"/>
              <w:end w:w="75" w:type="dxa"/>
            </w:tcMar>
            <w:vAlign w:val="center"/>
          </w:tcPr>
          <w:p>
            <w:r>
              <w:rPr>
                <w:sz w:val="16"/>
              </w:rPr>
              <w:t>Suppress ML explanation; show technical incomplete state.</w:t>
            </w:r>
          </w:p>
        </w:tc>
      </w:tr>
      <w:tr>
        <w:tc>
          <w:tcPr>
            <w:tcW w:type="dxa" w:w="3293"/>
            <w:tcMar>
              <w:top w:w="60" w:type="dxa"/>
              <w:start w:w="75" w:type="dxa"/>
              <w:bottom w:w="60" w:type="dxa"/>
              <w:end w:w="75" w:type="dxa"/>
            </w:tcMar>
            <w:vAlign w:val="center"/>
            <w:shd w:fill="F3F6F9"/>
          </w:tcPr>
          <w:p>
            <w:r>
              <w:rPr>
                <w:sz w:val="16"/>
              </w:rPr>
              <w:t>Rule reason hidden by ML score</w:t>
            </w:r>
          </w:p>
        </w:tc>
        <w:tc>
          <w:tcPr>
            <w:tcW w:type="dxa" w:w="3293"/>
            <w:tcMar>
              <w:top w:w="60" w:type="dxa"/>
              <w:start w:w="75" w:type="dxa"/>
              <w:bottom w:w="60" w:type="dxa"/>
              <w:end w:w="75" w:type="dxa"/>
            </w:tcMar>
            <w:vAlign w:val="center"/>
            <w:shd w:fill="F3F6F9"/>
          </w:tcPr>
          <w:p>
            <w:r>
              <w:rPr>
                <w:sz w:val="16"/>
              </w:rPr>
              <w:t>User misses urgent clinical evidence.</w:t>
            </w:r>
          </w:p>
        </w:tc>
        <w:tc>
          <w:tcPr>
            <w:tcW w:type="dxa" w:w="3293"/>
            <w:tcMar>
              <w:top w:w="60" w:type="dxa"/>
              <w:start w:w="75" w:type="dxa"/>
              <w:bottom w:w="60" w:type="dxa"/>
              <w:end w:w="75" w:type="dxa"/>
            </w:tcMar>
            <w:vAlign w:val="center"/>
            <w:shd w:fill="F3F6F9"/>
          </w:tcPr>
          <w:p>
            <w:r>
              <w:rPr>
                <w:sz w:val="16"/>
              </w:rPr>
              <w:t>Display rule and urgency first.</w:t>
            </w:r>
          </w:p>
        </w:tc>
      </w:tr>
      <w:tr>
        <w:tc>
          <w:tcPr>
            <w:tcW w:type="dxa" w:w="3293"/>
            <w:tcMar>
              <w:top w:w="60" w:type="dxa"/>
              <w:start w:w="75" w:type="dxa"/>
              <w:bottom w:w="60" w:type="dxa"/>
              <w:end w:w="75" w:type="dxa"/>
            </w:tcMar>
            <w:vAlign w:val="center"/>
          </w:tcPr>
          <w:p>
            <w:r>
              <w:rPr>
                <w:sz w:val="16"/>
              </w:rPr>
              <w:t>Importance interpreted as causality</w:t>
            </w:r>
          </w:p>
        </w:tc>
        <w:tc>
          <w:tcPr>
            <w:tcW w:type="dxa" w:w="3293"/>
            <w:tcMar>
              <w:top w:w="60" w:type="dxa"/>
              <w:start w:w="75" w:type="dxa"/>
              <w:bottom w:w="60" w:type="dxa"/>
              <w:end w:w="75" w:type="dxa"/>
            </w:tcMar>
            <w:vAlign w:val="center"/>
          </w:tcPr>
          <w:p>
            <w:r>
              <w:rPr>
                <w:sz w:val="16"/>
              </w:rPr>
              <w:t>Unsafe clinical inference.</w:t>
            </w:r>
          </w:p>
        </w:tc>
        <w:tc>
          <w:tcPr>
            <w:tcW w:type="dxa" w:w="3293"/>
            <w:tcMar>
              <w:top w:w="60" w:type="dxa"/>
              <w:start w:w="75" w:type="dxa"/>
              <w:bottom w:w="60" w:type="dxa"/>
              <w:end w:w="75" w:type="dxa"/>
            </w:tcMar>
            <w:vAlign w:val="center"/>
          </w:tcPr>
          <w:p>
            <w:r>
              <w:rPr>
                <w:sz w:val="16"/>
              </w:rPr>
              <w:t>Use controlled language and training.</w:t>
            </w:r>
          </w:p>
        </w:tc>
      </w:tr>
      <w:tr>
        <w:tc>
          <w:tcPr>
            <w:tcW w:type="dxa" w:w="3293"/>
            <w:tcMar>
              <w:top w:w="60" w:type="dxa"/>
              <w:start w:w="75" w:type="dxa"/>
              <w:bottom w:w="60" w:type="dxa"/>
              <w:end w:w="75" w:type="dxa"/>
            </w:tcMar>
            <w:vAlign w:val="center"/>
            <w:shd w:fill="F3F6F9"/>
          </w:tcPr>
          <w:p>
            <w:r>
              <w:rPr>
                <w:sz w:val="16"/>
              </w:rPr>
              <w:t>Unstable local explanation</w:t>
            </w:r>
          </w:p>
        </w:tc>
        <w:tc>
          <w:tcPr>
            <w:tcW w:type="dxa" w:w="3293"/>
            <w:tcMar>
              <w:top w:w="60" w:type="dxa"/>
              <w:start w:w="75" w:type="dxa"/>
              <w:bottom w:w="60" w:type="dxa"/>
              <w:end w:w="75" w:type="dxa"/>
            </w:tcMar>
            <w:vAlign w:val="center"/>
            <w:shd w:fill="F3F6F9"/>
          </w:tcPr>
          <w:p>
            <w:r>
              <w:rPr>
                <w:sz w:val="16"/>
              </w:rPr>
              <w:t>Erodes trust and may mislead action.</w:t>
            </w:r>
          </w:p>
        </w:tc>
        <w:tc>
          <w:tcPr>
            <w:tcW w:type="dxa" w:w="3293"/>
            <w:tcMar>
              <w:top w:w="60" w:type="dxa"/>
              <w:start w:w="75" w:type="dxa"/>
              <w:bottom w:w="60" w:type="dxa"/>
              <w:end w:w="75" w:type="dxa"/>
            </w:tcMar>
            <w:vAlign w:val="center"/>
            <w:shd w:fill="F3F6F9"/>
          </w:tcPr>
          <w:p>
            <w:r>
              <w:rPr>
                <w:sz w:val="16"/>
              </w:rPr>
              <w:t>Test stability or omit local explanation.</w:t>
            </w:r>
          </w:p>
        </w:tc>
      </w:tr>
      <w:tr>
        <w:tc>
          <w:tcPr>
            <w:tcW w:type="dxa" w:w="3293"/>
            <w:tcMar>
              <w:top w:w="60" w:type="dxa"/>
              <w:start w:w="75" w:type="dxa"/>
              <w:bottom w:w="60" w:type="dxa"/>
              <w:end w:w="75" w:type="dxa"/>
            </w:tcMar>
            <w:vAlign w:val="center"/>
          </w:tcPr>
          <w:p>
            <w:r>
              <w:rPr>
                <w:sz w:val="16"/>
              </w:rPr>
              <w:t>Too much technical detail</w:t>
            </w:r>
          </w:p>
        </w:tc>
        <w:tc>
          <w:tcPr>
            <w:tcW w:type="dxa" w:w="3293"/>
            <w:tcMar>
              <w:top w:w="60" w:type="dxa"/>
              <w:start w:w="75" w:type="dxa"/>
              <w:bottom w:w="60" w:type="dxa"/>
              <w:end w:w="75" w:type="dxa"/>
            </w:tcMar>
            <w:vAlign w:val="center"/>
          </w:tcPr>
          <w:p>
            <w:r>
              <w:rPr>
                <w:sz w:val="16"/>
              </w:rPr>
              <w:t>Cognitive overload in clinic workflow.</w:t>
            </w:r>
          </w:p>
        </w:tc>
        <w:tc>
          <w:tcPr>
            <w:tcW w:type="dxa" w:w="3293"/>
            <w:tcMar>
              <w:top w:w="60" w:type="dxa"/>
              <w:start w:w="75" w:type="dxa"/>
              <w:bottom w:w="60" w:type="dxa"/>
              <w:end w:w="75" w:type="dxa"/>
            </w:tcMar>
            <w:vAlign w:val="center"/>
          </w:tcPr>
          <w:p>
            <w:r>
              <w:rPr>
                <w:sz w:val="16"/>
              </w:rPr>
              <w:t>Layer information by audience.</w:t>
            </w:r>
          </w:p>
        </w:tc>
      </w:tr>
      <w:tr>
        <w:tc>
          <w:tcPr>
            <w:tcW w:type="dxa" w:w="3293"/>
            <w:tcMar>
              <w:top w:w="60" w:type="dxa"/>
              <w:start w:w="75" w:type="dxa"/>
              <w:bottom w:w="60" w:type="dxa"/>
              <w:end w:w="75" w:type="dxa"/>
            </w:tcMar>
            <w:vAlign w:val="center"/>
            <w:shd w:fill="F3F6F9"/>
          </w:tcPr>
          <w:p>
            <w:r>
              <w:rPr>
                <w:sz w:val="16"/>
              </w:rPr>
              <w:t>Explanation reveals sensitive data</w:t>
            </w:r>
          </w:p>
        </w:tc>
        <w:tc>
          <w:tcPr>
            <w:tcW w:type="dxa" w:w="3293"/>
            <w:tcMar>
              <w:top w:w="60" w:type="dxa"/>
              <w:start w:w="75" w:type="dxa"/>
              <w:bottom w:w="60" w:type="dxa"/>
              <w:end w:w="75" w:type="dxa"/>
            </w:tcMar>
            <w:vAlign w:val="center"/>
            <w:shd w:fill="F3F6F9"/>
          </w:tcPr>
          <w:p>
            <w:r>
              <w:rPr>
                <w:sz w:val="16"/>
              </w:rPr>
              <w:t>Privacy harm.</w:t>
            </w:r>
          </w:p>
        </w:tc>
        <w:tc>
          <w:tcPr>
            <w:tcW w:type="dxa" w:w="3293"/>
            <w:tcMar>
              <w:top w:w="60" w:type="dxa"/>
              <w:start w:w="75" w:type="dxa"/>
              <w:bottom w:w="60" w:type="dxa"/>
              <w:end w:w="75" w:type="dxa"/>
            </w:tcMar>
            <w:vAlign w:val="center"/>
            <w:shd w:fill="F3F6F9"/>
          </w:tcPr>
          <w:p>
            <w:r>
              <w:rPr>
                <w:sz w:val="16"/>
              </w:rPr>
              <w:t>Role-based access and minimal necessary display.</w:t>
            </w:r>
          </w:p>
        </w:tc>
      </w:tr>
      <w:tr>
        <w:tc>
          <w:tcPr>
            <w:tcW w:type="dxa" w:w="3293"/>
            <w:tcMar>
              <w:top w:w="60" w:type="dxa"/>
              <w:start w:w="75" w:type="dxa"/>
              <w:bottom w:w="60" w:type="dxa"/>
              <w:end w:w="75" w:type="dxa"/>
            </w:tcMar>
            <w:vAlign w:val="center"/>
          </w:tcPr>
          <w:p>
            <w:r>
              <w:rPr>
                <w:sz w:val="16"/>
              </w:rPr>
              <w:t>LOW wording implies safety guarantee</w:t>
            </w:r>
          </w:p>
        </w:tc>
        <w:tc>
          <w:tcPr>
            <w:tcW w:type="dxa" w:w="3293"/>
            <w:tcMar>
              <w:top w:w="60" w:type="dxa"/>
              <w:start w:w="75" w:type="dxa"/>
              <w:bottom w:w="60" w:type="dxa"/>
              <w:end w:w="75" w:type="dxa"/>
            </w:tcMar>
            <w:vAlign w:val="center"/>
          </w:tcPr>
          <w:p>
            <w:r>
              <w:rPr>
                <w:sz w:val="16"/>
              </w:rPr>
              <w:t>False reassurance.</w:t>
            </w:r>
          </w:p>
        </w:tc>
        <w:tc>
          <w:tcPr>
            <w:tcW w:type="dxa" w:w="3293"/>
            <w:tcMar>
              <w:top w:w="60" w:type="dxa"/>
              <w:start w:w="75" w:type="dxa"/>
              <w:bottom w:w="60" w:type="dxa"/>
              <w:end w:w="75" w:type="dxa"/>
            </w:tcMar>
            <w:vAlign w:val="center"/>
          </w:tcPr>
          <w:p>
            <w:r>
              <w:rPr>
                <w:sz w:val="16"/>
              </w:rPr>
              <w:t>Mandatory limitation statement and continued-care advice.</w:t>
            </w:r>
          </w:p>
        </w:tc>
      </w:tr>
      <w:tr>
        <w:tc>
          <w:tcPr>
            <w:tcW w:type="dxa" w:w="3293"/>
            <w:tcMar>
              <w:top w:w="60" w:type="dxa"/>
              <w:start w:w="75" w:type="dxa"/>
              <w:bottom w:w="60" w:type="dxa"/>
              <w:end w:w="75" w:type="dxa"/>
            </w:tcMar>
            <w:vAlign w:val="center"/>
            <w:shd w:fill="F3F6F9"/>
          </w:tcPr>
          <w:p>
            <w:r>
              <w:rPr>
                <w:sz w:val="16"/>
              </w:rPr>
              <w:t>Outdated explanation after model update</w:t>
            </w:r>
          </w:p>
        </w:tc>
        <w:tc>
          <w:tcPr>
            <w:tcW w:type="dxa" w:w="3293"/>
            <w:tcMar>
              <w:top w:w="60" w:type="dxa"/>
              <w:start w:w="75" w:type="dxa"/>
              <w:bottom w:w="60" w:type="dxa"/>
              <w:end w:w="75" w:type="dxa"/>
            </w:tcMar>
            <w:vAlign w:val="center"/>
            <w:shd w:fill="F3F6F9"/>
          </w:tcPr>
          <w:p>
            <w:r>
              <w:rPr>
                <w:sz w:val="16"/>
              </w:rPr>
              <w:t>Incorrect provenance.</w:t>
            </w:r>
          </w:p>
        </w:tc>
        <w:tc>
          <w:tcPr>
            <w:tcW w:type="dxa" w:w="3293"/>
            <w:tcMar>
              <w:top w:w="60" w:type="dxa"/>
              <w:start w:w="75" w:type="dxa"/>
              <w:bottom w:w="60" w:type="dxa"/>
              <w:end w:w="75" w:type="dxa"/>
            </w:tcMar>
            <w:vAlign w:val="center"/>
            <w:shd w:fill="F3F6F9"/>
          </w:tcPr>
          <w:p>
            <w:r>
              <w:rPr>
                <w:sz w:val="16"/>
              </w:rPr>
              <w:t>Bind explanation to artifact version and regenerate.</w:t>
            </w:r>
          </w:p>
        </w:tc>
      </w:tr>
    </w:tbl>
    <w:p/>
    <w:p>
      <w:pPr>
        <w:pStyle w:val="Heading1"/>
      </w:pPr>
      <w:r>
        <w:t>17. Explainability Validation</w:t>
      </w:r>
    </w:p>
    <w:p>
      <w:r>
        <w:t>Explainability requires its own validation beyond model performance. The project should evaluate fidelity, stability, comprehensibility, usefulness, and potential misuse with representative users.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7"/>
              </w:rPr>
              <w:t>Dimension</w:t>
            </w:r>
          </w:p>
        </w:tc>
        <w:tc>
          <w:tcPr>
            <w:tcW w:type="dxa" w:w="4939"/>
            <w:shd w:fill="1F4E78"/>
          </w:tcPr>
          <w:p>
            <w:r>
              <w:rPr>
                <w:b/>
                <w:color w:val="FFFFFF"/>
                <w:sz w:val="17"/>
              </w:rPr>
              <w:t>Example evaluation</w:t>
            </w:r>
          </w:p>
        </w:tc>
      </w:tr>
      <w:tr>
        <w:tc>
          <w:tcPr>
            <w:tcW w:type="dxa" w:w="4939"/>
            <w:tcMar>
              <w:top w:w="60" w:type="dxa"/>
              <w:start w:w="75" w:type="dxa"/>
              <w:bottom w:w="60" w:type="dxa"/>
              <w:end w:w="75" w:type="dxa"/>
            </w:tcMar>
            <w:vAlign w:val="center"/>
          </w:tcPr>
          <w:p>
            <w:r>
              <w:rPr>
                <w:sz w:val="16"/>
              </w:rPr>
              <w:t>Fidelity</w:t>
            </w:r>
          </w:p>
        </w:tc>
        <w:tc>
          <w:tcPr>
            <w:tcW w:type="dxa" w:w="4939"/>
            <w:tcMar>
              <w:top w:w="60" w:type="dxa"/>
              <w:start w:w="75" w:type="dxa"/>
              <w:bottom w:w="60" w:type="dxa"/>
              <w:end w:w="75" w:type="dxa"/>
            </w:tcMar>
            <w:vAlign w:val="center"/>
          </w:tcPr>
          <w:p>
            <w:r>
              <w:rPr>
                <w:sz w:val="16"/>
              </w:rPr>
              <w:t>Confirm highlighted contributors align with the exact deployed model output.</w:t>
            </w:r>
          </w:p>
        </w:tc>
      </w:tr>
      <w:tr>
        <w:tc>
          <w:tcPr>
            <w:tcW w:type="dxa" w:w="4939"/>
            <w:tcMar>
              <w:top w:w="60" w:type="dxa"/>
              <w:start w:w="75" w:type="dxa"/>
              <w:bottom w:w="60" w:type="dxa"/>
              <w:end w:w="75" w:type="dxa"/>
            </w:tcMar>
            <w:vAlign w:val="center"/>
            <w:shd w:fill="F3F6F9"/>
          </w:tcPr>
          <w:p>
            <w:r>
              <w:rPr>
                <w:sz w:val="16"/>
              </w:rPr>
              <w:t>Stability</w:t>
            </w:r>
          </w:p>
        </w:tc>
        <w:tc>
          <w:tcPr>
            <w:tcW w:type="dxa" w:w="4939"/>
            <w:tcMar>
              <w:top w:w="60" w:type="dxa"/>
              <w:start w:w="75" w:type="dxa"/>
              <w:bottom w:w="60" w:type="dxa"/>
              <w:end w:w="75" w:type="dxa"/>
            </w:tcMar>
            <w:vAlign w:val="center"/>
            <w:shd w:fill="F3F6F9"/>
          </w:tcPr>
          <w:p>
            <w:r>
              <w:rPr>
                <w:sz w:val="16"/>
              </w:rPr>
              <w:t>Repeat predictions and explanations under identical conditions.</w:t>
            </w:r>
          </w:p>
        </w:tc>
      </w:tr>
      <w:tr>
        <w:tc>
          <w:tcPr>
            <w:tcW w:type="dxa" w:w="4939"/>
            <w:tcMar>
              <w:top w:w="60" w:type="dxa"/>
              <w:start w:w="75" w:type="dxa"/>
              <w:bottom w:w="60" w:type="dxa"/>
              <w:end w:w="75" w:type="dxa"/>
            </w:tcMar>
            <w:vAlign w:val="center"/>
          </w:tcPr>
          <w:p>
            <w:r>
              <w:rPr>
                <w:sz w:val="16"/>
              </w:rPr>
              <w:t>Comprehension</w:t>
            </w:r>
          </w:p>
        </w:tc>
        <w:tc>
          <w:tcPr>
            <w:tcW w:type="dxa" w:w="4939"/>
            <w:tcMar>
              <w:top w:w="60" w:type="dxa"/>
              <w:start w:w="75" w:type="dxa"/>
              <w:bottom w:w="60" w:type="dxa"/>
              <w:end w:w="75" w:type="dxa"/>
            </w:tcMar>
            <w:vAlign w:val="center"/>
          </w:tcPr>
          <w:p>
            <w:r>
              <w:rPr>
                <w:sz w:val="16"/>
              </w:rPr>
              <w:t>Ask users to identify result, reason, limitation, and next action.</w:t>
            </w:r>
          </w:p>
        </w:tc>
      </w:tr>
      <w:tr>
        <w:tc>
          <w:tcPr>
            <w:tcW w:type="dxa" w:w="4939"/>
            <w:tcMar>
              <w:top w:w="60" w:type="dxa"/>
              <w:start w:w="75" w:type="dxa"/>
              <w:bottom w:w="60" w:type="dxa"/>
              <w:end w:w="75" w:type="dxa"/>
            </w:tcMar>
            <w:vAlign w:val="center"/>
            <w:shd w:fill="F3F6F9"/>
          </w:tcPr>
          <w:p>
            <w:r>
              <w:rPr>
                <w:sz w:val="16"/>
              </w:rPr>
              <w:t>Actionability</w:t>
            </w:r>
          </w:p>
        </w:tc>
        <w:tc>
          <w:tcPr>
            <w:tcW w:type="dxa" w:w="4939"/>
            <w:tcMar>
              <w:top w:w="60" w:type="dxa"/>
              <w:start w:w="75" w:type="dxa"/>
              <w:bottom w:w="60" w:type="dxa"/>
              <w:end w:w="75" w:type="dxa"/>
            </w:tcMar>
            <w:vAlign w:val="center"/>
            <w:shd w:fill="F3F6F9"/>
          </w:tcPr>
          <w:p>
            <w:r>
              <w:rPr>
                <w:sz w:val="16"/>
              </w:rPr>
              <w:t>Verify explanation supports safe review/referral rather than unsupported treatment.</w:t>
            </w:r>
          </w:p>
        </w:tc>
      </w:tr>
      <w:tr>
        <w:tc>
          <w:tcPr>
            <w:tcW w:type="dxa" w:w="4939"/>
            <w:tcMar>
              <w:top w:w="60" w:type="dxa"/>
              <w:start w:w="75" w:type="dxa"/>
              <w:bottom w:w="60" w:type="dxa"/>
              <w:end w:w="75" w:type="dxa"/>
            </w:tcMar>
            <w:vAlign w:val="center"/>
          </w:tcPr>
          <w:p>
            <w:r>
              <w:rPr>
                <w:sz w:val="16"/>
              </w:rPr>
              <w:t>Calibration of trust</w:t>
            </w:r>
          </w:p>
        </w:tc>
        <w:tc>
          <w:tcPr>
            <w:tcW w:type="dxa" w:w="4939"/>
            <w:tcMar>
              <w:top w:w="60" w:type="dxa"/>
              <w:start w:w="75" w:type="dxa"/>
              <w:bottom w:w="60" w:type="dxa"/>
              <w:end w:w="75" w:type="dxa"/>
            </w:tcMar>
            <w:vAlign w:val="center"/>
          </w:tcPr>
          <w:p>
            <w:r>
              <w:rPr>
                <w:sz w:val="16"/>
              </w:rPr>
              <w:t>Check that users neither ignore nor over-rely on the model.</w:t>
            </w:r>
          </w:p>
        </w:tc>
      </w:tr>
      <w:tr>
        <w:tc>
          <w:tcPr>
            <w:tcW w:type="dxa" w:w="4939"/>
            <w:tcMar>
              <w:top w:w="60" w:type="dxa"/>
              <w:start w:w="75" w:type="dxa"/>
              <w:bottom w:w="60" w:type="dxa"/>
              <w:end w:w="75" w:type="dxa"/>
            </w:tcMar>
            <w:vAlign w:val="center"/>
            <w:shd w:fill="F3F6F9"/>
          </w:tcPr>
          <w:p>
            <w:r>
              <w:rPr>
                <w:sz w:val="16"/>
              </w:rPr>
              <w:t>Equity</w:t>
            </w:r>
          </w:p>
        </w:tc>
        <w:tc>
          <w:tcPr>
            <w:tcW w:type="dxa" w:w="4939"/>
            <w:tcMar>
              <w:top w:w="60" w:type="dxa"/>
              <w:start w:w="75" w:type="dxa"/>
              <w:bottom w:w="60" w:type="dxa"/>
              <w:end w:w="75" w:type="dxa"/>
            </w:tcMar>
            <w:vAlign w:val="center"/>
            <w:shd w:fill="F3F6F9"/>
          </w:tcPr>
          <w:p>
            <w:r>
              <w:rPr>
                <w:sz w:val="16"/>
              </w:rPr>
              <w:t>Assess whether explanations are understandable and available across intended users.</w:t>
            </w:r>
          </w:p>
        </w:tc>
      </w:tr>
      <w:tr>
        <w:tc>
          <w:tcPr>
            <w:tcW w:type="dxa" w:w="4939"/>
            <w:tcMar>
              <w:top w:w="60" w:type="dxa"/>
              <w:start w:w="75" w:type="dxa"/>
              <w:bottom w:w="60" w:type="dxa"/>
              <w:end w:w="75" w:type="dxa"/>
            </w:tcMar>
            <w:vAlign w:val="center"/>
          </w:tcPr>
          <w:p>
            <w:r>
              <w:rPr>
                <w:sz w:val="16"/>
              </w:rPr>
              <w:t>Workflow fit</w:t>
            </w:r>
          </w:p>
        </w:tc>
        <w:tc>
          <w:tcPr>
            <w:tcW w:type="dxa" w:w="4939"/>
            <w:tcMar>
              <w:top w:w="60" w:type="dxa"/>
              <w:start w:w="75" w:type="dxa"/>
              <w:bottom w:w="60" w:type="dxa"/>
              <w:end w:w="75" w:type="dxa"/>
            </w:tcMar>
            <w:vAlign w:val="center"/>
          </w:tcPr>
          <w:p>
            <w:r>
              <w:rPr>
                <w:sz w:val="16"/>
              </w:rPr>
              <w:t>Measure whether explanation can be reviewed without unreasonable delay or overload.</w:t>
            </w:r>
          </w:p>
        </w:tc>
      </w:tr>
    </w:tbl>
    <w:p/>
    <w:p>
      <w:pPr>
        <w:pStyle w:val="Heading1"/>
      </w:pPr>
      <w:r>
        <w:t>18. Explainability Acceptance Criteria</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7"/>
              </w:rPr>
              <w:t>ID</w:t>
            </w:r>
          </w:p>
        </w:tc>
        <w:tc>
          <w:tcPr>
            <w:tcW w:type="dxa" w:w="4939"/>
            <w:shd w:fill="1F4E78"/>
          </w:tcPr>
          <w:p>
            <w:r>
              <w:rPr>
                <w:b/>
                <w:color w:val="FFFFFF"/>
                <w:sz w:val="17"/>
              </w:rPr>
              <w:t>Acceptance requirement</w:t>
            </w:r>
          </w:p>
        </w:tc>
      </w:tr>
      <w:tr>
        <w:tc>
          <w:tcPr>
            <w:tcW w:type="dxa" w:w="4939"/>
            <w:tcMar>
              <w:top w:w="60" w:type="dxa"/>
              <w:start w:w="75" w:type="dxa"/>
              <w:bottom w:w="60" w:type="dxa"/>
              <w:end w:w="75" w:type="dxa"/>
            </w:tcMar>
            <w:vAlign w:val="center"/>
          </w:tcPr>
          <w:p>
            <w:r>
              <w:rPr>
                <w:sz w:val="16"/>
              </w:rPr>
              <w:t>XA-01</w:t>
            </w:r>
          </w:p>
        </w:tc>
        <w:tc>
          <w:tcPr>
            <w:tcW w:type="dxa" w:w="4939"/>
            <w:tcMar>
              <w:top w:w="60" w:type="dxa"/>
              <w:start w:w="75" w:type="dxa"/>
              <w:bottom w:w="60" w:type="dxa"/>
              <w:end w:w="75" w:type="dxa"/>
            </w:tcMar>
            <w:vAlign w:val="center"/>
          </w:tcPr>
          <w:p>
            <w:r>
              <w:rPr>
                <w:sz w:val="16"/>
              </w:rPr>
              <w:t>The interface explains the final Decision Engine result before the ML contribution.</w:t>
            </w:r>
          </w:p>
        </w:tc>
      </w:tr>
      <w:tr>
        <w:tc>
          <w:tcPr>
            <w:tcW w:type="dxa" w:w="4939"/>
            <w:tcMar>
              <w:top w:w="60" w:type="dxa"/>
              <w:start w:w="75" w:type="dxa"/>
              <w:bottom w:w="60" w:type="dxa"/>
              <w:end w:w="75" w:type="dxa"/>
            </w:tcMar>
            <w:vAlign w:val="center"/>
            <w:shd w:fill="F3F6F9"/>
          </w:tcPr>
          <w:p>
            <w:r>
              <w:rPr>
                <w:sz w:val="16"/>
              </w:rPr>
              <w:t>XA-02</w:t>
            </w:r>
          </w:p>
        </w:tc>
        <w:tc>
          <w:tcPr>
            <w:tcW w:type="dxa" w:w="4939"/>
            <w:tcMar>
              <w:top w:w="60" w:type="dxa"/>
              <w:start w:w="75" w:type="dxa"/>
              <w:bottom w:w="60" w:type="dxa"/>
              <w:end w:w="75" w:type="dxa"/>
            </w:tcMar>
            <w:vAlign w:val="center"/>
            <w:shd w:fill="F3F6F9"/>
          </w:tcPr>
          <w:p>
            <w:r>
              <w:rPr>
                <w:sz w:val="16"/>
              </w:rPr>
              <w:t>Every deterministic HIGH or urgent factor is displayed using a stable rule identifier and plain-language description.</w:t>
            </w:r>
          </w:p>
        </w:tc>
      </w:tr>
      <w:tr>
        <w:tc>
          <w:tcPr>
            <w:tcW w:type="dxa" w:w="4939"/>
            <w:tcMar>
              <w:top w:w="60" w:type="dxa"/>
              <w:start w:w="75" w:type="dxa"/>
              <w:bottom w:w="60" w:type="dxa"/>
              <w:end w:w="75" w:type="dxa"/>
            </w:tcMar>
            <w:vAlign w:val="center"/>
          </w:tcPr>
          <w:p>
            <w:r>
              <w:rPr>
                <w:sz w:val="16"/>
              </w:rPr>
              <w:t>XA-03</w:t>
            </w:r>
          </w:p>
        </w:tc>
        <w:tc>
          <w:tcPr>
            <w:tcW w:type="dxa" w:w="4939"/>
            <w:tcMar>
              <w:top w:w="60" w:type="dxa"/>
              <w:start w:w="75" w:type="dxa"/>
              <w:bottom w:w="60" w:type="dxa"/>
              <w:end w:w="75" w:type="dxa"/>
            </w:tcMar>
            <w:vAlign w:val="center"/>
          </w:tcPr>
          <w:p>
            <w:r>
              <w:rPr>
                <w:sz w:val="16"/>
              </w:rPr>
              <w:t>ASSESSMENT INCOMPLETE lists missing evidence or technical failure and shows no fabricated ML reason.</w:t>
            </w:r>
          </w:p>
        </w:tc>
      </w:tr>
      <w:tr>
        <w:tc>
          <w:tcPr>
            <w:tcW w:type="dxa" w:w="4939"/>
            <w:tcMar>
              <w:top w:w="60" w:type="dxa"/>
              <w:start w:w="75" w:type="dxa"/>
              <w:bottom w:w="60" w:type="dxa"/>
              <w:end w:w="75" w:type="dxa"/>
            </w:tcMar>
            <w:vAlign w:val="center"/>
            <w:shd w:fill="F3F6F9"/>
          </w:tcPr>
          <w:p>
            <w:r>
              <w:rPr>
                <w:sz w:val="16"/>
              </w:rPr>
              <w:t>XA-04</w:t>
            </w:r>
          </w:p>
        </w:tc>
        <w:tc>
          <w:tcPr>
            <w:tcW w:type="dxa" w:w="4939"/>
            <w:tcMar>
              <w:top w:w="60" w:type="dxa"/>
              <w:start w:w="75" w:type="dxa"/>
              <w:bottom w:w="60" w:type="dxa"/>
              <w:end w:w="75" w:type="dxa"/>
            </w:tcMar>
            <w:vAlign w:val="center"/>
            <w:shd w:fill="F3F6F9"/>
          </w:tcPr>
          <w:p>
            <w:r>
              <w:rPr>
                <w:sz w:val="16"/>
              </w:rPr>
              <w:t>LOW includes a mandatory statement that it is not a guarantee of safety.</w:t>
            </w:r>
          </w:p>
        </w:tc>
      </w:tr>
      <w:tr>
        <w:tc>
          <w:tcPr>
            <w:tcW w:type="dxa" w:w="4939"/>
            <w:tcMar>
              <w:top w:w="60" w:type="dxa"/>
              <w:start w:w="75" w:type="dxa"/>
              <w:bottom w:w="60" w:type="dxa"/>
              <w:end w:w="75" w:type="dxa"/>
            </w:tcMar>
            <w:vAlign w:val="center"/>
          </w:tcPr>
          <w:p>
            <w:r>
              <w:rPr>
                <w:sz w:val="16"/>
              </w:rPr>
              <w:t>XA-05</w:t>
            </w:r>
          </w:p>
        </w:tc>
        <w:tc>
          <w:tcPr>
            <w:tcW w:type="dxa" w:w="4939"/>
            <w:tcMar>
              <w:top w:w="60" w:type="dxa"/>
              <w:start w:w="75" w:type="dxa"/>
              <w:bottom w:w="60" w:type="dxa"/>
              <w:end w:w="75" w:type="dxa"/>
            </w:tcMar>
            <w:vAlign w:val="center"/>
          </w:tcPr>
          <w:p>
            <w:r>
              <w:rPr>
                <w:sz w:val="16"/>
              </w:rPr>
              <w:t>ML importance is described as association or contribution, never causation.</w:t>
            </w:r>
          </w:p>
        </w:tc>
      </w:tr>
      <w:tr>
        <w:tc>
          <w:tcPr>
            <w:tcW w:type="dxa" w:w="4939"/>
            <w:tcMar>
              <w:top w:w="60" w:type="dxa"/>
              <w:start w:w="75" w:type="dxa"/>
              <w:bottom w:w="60" w:type="dxa"/>
              <w:end w:w="75" w:type="dxa"/>
            </w:tcMar>
            <w:vAlign w:val="center"/>
            <w:shd w:fill="F3F6F9"/>
          </w:tcPr>
          <w:p>
            <w:r>
              <w:rPr>
                <w:sz w:val="16"/>
              </w:rPr>
              <w:t>XA-06</w:t>
            </w:r>
          </w:p>
        </w:tc>
        <w:tc>
          <w:tcPr>
            <w:tcW w:type="dxa" w:w="4939"/>
            <w:tcMar>
              <w:top w:w="60" w:type="dxa"/>
              <w:start w:w="75" w:type="dxa"/>
              <w:bottom w:w="60" w:type="dxa"/>
              <w:end w:w="75" w:type="dxa"/>
            </w:tcMar>
            <w:vAlign w:val="center"/>
            <w:shd w:fill="F3F6F9"/>
          </w:tcPr>
          <w:p>
            <w:r>
              <w:rPr>
                <w:sz w:val="16"/>
              </w:rPr>
              <w:t>Any local explanation is generated from the exact deployed pipeline and model version.</w:t>
            </w:r>
          </w:p>
        </w:tc>
      </w:tr>
      <w:tr>
        <w:tc>
          <w:tcPr>
            <w:tcW w:type="dxa" w:w="4939"/>
            <w:tcMar>
              <w:top w:w="60" w:type="dxa"/>
              <w:start w:w="75" w:type="dxa"/>
              <w:bottom w:w="60" w:type="dxa"/>
              <w:end w:w="75" w:type="dxa"/>
            </w:tcMar>
            <w:vAlign w:val="center"/>
          </w:tcPr>
          <w:p>
            <w:r>
              <w:rPr>
                <w:sz w:val="16"/>
              </w:rPr>
              <w:t>XA-07</w:t>
            </w:r>
          </w:p>
        </w:tc>
        <w:tc>
          <w:tcPr>
            <w:tcW w:type="dxa" w:w="4939"/>
            <w:tcMar>
              <w:top w:w="60" w:type="dxa"/>
              <w:start w:w="75" w:type="dxa"/>
              <w:bottom w:w="60" w:type="dxa"/>
              <w:end w:w="75" w:type="dxa"/>
            </w:tcMar>
            <w:vAlign w:val="center"/>
          </w:tcPr>
          <w:p>
            <w:r>
              <w:rPr>
                <w:sz w:val="16"/>
              </w:rPr>
              <w:t>Explanation stability and deterministic repeatability are tested.</w:t>
            </w:r>
          </w:p>
        </w:tc>
      </w:tr>
      <w:tr>
        <w:tc>
          <w:tcPr>
            <w:tcW w:type="dxa" w:w="4939"/>
            <w:tcMar>
              <w:top w:w="60" w:type="dxa"/>
              <w:start w:w="75" w:type="dxa"/>
              <w:bottom w:w="60" w:type="dxa"/>
              <w:end w:w="75" w:type="dxa"/>
            </w:tcMar>
            <w:vAlign w:val="center"/>
            <w:shd w:fill="F3F6F9"/>
          </w:tcPr>
          <w:p>
            <w:r>
              <w:rPr>
                <w:sz w:val="16"/>
              </w:rPr>
              <w:t>XA-08</w:t>
            </w:r>
          </w:p>
        </w:tc>
        <w:tc>
          <w:tcPr>
            <w:tcW w:type="dxa" w:w="4939"/>
            <w:tcMar>
              <w:top w:w="60" w:type="dxa"/>
              <w:start w:w="75" w:type="dxa"/>
              <w:bottom w:w="60" w:type="dxa"/>
              <w:end w:w="75" w:type="dxa"/>
            </w:tcMar>
            <w:vAlign w:val="center"/>
            <w:shd w:fill="F3F6F9"/>
          </w:tcPr>
          <w:p>
            <w:r>
              <w:rPr>
                <w:sz w:val="16"/>
              </w:rPr>
              <w:t>Correlated-feature limitations are documented.</w:t>
            </w:r>
          </w:p>
        </w:tc>
      </w:tr>
      <w:tr>
        <w:tc>
          <w:tcPr>
            <w:tcW w:type="dxa" w:w="4939"/>
            <w:tcMar>
              <w:top w:w="60" w:type="dxa"/>
              <w:start w:w="75" w:type="dxa"/>
              <w:bottom w:w="60" w:type="dxa"/>
              <w:end w:w="75" w:type="dxa"/>
            </w:tcMar>
            <w:vAlign w:val="center"/>
          </w:tcPr>
          <w:p>
            <w:r>
              <w:rPr>
                <w:sz w:val="16"/>
              </w:rPr>
              <w:t>XA-09</w:t>
            </w:r>
          </w:p>
        </w:tc>
        <w:tc>
          <w:tcPr>
            <w:tcW w:type="dxa" w:w="4939"/>
            <w:tcMar>
              <w:top w:w="60" w:type="dxa"/>
              <w:start w:w="75" w:type="dxa"/>
              <w:bottom w:w="60" w:type="dxa"/>
              <w:end w:w="75" w:type="dxa"/>
            </w:tcMar>
            <w:vAlign w:val="center"/>
          </w:tcPr>
          <w:p>
            <w:r>
              <w:rPr>
                <w:sz w:val="16"/>
              </w:rPr>
              <w:t>Model, schema, rule, and explanation versions are recorded in audit provenance.</w:t>
            </w:r>
          </w:p>
        </w:tc>
      </w:tr>
      <w:tr>
        <w:tc>
          <w:tcPr>
            <w:tcW w:type="dxa" w:w="4939"/>
            <w:tcMar>
              <w:top w:w="60" w:type="dxa"/>
              <w:start w:w="75" w:type="dxa"/>
              <w:bottom w:w="60" w:type="dxa"/>
              <w:end w:w="75" w:type="dxa"/>
            </w:tcMar>
            <w:vAlign w:val="center"/>
            <w:shd w:fill="F3F6F9"/>
          </w:tcPr>
          <w:p>
            <w:r>
              <w:rPr>
                <w:sz w:val="16"/>
              </w:rPr>
              <w:t>XA-10</w:t>
            </w:r>
          </w:p>
        </w:tc>
        <w:tc>
          <w:tcPr>
            <w:tcW w:type="dxa" w:w="4939"/>
            <w:tcMar>
              <w:top w:w="60" w:type="dxa"/>
              <w:start w:w="75" w:type="dxa"/>
              <w:bottom w:w="60" w:type="dxa"/>
              <w:end w:w="75" w:type="dxa"/>
            </w:tcMar>
            <w:vAlign w:val="center"/>
            <w:shd w:fill="F3F6F9"/>
          </w:tcPr>
          <w:p>
            <w:r>
              <w:rPr>
                <w:sz w:val="16"/>
              </w:rPr>
              <w:t>Intended users can identify the final status, primary reason, limitation, and next action in usability testing.</w:t>
            </w:r>
          </w:p>
        </w:tc>
      </w:tr>
      <w:tr>
        <w:tc>
          <w:tcPr>
            <w:tcW w:type="dxa" w:w="4939"/>
            <w:tcMar>
              <w:top w:w="60" w:type="dxa"/>
              <w:start w:w="75" w:type="dxa"/>
              <w:bottom w:w="60" w:type="dxa"/>
              <w:end w:w="75" w:type="dxa"/>
            </w:tcMar>
            <w:vAlign w:val="center"/>
          </w:tcPr>
          <w:p>
            <w:r>
              <w:rPr>
                <w:sz w:val="16"/>
              </w:rPr>
              <w:t>XA-11</w:t>
            </w:r>
          </w:p>
        </w:tc>
        <w:tc>
          <w:tcPr>
            <w:tcW w:type="dxa" w:w="4939"/>
            <w:tcMar>
              <w:top w:w="60" w:type="dxa"/>
              <w:start w:w="75" w:type="dxa"/>
              <w:bottom w:w="60" w:type="dxa"/>
              <w:end w:w="75" w:type="dxa"/>
            </w:tcMar>
            <w:vAlign w:val="center"/>
          </w:tcPr>
          <w:p>
            <w:r>
              <w:rPr>
                <w:sz w:val="16"/>
              </w:rPr>
              <w:t>Human correction, disagreement, referral, and waiver workflows preserve the original audit trail.</w:t>
            </w:r>
          </w:p>
        </w:tc>
      </w:tr>
      <w:tr>
        <w:tc>
          <w:tcPr>
            <w:tcW w:type="dxa" w:w="4939"/>
            <w:tcMar>
              <w:top w:w="60" w:type="dxa"/>
              <w:start w:w="75" w:type="dxa"/>
              <w:bottom w:w="60" w:type="dxa"/>
              <w:end w:w="75" w:type="dxa"/>
            </w:tcMar>
            <w:vAlign w:val="center"/>
            <w:shd w:fill="F3F6F9"/>
          </w:tcPr>
          <w:p>
            <w:r>
              <w:rPr>
                <w:sz w:val="16"/>
              </w:rPr>
              <w:t>XA-12</w:t>
            </w:r>
          </w:p>
        </w:tc>
        <w:tc>
          <w:tcPr>
            <w:tcW w:type="dxa" w:w="4939"/>
            <w:tcMar>
              <w:top w:w="60" w:type="dxa"/>
              <w:start w:w="75" w:type="dxa"/>
              <w:bottom w:w="60" w:type="dxa"/>
              <w:end w:w="75" w:type="dxa"/>
            </w:tcMar>
            <w:vAlign w:val="center"/>
            <w:shd w:fill="F3F6F9"/>
          </w:tcPr>
          <w:p>
            <w:r>
              <w:rPr>
                <w:sz w:val="16"/>
              </w:rPr>
              <w:t>No explanation is displayed when the model execution or input contract is invalid.</w:t>
            </w:r>
          </w:p>
        </w:tc>
      </w:tr>
    </w:tbl>
    <w:p/>
    <w:p>
      <w:pPr>
        <w:pStyle w:val="Heading1"/>
      </w:pPr>
      <w:r>
        <w:t>19. Minimum Defensible Implementation for the Current Capstone</w:t>
      </w:r>
    </w:p>
    <w:p>
      <w:r>
        <w:t>The project can implement a strong, safe first version without pretending to provide advanced causal explanations. The minimum defensible design is:</w:t>
      </w:r>
    </w:p>
    <w:p>
      <w:pPr>
        <w:pStyle w:val="ListNumber"/>
      </w:pPr>
      <w:r>
        <w:t>Display all rule-based HIGH factors and urgent conditions in plain language.</w:t>
      </w:r>
    </w:p>
    <w:p>
      <w:pPr>
        <w:pStyle w:val="ListNumber"/>
      </w:pPr>
      <w:r>
        <w:t>Display missing Medical History, Ultrasound, or Birth Plan records when incomplete.</w:t>
      </w:r>
    </w:p>
    <w:p>
      <w:pPr>
        <w:pStyle w:val="ListNumber"/>
      </w:pPr>
      <w:r>
        <w:t>Display the validated ML label as a separate supportive field.</w:t>
      </w:r>
    </w:p>
    <w:p>
      <w:pPr>
        <w:pStyle w:val="ListNumber"/>
      </w:pPr>
      <w:r>
        <w:t>Display model version and execution status for audit users.</w:t>
      </w:r>
    </w:p>
    <w:p>
      <w:pPr>
        <w:pStyle w:val="ListNumber"/>
      </w:pPr>
      <w:r>
        <w:t>Use global permutation importance in the research report after confirming held-out model performance.</w:t>
      </w:r>
    </w:p>
    <w:p>
      <w:pPr>
        <w:pStyle w:val="ListNumber"/>
      </w:pPr>
      <w:r>
        <w:t>Avoid patient-facing probabilities and local SHAP explanations until calibration, stability, and usability are validated.</w:t>
      </w:r>
    </w:p>
    <w:p>
      <w:pPr>
        <w:pStyle w:val="ListNumber"/>
      </w:pPr>
      <w:r>
        <w:t>Preserve human referral judgment, refusal/waiver documentation, and audit logging.</w:t>
      </w:r>
    </w:p>
    <w:p>
      <w:pPr>
        <w:pStyle w:val="Heading1"/>
      </w:pPr>
      <w:r>
        <w:t>20. Evidence Required From the Actual Project</w:t>
      </w:r>
    </w:p>
    <w:p>
      <w:pPr>
        <w:pStyle w:val="ListBullet"/>
      </w:pPr>
      <w:r>
        <w:t>Current Laravel view showing HIGH, LOW, and ASSESSMENT INCOMPLETE states.</w:t>
      </w:r>
    </w:p>
    <w:p>
      <w:pPr>
        <w:pStyle w:val="ListBullet"/>
      </w:pPr>
      <w:r>
        <w:t>Exact rule-reason messages and urgent recommendation wording.</w:t>
      </w:r>
    </w:p>
    <w:p>
      <w:pPr>
        <w:pStyle w:val="ListBullet"/>
      </w:pPr>
      <w:r>
        <w:t>Python output contract and model-version field.</w:t>
      </w:r>
    </w:p>
    <w:p>
      <w:pPr>
        <w:pStyle w:val="ListBullet"/>
      </w:pPr>
      <w:r>
        <w:t>Global importance calculation code and held-out dataset, if implemented.</w:t>
      </w:r>
    </w:p>
    <w:p>
      <w:pPr>
        <w:pStyle w:val="ListBullet"/>
      </w:pPr>
      <w:r>
        <w:t>Local explanation library, configuration, and validation evidence, if implemented.</w:t>
      </w:r>
    </w:p>
    <w:p>
      <w:pPr>
        <w:pStyle w:val="ListBullet"/>
      </w:pPr>
      <w:r>
        <w:t>Audit-log schema and sample records with identifiers redacted.</w:t>
      </w:r>
    </w:p>
    <w:p>
      <w:pPr>
        <w:pStyle w:val="ListBullet"/>
      </w:pPr>
      <w:r>
        <w:t>Automated tests for rule precedence, invalid output, and explanation suppression.</w:t>
      </w:r>
    </w:p>
    <w:p>
      <w:pPr>
        <w:pStyle w:val="ListBullet"/>
      </w:pPr>
      <w:r>
        <w:t>Usability test script and results from intended or supervised representative users.</w:t>
      </w:r>
    </w:p>
    <w:p>
      <w:pPr>
        <w:pStyle w:val="ListBullet"/>
      </w:pPr>
      <w:r>
        <w:t>Screenshots demonstrating layered explanation and accessible visual hierarchy.</w:t>
      </w:r>
    </w:p>
    <w:p>
      <w:pPr>
        <w:pStyle w:val="Heading1"/>
      </w:pPr>
      <w:r>
        <w:t>21. Transition to Part 8</w:t>
      </w:r>
    </w:p>
    <w:p>
      <w:r>
        <w:t>Part 8 will specify the Laravel integration architecture in detail, including feature assembly, process invocation, structured response validation, configuration, timeouts, security, audit logging, error handling, and the exact handoff to the deterministic Decision Engine.</w:t>
      </w:r>
    </w:p>
    <w:p>
      <w:pPr>
        <w:pStyle w:val="Heading1"/>
      </w:pPr>
      <w:r>
        <w:t>References</w:t>
      </w:r>
    </w:p>
    <w:p>
      <w:pPr>
        <w:pStyle w:val="ListNumber"/>
      </w:pPr>
      <w:r>
        <w:t>World Health Organization. Ethics and governance of artificial intelligence for health. WHO; 2021.</w:t>
      </w:r>
    </w:p>
    <w:p>
      <w:pPr>
        <w:pStyle w:val="ListNumber"/>
      </w:pPr>
      <w:r>
        <w:t>U.S. Food and Drug Administration, Health Canada, and MHRA. Transparency for Machine Learning-Enabled Medical Devices: Guiding Principles; 2024.</w:t>
      </w:r>
    </w:p>
    <w:p>
      <w:pPr>
        <w:pStyle w:val="ListNumber"/>
      </w:pPr>
      <w:r>
        <w:t>International Medical Device Regulators Forum. Good Machine Learning Practice for Medical Device Development: Guiding Principles. Final document; 2025.</w:t>
      </w:r>
    </w:p>
    <w:p>
      <w:pPr>
        <w:pStyle w:val="ListNumber"/>
      </w:pPr>
      <w:r>
        <w:t>National Institute of Standards and Technology. Artificial Intelligence Risk Management Framework (AI RMF 1.0). NIST AI 100-1; 2023.</w:t>
      </w:r>
    </w:p>
    <w:p>
      <w:pPr>
        <w:pStyle w:val="ListNumber"/>
      </w:pPr>
      <w:r>
        <w:t>scikit-learn developers. Permutation Feature Importance documentation, stable release.</w:t>
      </w:r>
    </w:p>
    <w:p>
      <w:pPr>
        <w:pStyle w:val="ListNumber"/>
      </w:pPr>
      <w:r>
        <w:t>Ribeiro MT, Singh S, Guestrin C. “Why Should I Trust You?” Explaining the Predictions of Any Classifier. KDD; 2016.</w:t>
      </w:r>
    </w:p>
    <w:p>
      <w:pPr>
        <w:pStyle w:val="ListNumber"/>
      </w:pPr>
      <w:r>
        <w:t>Lundberg SM, Lee S-I. A Unified Approach to Interpreting Model Predictions. NeurIPS; 2017.</w:t>
      </w:r>
    </w:p>
    <w:sectPr w:rsidR="00FC693F" w:rsidRPr="0006063C" w:rsidSect="00034616">
      <w:headerReference w:type="default" r:id="rId9"/>
      <w:footerReference w:type="default" r:id="rId10"/>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DOCUMENT 3 • PART 7 • MACHINE LEARNING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fetyNote">
    <w:name w:val="Safety Note"/>
    <w:rPr>
      <w:rFonts w:ascii="Aptos" w:hAnsi="Aptos"/>
      <w:b/>
      <w:color w:val="9C000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