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eastAsia="Aptos"/>
          <w:b/>
          <w:color w:val="2F5597"/>
          <w:sz w:val="28"/>
        </w:rPr>
        <w:t>DOCUMENT 4</w:t>
      </w:r>
    </w:p>
    <w:p>
      <w:pPr>
        <w:jc w:val="center"/>
      </w:pPr>
      <w:r>
        <w:rPr>
          <w:rFonts w:ascii="Aptos" w:hAnsi="Aptos" w:eastAsia="Aptos"/>
          <w:b/>
          <w:color w:val="17365D"/>
          <w:sz w:val="48"/>
        </w:rPr>
        <w:t>CLINICAL EVIDENCE AND</w:t>
        <w:br/>
        <w:t>DECISION SUPPORT JUSTIFICATION</w:t>
      </w:r>
    </w:p>
    <w:p>
      <w:pPr>
        <w:spacing w:before="240"/>
        <w:jc w:val="center"/>
      </w:pPr>
      <w:r>
        <w:rPr>
          <w:rFonts w:ascii="Aptos" w:hAnsi="Aptos" w:eastAsia="Aptos"/>
          <w:b/>
          <w:color w:val="2F5597"/>
          <w:sz w:val="30"/>
        </w:rPr>
        <w:t>REWRITTEN PART 1 — MATERNAL AGE</w:t>
      </w:r>
    </w:p>
    <w:p>
      <w:pPr>
        <w:spacing w:before="440"/>
        <w:jc w:val="center"/>
      </w:pPr>
      <w:r>
        <w:rPr>
          <w:rFonts w:ascii="Aptos" w:hAnsi="Aptos" w:eastAsia="Aptos"/>
          <w:b w:val="0"/>
          <w:color w:val="1F1F1F"/>
          <w:sz w:val="24"/>
        </w:rPr>
        <w:t>Adolescent Pregnancy and Pregnancy at Age 35 Years or Older</w:t>
      </w:r>
    </w:p>
    <w:p>
      <w:pPr>
        <w:spacing w:before="560"/>
        <w:jc w:val="center"/>
      </w:pPr>
      <w:r>
        <w:rPr>
          <w:rFonts w:ascii="Aptos" w:hAnsi="Aptos" w:eastAsia="Aptos"/>
          <w:b w:val="0"/>
          <w:color w:val="1F1F1F"/>
          <w:sz w:val="22"/>
        </w:rPr>
        <w:t>Development of an Explainable Clinical Decision Support System</w:t>
        <w:br/>
        <w:t>for a Web-Based Maternity Management System in a Philippine Lying-in Clinic</w:t>
      </w:r>
    </w:p>
    <w:p>
      <w:pPr>
        <w:spacing w:before="600"/>
        <w:jc w:val="center"/>
      </w:pPr>
      <w:r>
        <w:rPr>
          <w:rFonts w:ascii="Aptos" w:hAnsi="Aptos" w:eastAsia="Aptos"/>
          <w:b w:val="0"/>
          <w:color w:val="2F5597"/>
          <w:sz w:val="19"/>
        </w:rPr>
        <w:t>Phase 1 rewrite | Evidence-linked edition | July 2026</w:t>
      </w:r>
    </w:p>
    <w:p>
      <w:r>
        <w:br w:type="page"/>
      </w:r>
    </w:p>
    <w:tbl>
      <w:tblPr>
        <w:tblW w:type="auto" w:w="0"/>
        <w:tblLook w:firstColumn="1" w:firstRow="1" w:lastColumn="0" w:lastRow="0" w:noHBand="0" w:noVBand="1" w:val="04A0"/>
      </w:tblPr>
      <w:tblGrid>
        <w:gridCol w:w="9994"/>
      </w:tblGrid>
      <w:tr>
        <w:tc>
          <w:tcPr>
            <w:tcW w:type="dxa" w:w="9994"/>
            <w:shd w:fill="FFF2CC"/>
            <w:tcMar>
              <w:top w:w="120" w:type="dxa"/>
              <w:start w:w="150" w:type="dxa"/>
              <w:bottom w:w="120" w:type="dxa"/>
              <w:end w:w="150" w:type="dxa"/>
            </w:tcMar>
          </w:tcPr>
          <w:p>
            <w:r>
              <w:rPr>
                <w:rFonts w:ascii="Aptos" w:hAnsi="Aptos" w:eastAsia="Aptos"/>
                <w:b/>
                <w:color w:val="17365D"/>
                <w:sz w:val="21"/>
              </w:rPr>
              <w:t>Clinical safety statement</w:t>
            </w:r>
          </w:p>
          <w:p>
            <w:r>
              <w:rPr>
                <w:rFonts w:ascii="Aptos" w:hAnsi="Aptos" w:eastAsia="Aptos"/>
                <w:b w:val="0"/>
                <w:color w:val="1F1F1F"/>
                <w:sz w:val="18"/>
              </w:rPr>
              <w:t>Maternal age is used as a screening and referral factor, not as a diagnosis and not as proof that a complication is present. The CDSS does not prescribe medication, determine the delivery method, or replace individual assessment. A HIGH output means that the clinic should provide closer review and, when appropriate, referral or facility-based planning.</w:t>
            </w:r>
          </w:p>
        </w:tc>
      </w:tr>
    </w:tbl>
    <w:p/>
    <w:p>
      <w:pPr>
        <w:pStyle w:val="Heading1"/>
      </w:pPr>
      <w:r>
        <w:t>Executive Summary</w:t>
      </w:r>
    </w:p>
    <w:p>
      <w:r>
        <w:t>The implemented CDSS contains two maternal-age rules: age below 19 years produces HIGH, and age 35 years or older produces HIGH only when the current pregnancy is the patient's first pregnancy. WHO reports that adolescent mothers aged 10–19 years have higher risks of eclampsia, puerperal endometritis, and systemic infection than women aged 20–24 years, while their babies have higher risks of low birth weight, preterm birth, and severe neonatal conditions.</w:t>
      </w:r>
      <w:r>
        <w:t xml:space="preserve"> </w:t>
      </w:r>
      <w:hyperlink r:id="rId11">
        <w:r>
          <w:rPr>
            <w:color w:val="0563C1"/>
            <w:u w:val="single"/>
            <w:rFonts w:ascii="Aptos" w:hAnsi="Aptos"/>
          </w:rPr>
          <w:t>[1]</w:t>
        </w:r>
      </w:hyperlink>
    </w:p>
    <w:p>
      <w:r>
        <w:t>ACOG and the Society for Maternal-Fetal Medicine recognize pregnancy with anticipated delivery at age 35 years or older as a risk factor for adverse maternal, fetal, and neonatal outcomes, but emphasize that risk rises progressively with age and that age alone is not an indication for cesarean delivery.</w:t>
      </w:r>
      <w:r>
        <w:t xml:space="preserve"> </w:t>
      </w:r>
      <w:hyperlink r:id="rId12">
        <w:r>
          <w:rPr>
            <w:color w:val="0563C1"/>
            <w:u w:val="single"/>
            <w:rFonts w:ascii="Aptos" w:hAnsi="Aptos"/>
          </w:rPr>
          <w:t>[2]</w:t>
        </w:r>
      </w:hyperlink>
    </w:p>
    <w:p>
      <w:r>
        <w:t>The project's older-age rule is intentionally narrower than ACOG's general age-based counseling threshold because it requires both age 35 years or older and first pregnancy. This is a project design decision intended to combine age and nulliparity in a resource-limited lying-in setting; it must not be misrepresented as a direct WHO, ACOG, or NICE rule.</w:t>
      </w:r>
    </w:p>
    <w:p>
      <w:pPr>
        <w:pStyle w:val="Heading1"/>
      </w:pPr>
      <w:r>
        <w:t>1. Purpose and Scope</w:t>
      </w:r>
    </w:p>
    <w:p>
      <w:r>
        <w:t>This chapter provides the clinical evidence, guideline comparison, Philippine context, implementation traceability, explainability wording, recommendation boundaries, validation cases, and defense preparation for the maternal-age component of the CDSS.</w:t>
      </w:r>
    </w:p>
    <w:p>
      <w:r>
        <w:t>The scope is limited to prenatal risk screening and referral support. It does not cover fertility counseling, genetic testing selection, timing of delivery, aspirin prescribing, or mode-of-birth decisions except to state that these require qualified professional judgment.</w:t>
      </w:r>
    </w:p>
    <w:p>
      <w:pPr>
        <w:pStyle w:val="Heading1"/>
      </w:pPr>
      <w:r>
        <w:t>2. Implemented Rules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7365D"/>
            <w:tcMar>
              <w:top w:w="85" w:type="dxa"/>
              <w:start w:w="100" w:type="dxa"/>
              <w:bottom w:w="85" w:type="dxa"/>
              <w:end w:w="100" w:type="dxa"/>
            </w:tcMar>
          </w:tcPr>
          <w:p>
            <w:pPr>
              <w:jc w:val="center"/>
            </w:pPr>
            <w:r>
              <w:rPr>
                <w:rFonts w:ascii="Aptos" w:hAnsi="Aptos" w:eastAsia="Aptos"/>
                <w:b/>
                <w:color w:val="FFFFFF"/>
                <w:sz w:val="16"/>
              </w:rPr>
              <w:t>Rule ID</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Input Condition</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Final CDSS Effect</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Rule Type</w:t>
            </w:r>
          </w:p>
        </w:tc>
      </w:tr>
      <w:tr>
        <w:tc>
          <w:tcPr>
            <w:tcW w:type="dxa" w:w="2498"/>
            <w:tcMar>
              <w:top w:w="85" w:type="dxa"/>
              <w:start w:w="100" w:type="dxa"/>
              <w:bottom w:w="85" w:type="dxa"/>
              <w:end w:w="100" w:type="dxa"/>
            </w:tcMar>
            <w:vAlign w:val="top"/>
          </w:tcPr>
          <w:p>
            <w:r>
              <w:rPr>
                <w:rFonts w:ascii="Aptos" w:hAnsi="Aptos" w:eastAsia="Aptos"/>
                <w:b w:val="0"/>
                <w:color w:val="1F1F1F"/>
                <w:sz w:val="16"/>
              </w:rPr>
              <w:t>AGE-01</w:t>
            </w:r>
          </w:p>
        </w:tc>
        <w:tc>
          <w:tcPr>
            <w:tcW w:type="dxa" w:w="2498"/>
            <w:tcMar>
              <w:top w:w="85" w:type="dxa"/>
              <w:start w:w="100" w:type="dxa"/>
              <w:bottom w:w="85" w:type="dxa"/>
              <w:end w:w="100" w:type="dxa"/>
            </w:tcMar>
            <w:vAlign w:val="top"/>
          </w:tcPr>
          <w:p>
            <w:r>
              <w:rPr>
                <w:rFonts w:ascii="Aptos" w:hAnsi="Aptos" w:eastAsia="Aptos"/>
                <w:b w:val="0"/>
                <w:color w:val="1F1F1F"/>
                <w:sz w:val="16"/>
              </w:rPr>
              <w:t>Maternal age &lt;19 years</w:t>
            </w:r>
          </w:p>
        </w:tc>
        <w:tc>
          <w:tcPr>
            <w:tcW w:type="dxa" w:w="2498"/>
            <w:tcMar>
              <w:top w:w="85" w:type="dxa"/>
              <w:start w:w="100" w:type="dxa"/>
              <w:bottom w:w="85" w:type="dxa"/>
              <w:end w:w="100" w:type="dxa"/>
            </w:tcMar>
            <w:vAlign w:val="top"/>
          </w:tcPr>
          <w:p>
            <w:r>
              <w:rPr>
                <w:rFonts w:ascii="Aptos" w:hAnsi="Aptos" w:eastAsia="Aptos"/>
                <w:b w:val="0"/>
                <w:color w:val="1F1F1F"/>
                <w:sz w:val="16"/>
              </w:rPr>
              <w:t>HIGH</w:t>
            </w:r>
          </w:p>
        </w:tc>
        <w:tc>
          <w:tcPr>
            <w:tcW w:type="dxa" w:w="2498"/>
            <w:tcMar>
              <w:top w:w="85" w:type="dxa"/>
              <w:start w:w="100" w:type="dxa"/>
              <w:bottom w:w="85" w:type="dxa"/>
              <w:end w:w="100" w:type="dxa"/>
            </w:tcMar>
            <w:vAlign w:val="top"/>
          </w:tcPr>
          <w:p>
            <w:r>
              <w:rPr>
                <w:rFonts w:ascii="Aptos" w:hAnsi="Aptos" w:eastAsia="Aptos"/>
                <w:b w:val="0"/>
                <w:color w:val="1F1F1F"/>
                <w:sz w:val="16"/>
              </w:rPr>
              <w:t>Deterministic clinical-safety rule</w:t>
            </w:r>
          </w:p>
        </w:tc>
      </w:tr>
      <w:tr>
        <w:tc>
          <w:tcPr>
            <w:tcW w:type="dxa" w:w="2498"/>
            <w:tcMar>
              <w:top w:w="85" w:type="dxa"/>
              <w:start w:w="100" w:type="dxa"/>
              <w:bottom w:w="85" w:type="dxa"/>
              <w:end w:w="100" w:type="dxa"/>
            </w:tcMar>
            <w:vAlign w:val="top"/>
            <w:shd w:fill="F5F8FC"/>
          </w:tcPr>
          <w:p>
            <w:r>
              <w:rPr>
                <w:rFonts w:ascii="Aptos" w:hAnsi="Aptos" w:eastAsia="Aptos"/>
                <w:b w:val="0"/>
                <w:color w:val="1F1F1F"/>
                <w:sz w:val="16"/>
              </w:rPr>
              <w:t>AGE-02</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Maternal age ≥35 years AND first pregnancy</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HIGH</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Deterministic project rule informed by age and nulliparity evidence</w:t>
            </w:r>
          </w:p>
        </w:tc>
      </w:tr>
      <w:tr>
        <w:tc>
          <w:tcPr>
            <w:tcW w:type="dxa" w:w="2498"/>
            <w:tcMar>
              <w:top w:w="85" w:type="dxa"/>
              <w:start w:w="100" w:type="dxa"/>
              <w:bottom w:w="85" w:type="dxa"/>
              <w:end w:w="100" w:type="dxa"/>
            </w:tcMar>
            <w:vAlign w:val="top"/>
          </w:tcPr>
          <w:p>
            <w:r>
              <w:rPr>
                <w:rFonts w:ascii="Aptos" w:hAnsi="Aptos" w:eastAsia="Aptos"/>
                <w:b w:val="0"/>
                <w:color w:val="1F1F1F"/>
                <w:sz w:val="16"/>
              </w:rPr>
              <w:t>AGE-03</w:t>
            </w:r>
          </w:p>
        </w:tc>
        <w:tc>
          <w:tcPr>
            <w:tcW w:type="dxa" w:w="2498"/>
            <w:tcMar>
              <w:top w:w="85" w:type="dxa"/>
              <w:start w:w="100" w:type="dxa"/>
              <w:bottom w:w="85" w:type="dxa"/>
              <w:end w:w="100" w:type="dxa"/>
            </w:tcMar>
            <w:vAlign w:val="top"/>
          </w:tcPr>
          <w:p>
            <w:r>
              <w:rPr>
                <w:rFonts w:ascii="Aptos" w:hAnsi="Aptos" w:eastAsia="Aptos"/>
                <w:b w:val="0"/>
                <w:color w:val="1F1F1F"/>
                <w:sz w:val="16"/>
              </w:rPr>
              <w:t>Maternal age 19–34 years and no other HIGH factor</w:t>
            </w:r>
          </w:p>
        </w:tc>
        <w:tc>
          <w:tcPr>
            <w:tcW w:type="dxa" w:w="2498"/>
            <w:tcMar>
              <w:top w:w="85" w:type="dxa"/>
              <w:start w:w="100" w:type="dxa"/>
              <w:bottom w:w="85" w:type="dxa"/>
              <w:end w:w="100" w:type="dxa"/>
            </w:tcMar>
            <w:vAlign w:val="top"/>
          </w:tcPr>
          <w:p>
            <w:r>
              <w:rPr>
                <w:rFonts w:ascii="Aptos" w:hAnsi="Aptos" w:eastAsia="Aptos"/>
                <w:b w:val="0"/>
                <w:color w:val="1F1F1F"/>
                <w:sz w:val="16"/>
              </w:rPr>
              <w:t>No age-based HIGH</w:t>
            </w:r>
          </w:p>
        </w:tc>
        <w:tc>
          <w:tcPr>
            <w:tcW w:type="dxa" w:w="2498"/>
            <w:tcMar>
              <w:top w:w="85" w:type="dxa"/>
              <w:start w:w="100" w:type="dxa"/>
              <w:bottom w:w="85" w:type="dxa"/>
              <w:end w:w="100" w:type="dxa"/>
            </w:tcMar>
            <w:vAlign w:val="top"/>
          </w:tcPr>
          <w:p>
            <w:r>
              <w:rPr>
                <w:rFonts w:ascii="Aptos" w:hAnsi="Aptos" w:eastAsia="Aptos"/>
                <w:b w:val="0"/>
                <w:color w:val="1F1F1F"/>
                <w:sz w:val="16"/>
              </w:rPr>
              <w:t>Neutral age pathway</w:t>
            </w:r>
          </w:p>
        </w:tc>
      </w:tr>
      <w:tr>
        <w:tc>
          <w:tcPr>
            <w:tcW w:type="dxa" w:w="2498"/>
            <w:tcMar>
              <w:top w:w="85" w:type="dxa"/>
              <w:start w:w="100" w:type="dxa"/>
              <w:bottom w:w="85" w:type="dxa"/>
              <w:end w:w="100" w:type="dxa"/>
            </w:tcMar>
            <w:vAlign w:val="top"/>
            <w:shd w:fill="F5F8FC"/>
          </w:tcPr>
          <w:p>
            <w:r>
              <w:rPr>
                <w:rFonts w:ascii="Aptos" w:hAnsi="Aptos" w:eastAsia="Aptos"/>
                <w:b w:val="0"/>
                <w:color w:val="1F1F1F"/>
                <w:sz w:val="16"/>
              </w:rPr>
              <w:t>AGE-04</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Maternal age ≥35 years but not first pregnancy</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No age-only HIGH under current implementation</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Known implementation limitation requiring transparent documentation</w:t>
            </w:r>
          </w:p>
        </w:tc>
      </w:tr>
    </w:tbl>
    <w:p/>
    <w:p>
      <w:pPr>
        <w:pStyle w:val="Heading1"/>
      </w:pPr>
      <w:r>
        <w:t>3. Clinical Background: Adolescent Pregnancy</w:t>
      </w:r>
    </w:p>
    <w:p>
      <w:r>
        <w:t>WHO defines adolescence as ages 10–19 years in its adolescent-pregnancy evidence. It reports higher maternal risks of eclampsia, puerperal endometritis, and systemic infections, and higher newborn risks of low birth weight, preterm birth, and severe neonatal conditions, compared with mothers aged 20–24 years.</w:t>
      </w:r>
      <w:r>
        <w:t xml:space="preserve"> </w:t>
      </w:r>
      <w:hyperlink r:id="rId11">
        <w:r>
          <w:rPr>
            <w:color w:val="0563C1"/>
            <w:u w:val="single"/>
            <w:rFonts w:ascii="Aptos" w:hAnsi="Aptos"/>
          </w:rPr>
          <w:t>[1]</w:t>
        </w:r>
      </w:hyperlink>
    </w:p>
    <w:p>
      <w:r>
        <w:t>The clinical risk is not purely biological. Adolescents may also face delayed access to care, stigma, limited autonomy, safeguarding concerns, disrupted education, economic vulnerability, violence, and reduced continuity of antenatal care. NICE therefore directs maternity services to consider additional access and support needs for pregnant people under 20 and for those with complex social factors.</w:t>
      </w:r>
      <w:r>
        <w:t xml:space="preserve"> </w:t>
      </w:r>
      <w:hyperlink r:id="rId13">
        <w:r>
          <w:rPr>
            <w:color w:val="0563C1"/>
            <w:u w:val="single"/>
            <w:rFonts w:ascii="Aptos" w:hAnsi="Aptos"/>
          </w:rPr>
          <w:t>[3]</w:t>
        </w:r>
      </w:hyperlink>
      <w:r>
        <w:t xml:space="preserve">, </w:t>
      </w:r>
      <w:hyperlink r:id="rId14">
        <w:r>
          <w:rPr>
            <w:color w:val="0563C1"/>
            <w:u w:val="single"/>
            <w:rFonts w:ascii="Aptos" w:hAnsi="Aptos"/>
          </w:rPr>
          <w:t>[4]</w:t>
        </w:r>
      </w:hyperlink>
    </w:p>
    <w:tbl>
      <w:tblPr>
        <w:tblW w:type="auto" w:w="0"/>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r>
              <w:rPr>
                <w:rFonts w:ascii="Aptos" w:hAnsi="Aptos" w:eastAsia="Aptos"/>
                <w:b/>
                <w:color w:val="17365D"/>
                <w:sz w:val="21"/>
              </w:rPr>
              <w:t>Interpretation for the CDSS</w:t>
            </w:r>
          </w:p>
          <w:p>
            <w:r>
              <w:rPr>
                <w:rFonts w:ascii="Aptos" w:hAnsi="Aptos" w:eastAsia="Aptos"/>
                <w:b w:val="0"/>
                <w:color w:val="1F1F1F"/>
                <w:sz w:val="18"/>
              </w:rPr>
              <w:t>The HIGH classification should trigger supportive, confidential, and nonjudgmental care. It must not stigmatize adolescent patients or imply that poor outcomes are inevitable.</w:t>
            </w:r>
          </w:p>
        </w:tc>
      </w:tr>
    </w:tbl>
    <w:p/>
    <w:p>
      <w:pPr>
        <w:pStyle w:val="Heading1"/>
      </w:pPr>
      <w:r>
        <w:t>4. Why the Code Uses Age Below 19</w:t>
      </w:r>
    </w:p>
    <w:p>
      <w:r>
        <w:t>The project's cutoff is younger than 19, meaning ages 18 and below. This is close to, but not identical with, WHO's adolescent category of 10–19 years. The difference must be acknowledged clearly.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7365D"/>
            <w:tcMar>
              <w:top w:w="85" w:type="dxa"/>
              <w:start w:w="100" w:type="dxa"/>
              <w:bottom w:w="85" w:type="dxa"/>
              <w:end w:w="100" w:type="dxa"/>
            </w:tcMar>
          </w:tcPr>
          <w:p>
            <w:pPr>
              <w:jc w:val="center"/>
            </w:pPr>
            <w:r>
              <w:rPr>
                <w:rFonts w:ascii="Aptos" w:hAnsi="Aptos" w:eastAsia="Aptos"/>
                <w:b/>
                <w:color w:val="FFFFFF"/>
                <w:sz w:val="16"/>
              </w:rPr>
              <w:t>Issue</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Evidence Standard</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Current Project Choice</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Required Documentation</w:t>
            </w:r>
          </w:p>
        </w:tc>
      </w:tr>
      <w:tr>
        <w:tc>
          <w:tcPr>
            <w:tcW w:type="dxa" w:w="2498"/>
            <w:tcMar>
              <w:top w:w="85" w:type="dxa"/>
              <w:start w:w="100" w:type="dxa"/>
              <w:bottom w:w="85" w:type="dxa"/>
              <w:end w:w="100" w:type="dxa"/>
            </w:tcMar>
            <w:vAlign w:val="top"/>
          </w:tcPr>
          <w:p>
            <w:r>
              <w:rPr>
                <w:rFonts w:ascii="Aptos" w:hAnsi="Aptos" w:eastAsia="Aptos"/>
                <w:b w:val="0"/>
                <w:color w:val="1F1F1F"/>
                <w:sz w:val="16"/>
              </w:rPr>
              <w:t>Adolescent age range</w:t>
            </w:r>
          </w:p>
        </w:tc>
        <w:tc>
          <w:tcPr>
            <w:tcW w:type="dxa" w:w="2498"/>
            <w:tcMar>
              <w:top w:w="85" w:type="dxa"/>
              <w:start w:w="100" w:type="dxa"/>
              <w:bottom w:w="85" w:type="dxa"/>
              <w:end w:w="100" w:type="dxa"/>
            </w:tcMar>
            <w:vAlign w:val="top"/>
          </w:tcPr>
          <w:p>
            <w:r>
              <w:rPr>
                <w:rFonts w:ascii="Aptos" w:hAnsi="Aptos" w:eastAsia="Aptos"/>
                <w:b w:val="0"/>
                <w:color w:val="1F1F1F"/>
                <w:sz w:val="16"/>
              </w:rPr>
              <w:t>WHO commonly uses 10–19 years.</w:t>
            </w:r>
          </w:p>
        </w:tc>
        <w:tc>
          <w:tcPr>
            <w:tcW w:type="dxa" w:w="2498"/>
            <w:tcMar>
              <w:top w:w="85" w:type="dxa"/>
              <w:start w:w="100" w:type="dxa"/>
              <w:bottom w:w="85" w:type="dxa"/>
              <w:end w:w="100" w:type="dxa"/>
            </w:tcMar>
            <w:vAlign w:val="top"/>
          </w:tcPr>
          <w:p>
            <w:r>
              <w:rPr>
                <w:rFonts w:ascii="Aptos" w:hAnsi="Aptos" w:eastAsia="Aptos"/>
                <w:b w:val="0"/>
                <w:color w:val="1F1F1F"/>
                <w:sz w:val="16"/>
              </w:rPr>
              <w:t>The controller uses age &lt;19.</w:t>
            </w:r>
          </w:p>
        </w:tc>
        <w:tc>
          <w:tcPr>
            <w:tcW w:type="dxa" w:w="2498"/>
            <w:tcMar>
              <w:top w:w="85" w:type="dxa"/>
              <w:start w:w="100" w:type="dxa"/>
              <w:bottom w:w="85" w:type="dxa"/>
              <w:end w:w="100" w:type="dxa"/>
            </w:tcMar>
            <w:vAlign w:val="top"/>
          </w:tcPr>
          <w:p>
            <w:r>
              <w:rPr>
                <w:rFonts w:ascii="Aptos" w:hAnsi="Aptos" w:eastAsia="Aptos"/>
                <w:b w:val="0"/>
                <w:color w:val="1F1F1F"/>
                <w:sz w:val="16"/>
              </w:rPr>
              <w:t>Label this as an implementation choice, not a verbatim WHO threshold.</w:t>
            </w:r>
          </w:p>
        </w:tc>
      </w:tr>
      <w:tr>
        <w:tc>
          <w:tcPr>
            <w:tcW w:type="dxa" w:w="2498"/>
            <w:tcMar>
              <w:top w:w="85" w:type="dxa"/>
              <w:start w:w="100" w:type="dxa"/>
              <w:bottom w:w="85" w:type="dxa"/>
              <w:end w:w="100" w:type="dxa"/>
            </w:tcMar>
            <w:vAlign w:val="top"/>
            <w:shd w:fill="F5F8FC"/>
          </w:tcPr>
          <w:p>
            <w:r>
              <w:rPr>
                <w:rFonts w:ascii="Aptos" w:hAnsi="Aptos" w:eastAsia="Aptos"/>
                <w:b w:val="0"/>
                <w:color w:val="1F1F1F"/>
                <w:sz w:val="16"/>
              </w:rPr>
              <w:t>Clinical concern</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WHO identifies increased maternal and neonatal risks in adolescent pregnancy.</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HIGH for age &lt;19.</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Use referral/support language, not diagnosis.</w:t>
            </w:r>
          </w:p>
        </w:tc>
      </w:tr>
      <w:tr>
        <w:tc>
          <w:tcPr>
            <w:tcW w:type="dxa" w:w="2498"/>
            <w:tcMar>
              <w:top w:w="85" w:type="dxa"/>
              <w:start w:w="100" w:type="dxa"/>
              <w:bottom w:w="85" w:type="dxa"/>
              <w:end w:w="100" w:type="dxa"/>
            </w:tcMar>
            <w:vAlign w:val="top"/>
          </w:tcPr>
          <w:p>
            <w:r>
              <w:rPr>
                <w:rFonts w:ascii="Aptos" w:hAnsi="Aptos" w:eastAsia="Aptos"/>
                <w:b w:val="0"/>
                <w:color w:val="1F1F1F"/>
                <w:sz w:val="16"/>
              </w:rPr>
              <w:t>Age 19</w:t>
            </w:r>
          </w:p>
        </w:tc>
        <w:tc>
          <w:tcPr>
            <w:tcW w:type="dxa" w:w="2498"/>
            <w:tcMar>
              <w:top w:w="85" w:type="dxa"/>
              <w:start w:w="100" w:type="dxa"/>
              <w:bottom w:w="85" w:type="dxa"/>
              <w:end w:w="100" w:type="dxa"/>
            </w:tcMar>
            <w:vAlign w:val="top"/>
          </w:tcPr>
          <w:p>
            <w:r>
              <w:rPr>
                <w:rFonts w:ascii="Aptos" w:hAnsi="Aptos" w:eastAsia="Aptos"/>
                <w:b w:val="0"/>
                <w:color w:val="1F1F1F"/>
                <w:sz w:val="16"/>
              </w:rPr>
              <w:t>WHO still categorizes age 19 as adolescent.</w:t>
            </w:r>
          </w:p>
        </w:tc>
        <w:tc>
          <w:tcPr>
            <w:tcW w:type="dxa" w:w="2498"/>
            <w:tcMar>
              <w:top w:w="85" w:type="dxa"/>
              <w:start w:w="100" w:type="dxa"/>
              <w:bottom w:w="85" w:type="dxa"/>
              <w:end w:w="100" w:type="dxa"/>
            </w:tcMar>
            <w:vAlign w:val="top"/>
          </w:tcPr>
          <w:p>
            <w:r>
              <w:rPr>
                <w:rFonts w:ascii="Aptos" w:hAnsi="Aptos" w:eastAsia="Aptos"/>
                <w:b w:val="0"/>
                <w:color w:val="1F1F1F"/>
                <w:sz w:val="16"/>
              </w:rPr>
              <w:t>Current rule does not flag age 19 by age alone.</w:t>
            </w:r>
          </w:p>
        </w:tc>
        <w:tc>
          <w:tcPr>
            <w:tcW w:type="dxa" w:w="2498"/>
            <w:tcMar>
              <w:top w:w="85" w:type="dxa"/>
              <w:start w:w="100" w:type="dxa"/>
              <w:bottom w:w="85" w:type="dxa"/>
              <w:end w:w="100" w:type="dxa"/>
            </w:tcMar>
            <w:vAlign w:val="top"/>
          </w:tcPr>
          <w:p>
            <w:r>
              <w:rPr>
                <w:rFonts w:ascii="Aptos" w:hAnsi="Aptos" w:eastAsia="Aptos"/>
                <w:b w:val="0"/>
                <w:color w:val="1F1F1F"/>
                <w:sz w:val="16"/>
              </w:rPr>
              <w:t>Record as a limitation and future governance decision.</w:t>
            </w:r>
          </w:p>
        </w:tc>
      </w:tr>
    </w:tbl>
    <w:p/>
    <w:p>
      <w:r>
        <w:t>This mismatch does not make the rule unusable, but it means the thesis must never state that WHO specifically recommends a HIGH threshold of younger than 19. WHO provides the evidence for adolescent-pregnancy risk; the exact software cutoff is a project configuration.</w:t>
      </w:r>
      <w:r>
        <w:t xml:space="preserve"> </w:t>
      </w:r>
      <w:hyperlink r:id="rId11">
        <w:r>
          <w:rPr>
            <w:color w:val="0563C1"/>
            <w:u w:val="single"/>
            <w:rFonts w:ascii="Aptos" w:hAnsi="Aptos"/>
          </w:rPr>
          <w:t>[1]</w:t>
        </w:r>
      </w:hyperlink>
    </w:p>
    <w:p>
      <w:pPr>
        <w:pStyle w:val="Heading1"/>
      </w:pPr>
      <w:r>
        <w:t>5. Clinical Background: Pregnancy at Age 35 Years or Older</w:t>
      </w:r>
    </w:p>
    <w:p>
      <w:r>
        <w:t>ACOG's 2022 Obstetric Care Consensus, reaffirmed in 2025, uses anticipated delivery at age 35 years or older as the historical advanced-maternal-age threshold. It notes that the threshold is somewhat arbitrary and that risks occur on a continuum, increasing more clearly at later ages, especially age 40 years or older.</w:t>
      </w:r>
      <w:r>
        <w:t xml:space="preserve"> </w:t>
      </w:r>
      <w:hyperlink r:id="rId12">
        <w:r>
          <w:rPr>
            <w:color w:val="0563C1"/>
            <w:u w:val="single"/>
            <w:rFonts w:ascii="Aptos" w:hAnsi="Aptos"/>
          </w:rPr>
          <w:t>[2]</w:t>
        </w:r>
      </w:hyperlink>
    </w:p>
    <w:p>
      <w:r>
        <w:t>Reported associations include gestational diabetes, hypertensive disorders, labor dystocia, cesarean delivery, preterm birth, low birth weight, neonatal intensive care admission, chromosomal abnormalities, and stillbirth, with the magnitude of risk influenced by exact age and comorbidities.</w:t>
      </w:r>
      <w:r>
        <w:t xml:space="preserve"> </w:t>
      </w:r>
      <w:hyperlink r:id="rId12">
        <w:r>
          <w:rPr>
            <w:color w:val="0563C1"/>
            <w:u w:val="single"/>
            <w:rFonts w:ascii="Aptos" w:hAnsi="Aptos"/>
          </w:rPr>
          <w:t>[2]</w:t>
        </w:r>
      </w:hyperlink>
    </w:p>
    <w:p>
      <w:r>
        <w:t>ACOG explicitly states that advancing age alone is not an indication for cesarean delivery and that vaginal birth is appropriate when there are no other maternal or fetal indications.</w:t>
      </w:r>
      <w:r>
        <w:t xml:space="preserve"> </w:t>
      </w:r>
      <w:hyperlink r:id="rId12">
        <w:r>
          <w:rPr>
            <w:color w:val="0563C1"/>
            <w:u w:val="single"/>
            <w:rFonts w:ascii="Aptos" w:hAnsi="Aptos"/>
          </w:rPr>
          <w:t>[2]</w:t>
        </w:r>
      </w:hyperlink>
    </w:p>
    <w:p>
      <w:pPr>
        <w:pStyle w:val="Heading1"/>
      </w:pPr>
      <w:r>
        <w:t>6. Why the Project Combines Age ≥35 With First Pregnancy</w:t>
      </w:r>
    </w:p>
    <w:p>
      <w:r>
        <w:t>The current system does not classify every pregnancy at age 35 years or older as HIGH. It activates the rule only when the pregnancy is the first pregnancy. This combination is not a direct ACOG or WHO recommendation. It is a project design decision intended to combine two recognized risk dimensions: advancing maternal age and nulliparity.</w:t>
      </w:r>
    </w:p>
    <w:p>
      <w:r>
        <w:t>NICE identifies nulliparity and age 40 years or older as separate moderate risk factors for pre-eclampsia. NICE recommends aspirin only when more than one moderate risk factor is present, but medication decisions are outside the CDSS scope.</w:t>
      </w:r>
      <w:r>
        <w:t xml:space="preserve"> </w:t>
      </w:r>
      <w:hyperlink r:id="rId15">
        <w:r>
          <w:rPr>
            <w:color w:val="0563C1"/>
            <w:u w:val="single"/>
            <w:rFonts w:ascii="Aptos" w:hAnsi="Aptos"/>
          </w:rPr>
          <w:t>[5]</w:t>
        </w:r>
      </w:hyperlink>
    </w:p>
    <w:tbl>
      <w:tblPr>
        <w:tblW w:type="auto" w:w="0"/>
        <w:tblLook w:firstColumn="1" w:firstRow="1" w:lastColumn="0" w:lastRow="0" w:noHBand="0" w:noVBand="1" w:val="04A0"/>
      </w:tblPr>
      <w:tblGrid>
        <w:gridCol w:w="9994"/>
      </w:tblGrid>
      <w:tr>
        <w:tc>
          <w:tcPr>
            <w:tcW w:type="dxa" w:w="9994"/>
            <w:shd w:fill="FCE4D6"/>
            <w:tcMar>
              <w:top w:w="120" w:type="dxa"/>
              <w:start w:w="150" w:type="dxa"/>
              <w:bottom w:w="120" w:type="dxa"/>
              <w:end w:w="150" w:type="dxa"/>
            </w:tcMar>
          </w:tcPr>
          <w:p>
            <w:r>
              <w:rPr>
                <w:rFonts w:ascii="Aptos" w:hAnsi="Aptos" w:eastAsia="Aptos"/>
                <w:b/>
                <w:color w:val="17365D"/>
                <w:sz w:val="21"/>
              </w:rPr>
              <w:t>Important distinction</w:t>
            </w:r>
          </w:p>
          <w:p>
            <w:r>
              <w:rPr>
                <w:rFonts w:ascii="Aptos" w:hAnsi="Aptos" w:eastAsia="Aptos"/>
                <w:b w:val="0"/>
                <w:color w:val="1F1F1F"/>
                <w:sz w:val="18"/>
              </w:rPr>
              <w:t>The project may use age ≥35 plus first pregnancy to trigger referral-oriented HIGH. It must not use that rule to prescribe aspirin, diagnose pre-eclampsia, order induction, or recommend cesarean delivery.</w:t>
            </w:r>
          </w:p>
        </w:tc>
      </w:tr>
    </w:tbl>
    <w:p/>
    <w:p>
      <w:pPr>
        <w:pStyle w:val="Heading1"/>
      </w:pPr>
      <w:r>
        <w:t>7. International Guideline Comparison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85" w:type="dxa"/>
              <w:start w:w="100" w:type="dxa"/>
              <w:bottom w:w="85" w:type="dxa"/>
              <w:end w:w="100" w:type="dxa"/>
            </w:tcMar>
          </w:tcPr>
          <w:p>
            <w:pPr>
              <w:jc w:val="center"/>
            </w:pPr>
            <w:r>
              <w:rPr>
                <w:rFonts w:ascii="Aptos" w:hAnsi="Aptos" w:eastAsia="Aptos"/>
                <w:b/>
                <w:color w:val="FFFFFF"/>
                <w:sz w:val="16"/>
              </w:rPr>
              <w:t>Authority</w:t>
            </w:r>
          </w:p>
        </w:tc>
        <w:tc>
          <w:tcPr>
            <w:tcW w:type="dxa" w:w="3331"/>
            <w:shd w:fill="17365D"/>
            <w:tcMar>
              <w:top w:w="85" w:type="dxa"/>
              <w:start w:w="100" w:type="dxa"/>
              <w:bottom w:w="85" w:type="dxa"/>
              <w:end w:w="100" w:type="dxa"/>
            </w:tcMar>
          </w:tcPr>
          <w:p>
            <w:pPr>
              <w:jc w:val="center"/>
            </w:pPr>
            <w:r>
              <w:rPr>
                <w:rFonts w:ascii="Aptos" w:hAnsi="Aptos" w:eastAsia="Aptos"/>
                <w:b/>
                <w:color w:val="FFFFFF"/>
                <w:sz w:val="16"/>
              </w:rPr>
              <w:t>Relevant Position</w:t>
            </w:r>
          </w:p>
        </w:tc>
        <w:tc>
          <w:tcPr>
            <w:tcW w:type="dxa" w:w="3331"/>
            <w:shd w:fill="17365D"/>
            <w:tcMar>
              <w:top w:w="85" w:type="dxa"/>
              <w:start w:w="100" w:type="dxa"/>
              <w:bottom w:w="85" w:type="dxa"/>
              <w:end w:w="100" w:type="dxa"/>
            </w:tcMar>
          </w:tcPr>
          <w:p>
            <w:pPr>
              <w:jc w:val="center"/>
            </w:pPr>
            <w:r>
              <w:rPr>
                <w:rFonts w:ascii="Aptos" w:hAnsi="Aptos" w:eastAsia="Aptos"/>
                <w:b/>
                <w:color w:val="FFFFFF"/>
                <w:sz w:val="16"/>
              </w:rPr>
              <w:t>Relationship to Project</w:t>
            </w:r>
          </w:p>
        </w:tc>
      </w:tr>
      <w:tr>
        <w:tc>
          <w:tcPr>
            <w:tcW w:type="dxa" w:w="3331"/>
            <w:tcMar>
              <w:top w:w="85" w:type="dxa"/>
              <w:start w:w="100" w:type="dxa"/>
              <w:bottom w:w="85" w:type="dxa"/>
              <w:end w:w="100" w:type="dxa"/>
            </w:tcMar>
            <w:vAlign w:val="top"/>
          </w:tcPr>
          <w:p>
            <w:r>
              <w:rPr>
                <w:rFonts w:ascii="Aptos" w:hAnsi="Aptos" w:eastAsia="Aptos"/>
                <w:b w:val="0"/>
                <w:color w:val="1F1F1F"/>
                <w:sz w:val="16"/>
              </w:rPr>
              <w:t>WHO</w:t>
            </w:r>
          </w:p>
        </w:tc>
        <w:tc>
          <w:tcPr>
            <w:tcW w:type="dxa" w:w="3331"/>
            <w:tcMar>
              <w:top w:w="85" w:type="dxa"/>
              <w:start w:w="100" w:type="dxa"/>
              <w:bottom w:w="85" w:type="dxa"/>
              <w:end w:w="100" w:type="dxa"/>
            </w:tcMar>
            <w:vAlign w:val="top"/>
          </w:tcPr>
          <w:p>
            <w:r>
              <w:rPr>
                <w:rFonts w:ascii="Aptos" w:hAnsi="Aptos" w:eastAsia="Aptos"/>
                <w:b w:val="0"/>
                <w:color w:val="1F1F1F"/>
                <w:sz w:val="16"/>
              </w:rPr>
              <w:t>Adolescent mothers aged 10–19 have higher maternal and neonatal risks; quality maternal care and prevention of morbidity are priorities.</w:t>
            </w:r>
          </w:p>
        </w:tc>
        <w:tc>
          <w:tcPr>
            <w:tcW w:type="dxa" w:w="3331"/>
            <w:tcMar>
              <w:top w:w="85" w:type="dxa"/>
              <w:start w:w="100" w:type="dxa"/>
              <w:bottom w:w="85" w:type="dxa"/>
              <w:end w:w="100" w:type="dxa"/>
            </w:tcMar>
            <w:vAlign w:val="top"/>
          </w:tcPr>
          <w:p>
            <w:r>
              <w:rPr>
                <w:rFonts w:ascii="Aptos" w:hAnsi="Aptos" w:eastAsia="Aptos"/>
                <w:b w:val="0"/>
                <w:color w:val="1F1F1F"/>
                <w:sz w:val="16"/>
              </w:rPr>
              <w:t>Supports enhanced care for younger patients, but does not define the software's exact &lt;19 cutoff.</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ACOG/SMFM</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Age 35 years or older is a risk factor requiring nuanced counseling; risk rises progressively; age alone is not an indication for cesarean.</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Supports age-aware assessment. The project's first-pregnancy condition is narrower than ACOG's general threshold.</w:t>
            </w:r>
          </w:p>
        </w:tc>
      </w:tr>
      <w:tr>
        <w:tc>
          <w:tcPr>
            <w:tcW w:type="dxa" w:w="3331"/>
            <w:tcMar>
              <w:top w:w="85" w:type="dxa"/>
              <w:start w:w="100" w:type="dxa"/>
              <w:bottom w:w="85" w:type="dxa"/>
              <w:end w:w="100" w:type="dxa"/>
            </w:tcMar>
            <w:vAlign w:val="top"/>
          </w:tcPr>
          <w:p>
            <w:r>
              <w:rPr>
                <w:rFonts w:ascii="Aptos" w:hAnsi="Aptos" w:eastAsia="Aptos"/>
                <w:b w:val="0"/>
                <w:color w:val="1F1F1F"/>
                <w:sz w:val="16"/>
              </w:rPr>
              <w:t>NICE NG201/CG110</w:t>
            </w:r>
          </w:p>
        </w:tc>
        <w:tc>
          <w:tcPr>
            <w:tcW w:type="dxa" w:w="3331"/>
            <w:tcMar>
              <w:top w:w="85" w:type="dxa"/>
              <w:start w:w="100" w:type="dxa"/>
              <w:bottom w:w="85" w:type="dxa"/>
              <w:end w:w="100" w:type="dxa"/>
            </w:tcMar>
            <w:vAlign w:val="top"/>
          </w:tcPr>
          <w:p>
            <w:r>
              <w:rPr>
                <w:rFonts w:ascii="Aptos" w:hAnsi="Aptos" w:eastAsia="Aptos"/>
                <w:b w:val="0"/>
                <w:color w:val="1F1F1F"/>
                <w:sz w:val="16"/>
              </w:rPr>
              <w:t>Young people under 20 may require accessible care, additional support, and attention to medical, social, and emotional needs.</w:t>
            </w:r>
          </w:p>
        </w:tc>
        <w:tc>
          <w:tcPr>
            <w:tcW w:type="dxa" w:w="3331"/>
            <w:tcMar>
              <w:top w:w="85" w:type="dxa"/>
              <w:start w:w="100" w:type="dxa"/>
              <w:bottom w:w="85" w:type="dxa"/>
              <w:end w:w="100" w:type="dxa"/>
            </w:tcMar>
            <w:vAlign w:val="top"/>
          </w:tcPr>
          <w:p>
            <w:r>
              <w:rPr>
                <w:rFonts w:ascii="Aptos" w:hAnsi="Aptos" w:eastAsia="Aptos"/>
                <w:b w:val="0"/>
                <w:color w:val="1F1F1F"/>
                <w:sz w:val="16"/>
              </w:rPr>
              <w:t>Supports adolescent-friendly access and tailored appointments.</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NICE NG133</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Nulliparity and age 40 or older are moderate pre-eclampsia risk factors.</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Supports considering interactions but not the project's exact age ≥35 + first-pregnancy rule.</w:t>
            </w:r>
          </w:p>
        </w:tc>
      </w:tr>
      <w:tr>
        <w:tc>
          <w:tcPr>
            <w:tcW w:type="dxa" w:w="3331"/>
            <w:tcMar>
              <w:top w:w="85" w:type="dxa"/>
              <w:start w:w="100" w:type="dxa"/>
              <w:bottom w:w="85" w:type="dxa"/>
              <w:end w:w="100" w:type="dxa"/>
            </w:tcMar>
            <w:vAlign w:val="top"/>
          </w:tcPr>
          <w:p>
            <w:r>
              <w:rPr>
                <w:rFonts w:ascii="Aptos" w:hAnsi="Aptos" w:eastAsia="Aptos"/>
                <w:b w:val="0"/>
                <w:color w:val="1F1F1F"/>
                <w:sz w:val="16"/>
              </w:rPr>
              <w:t>Philippine DOH/PSA</w:t>
            </w:r>
          </w:p>
        </w:tc>
        <w:tc>
          <w:tcPr>
            <w:tcW w:type="dxa" w:w="3331"/>
            <w:tcMar>
              <w:top w:w="85" w:type="dxa"/>
              <w:start w:w="100" w:type="dxa"/>
              <w:bottom w:w="85" w:type="dxa"/>
              <w:end w:w="100" w:type="dxa"/>
            </w:tcMar>
            <w:vAlign w:val="top"/>
          </w:tcPr>
          <w:p>
            <w:r>
              <w:rPr>
                <w:rFonts w:ascii="Aptos" w:hAnsi="Aptos" w:eastAsia="Aptos"/>
                <w:b w:val="0"/>
                <w:color w:val="1F1F1F"/>
                <w:sz w:val="16"/>
              </w:rPr>
              <w:t>Safe motherhood includes adolescent pregnancy; national statistics identify younger and older age groups as higher-risk populations.</w:t>
            </w:r>
          </w:p>
        </w:tc>
        <w:tc>
          <w:tcPr>
            <w:tcW w:type="dxa" w:w="3331"/>
            <w:tcMar>
              <w:top w:w="85" w:type="dxa"/>
              <w:start w:w="100" w:type="dxa"/>
              <w:bottom w:w="85" w:type="dxa"/>
              <w:end w:w="100" w:type="dxa"/>
            </w:tcMar>
            <w:vAlign w:val="top"/>
          </w:tcPr>
          <w:p>
            <w:r>
              <w:rPr>
                <w:rFonts w:ascii="Aptos" w:hAnsi="Aptos" w:eastAsia="Aptos"/>
                <w:b w:val="0"/>
                <w:color w:val="1F1F1F"/>
                <w:sz w:val="16"/>
              </w:rPr>
              <w:t>Supports local relevance and referral-oriented design.</w:t>
            </w:r>
          </w:p>
        </w:tc>
      </w:tr>
    </w:tbl>
    <w:p/>
    <w:p>
      <w:pPr>
        <w:pStyle w:val="Heading1"/>
      </w:pPr>
      <w:r>
        <w:t>8. Philippine Context</w:t>
      </w:r>
    </w:p>
    <w:p>
      <w:r>
        <w:t>The Philippine Statistics Authority reported 138,697 births to mothers younger than 20 years in 2024, representing 10.2% of registered births. It also reported that 9.9% of registered births were to mothers aged 15–19 years, with an adolescent birth rate of 25 births per 1,000 women in that age group.</w:t>
      </w:r>
      <w:r>
        <w:t xml:space="preserve"> </w:t>
      </w:r>
      <w:hyperlink r:id="rId16">
        <w:r>
          <w:rPr>
            <w:color w:val="0563C1"/>
            <w:u w:val="single"/>
            <w:rFonts w:ascii="Aptos" w:hAnsi="Aptos"/>
          </w:rPr>
          <w:t>[6]</w:t>
        </w:r>
      </w:hyperlink>
    </w:p>
    <w:p>
      <w:r>
        <w:t>PSA described mothers aged 17 years and younger and those aged 35 years and older as high-risk age groups because of greater potential for complications during pregnancy and childbirth.</w:t>
      </w:r>
      <w:r>
        <w:t xml:space="preserve"> </w:t>
      </w:r>
      <w:hyperlink r:id="rId16">
        <w:r>
          <w:rPr>
            <w:color w:val="0563C1"/>
            <w:u w:val="single"/>
            <w:rFonts w:ascii="Aptos" w:hAnsi="Aptos"/>
          </w:rPr>
          <w:t>[6]</w:t>
        </w:r>
      </w:hyperlink>
    </w:p>
    <w:p>
      <w:r>
        <w:t>The 2022 National Demographic and Health Survey reported that 5.4% of Filipino women aged 15–19 had ever been pregnant, down from 8.6% in 2017.</w:t>
      </w:r>
      <w:r>
        <w:t xml:space="preserve"> </w:t>
      </w:r>
      <w:hyperlink r:id="rId17">
        <w:r>
          <w:rPr>
            <w:color w:val="0563C1"/>
            <w:u w:val="single"/>
            <w:rFonts w:ascii="Aptos" w:hAnsi="Aptos"/>
          </w:rPr>
          <w:t>[7]</w:t>
        </w:r>
      </w:hyperlink>
    </w:p>
    <w:p>
      <w:r>
        <w:t>The Department of Health Safe Motherhood Program includes pregnant adolescents among its priority populations and aims to improve access to quality health services for safer pregnancy and delivery.</w:t>
      </w:r>
      <w:r>
        <w:t xml:space="preserve"> </w:t>
      </w:r>
      <w:hyperlink r:id="rId18">
        <w:r>
          <w:rPr>
            <w:color w:val="0563C1"/>
            <w:u w:val="single"/>
            <w:rFonts w:ascii="Aptos" w:hAnsi="Aptos"/>
          </w:rPr>
          <w:t>[8]</w:t>
        </w:r>
      </w:hyperlink>
    </w:p>
    <w:tbl>
      <w:tblPr>
        <w:tblW w:type="auto" w:w="0"/>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r>
              <w:rPr>
                <w:rFonts w:ascii="Aptos" w:hAnsi="Aptos" w:eastAsia="Aptos"/>
                <w:b/>
                <w:color w:val="17365D"/>
                <w:sz w:val="21"/>
              </w:rPr>
              <w:t>Local applicability</w:t>
            </w:r>
          </w:p>
          <w:p>
            <w:r>
              <w:rPr>
                <w:rFonts w:ascii="Aptos" w:hAnsi="Aptos" w:eastAsia="Aptos"/>
                <w:b w:val="0"/>
                <w:color w:val="1F1F1F"/>
                <w:sz w:val="18"/>
              </w:rPr>
              <w:t>The project is not importing a foreign guideline without context. Maternal-age risk and adolescent access needs are directly relevant to Philippine maternal-health services and to a lying-in clinic's referral responsibilities.</w:t>
            </w:r>
          </w:p>
        </w:tc>
      </w:tr>
    </w:tbl>
    <w:p/>
    <w:p>
      <w:pPr>
        <w:pStyle w:val="Heading1"/>
      </w:pPr>
      <w:r>
        <w:t>9. Clinical Justification of Each Rule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7365D"/>
            <w:tcMar>
              <w:top w:w="85" w:type="dxa"/>
              <w:start w:w="100" w:type="dxa"/>
              <w:bottom w:w="85" w:type="dxa"/>
              <w:end w:w="100" w:type="dxa"/>
            </w:tcMar>
          </w:tcPr>
          <w:p>
            <w:pPr>
              <w:jc w:val="center"/>
            </w:pPr>
            <w:r>
              <w:rPr>
                <w:rFonts w:ascii="Aptos" w:hAnsi="Aptos" w:eastAsia="Aptos"/>
                <w:b/>
                <w:color w:val="FFFFFF"/>
                <w:sz w:val="16"/>
              </w:rPr>
              <w:t>Rule</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Justification</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Evidence Strength</w:t>
            </w:r>
          </w:p>
        </w:tc>
        <w:tc>
          <w:tcPr>
            <w:tcW w:type="dxa" w:w="2498"/>
            <w:shd w:fill="17365D"/>
            <w:tcMar>
              <w:top w:w="85" w:type="dxa"/>
              <w:start w:w="100" w:type="dxa"/>
              <w:bottom w:w="85" w:type="dxa"/>
              <w:end w:w="100" w:type="dxa"/>
            </w:tcMar>
          </w:tcPr>
          <w:p>
            <w:pPr>
              <w:jc w:val="center"/>
            </w:pPr>
            <w:r>
              <w:rPr>
                <w:rFonts w:ascii="Aptos" w:hAnsi="Aptos" w:eastAsia="Aptos"/>
                <w:b/>
                <w:color w:val="FFFFFF"/>
                <w:sz w:val="16"/>
              </w:rPr>
              <w:t>Caution</w:t>
            </w:r>
          </w:p>
        </w:tc>
      </w:tr>
      <w:tr>
        <w:tc>
          <w:tcPr>
            <w:tcW w:type="dxa" w:w="2498"/>
            <w:tcMar>
              <w:top w:w="85" w:type="dxa"/>
              <w:start w:w="100" w:type="dxa"/>
              <w:bottom w:w="85" w:type="dxa"/>
              <w:end w:w="100" w:type="dxa"/>
            </w:tcMar>
            <w:vAlign w:val="top"/>
          </w:tcPr>
          <w:p>
            <w:r>
              <w:rPr>
                <w:rFonts w:ascii="Aptos" w:hAnsi="Aptos" w:eastAsia="Aptos"/>
                <w:b w:val="0"/>
                <w:color w:val="1F1F1F"/>
                <w:sz w:val="16"/>
              </w:rPr>
              <w:t>Age &lt;19 → HIGH</w:t>
            </w:r>
          </w:p>
        </w:tc>
        <w:tc>
          <w:tcPr>
            <w:tcW w:type="dxa" w:w="2498"/>
            <w:tcMar>
              <w:top w:w="85" w:type="dxa"/>
              <w:start w:w="100" w:type="dxa"/>
              <w:bottom w:w="85" w:type="dxa"/>
              <w:end w:w="100" w:type="dxa"/>
            </w:tcMar>
            <w:vAlign w:val="top"/>
          </w:tcPr>
          <w:p>
            <w:r>
              <w:rPr>
                <w:rFonts w:ascii="Aptos" w:hAnsi="Aptos" w:eastAsia="Aptos"/>
                <w:b w:val="0"/>
                <w:color w:val="1F1F1F"/>
                <w:sz w:val="16"/>
              </w:rPr>
              <w:t>Adolescent pregnancy is associated with increased maternal infection/eclampsia risks and neonatal prematurity/low-birth-weight risks, plus possible social-access vulnerabilities.</w:t>
            </w:r>
          </w:p>
        </w:tc>
        <w:tc>
          <w:tcPr>
            <w:tcW w:type="dxa" w:w="2498"/>
            <w:tcMar>
              <w:top w:w="85" w:type="dxa"/>
              <w:start w:w="100" w:type="dxa"/>
              <w:bottom w:w="85" w:type="dxa"/>
              <w:end w:w="100" w:type="dxa"/>
            </w:tcMar>
            <w:vAlign w:val="top"/>
          </w:tcPr>
          <w:p>
            <w:r>
              <w:rPr>
                <w:rFonts w:ascii="Aptos" w:hAnsi="Aptos" w:eastAsia="Aptos"/>
                <w:b w:val="0"/>
                <w:color w:val="1F1F1F"/>
                <w:sz w:val="16"/>
              </w:rPr>
              <w:t>Strong international public-health evidence; exact cutoff is project-specific.</w:t>
            </w:r>
          </w:p>
        </w:tc>
        <w:tc>
          <w:tcPr>
            <w:tcW w:type="dxa" w:w="2498"/>
            <w:tcMar>
              <w:top w:w="85" w:type="dxa"/>
              <w:start w:w="100" w:type="dxa"/>
              <w:bottom w:w="85" w:type="dxa"/>
              <w:end w:w="100" w:type="dxa"/>
            </w:tcMar>
            <w:vAlign w:val="top"/>
          </w:tcPr>
          <w:p>
            <w:r>
              <w:rPr>
                <w:rFonts w:ascii="Aptos" w:hAnsi="Aptos" w:eastAsia="Aptos"/>
                <w:b w:val="0"/>
                <w:color w:val="1F1F1F"/>
                <w:sz w:val="16"/>
              </w:rPr>
              <w:t>Do not stigmatize or assume complications.</w:t>
            </w:r>
          </w:p>
        </w:tc>
      </w:tr>
      <w:tr>
        <w:tc>
          <w:tcPr>
            <w:tcW w:type="dxa" w:w="2498"/>
            <w:tcMar>
              <w:top w:w="85" w:type="dxa"/>
              <w:start w:w="100" w:type="dxa"/>
              <w:bottom w:w="85" w:type="dxa"/>
              <w:end w:w="100" w:type="dxa"/>
            </w:tcMar>
            <w:vAlign w:val="top"/>
            <w:shd w:fill="F5F8FC"/>
          </w:tcPr>
          <w:p>
            <w:r>
              <w:rPr>
                <w:rFonts w:ascii="Aptos" w:hAnsi="Aptos" w:eastAsia="Aptos"/>
                <w:b w:val="0"/>
                <w:color w:val="1F1F1F"/>
                <w:sz w:val="16"/>
              </w:rPr>
              <w:t>Age ≥35 + first pregnancy → HIGH</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Advancing age is associated with progressively increasing pregnancy risk, and nulliparity adds a separate risk dimension.</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Evidence supports both dimensions, but not this exact combined threshold as a universal rule.</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State clearly that this is a conservative referral design decision.</w:t>
            </w:r>
          </w:p>
        </w:tc>
      </w:tr>
      <w:tr>
        <w:tc>
          <w:tcPr>
            <w:tcW w:type="dxa" w:w="2498"/>
            <w:tcMar>
              <w:top w:w="85" w:type="dxa"/>
              <w:start w:w="100" w:type="dxa"/>
              <w:bottom w:w="85" w:type="dxa"/>
              <w:end w:w="100" w:type="dxa"/>
            </w:tcMar>
            <w:vAlign w:val="top"/>
          </w:tcPr>
          <w:p>
            <w:r>
              <w:rPr>
                <w:rFonts w:ascii="Aptos" w:hAnsi="Aptos" w:eastAsia="Aptos"/>
                <w:b w:val="0"/>
                <w:color w:val="1F1F1F"/>
                <w:sz w:val="16"/>
              </w:rPr>
              <w:t>Age 19–34 → no age-based HIGH</w:t>
            </w:r>
          </w:p>
        </w:tc>
        <w:tc>
          <w:tcPr>
            <w:tcW w:type="dxa" w:w="2498"/>
            <w:tcMar>
              <w:top w:w="85" w:type="dxa"/>
              <w:start w:w="100" w:type="dxa"/>
              <w:bottom w:w="85" w:type="dxa"/>
              <w:end w:w="100" w:type="dxa"/>
            </w:tcMar>
            <w:vAlign w:val="top"/>
          </w:tcPr>
          <w:p>
            <w:r>
              <w:rPr>
                <w:rFonts w:ascii="Aptos" w:hAnsi="Aptos" w:eastAsia="Aptos"/>
                <w:b w:val="0"/>
                <w:color w:val="1F1F1F"/>
                <w:sz w:val="16"/>
              </w:rPr>
              <w:t>This is the neutral age pathway only; other clinical factors may still produce HIGH.</w:t>
            </w:r>
          </w:p>
        </w:tc>
        <w:tc>
          <w:tcPr>
            <w:tcW w:type="dxa" w:w="2498"/>
            <w:tcMar>
              <w:top w:w="85" w:type="dxa"/>
              <w:start w:w="100" w:type="dxa"/>
              <w:bottom w:w="85" w:type="dxa"/>
              <w:end w:w="100" w:type="dxa"/>
            </w:tcMar>
            <w:vAlign w:val="top"/>
          </w:tcPr>
          <w:p>
            <w:r>
              <w:rPr>
                <w:rFonts w:ascii="Aptos" w:hAnsi="Aptos" w:eastAsia="Aptos"/>
                <w:b w:val="0"/>
                <w:color w:val="1F1F1F"/>
                <w:sz w:val="16"/>
              </w:rPr>
              <w:t>Consistent with rule separation.</w:t>
            </w:r>
          </w:p>
        </w:tc>
        <w:tc>
          <w:tcPr>
            <w:tcW w:type="dxa" w:w="2498"/>
            <w:tcMar>
              <w:top w:w="85" w:type="dxa"/>
              <w:start w:w="100" w:type="dxa"/>
              <w:bottom w:w="85" w:type="dxa"/>
              <w:end w:w="100" w:type="dxa"/>
            </w:tcMar>
            <w:vAlign w:val="top"/>
          </w:tcPr>
          <w:p>
            <w:r>
              <w:rPr>
                <w:rFonts w:ascii="Aptos" w:hAnsi="Aptos" w:eastAsia="Aptos"/>
                <w:b w:val="0"/>
                <w:color w:val="1F1F1F"/>
                <w:sz w:val="16"/>
              </w:rPr>
              <w:t>Never describe this range as risk-free.</w:t>
            </w:r>
          </w:p>
        </w:tc>
      </w:tr>
      <w:tr>
        <w:tc>
          <w:tcPr>
            <w:tcW w:type="dxa" w:w="2498"/>
            <w:tcMar>
              <w:top w:w="85" w:type="dxa"/>
              <w:start w:w="100" w:type="dxa"/>
              <w:bottom w:w="85" w:type="dxa"/>
              <w:end w:w="100" w:type="dxa"/>
            </w:tcMar>
            <w:vAlign w:val="top"/>
            <w:shd w:fill="F5F8FC"/>
          </w:tcPr>
          <w:p>
            <w:r>
              <w:rPr>
                <w:rFonts w:ascii="Aptos" w:hAnsi="Aptos" w:eastAsia="Aptos"/>
                <w:b w:val="0"/>
                <w:color w:val="1F1F1F"/>
                <w:sz w:val="16"/>
              </w:rPr>
              <w:t>Age ≥35, not first pregnancy → no age-only HIGH</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This reflects current code, not the full scope of age-related evidence.</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Weakness in implementation coverage.</w:t>
            </w:r>
          </w:p>
        </w:tc>
        <w:tc>
          <w:tcPr>
            <w:tcW w:type="dxa" w:w="2498"/>
            <w:tcMar>
              <w:top w:w="85" w:type="dxa"/>
              <w:start w:w="100" w:type="dxa"/>
              <w:bottom w:w="85" w:type="dxa"/>
              <w:end w:w="100" w:type="dxa"/>
            </w:tcMar>
            <w:vAlign w:val="top"/>
            <w:shd w:fill="F5F8FC"/>
          </w:tcPr>
          <w:p>
            <w:r>
              <w:rPr>
                <w:rFonts w:ascii="Aptos" w:hAnsi="Aptos" w:eastAsia="Aptos"/>
                <w:b w:val="0"/>
                <w:color w:val="1F1F1F"/>
                <w:sz w:val="16"/>
              </w:rPr>
              <w:t>Document as limitation and consider future governance review.</w:t>
            </w:r>
          </w:p>
        </w:tc>
      </w:tr>
    </w:tbl>
    <w:p/>
    <w:p>
      <w:pPr>
        <w:pStyle w:val="Heading1"/>
      </w:pPr>
      <w:r>
        <w:t>10. Implementation Traceability</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shd w:fill="17365D"/>
            <w:tcMar>
              <w:top w:w="85" w:type="dxa"/>
              <w:start w:w="100" w:type="dxa"/>
              <w:bottom w:w="85" w:type="dxa"/>
              <w:end w:w="100" w:type="dxa"/>
            </w:tcMar>
          </w:tcPr>
          <w:p>
            <w:pPr>
              <w:jc w:val="center"/>
            </w:pPr>
            <w:r>
              <w:rPr>
                <w:rFonts w:ascii="Aptos" w:hAnsi="Aptos" w:eastAsia="Aptos"/>
                <w:b/>
                <w:color w:val="FFFFFF"/>
                <w:sz w:val="16"/>
              </w:rPr>
              <w:t>Evidence / Design Basis</w:t>
            </w:r>
          </w:p>
        </w:tc>
        <w:tc>
          <w:tcPr>
            <w:tcW w:type="dxa" w:w="1999"/>
            <w:shd w:fill="17365D"/>
            <w:tcMar>
              <w:top w:w="85" w:type="dxa"/>
              <w:start w:w="100" w:type="dxa"/>
              <w:bottom w:w="85" w:type="dxa"/>
              <w:end w:w="100" w:type="dxa"/>
            </w:tcMar>
          </w:tcPr>
          <w:p>
            <w:pPr>
              <w:jc w:val="center"/>
            </w:pPr>
            <w:r>
              <w:rPr>
                <w:rFonts w:ascii="Aptos" w:hAnsi="Aptos" w:eastAsia="Aptos"/>
                <w:b/>
                <w:color w:val="FFFFFF"/>
                <w:sz w:val="16"/>
              </w:rPr>
              <w:t>System Input</w:t>
            </w:r>
          </w:p>
        </w:tc>
        <w:tc>
          <w:tcPr>
            <w:tcW w:type="dxa" w:w="1999"/>
            <w:shd w:fill="17365D"/>
            <w:tcMar>
              <w:top w:w="85" w:type="dxa"/>
              <w:start w:w="100" w:type="dxa"/>
              <w:bottom w:w="85" w:type="dxa"/>
              <w:end w:w="100" w:type="dxa"/>
            </w:tcMar>
          </w:tcPr>
          <w:p>
            <w:pPr>
              <w:jc w:val="center"/>
            </w:pPr>
            <w:r>
              <w:rPr>
                <w:rFonts w:ascii="Aptos" w:hAnsi="Aptos" w:eastAsia="Aptos"/>
                <w:b/>
                <w:color w:val="FFFFFF"/>
                <w:sz w:val="16"/>
              </w:rPr>
              <w:t>Controller Logic</w:t>
            </w:r>
          </w:p>
        </w:tc>
        <w:tc>
          <w:tcPr>
            <w:tcW w:type="dxa" w:w="1999"/>
            <w:shd w:fill="17365D"/>
            <w:tcMar>
              <w:top w:w="85" w:type="dxa"/>
              <w:start w:w="100" w:type="dxa"/>
              <w:bottom w:w="85" w:type="dxa"/>
              <w:end w:w="100" w:type="dxa"/>
            </w:tcMar>
          </w:tcPr>
          <w:p>
            <w:pPr>
              <w:jc w:val="center"/>
            </w:pPr>
            <w:r>
              <w:rPr>
                <w:rFonts w:ascii="Aptos" w:hAnsi="Aptos" w:eastAsia="Aptos"/>
                <w:b/>
                <w:color w:val="FFFFFF"/>
                <w:sz w:val="16"/>
              </w:rPr>
              <w:t>Stored Result</w:t>
            </w:r>
          </w:p>
        </w:tc>
        <w:tc>
          <w:tcPr>
            <w:tcW w:type="dxa" w:w="1999"/>
            <w:shd w:fill="17365D"/>
            <w:tcMar>
              <w:top w:w="85" w:type="dxa"/>
              <w:start w:w="100" w:type="dxa"/>
              <w:bottom w:w="85" w:type="dxa"/>
              <w:end w:w="100" w:type="dxa"/>
            </w:tcMar>
          </w:tcPr>
          <w:p>
            <w:pPr>
              <w:jc w:val="center"/>
            </w:pPr>
            <w:r>
              <w:rPr>
                <w:rFonts w:ascii="Aptos" w:hAnsi="Aptos" w:eastAsia="Aptos"/>
                <w:b/>
                <w:color w:val="FFFFFF"/>
                <w:sz w:val="16"/>
              </w:rPr>
              <w:t>User-Facing Explanation</w:t>
            </w:r>
          </w:p>
        </w:tc>
      </w:tr>
      <w:tr>
        <w:tc>
          <w:tcPr>
            <w:tcW w:type="dxa" w:w="1999"/>
            <w:tcMar>
              <w:top w:w="85" w:type="dxa"/>
              <w:start w:w="100" w:type="dxa"/>
              <w:bottom w:w="85" w:type="dxa"/>
              <w:end w:w="100" w:type="dxa"/>
            </w:tcMar>
            <w:vAlign w:val="top"/>
          </w:tcPr>
          <w:p>
            <w:r>
              <w:rPr>
                <w:rFonts w:ascii="Aptos" w:hAnsi="Aptos" w:eastAsia="Aptos"/>
                <w:b w:val="0"/>
                <w:color w:val="1F1F1F"/>
                <w:sz w:val="16"/>
              </w:rPr>
              <w:t>WHO adolescent-pregnancy evidence + project cutoff</w:t>
            </w:r>
          </w:p>
        </w:tc>
        <w:tc>
          <w:tcPr>
            <w:tcW w:type="dxa" w:w="1999"/>
            <w:tcMar>
              <w:top w:w="85" w:type="dxa"/>
              <w:start w:w="100" w:type="dxa"/>
              <w:bottom w:w="85" w:type="dxa"/>
              <w:end w:w="100" w:type="dxa"/>
            </w:tcMar>
            <w:vAlign w:val="top"/>
          </w:tcPr>
          <w:p>
            <w:r>
              <w:rPr>
                <w:rFonts w:ascii="Aptos" w:hAnsi="Aptos" w:eastAsia="Aptos"/>
                <w:b w:val="0"/>
                <w:color w:val="1F1F1F"/>
                <w:sz w:val="16"/>
              </w:rPr>
              <w:t>Calculated maternal age</w:t>
            </w:r>
          </w:p>
        </w:tc>
        <w:tc>
          <w:tcPr>
            <w:tcW w:type="dxa" w:w="1999"/>
            <w:tcMar>
              <w:top w:w="85" w:type="dxa"/>
              <w:start w:w="100" w:type="dxa"/>
              <w:bottom w:w="85" w:type="dxa"/>
              <w:end w:w="100" w:type="dxa"/>
            </w:tcMar>
            <w:vAlign w:val="top"/>
          </w:tcPr>
          <w:p>
            <w:r>
              <w:rPr>
                <w:rFonts w:ascii="Aptos" w:hAnsi="Aptos" w:eastAsia="Aptos"/>
                <w:b w:val="0"/>
                <w:color w:val="1F1F1F"/>
                <w:sz w:val="16"/>
              </w:rPr>
              <w:t>if age &lt; 19</w:t>
            </w:r>
          </w:p>
        </w:tc>
        <w:tc>
          <w:tcPr>
            <w:tcW w:type="dxa" w:w="1999"/>
            <w:tcMar>
              <w:top w:w="85" w:type="dxa"/>
              <w:start w:w="100" w:type="dxa"/>
              <w:bottom w:w="85" w:type="dxa"/>
              <w:end w:w="100" w:type="dxa"/>
            </w:tcMar>
            <w:vAlign w:val="top"/>
          </w:tcPr>
          <w:p>
            <w:r>
              <w:rPr>
                <w:rFonts w:ascii="Aptos" w:hAnsi="Aptos" w:eastAsia="Aptos"/>
                <w:b w:val="0"/>
                <w:color w:val="1F1F1F"/>
                <w:sz w:val="16"/>
              </w:rPr>
              <w:t>HIGH</w:t>
            </w:r>
          </w:p>
        </w:tc>
        <w:tc>
          <w:tcPr>
            <w:tcW w:type="dxa" w:w="1999"/>
            <w:tcMar>
              <w:top w:w="85" w:type="dxa"/>
              <w:start w:w="100" w:type="dxa"/>
              <w:bottom w:w="85" w:type="dxa"/>
              <w:end w:w="100" w:type="dxa"/>
            </w:tcMar>
            <w:vAlign w:val="top"/>
          </w:tcPr>
          <w:p>
            <w:r>
              <w:rPr>
                <w:rFonts w:ascii="Aptos" w:hAnsi="Aptos" w:eastAsia="Aptos"/>
                <w:b w:val="0"/>
                <w:color w:val="1F1F1F"/>
                <w:sz w:val="16"/>
              </w:rPr>
              <w:t>Younger maternal age requires closer prenatal review and support.</w:t>
            </w:r>
          </w:p>
        </w:tc>
      </w:tr>
      <w:tr>
        <w:tc>
          <w:tcPr>
            <w:tcW w:type="dxa" w:w="1999"/>
            <w:tcMar>
              <w:top w:w="85" w:type="dxa"/>
              <w:start w:w="100" w:type="dxa"/>
              <w:bottom w:w="85" w:type="dxa"/>
              <w:end w:w="100" w:type="dxa"/>
            </w:tcMar>
            <w:vAlign w:val="top"/>
            <w:shd w:fill="F5F8FC"/>
          </w:tcPr>
          <w:p>
            <w:r>
              <w:rPr>
                <w:rFonts w:ascii="Aptos" w:hAnsi="Aptos" w:eastAsia="Aptos"/>
                <w:b w:val="0"/>
                <w:color w:val="1F1F1F"/>
                <w:sz w:val="16"/>
              </w:rPr>
              <w:t>ACOG age-risk evidence + project nulliparity design</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Calculated age; pregnancy number / first-pregnancy status</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if age &gt;= 35 AND first pregnancy</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HIGH</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First pregnancy at age 35 or older requires individualized assessment and facility planning.</w:t>
            </w:r>
          </w:p>
        </w:tc>
      </w:tr>
      <w:tr>
        <w:tc>
          <w:tcPr>
            <w:tcW w:type="dxa" w:w="1999"/>
            <w:tcMar>
              <w:top w:w="85" w:type="dxa"/>
              <w:start w:w="100" w:type="dxa"/>
              <w:bottom w:w="85" w:type="dxa"/>
              <w:end w:w="100" w:type="dxa"/>
            </w:tcMar>
            <w:vAlign w:val="top"/>
          </w:tcPr>
          <w:p>
            <w:r>
              <w:rPr>
                <w:rFonts w:ascii="Aptos" w:hAnsi="Aptos" w:eastAsia="Aptos"/>
                <w:b w:val="0"/>
                <w:color w:val="1F1F1F"/>
                <w:sz w:val="16"/>
              </w:rPr>
              <w:t>No age rule met</w:t>
            </w:r>
          </w:p>
        </w:tc>
        <w:tc>
          <w:tcPr>
            <w:tcW w:type="dxa" w:w="1999"/>
            <w:tcMar>
              <w:top w:w="85" w:type="dxa"/>
              <w:start w:w="100" w:type="dxa"/>
              <w:bottom w:w="85" w:type="dxa"/>
              <w:end w:w="100" w:type="dxa"/>
            </w:tcMar>
            <w:vAlign w:val="top"/>
          </w:tcPr>
          <w:p>
            <w:r>
              <w:rPr>
                <w:rFonts w:ascii="Aptos" w:hAnsi="Aptos" w:eastAsia="Aptos"/>
                <w:b w:val="0"/>
                <w:color w:val="1F1F1F"/>
                <w:sz w:val="16"/>
              </w:rPr>
              <w:t>Age and parity valid</w:t>
            </w:r>
          </w:p>
        </w:tc>
        <w:tc>
          <w:tcPr>
            <w:tcW w:type="dxa" w:w="1999"/>
            <w:tcMar>
              <w:top w:w="85" w:type="dxa"/>
              <w:start w:w="100" w:type="dxa"/>
              <w:bottom w:w="85" w:type="dxa"/>
              <w:end w:w="100" w:type="dxa"/>
            </w:tcMar>
            <w:vAlign w:val="top"/>
          </w:tcPr>
          <w:p>
            <w:r>
              <w:rPr>
                <w:rFonts w:ascii="Aptos" w:hAnsi="Aptos" w:eastAsia="Aptos"/>
                <w:b w:val="0"/>
                <w:color w:val="1F1F1F"/>
                <w:sz w:val="16"/>
              </w:rPr>
              <w:t>continue evaluating other deterministic rules and ML</w:t>
            </w:r>
          </w:p>
        </w:tc>
        <w:tc>
          <w:tcPr>
            <w:tcW w:type="dxa" w:w="1999"/>
            <w:tcMar>
              <w:top w:w="85" w:type="dxa"/>
              <w:start w:w="100" w:type="dxa"/>
              <w:bottom w:w="85" w:type="dxa"/>
              <w:end w:w="100" w:type="dxa"/>
            </w:tcMar>
            <w:vAlign w:val="top"/>
          </w:tcPr>
          <w:p>
            <w:r>
              <w:rPr>
                <w:rFonts w:ascii="Aptos" w:hAnsi="Aptos" w:eastAsia="Aptos"/>
                <w:b w:val="0"/>
                <w:color w:val="1F1F1F"/>
                <w:sz w:val="16"/>
              </w:rPr>
              <w:t>Depends on other findings</w:t>
            </w:r>
          </w:p>
        </w:tc>
        <w:tc>
          <w:tcPr>
            <w:tcW w:type="dxa" w:w="1999"/>
            <w:tcMar>
              <w:top w:w="85" w:type="dxa"/>
              <w:start w:w="100" w:type="dxa"/>
              <w:bottom w:w="85" w:type="dxa"/>
              <w:end w:w="100" w:type="dxa"/>
            </w:tcMar>
            <w:vAlign w:val="top"/>
          </w:tcPr>
          <w:p>
            <w:r>
              <w:rPr>
                <w:rFonts w:ascii="Aptos" w:hAnsi="Aptos" w:eastAsia="Aptos"/>
                <w:b w:val="0"/>
                <w:color w:val="1F1F1F"/>
                <w:sz w:val="16"/>
              </w:rPr>
              <w:t>Age did not independently trigger HIGH; other factors were still assessed.</w:t>
            </w:r>
          </w:p>
        </w:tc>
      </w:tr>
      <w:tr>
        <w:tc>
          <w:tcPr>
            <w:tcW w:type="dxa" w:w="1999"/>
            <w:tcMar>
              <w:top w:w="85" w:type="dxa"/>
              <w:start w:w="100" w:type="dxa"/>
              <w:bottom w:w="85" w:type="dxa"/>
              <w:end w:w="100" w:type="dxa"/>
            </w:tcMar>
            <w:vAlign w:val="top"/>
            <w:shd w:fill="F5F8FC"/>
          </w:tcPr>
          <w:p>
            <w:r>
              <w:rPr>
                <w:rFonts w:ascii="Aptos" w:hAnsi="Aptos" w:eastAsia="Aptos"/>
                <w:b w:val="0"/>
                <w:color w:val="1F1F1F"/>
                <w:sz w:val="16"/>
              </w:rPr>
              <w:t>Invalid or missing date of birth</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DOB absent, malformed, or future-dated</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do not calculate age</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ASSESSMENT INCOMPLETE or validation error</w:t>
            </w:r>
          </w:p>
        </w:tc>
        <w:tc>
          <w:tcPr>
            <w:tcW w:type="dxa" w:w="1999"/>
            <w:tcMar>
              <w:top w:w="85" w:type="dxa"/>
              <w:start w:w="100" w:type="dxa"/>
              <w:bottom w:w="85" w:type="dxa"/>
              <w:end w:w="100" w:type="dxa"/>
            </w:tcMar>
            <w:vAlign w:val="top"/>
            <w:shd w:fill="F5F8FC"/>
          </w:tcPr>
          <w:p>
            <w:r>
              <w:rPr>
                <w:rFonts w:ascii="Aptos" w:hAnsi="Aptos" w:eastAsia="Aptos"/>
                <w:b w:val="0"/>
                <w:color w:val="1F1F1F"/>
                <w:sz w:val="16"/>
              </w:rPr>
              <w:t>Maternal age could not be verified.</w:t>
            </w:r>
          </w:p>
        </w:tc>
      </w:tr>
    </w:tbl>
    <w:p/>
    <w:p>
      <w:pPr>
        <w:pStyle w:val="Heading1"/>
      </w:pPr>
      <w:r>
        <w:t>11. Explainability Logic</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85" w:type="dxa"/>
              <w:start w:w="100" w:type="dxa"/>
              <w:bottom w:w="85" w:type="dxa"/>
              <w:end w:w="100" w:type="dxa"/>
            </w:tcMar>
          </w:tcPr>
          <w:p>
            <w:pPr>
              <w:jc w:val="center"/>
            </w:pPr>
            <w:r>
              <w:rPr>
                <w:rFonts w:ascii="Aptos" w:hAnsi="Aptos" w:eastAsia="Aptos"/>
                <w:b/>
                <w:color w:val="FFFFFF"/>
                <w:sz w:val="16"/>
              </w:rPr>
              <w:t>System State</w:t>
            </w:r>
          </w:p>
        </w:tc>
        <w:tc>
          <w:tcPr>
            <w:tcW w:type="dxa" w:w="4997"/>
            <w:shd w:fill="17365D"/>
            <w:tcMar>
              <w:top w:w="85" w:type="dxa"/>
              <w:start w:w="100" w:type="dxa"/>
              <w:bottom w:w="85" w:type="dxa"/>
              <w:end w:w="100" w:type="dxa"/>
            </w:tcMar>
          </w:tcPr>
          <w:p>
            <w:pPr>
              <w:jc w:val="center"/>
            </w:pPr>
            <w:r>
              <w:rPr>
                <w:rFonts w:ascii="Aptos" w:hAnsi="Aptos" w:eastAsia="Aptos"/>
                <w:b/>
                <w:color w:val="FFFFFF"/>
                <w:sz w:val="16"/>
              </w:rPr>
              <w:t>Recommended Explanation</w:t>
            </w:r>
          </w:p>
        </w:tc>
      </w:tr>
      <w:tr>
        <w:tc>
          <w:tcPr>
            <w:tcW w:type="dxa" w:w="4997"/>
            <w:tcMar>
              <w:top w:w="85" w:type="dxa"/>
              <w:start w:w="100" w:type="dxa"/>
              <w:bottom w:w="85" w:type="dxa"/>
              <w:end w:w="100" w:type="dxa"/>
            </w:tcMar>
            <w:vAlign w:val="top"/>
          </w:tcPr>
          <w:p>
            <w:r>
              <w:rPr>
                <w:rFonts w:ascii="Aptos" w:hAnsi="Aptos" w:eastAsia="Aptos"/>
                <w:b w:val="0"/>
                <w:color w:val="1F1F1F"/>
                <w:sz w:val="16"/>
              </w:rPr>
              <w:t>HIGH because age &lt;19</w:t>
            </w:r>
          </w:p>
        </w:tc>
        <w:tc>
          <w:tcPr>
            <w:tcW w:type="dxa" w:w="4997"/>
            <w:tcMar>
              <w:top w:w="85" w:type="dxa"/>
              <w:start w:w="100" w:type="dxa"/>
              <w:bottom w:w="85" w:type="dxa"/>
              <w:end w:w="100" w:type="dxa"/>
            </w:tcMar>
            <w:vAlign w:val="top"/>
          </w:tcPr>
          <w:p>
            <w:r>
              <w:rPr>
                <w:rFonts w:ascii="Aptos" w:hAnsi="Aptos" w:eastAsia="Aptos"/>
                <w:b w:val="0"/>
                <w:color w:val="1F1F1F"/>
                <w:sz w:val="16"/>
              </w:rPr>
              <w:t>The patient's calculated age is [age]. Pregnancy at a younger maternal age can require additional medical, social, and emotional support. The system recommends closer review and appropriate referral; it does not predict that a complication will occur.</w:t>
            </w:r>
          </w:p>
        </w:tc>
      </w:tr>
      <w:tr>
        <w:tc>
          <w:tcPr>
            <w:tcW w:type="dxa" w:w="4997"/>
            <w:tcMar>
              <w:top w:w="85" w:type="dxa"/>
              <w:start w:w="100" w:type="dxa"/>
              <w:bottom w:w="85" w:type="dxa"/>
              <w:end w:w="100" w:type="dxa"/>
            </w:tcMar>
            <w:vAlign w:val="top"/>
            <w:shd w:fill="F5F8FC"/>
          </w:tcPr>
          <w:p>
            <w:r>
              <w:rPr>
                <w:rFonts w:ascii="Aptos" w:hAnsi="Aptos" w:eastAsia="Aptos"/>
                <w:b w:val="0"/>
                <w:color w:val="1F1F1F"/>
                <w:sz w:val="16"/>
              </w:rPr>
              <w:t>HIGH because age ≥35 and first pregnancy</w:t>
            </w:r>
          </w:p>
        </w:tc>
        <w:tc>
          <w:tcPr>
            <w:tcW w:type="dxa" w:w="4997"/>
            <w:tcMar>
              <w:top w:w="85" w:type="dxa"/>
              <w:start w:w="100" w:type="dxa"/>
              <w:bottom w:w="85" w:type="dxa"/>
              <w:end w:w="100" w:type="dxa"/>
            </w:tcMar>
            <w:vAlign w:val="top"/>
            <w:shd w:fill="F5F8FC"/>
          </w:tcPr>
          <w:p>
            <w:r>
              <w:rPr>
                <w:rFonts w:ascii="Aptos" w:hAnsi="Aptos" w:eastAsia="Aptos"/>
                <w:b w:val="0"/>
                <w:color w:val="1F1F1F"/>
                <w:sz w:val="16"/>
              </w:rPr>
              <w:t>The patient is [age] and this is recorded as the first pregnancy. Advancing maternal age and first pregnancy can affect risk assessment, so individualized obstetric review and facility planning are recommended. Age alone does not determine the delivery method.</w:t>
            </w:r>
          </w:p>
        </w:tc>
      </w:tr>
      <w:tr>
        <w:tc>
          <w:tcPr>
            <w:tcW w:type="dxa" w:w="4997"/>
            <w:tcMar>
              <w:top w:w="85" w:type="dxa"/>
              <w:start w:w="100" w:type="dxa"/>
              <w:bottom w:w="85" w:type="dxa"/>
              <w:end w:w="100" w:type="dxa"/>
            </w:tcMar>
            <w:vAlign w:val="top"/>
          </w:tcPr>
          <w:p>
            <w:r>
              <w:rPr>
                <w:rFonts w:ascii="Aptos" w:hAnsi="Aptos" w:eastAsia="Aptos"/>
                <w:b w:val="0"/>
                <w:color w:val="1F1F1F"/>
                <w:sz w:val="16"/>
              </w:rPr>
              <w:t>Age did not trigger HIGH</w:t>
            </w:r>
          </w:p>
        </w:tc>
        <w:tc>
          <w:tcPr>
            <w:tcW w:type="dxa" w:w="4997"/>
            <w:tcMar>
              <w:top w:w="85" w:type="dxa"/>
              <w:start w:w="100" w:type="dxa"/>
              <w:bottom w:w="85" w:type="dxa"/>
              <w:end w:w="100" w:type="dxa"/>
            </w:tcMar>
            <w:vAlign w:val="top"/>
          </w:tcPr>
          <w:p>
            <w:r>
              <w:rPr>
                <w:rFonts w:ascii="Aptos" w:hAnsi="Aptos" w:eastAsia="Aptos"/>
                <w:b w:val="0"/>
                <w:color w:val="1F1F1F"/>
                <w:sz w:val="16"/>
              </w:rPr>
              <w:t>The maternal-age rule was evaluated and did not independently trigger HIGH. This does not mean the pregnancy is risk-free; all other clinical findings remain part of the assessment.</w:t>
            </w:r>
          </w:p>
        </w:tc>
      </w:tr>
      <w:tr>
        <w:tc>
          <w:tcPr>
            <w:tcW w:type="dxa" w:w="4997"/>
            <w:tcMar>
              <w:top w:w="85" w:type="dxa"/>
              <w:start w:w="100" w:type="dxa"/>
              <w:bottom w:w="85" w:type="dxa"/>
              <w:end w:w="100" w:type="dxa"/>
            </w:tcMar>
            <w:vAlign w:val="top"/>
            <w:shd w:fill="F5F8FC"/>
          </w:tcPr>
          <w:p>
            <w:r>
              <w:rPr>
                <w:rFonts w:ascii="Aptos" w:hAnsi="Aptos" w:eastAsia="Aptos"/>
                <w:b w:val="0"/>
                <w:color w:val="1F1F1F"/>
                <w:sz w:val="16"/>
              </w:rPr>
              <w:t>Age unavailable</w:t>
            </w:r>
          </w:p>
        </w:tc>
        <w:tc>
          <w:tcPr>
            <w:tcW w:type="dxa" w:w="4997"/>
            <w:tcMar>
              <w:top w:w="85" w:type="dxa"/>
              <w:start w:w="100" w:type="dxa"/>
              <w:bottom w:w="85" w:type="dxa"/>
              <w:end w:w="100" w:type="dxa"/>
            </w:tcMar>
            <w:vAlign w:val="top"/>
            <w:shd w:fill="F5F8FC"/>
          </w:tcPr>
          <w:p>
            <w:r>
              <w:rPr>
                <w:rFonts w:ascii="Aptos" w:hAnsi="Aptos" w:eastAsia="Aptos"/>
                <w:b w:val="0"/>
                <w:color w:val="1F1F1F"/>
                <w:sz w:val="16"/>
              </w:rPr>
              <w:t>The system could not verify maternal age because the date of birth is missing or invalid. Complete or correct the record before relying on the assessment.</w:t>
            </w:r>
          </w:p>
        </w:tc>
      </w:tr>
    </w:tbl>
    <w:p/>
    <w:p>
      <w:pPr>
        <w:pStyle w:val="Heading1"/>
      </w:pPr>
      <w:r>
        <w:t>12. Recommendation Mapping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85" w:type="dxa"/>
              <w:start w:w="100" w:type="dxa"/>
              <w:bottom w:w="85" w:type="dxa"/>
              <w:end w:w="100" w:type="dxa"/>
            </w:tcMar>
          </w:tcPr>
          <w:p>
            <w:pPr>
              <w:jc w:val="center"/>
            </w:pPr>
            <w:r>
              <w:rPr>
                <w:rFonts w:ascii="Aptos" w:hAnsi="Aptos" w:eastAsia="Aptos"/>
                <w:b/>
                <w:color w:val="FFFFFF"/>
                <w:sz w:val="16"/>
              </w:rPr>
              <w:t>Scenario</w:t>
            </w:r>
          </w:p>
        </w:tc>
        <w:tc>
          <w:tcPr>
            <w:tcW w:type="dxa" w:w="3331"/>
            <w:shd w:fill="17365D"/>
            <w:tcMar>
              <w:top w:w="85" w:type="dxa"/>
              <w:start w:w="100" w:type="dxa"/>
              <w:bottom w:w="85" w:type="dxa"/>
              <w:end w:w="100" w:type="dxa"/>
            </w:tcMar>
          </w:tcPr>
          <w:p>
            <w:pPr>
              <w:jc w:val="center"/>
            </w:pPr>
            <w:r>
              <w:rPr>
                <w:rFonts w:ascii="Aptos" w:hAnsi="Aptos" w:eastAsia="Aptos"/>
                <w:b/>
                <w:color w:val="FFFFFF"/>
                <w:sz w:val="16"/>
              </w:rPr>
              <w:t>Safe Recommendation</w:t>
            </w:r>
          </w:p>
        </w:tc>
        <w:tc>
          <w:tcPr>
            <w:tcW w:type="dxa" w:w="3331"/>
            <w:shd w:fill="17365D"/>
            <w:tcMar>
              <w:top w:w="85" w:type="dxa"/>
              <w:start w:w="100" w:type="dxa"/>
              <w:bottom w:w="85" w:type="dxa"/>
              <w:end w:w="100" w:type="dxa"/>
            </w:tcMar>
          </w:tcPr>
          <w:p>
            <w:pPr>
              <w:jc w:val="center"/>
            </w:pPr>
            <w:r>
              <w:rPr>
                <w:rFonts w:ascii="Aptos" w:hAnsi="Aptos" w:eastAsia="Aptos"/>
                <w:b/>
                <w:color w:val="FFFFFF"/>
                <w:sz w:val="16"/>
              </w:rPr>
              <w:t>Unsafe Recommendation</w:t>
            </w:r>
          </w:p>
        </w:tc>
      </w:tr>
      <w:tr>
        <w:tc>
          <w:tcPr>
            <w:tcW w:type="dxa" w:w="3331"/>
            <w:tcMar>
              <w:top w:w="85" w:type="dxa"/>
              <w:start w:w="100" w:type="dxa"/>
              <w:bottom w:w="85" w:type="dxa"/>
              <w:end w:w="100" w:type="dxa"/>
            </w:tcMar>
            <w:vAlign w:val="top"/>
          </w:tcPr>
          <w:p>
            <w:r>
              <w:rPr>
                <w:rFonts w:ascii="Aptos" w:hAnsi="Aptos" w:eastAsia="Aptos"/>
                <w:b w:val="0"/>
                <w:color w:val="1F1F1F"/>
                <w:sz w:val="16"/>
              </w:rPr>
              <w:t>Age &lt;19, stable, no acute symptoms</w:t>
            </w:r>
          </w:p>
        </w:tc>
        <w:tc>
          <w:tcPr>
            <w:tcW w:type="dxa" w:w="3331"/>
            <w:tcMar>
              <w:top w:w="85" w:type="dxa"/>
              <w:start w:w="100" w:type="dxa"/>
              <w:bottom w:w="85" w:type="dxa"/>
              <w:end w:w="100" w:type="dxa"/>
            </w:tcMar>
            <w:vAlign w:val="top"/>
          </w:tcPr>
          <w:p>
            <w:r>
              <w:rPr>
                <w:rFonts w:ascii="Aptos" w:hAnsi="Aptos" w:eastAsia="Aptos"/>
                <w:b w:val="0"/>
                <w:color w:val="1F1F1F"/>
                <w:sz w:val="16"/>
              </w:rPr>
              <w:t>Provide confidential adolescent-friendly antenatal care, assess support and safeguarding needs, encourage continuity, and refer according to clinic policy.</w:t>
            </w:r>
          </w:p>
        </w:tc>
        <w:tc>
          <w:tcPr>
            <w:tcW w:type="dxa" w:w="3331"/>
            <w:tcMar>
              <w:top w:w="85" w:type="dxa"/>
              <w:start w:w="100" w:type="dxa"/>
              <w:bottom w:w="85" w:type="dxa"/>
              <w:end w:w="100" w:type="dxa"/>
            </w:tcMar>
            <w:vAlign w:val="top"/>
          </w:tcPr>
          <w:p>
            <w:r>
              <w:rPr>
                <w:rFonts w:ascii="Aptos" w:hAnsi="Aptos" w:eastAsia="Aptos"/>
                <w:b w:val="0"/>
                <w:color w:val="1F1F1F"/>
                <w:sz w:val="16"/>
              </w:rPr>
              <w:t>“Teen pregnancy is automatically dangerous.”</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Age &lt;19 with severe BP, bleeding, or other urgent finding</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Urgent clinical evaluation or transfer based on the acute finding; retain age as secondary context.</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Delaying urgent care for counseling or record completion.</w:t>
            </w:r>
          </w:p>
        </w:tc>
      </w:tr>
      <w:tr>
        <w:tc>
          <w:tcPr>
            <w:tcW w:type="dxa" w:w="3331"/>
            <w:tcMar>
              <w:top w:w="85" w:type="dxa"/>
              <w:start w:w="100" w:type="dxa"/>
              <w:bottom w:w="85" w:type="dxa"/>
              <w:end w:w="100" w:type="dxa"/>
            </w:tcMar>
            <w:vAlign w:val="top"/>
          </w:tcPr>
          <w:p>
            <w:r>
              <w:rPr>
                <w:rFonts w:ascii="Aptos" w:hAnsi="Aptos" w:eastAsia="Aptos"/>
                <w:b w:val="0"/>
                <w:color w:val="1F1F1F"/>
                <w:sz w:val="16"/>
              </w:rPr>
              <w:t>Age ≥35 and first pregnancy</w:t>
            </w:r>
          </w:p>
        </w:tc>
        <w:tc>
          <w:tcPr>
            <w:tcW w:type="dxa" w:w="3331"/>
            <w:tcMar>
              <w:top w:w="85" w:type="dxa"/>
              <w:start w:w="100" w:type="dxa"/>
              <w:bottom w:w="85" w:type="dxa"/>
              <w:end w:w="100" w:type="dxa"/>
            </w:tcMar>
            <w:vAlign w:val="top"/>
          </w:tcPr>
          <w:p>
            <w:r>
              <w:rPr>
                <w:rFonts w:ascii="Aptos" w:hAnsi="Aptos" w:eastAsia="Aptos"/>
                <w:b w:val="0"/>
                <w:color w:val="1F1F1F"/>
                <w:sz w:val="16"/>
              </w:rPr>
              <w:t>Arrange individualized obstetric review, screen for comorbidities, discuss appropriate testing and birth setting, and document preferences.</w:t>
            </w:r>
          </w:p>
        </w:tc>
        <w:tc>
          <w:tcPr>
            <w:tcW w:type="dxa" w:w="3331"/>
            <w:tcMar>
              <w:top w:w="85" w:type="dxa"/>
              <w:start w:w="100" w:type="dxa"/>
              <w:bottom w:w="85" w:type="dxa"/>
              <w:end w:w="100" w:type="dxa"/>
            </w:tcMar>
            <w:vAlign w:val="top"/>
          </w:tcPr>
          <w:p>
            <w:r>
              <w:rPr>
                <w:rFonts w:ascii="Aptos" w:hAnsi="Aptos" w:eastAsia="Aptos"/>
                <w:b w:val="0"/>
                <w:color w:val="1F1F1F"/>
                <w:sz w:val="16"/>
              </w:rPr>
              <w:t>Automatic cesarean, induction, aspirin, or genetic testing.</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Age ≥35 and not first pregnancy</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Continue complete risk assessment; current code does not activate the age rule, but clinicians may still consider age in care planning.</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Claiming age has no relevance because the software did not flag it.</w:t>
            </w:r>
          </w:p>
        </w:tc>
      </w:tr>
    </w:tbl>
    <w:p/>
    <w:p>
      <w:pPr>
        <w:pStyle w:val="Heading1"/>
      </w:pPr>
      <w:r>
        <w:t>13. Clinical Limitations</w:t>
      </w:r>
    </w:p>
    <w:p>
      <w:pPr>
        <w:pStyle w:val="ListBullet"/>
      </w:pPr>
      <w:r>
        <w:t>The system cannot diagnose eclampsia, pre-eclampsia, gestational diabetes, fetal anomaly, chromosomal condition, or growth restriction from age.</w:t>
      </w:r>
    </w:p>
    <w:p>
      <w:pPr>
        <w:pStyle w:val="ListBullet"/>
      </w:pPr>
      <w:r>
        <w:t>The system cannot determine aspirin eligibility or prescribe any medication.</w:t>
      </w:r>
    </w:p>
    <w:p>
      <w:pPr>
        <w:pStyle w:val="ListBullet"/>
      </w:pPr>
      <w:r>
        <w:t>The system cannot decide whether induction, vaginal birth, or cesarean delivery is appropriate.</w:t>
      </w:r>
    </w:p>
    <w:p>
      <w:pPr>
        <w:pStyle w:val="ListBullet"/>
      </w:pPr>
      <w:r>
        <w:t>The system cannot quantify an individual's probability of adverse outcome from age alone.</w:t>
      </w:r>
    </w:p>
    <w:p>
      <w:pPr>
        <w:pStyle w:val="ListBullet"/>
      </w:pPr>
      <w:r>
        <w:t>The age &lt;19 cutoff does not fully match WHO's 10–19 adolescent range.</w:t>
      </w:r>
    </w:p>
    <w:p>
      <w:pPr>
        <w:pStyle w:val="ListBullet"/>
      </w:pPr>
      <w:r>
        <w:t>The age ≥35 rule is restricted to first pregnancy and therefore does not capture all older-pregnancy risk recognized by ACOG.</w:t>
      </w:r>
    </w:p>
    <w:p>
      <w:pPr>
        <w:pStyle w:val="ListBullet"/>
      </w:pPr>
      <w:r>
        <w:t>Age must be calculated from a validated date of birth and the relevant assessment date.</w:t>
      </w:r>
    </w:p>
    <w:p>
      <w:pPr>
        <w:pStyle w:val="ListBullet"/>
      </w:pPr>
      <w:r>
        <w:t>Social risk, safeguarding, consent, and confidentiality require human assessment and cannot be reduced to an age flag.</w:t>
      </w:r>
    </w:p>
    <w:p>
      <w:pPr>
        <w:pStyle w:val="Heading1"/>
      </w:pPr>
      <w:r>
        <w:t>14. Validation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85" w:type="dxa"/>
              <w:start w:w="100" w:type="dxa"/>
              <w:bottom w:w="85" w:type="dxa"/>
              <w:end w:w="100" w:type="dxa"/>
            </w:tcMar>
          </w:tcPr>
          <w:p>
            <w:pPr>
              <w:jc w:val="center"/>
            </w:pPr>
            <w:r>
              <w:rPr>
                <w:rFonts w:ascii="Aptos" w:hAnsi="Aptos" w:eastAsia="Aptos"/>
                <w:b/>
                <w:color w:val="FFFFFF"/>
                <w:sz w:val="16"/>
              </w:rPr>
              <w:t>Test Case</w:t>
            </w:r>
          </w:p>
        </w:tc>
        <w:tc>
          <w:tcPr>
            <w:tcW w:type="dxa" w:w="3331"/>
            <w:shd w:fill="17365D"/>
            <w:tcMar>
              <w:top w:w="85" w:type="dxa"/>
              <w:start w:w="100" w:type="dxa"/>
              <w:bottom w:w="85" w:type="dxa"/>
              <w:end w:w="100" w:type="dxa"/>
            </w:tcMar>
          </w:tcPr>
          <w:p>
            <w:pPr>
              <w:jc w:val="center"/>
            </w:pPr>
            <w:r>
              <w:rPr>
                <w:rFonts w:ascii="Aptos" w:hAnsi="Aptos" w:eastAsia="Aptos"/>
                <w:b/>
                <w:color w:val="FFFFFF"/>
                <w:sz w:val="16"/>
              </w:rPr>
              <w:t>Expected Output</w:t>
            </w:r>
          </w:p>
        </w:tc>
        <w:tc>
          <w:tcPr>
            <w:tcW w:type="dxa" w:w="3331"/>
            <w:shd w:fill="17365D"/>
            <w:tcMar>
              <w:top w:w="85" w:type="dxa"/>
              <w:start w:w="100" w:type="dxa"/>
              <w:bottom w:w="85" w:type="dxa"/>
              <w:end w:w="100" w:type="dxa"/>
            </w:tcMar>
          </w:tcPr>
          <w:p>
            <w:pPr>
              <w:jc w:val="center"/>
            </w:pPr>
            <w:r>
              <w:rPr>
                <w:rFonts w:ascii="Aptos" w:hAnsi="Aptos" w:eastAsia="Aptos"/>
                <w:b/>
                <w:color w:val="FFFFFF"/>
                <w:sz w:val="16"/>
              </w:rPr>
              <w:t>Reason</w:t>
            </w:r>
          </w:p>
        </w:tc>
      </w:tr>
      <w:tr>
        <w:tc>
          <w:tcPr>
            <w:tcW w:type="dxa" w:w="3331"/>
            <w:tcMar>
              <w:top w:w="85" w:type="dxa"/>
              <w:start w:w="100" w:type="dxa"/>
              <w:bottom w:w="85" w:type="dxa"/>
              <w:end w:w="100" w:type="dxa"/>
            </w:tcMar>
            <w:vAlign w:val="top"/>
          </w:tcPr>
          <w:p>
            <w:r>
              <w:rPr>
                <w:rFonts w:ascii="Aptos" w:hAnsi="Aptos" w:eastAsia="Aptos"/>
                <w:b w:val="0"/>
                <w:color w:val="1F1F1F"/>
                <w:sz w:val="16"/>
              </w:rPr>
              <w:t>Age 17, first pregnancy, ML LOW</w:t>
            </w:r>
          </w:p>
        </w:tc>
        <w:tc>
          <w:tcPr>
            <w:tcW w:type="dxa" w:w="3331"/>
            <w:tcMar>
              <w:top w:w="85" w:type="dxa"/>
              <w:start w:w="100" w:type="dxa"/>
              <w:bottom w:w="85" w:type="dxa"/>
              <w:end w:w="100" w:type="dxa"/>
            </w:tcMar>
            <w:vAlign w:val="top"/>
          </w:tcPr>
          <w:p>
            <w:r>
              <w:rPr>
                <w:rFonts w:ascii="Aptos" w:hAnsi="Aptos" w:eastAsia="Aptos"/>
                <w:b w:val="0"/>
                <w:color w:val="1F1F1F"/>
                <w:sz w:val="16"/>
              </w:rPr>
              <w:t>HIGH</w:t>
            </w:r>
          </w:p>
        </w:tc>
        <w:tc>
          <w:tcPr>
            <w:tcW w:type="dxa" w:w="3331"/>
            <w:tcMar>
              <w:top w:w="85" w:type="dxa"/>
              <w:start w:w="100" w:type="dxa"/>
              <w:bottom w:w="85" w:type="dxa"/>
              <w:end w:w="100" w:type="dxa"/>
            </w:tcMar>
            <w:vAlign w:val="top"/>
          </w:tcPr>
          <w:p>
            <w:r>
              <w:rPr>
                <w:rFonts w:ascii="Aptos" w:hAnsi="Aptos" w:eastAsia="Aptos"/>
                <w:b w:val="0"/>
                <w:color w:val="1F1F1F"/>
                <w:sz w:val="16"/>
              </w:rPr>
              <w:t>AGE-01 overrides ML.</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Age 18, not first pregnancy, ML LOW</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HIGH</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AGE-01 is independent of parity.</w:t>
            </w:r>
          </w:p>
        </w:tc>
      </w:tr>
      <w:tr>
        <w:tc>
          <w:tcPr>
            <w:tcW w:type="dxa" w:w="3331"/>
            <w:tcMar>
              <w:top w:w="85" w:type="dxa"/>
              <w:start w:w="100" w:type="dxa"/>
              <w:bottom w:w="85" w:type="dxa"/>
              <w:end w:w="100" w:type="dxa"/>
            </w:tcMar>
            <w:vAlign w:val="top"/>
          </w:tcPr>
          <w:p>
            <w:r>
              <w:rPr>
                <w:rFonts w:ascii="Aptos" w:hAnsi="Aptos" w:eastAsia="Aptos"/>
                <w:b w:val="0"/>
                <w:color w:val="1F1F1F"/>
                <w:sz w:val="16"/>
              </w:rPr>
              <w:t>Age 19, first pregnancy, no other factor, ML LOW</w:t>
            </w:r>
          </w:p>
        </w:tc>
        <w:tc>
          <w:tcPr>
            <w:tcW w:type="dxa" w:w="3331"/>
            <w:tcMar>
              <w:top w:w="85" w:type="dxa"/>
              <w:start w:w="100" w:type="dxa"/>
              <w:bottom w:w="85" w:type="dxa"/>
              <w:end w:w="100" w:type="dxa"/>
            </w:tcMar>
            <w:vAlign w:val="top"/>
          </w:tcPr>
          <w:p>
            <w:r>
              <w:rPr>
                <w:rFonts w:ascii="Aptos" w:hAnsi="Aptos" w:eastAsia="Aptos"/>
                <w:b w:val="0"/>
                <w:color w:val="1F1F1F"/>
                <w:sz w:val="16"/>
              </w:rPr>
              <w:t>LOW if all records complete and ML valid</w:t>
            </w:r>
          </w:p>
        </w:tc>
        <w:tc>
          <w:tcPr>
            <w:tcW w:type="dxa" w:w="3331"/>
            <w:tcMar>
              <w:top w:w="85" w:type="dxa"/>
              <w:start w:w="100" w:type="dxa"/>
              <w:bottom w:w="85" w:type="dxa"/>
              <w:end w:w="100" w:type="dxa"/>
            </w:tcMar>
            <w:vAlign w:val="top"/>
          </w:tcPr>
          <w:p>
            <w:r>
              <w:rPr>
                <w:rFonts w:ascii="Aptos" w:hAnsi="Aptos" w:eastAsia="Aptos"/>
                <w:b w:val="0"/>
                <w:color w:val="1F1F1F"/>
                <w:sz w:val="16"/>
              </w:rPr>
              <w:t>Current &lt;19 rule does not include age 19.</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Age 34, first pregnancy, no other factor, ML LOW</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LOW if all records complete</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AGE-02 not met.</w:t>
            </w:r>
          </w:p>
        </w:tc>
      </w:tr>
      <w:tr>
        <w:tc>
          <w:tcPr>
            <w:tcW w:type="dxa" w:w="3331"/>
            <w:tcMar>
              <w:top w:w="85" w:type="dxa"/>
              <w:start w:w="100" w:type="dxa"/>
              <w:bottom w:w="85" w:type="dxa"/>
              <w:end w:w="100" w:type="dxa"/>
            </w:tcMar>
            <w:vAlign w:val="top"/>
          </w:tcPr>
          <w:p>
            <w:r>
              <w:rPr>
                <w:rFonts w:ascii="Aptos" w:hAnsi="Aptos" w:eastAsia="Aptos"/>
                <w:b w:val="0"/>
                <w:color w:val="1F1F1F"/>
                <w:sz w:val="16"/>
              </w:rPr>
              <w:t>Age 35, first pregnancy, ML LOW</w:t>
            </w:r>
          </w:p>
        </w:tc>
        <w:tc>
          <w:tcPr>
            <w:tcW w:type="dxa" w:w="3331"/>
            <w:tcMar>
              <w:top w:w="85" w:type="dxa"/>
              <w:start w:w="100" w:type="dxa"/>
              <w:bottom w:w="85" w:type="dxa"/>
              <w:end w:w="100" w:type="dxa"/>
            </w:tcMar>
            <w:vAlign w:val="top"/>
          </w:tcPr>
          <w:p>
            <w:r>
              <w:rPr>
                <w:rFonts w:ascii="Aptos" w:hAnsi="Aptos" w:eastAsia="Aptos"/>
                <w:b w:val="0"/>
                <w:color w:val="1F1F1F"/>
                <w:sz w:val="16"/>
              </w:rPr>
              <w:t>HIGH</w:t>
            </w:r>
          </w:p>
        </w:tc>
        <w:tc>
          <w:tcPr>
            <w:tcW w:type="dxa" w:w="3331"/>
            <w:tcMar>
              <w:top w:w="85" w:type="dxa"/>
              <w:start w:w="100" w:type="dxa"/>
              <w:bottom w:w="85" w:type="dxa"/>
              <w:end w:w="100" w:type="dxa"/>
            </w:tcMar>
            <w:vAlign w:val="top"/>
          </w:tcPr>
          <w:p>
            <w:r>
              <w:rPr>
                <w:rFonts w:ascii="Aptos" w:hAnsi="Aptos" w:eastAsia="Aptos"/>
                <w:b w:val="0"/>
                <w:color w:val="1F1F1F"/>
                <w:sz w:val="16"/>
              </w:rPr>
              <w:t>AGE-02 overrides ML.</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Age 35, second pregnancy, no other factor, ML LOW</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LOW under current implementation if all requirements are met</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Known limitation of current rule.</w:t>
            </w:r>
          </w:p>
        </w:tc>
      </w:tr>
      <w:tr>
        <w:tc>
          <w:tcPr>
            <w:tcW w:type="dxa" w:w="3331"/>
            <w:tcMar>
              <w:top w:w="85" w:type="dxa"/>
              <w:start w:w="100" w:type="dxa"/>
              <w:bottom w:w="85" w:type="dxa"/>
              <w:end w:w="100" w:type="dxa"/>
            </w:tcMar>
            <w:vAlign w:val="top"/>
          </w:tcPr>
          <w:p>
            <w:r>
              <w:rPr>
                <w:rFonts w:ascii="Aptos" w:hAnsi="Aptos" w:eastAsia="Aptos"/>
                <w:b w:val="0"/>
                <w:color w:val="1F1F1F"/>
                <w:sz w:val="16"/>
              </w:rPr>
              <w:t>Age 40, second pregnancy, ML LOW</w:t>
            </w:r>
          </w:p>
        </w:tc>
        <w:tc>
          <w:tcPr>
            <w:tcW w:type="dxa" w:w="3331"/>
            <w:tcMar>
              <w:top w:w="85" w:type="dxa"/>
              <w:start w:w="100" w:type="dxa"/>
              <w:bottom w:w="85" w:type="dxa"/>
              <w:end w:w="100" w:type="dxa"/>
            </w:tcMar>
            <w:vAlign w:val="top"/>
          </w:tcPr>
          <w:p>
            <w:r>
              <w:rPr>
                <w:rFonts w:ascii="Aptos" w:hAnsi="Aptos" w:eastAsia="Aptos"/>
                <w:b w:val="0"/>
                <w:color w:val="1F1F1F"/>
                <w:sz w:val="16"/>
              </w:rPr>
              <w:t>LOW under current implementation if no other factor</w:t>
            </w:r>
          </w:p>
        </w:tc>
        <w:tc>
          <w:tcPr>
            <w:tcW w:type="dxa" w:w="3331"/>
            <w:tcMar>
              <w:top w:w="85" w:type="dxa"/>
              <w:start w:w="100" w:type="dxa"/>
              <w:bottom w:w="85" w:type="dxa"/>
              <w:end w:w="100" w:type="dxa"/>
            </w:tcMar>
            <w:vAlign w:val="top"/>
          </w:tcPr>
          <w:p>
            <w:r>
              <w:rPr>
                <w:rFonts w:ascii="Aptos" w:hAnsi="Aptos" w:eastAsia="Aptos"/>
                <w:b w:val="0"/>
                <w:color w:val="1F1F1F"/>
                <w:sz w:val="16"/>
              </w:rPr>
              <w:t>Clinically important limitation to document.</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DOB missing</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ASSESSMENT INCOMPLETE or validation error</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Age cannot be calculated safely.</w:t>
            </w:r>
          </w:p>
        </w:tc>
      </w:tr>
      <w:tr>
        <w:tc>
          <w:tcPr>
            <w:tcW w:type="dxa" w:w="3331"/>
            <w:tcMar>
              <w:top w:w="85" w:type="dxa"/>
              <w:start w:w="100" w:type="dxa"/>
              <w:bottom w:w="85" w:type="dxa"/>
              <w:end w:w="100" w:type="dxa"/>
            </w:tcMar>
            <w:vAlign w:val="top"/>
          </w:tcPr>
          <w:p>
            <w:r>
              <w:rPr>
                <w:rFonts w:ascii="Aptos" w:hAnsi="Aptos" w:eastAsia="Aptos"/>
                <w:b w:val="0"/>
                <w:color w:val="1F1F1F"/>
                <w:sz w:val="16"/>
              </w:rPr>
              <w:t>DOB in future</w:t>
            </w:r>
          </w:p>
        </w:tc>
        <w:tc>
          <w:tcPr>
            <w:tcW w:type="dxa" w:w="3331"/>
            <w:tcMar>
              <w:top w:w="85" w:type="dxa"/>
              <w:start w:w="100" w:type="dxa"/>
              <w:bottom w:w="85" w:type="dxa"/>
              <w:end w:w="100" w:type="dxa"/>
            </w:tcMar>
            <w:vAlign w:val="top"/>
          </w:tcPr>
          <w:p>
            <w:r>
              <w:rPr>
                <w:rFonts w:ascii="Aptos" w:hAnsi="Aptos" w:eastAsia="Aptos"/>
                <w:b w:val="0"/>
                <w:color w:val="1F1F1F"/>
                <w:sz w:val="16"/>
              </w:rPr>
              <w:t>Validation error</w:t>
            </w:r>
          </w:p>
        </w:tc>
        <w:tc>
          <w:tcPr>
            <w:tcW w:type="dxa" w:w="3331"/>
            <w:tcMar>
              <w:top w:w="85" w:type="dxa"/>
              <w:start w:w="100" w:type="dxa"/>
              <w:bottom w:w="85" w:type="dxa"/>
              <w:end w:w="100" w:type="dxa"/>
            </w:tcMar>
            <w:vAlign w:val="top"/>
          </w:tcPr>
          <w:p>
            <w:r>
              <w:rPr>
                <w:rFonts w:ascii="Aptos" w:hAnsi="Aptos" w:eastAsia="Aptos"/>
                <w:b w:val="0"/>
                <w:color w:val="1F1F1F"/>
                <w:sz w:val="16"/>
              </w:rPr>
              <w:t>Invalid age source.</w:t>
            </w:r>
          </w:p>
        </w:tc>
      </w:tr>
      <w:tr>
        <w:tc>
          <w:tcPr>
            <w:tcW w:type="dxa" w:w="3331"/>
            <w:tcMar>
              <w:top w:w="85" w:type="dxa"/>
              <w:start w:w="100" w:type="dxa"/>
              <w:bottom w:w="85" w:type="dxa"/>
              <w:end w:w="100" w:type="dxa"/>
            </w:tcMar>
            <w:vAlign w:val="top"/>
            <w:shd w:fill="F5F8FC"/>
          </w:tcPr>
          <w:p>
            <w:r>
              <w:rPr>
                <w:rFonts w:ascii="Aptos" w:hAnsi="Aptos" w:eastAsia="Aptos"/>
                <w:b w:val="0"/>
                <w:color w:val="1F1F1F"/>
                <w:sz w:val="16"/>
              </w:rPr>
              <w:t>Age 17 + severe BP</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HIGH with severe BP urgency displayed first</w:t>
            </w:r>
          </w:p>
        </w:tc>
        <w:tc>
          <w:tcPr>
            <w:tcW w:type="dxa" w:w="3331"/>
            <w:tcMar>
              <w:top w:w="85" w:type="dxa"/>
              <w:start w:w="100" w:type="dxa"/>
              <w:bottom w:w="85" w:type="dxa"/>
              <w:end w:w="100" w:type="dxa"/>
            </w:tcMar>
            <w:vAlign w:val="top"/>
            <w:shd w:fill="F5F8FC"/>
          </w:tcPr>
          <w:p>
            <w:r>
              <w:rPr>
                <w:rFonts w:ascii="Aptos" w:hAnsi="Aptos" w:eastAsia="Aptos"/>
                <w:b w:val="0"/>
                <w:color w:val="1F1F1F"/>
                <w:sz w:val="16"/>
              </w:rPr>
              <w:t>Acute clinical priority supersedes age explanation.</w:t>
            </w:r>
          </w:p>
        </w:tc>
      </w:tr>
    </w:tbl>
    <w:p/>
    <w:p>
      <w:pPr>
        <w:pStyle w:val="Heading1"/>
      </w:pPr>
      <w:r>
        <w:t>15. Panel Defense Questions and Answers</w:t>
      </w:r>
    </w:p>
    <w:p>
      <w:r>
        <w:rPr>
          <w:rFonts w:ascii="Aptos" w:hAnsi="Aptos" w:eastAsia="Aptos"/>
          <w:b/>
          <w:color w:val="17365D"/>
          <w:sz w:val="20"/>
        </w:rPr>
        <w:t>Q: Why does the system classify age below 19 as HIGH?</w:t>
      </w:r>
    </w:p>
    <w:p>
      <w:r>
        <w:rPr>
          <w:rFonts w:ascii="Aptos" w:hAnsi="Aptos" w:eastAsia="Aptos"/>
          <w:b w:val="0"/>
          <w:color w:val="1F1F1F"/>
          <w:sz w:val="19"/>
        </w:rPr>
        <w:t>A: WHO identifies increased maternal and neonatal risks in adolescent pregnancy. The project uses a conservative referral flag so younger patients receive closer review and appropriate support. The exact &lt;19 cutoff is a project configuration, not a verbatim WHO threshold.</w:t>
      </w:r>
    </w:p>
    <w:p>
      <w:r>
        <w:rPr>
          <w:rFonts w:ascii="Aptos" w:hAnsi="Aptos" w:eastAsia="Aptos"/>
          <w:b/>
          <w:color w:val="17365D"/>
          <w:sz w:val="20"/>
        </w:rPr>
        <w:t>Q: Why not use age below 20, since WHO includes age 19?</w:t>
      </w:r>
    </w:p>
    <w:p>
      <w:r>
        <w:rPr>
          <w:rFonts w:ascii="Aptos" w:hAnsi="Aptos" w:eastAsia="Aptos"/>
          <w:b w:val="0"/>
          <w:color w:val="1F1F1F"/>
          <w:sz w:val="19"/>
        </w:rPr>
        <w:t>A: The current code uses &lt;19. We disclose that difference as a limitation rather than falsely attributing it to WHO. A future clinically governed revision may align the threshold with the adopted local protocol.</w:t>
      </w:r>
    </w:p>
    <w:p>
      <w:r>
        <w:rPr>
          <w:rFonts w:ascii="Aptos" w:hAnsi="Aptos" w:eastAsia="Aptos"/>
          <w:b/>
          <w:color w:val="17365D"/>
          <w:sz w:val="20"/>
        </w:rPr>
        <w:t>Q: Why does age 35 trigger HIGH only for a first pregnancy?</w:t>
      </w:r>
    </w:p>
    <w:p>
      <w:r>
        <w:rPr>
          <w:rFonts w:ascii="Aptos" w:hAnsi="Aptos" w:eastAsia="Aptos"/>
          <w:b w:val="0"/>
          <w:color w:val="1F1F1F"/>
          <w:sz w:val="19"/>
        </w:rPr>
        <w:t>A: The project combines age-related risk with nulliparity as a conservative design rule. Evidence supports both as relevant factors, but no guideline was found that mandates this exact combined threshold. Therefore, it is labeled as a project design decision.</w:t>
      </w:r>
    </w:p>
    <w:p>
      <w:r>
        <w:rPr>
          <w:rFonts w:ascii="Aptos" w:hAnsi="Aptos" w:eastAsia="Aptos"/>
          <w:b/>
          <w:color w:val="17365D"/>
          <w:sz w:val="20"/>
        </w:rPr>
        <w:t>Q: Does HIGH mean the patient needs a cesarean?</w:t>
      </w:r>
    </w:p>
    <w:p>
      <w:r>
        <w:rPr>
          <w:rFonts w:ascii="Aptos" w:hAnsi="Aptos" w:eastAsia="Aptos"/>
          <w:b w:val="0"/>
          <w:color w:val="1F1F1F"/>
          <w:sz w:val="19"/>
        </w:rPr>
        <w:t>A: No. ACOG explicitly states that age alone is not an indication for cesarean delivery. HIGH means the patient needs individualized assessment and planning.</w:t>
      </w:r>
    </w:p>
    <w:p>
      <w:r>
        <w:rPr>
          <w:rFonts w:ascii="Aptos" w:hAnsi="Aptos" w:eastAsia="Aptos"/>
          <w:b/>
          <w:color w:val="17365D"/>
          <w:sz w:val="20"/>
        </w:rPr>
        <w:t>Q: Why doesn't the system prescribe aspirin for an older first-time mother?</w:t>
      </w:r>
    </w:p>
    <w:p>
      <w:r>
        <w:rPr>
          <w:rFonts w:ascii="Aptos" w:hAnsi="Aptos" w:eastAsia="Aptos"/>
          <w:b w:val="0"/>
          <w:color w:val="1F1F1F"/>
          <w:sz w:val="19"/>
        </w:rPr>
        <w:t>A: Medication decisions require clinical evaluation of the full risk profile, contraindications, timing, and local prescribing authority. The CDSS is designed for screening and referral, not prescribing.</w:t>
      </w:r>
    </w:p>
    <w:p>
      <w:r>
        <w:rPr>
          <w:rFonts w:ascii="Aptos" w:hAnsi="Aptos" w:eastAsia="Aptos"/>
          <w:b/>
          <w:color w:val="17365D"/>
          <w:sz w:val="20"/>
        </w:rPr>
        <w:t>Q: Is the rule safe for a lying-in clinic?</w:t>
      </w:r>
    </w:p>
    <w:p>
      <w:r>
        <w:rPr>
          <w:rFonts w:ascii="Aptos" w:hAnsi="Aptos" w:eastAsia="Aptos"/>
          <w:b w:val="0"/>
          <w:color w:val="1F1F1F"/>
          <w:sz w:val="19"/>
        </w:rPr>
        <w:t>A: It is safer than allowing a LOW output to hide a recognized age-related concern, provided that HIGH is communicated as a referral/planning signal and not a diagnosis.</w:t>
      </w:r>
    </w:p>
    <w:p>
      <w:r>
        <w:rPr>
          <w:rFonts w:ascii="Aptos" w:hAnsi="Aptos" w:eastAsia="Aptos"/>
          <w:b/>
          <w:color w:val="17365D"/>
          <w:sz w:val="20"/>
        </w:rPr>
        <w:t>Q: What is the biggest limitation of this rule?</w:t>
      </w:r>
    </w:p>
    <w:p>
      <w:r>
        <w:rPr>
          <w:rFonts w:ascii="Aptos" w:hAnsi="Aptos" w:eastAsia="Aptos"/>
          <w:b w:val="0"/>
          <w:color w:val="1F1F1F"/>
          <w:sz w:val="19"/>
        </w:rPr>
        <w:t>A: The older-age rule excludes multiparous patients aged 35 or older even though age-related risk can still exist. This should be reviewed in later clinical governance.</w:t>
      </w:r>
    </w:p>
    <w:p>
      <w:pPr>
        <w:pStyle w:val="Heading1"/>
      </w:pPr>
      <w:r>
        <w:t>16. Governance Recommendations Before Clinical Deployment</w:t>
      </w:r>
    </w:p>
    <w:p>
      <w:pPr>
        <w:pStyle w:val="ListBullet"/>
      </w:pPr>
      <w:r>
        <w:t>Have a licensed obstetric clinician review the exact &lt;19 and ≥35-plus-first-pregnancy thresholds.</w:t>
      </w:r>
    </w:p>
    <w:p>
      <w:pPr>
        <w:pStyle w:val="ListBullet"/>
      </w:pPr>
      <w:r>
        <w:t>Decide whether age 19 should be included in the adolescent rule.</w:t>
      </w:r>
    </w:p>
    <w:p>
      <w:pPr>
        <w:pStyle w:val="ListBullet"/>
      </w:pPr>
      <w:r>
        <w:t>Decide whether all pregnancies at age 35 or older should receive a referral flag, or whether age bands such as 35–39 and ≥40 should be handled differently.</w:t>
      </w:r>
    </w:p>
    <w:p>
      <w:pPr>
        <w:pStyle w:val="ListBullet"/>
      </w:pPr>
      <w:r>
        <w:t>Define how parity and gravidity are calculated and validated.</w:t>
      </w:r>
    </w:p>
    <w:p>
      <w:pPr>
        <w:pStyle w:val="ListBullet"/>
      </w:pPr>
      <w:r>
        <w:t>Approve standardized explanation and referral wording.</w:t>
      </w:r>
    </w:p>
    <w:p>
      <w:pPr>
        <w:pStyle w:val="ListBullet"/>
      </w:pPr>
      <w:r>
        <w:t>Test age calculation around birthdays, leap years, and the estimated delivery date.</w:t>
      </w:r>
    </w:p>
    <w:p>
      <w:pPr>
        <w:pStyle w:val="ListBullet"/>
      </w:pPr>
      <w:r>
        <w:t>Review the rule periodically when WHO, ACOG, NICE, DOH, or local protocols change.</w:t>
      </w:r>
    </w:p>
    <w:p>
      <w:pPr>
        <w:pStyle w:val="Heading1"/>
      </w:pPr>
      <w:r>
        <w:t>17. References and Clickable Official Links</w:t>
      </w:r>
    </w:p>
    <w:p>
      <w:r>
        <w:t>All numbered in-text citations are clickable. The titles and URLs below are also active hyperlinks.</w:t>
      </w:r>
    </w:p>
    <w:p>
      <w:pPr>
        <w:ind w:left="360" w:hanging="360"/>
      </w:pPr>
      <w:r>
        <w:rPr>
          <w:rFonts w:ascii="Aptos" w:hAnsi="Aptos" w:eastAsia="Aptos"/>
          <w:b/>
          <w:color w:val="17365D"/>
          <w:sz w:val="18"/>
        </w:rPr>
        <w:t xml:space="preserve">[1] </w:t>
      </w:r>
      <w:hyperlink r:id="rId11">
        <w:r>
          <w:rPr>
            <w:color w:val="0563C1"/>
            <w:u w:val="single"/>
            <w:rFonts w:ascii="Aptos" w:hAnsi="Aptos"/>
          </w:rPr>
          <w:t>World Health Organization. Adolescent pregnancy. 10 April 2024.</w:t>
        </w:r>
      </w:hyperlink>
    </w:p>
    <w:p>
      <w:pPr>
        <w:ind w:left="360"/>
      </w:pPr>
      <w:r>
        <w:rPr>
          <w:rFonts w:ascii="Aptos" w:hAnsi="Aptos" w:eastAsia="Aptos"/>
          <w:b/>
          <w:color w:val="1F1F1F"/>
          <w:sz w:val="17"/>
        </w:rPr>
        <w:t xml:space="preserve">Official URL: </w:t>
      </w:r>
      <w:hyperlink r:id="rId11">
        <w:r>
          <w:rPr>
            <w:color w:val="0563C1"/>
            <w:u w:val="single"/>
            <w:rFonts w:ascii="Aptos" w:hAnsi="Aptos"/>
          </w:rPr>
          <w:t>https://www.who.int/news-room/fact-sheets/detail/adolescent-pregnancy</w:t>
        </w:r>
      </w:hyperlink>
    </w:p>
    <w:p>
      <w:pPr>
        <w:ind w:left="360" w:hanging="360"/>
      </w:pPr>
      <w:r>
        <w:rPr>
          <w:rFonts w:ascii="Aptos" w:hAnsi="Aptos" w:eastAsia="Aptos"/>
          <w:b/>
          <w:color w:val="17365D"/>
          <w:sz w:val="18"/>
        </w:rPr>
        <w:t xml:space="preserve">[2] </w:t>
      </w:r>
      <w:hyperlink r:id="rId12">
        <w:r>
          <w:rPr>
            <w:color w:val="0563C1"/>
            <w:u w:val="single"/>
            <w:rFonts w:ascii="Aptos" w:hAnsi="Aptos"/>
          </w:rPr>
          <w:t>American College of Obstetricians and Gynecologists and Society for Maternal-Fetal Medicine. Pregnancy at Age 35 Years or Older. Obstetric Care Consensus No. 11. 2022; reaffirmed 2025.</w:t>
        </w:r>
      </w:hyperlink>
    </w:p>
    <w:p>
      <w:pPr>
        <w:ind w:left="360"/>
      </w:pPr>
      <w:r>
        <w:rPr>
          <w:rFonts w:ascii="Aptos" w:hAnsi="Aptos" w:eastAsia="Aptos"/>
          <w:b/>
          <w:color w:val="1F1F1F"/>
          <w:sz w:val="17"/>
        </w:rPr>
        <w:t xml:space="preserve">Official URL: </w:t>
      </w:r>
      <w:hyperlink r:id="rId12">
        <w:r>
          <w:rPr>
            <w:color w:val="0563C1"/>
            <w:u w:val="single"/>
            <w:rFonts w:ascii="Aptos" w:hAnsi="Aptos"/>
          </w:rPr>
          <w:t>https://www.acog.org/clinical/clinical-guidance/obstetric-care-consensus/articles/2022/08/pregnancy-at-age-35-years-or-older</w:t>
        </w:r>
      </w:hyperlink>
    </w:p>
    <w:p>
      <w:pPr>
        <w:ind w:left="360" w:hanging="360"/>
      </w:pPr>
      <w:r>
        <w:rPr>
          <w:rFonts w:ascii="Aptos" w:hAnsi="Aptos" w:eastAsia="Aptos"/>
          <w:b/>
          <w:color w:val="17365D"/>
          <w:sz w:val="18"/>
        </w:rPr>
        <w:t xml:space="preserve">[3] </w:t>
      </w:r>
      <w:hyperlink r:id="rId13">
        <w:r>
          <w:rPr>
            <w:color w:val="0563C1"/>
            <w:u w:val="single"/>
            <w:rFonts w:ascii="Aptos" w:hAnsi="Aptos"/>
          </w:rPr>
          <w:t>National Institute for Health and Care Excellence. Antenatal care (NG201). 2021; reviewed 2024 and updated thereafter.</w:t>
        </w:r>
      </w:hyperlink>
    </w:p>
    <w:p>
      <w:pPr>
        <w:ind w:left="360"/>
      </w:pPr>
      <w:r>
        <w:rPr>
          <w:rFonts w:ascii="Aptos" w:hAnsi="Aptos" w:eastAsia="Aptos"/>
          <w:b/>
          <w:color w:val="1F1F1F"/>
          <w:sz w:val="17"/>
        </w:rPr>
        <w:t xml:space="preserve">Official URL: </w:t>
      </w:r>
      <w:hyperlink r:id="rId13">
        <w:r>
          <w:rPr>
            <w:color w:val="0563C1"/>
            <w:u w:val="single"/>
            <w:rFonts w:ascii="Aptos" w:hAnsi="Aptos"/>
          </w:rPr>
          <w:t>https://www.nice.org.uk/guidance/ng201</w:t>
        </w:r>
      </w:hyperlink>
    </w:p>
    <w:p>
      <w:pPr>
        <w:ind w:left="360" w:hanging="360"/>
      </w:pPr>
      <w:r>
        <w:rPr>
          <w:rFonts w:ascii="Aptos" w:hAnsi="Aptos" w:eastAsia="Aptos"/>
          <w:b/>
          <w:color w:val="17365D"/>
          <w:sz w:val="18"/>
        </w:rPr>
        <w:t xml:space="preserve">[4] </w:t>
      </w:r>
      <w:hyperlink r:id="rId14">
        <w:r>
          <w:rPr>
            <w:color w:val="0563C1"/>
            <w:u w:val="single"/>
            <w:rFonts w:ascii="Aptos" w:hAnsi="Aptos"/>
          </w:rPr>
          <w:t>National Institute for Health and Care Excellence. Pregnancy and complex social factors (CG110). 2010.</w:t>
        </w:r>
      </w:hyperlink>
    </w:p>
    <w:p>
      <w:pPr>
        <w:ind w:left="360"/>
      </w:pPr>
      <w:r>
        <w:rPr>
          <w:rFonts w:ascii="Aptos" w:hAnsi="Aptos" w:eastAsia="Aptos"/>
          <w:b/>
          <w:color w:val="1F1F1F"/>
          <w:sz w:val="17"/>
        </w:rPr>
        <w:t xml:space="preserve">Official URL: </w:t>
      </w:r>
      <w:hyperlink r:id="rId14">
        <w:r>
          <w:rPr>
            <w:color w:val="0563C1"/>
            <w:u w:val="single"/>
            <w:rFonts w:ascii="Aptos" w:hAnsi="Aptos"/>
          </w:rPr>
          <w:t>https://www.nice.org.uk/guidance/cg110</w:t>
        </w:r>
      </w:hyperlink>
    </w:p>
    <w:p>
      <w:pPr>
        <w:ind w:left="360" w:hanging="360"/>
      </w:pPr>
      <w:r>
        <w:rPr>
          <w:rFonts w:ascii="Aptos" w:hAnsi="Aptos" w:eastAsia="Aptos"/>
          <w:b/>
          <w:color w:val="17365D"/>
          <w:sz w:val="18"/>
        </w:rPr>
        <w:t xml:space="preserve">[5] </w:t>
      </w:r>
      <w:hyperlink r:id="rId15">
        <w:r>
          <w:rPr>
            <w:color w:val="0563C1"/>
            <w:u w:val="single"/>
            <w:rFonts w:ascii="Aptos" w:hAnsi="Aptos"/>
          </w:rPr>
          <w:t>National Institute for Health and Care Excellence. Hypertension in pregnancy: diagnosis and management (NG133). 2019.</w:t>
        </w:r>
      </w:hyperlink>
    </w:p>
    <w:p>
      <w:pPr>
        <w:ind w:left="360"/>
      </w:pPr>
      <w:r>
        <w:rPr>
          <w:rFonts w:ascii="Aptos" w:hAnsi="Aptos" w:eastAsia="Aptos"/>
          <w:b/>
          <w:color w:val="1F1F1F"/>
          <w:sz w:val="17"/>
        </w:rPr>
        <w:t xml:space="preserve">Official URL: </w:t>
      </w:r>
      <w:hyperlink r:id="rId15">
        <w:r>
          <w:rPr>
            <w:color w:val="0563C1"/>
            <w:u w:val="single"/>
            <w:rFonts w:ascii="Aptos" w:hAnsi="Aptos"/>
          </w:rPr>
          <w:t>https://www.nice.org.uk/guidance/ng133</w:t>
        </w:r>
      </w:hyperlink>
    </w:p>
    <w:p>
      <w:pPr>
        <w:ind w:left="360" w:hanging="360"/>
      </w:pPr>
      <w:r>
        <w:rPr>
          <w:rFonts w:ascii="Aptos" w:hAnsi="Aptos" w:eastAsia="Aptos"/>
          <w:b/>
          <w:color w:val="17365D"/>
          <w:sz w:val="18"/>
        </w:rPr>
        <w:t xml:space="preserve">[6] </w:t>
      </w:r>
      <w:hyperlink r:id="rId16">
        <w:r>
          <w:rPr>
            <w:color w:val="0563C1"/>
            <w:u w:val="single"/>
            <w:rFonts w:ascii="Aptos" w:hAnsi="Aptos"/>
          </w:rPr>
          <w:t>Philippine Statistics Authority. Registered Live Births in the Philippines, 2024.</w:t>
        </w:r>
      </w:hyperlink>
    </w:p>
    <w:p>
      <w:pPr>
        <w:ind w:left="360"/>
      </w:pPr>
      <w:r>
        <w:rPr>
          <w:rFonts w:ascii="Aptos" w:hAnsi="Aptos" w:eastAsia="Aptos"/>
          <w:b/>
          <w:color w:val="1F1F1F"/>
          <w:sz w:val="17"/>
        </w:rPr>
        <w:t xml:space="preserve">Official URL: </w:t>
      </w:r>
      <w:hyperlink r:id="rId16">
        <w:r>
          <w:rPr>
            <w:color w:val="0563C1"/>
            <w:u w:val="single"/>
            <w:rFonts w:ascii="Aptos" w:hAnsi="Aptos"/>
          </w:rPr>
          <w:t>https://psa.gov.ph/content/registered-live-births-philippines-2024</w:t>
        </w:r>
      </w:hyperlink>
    </w:p>
    <w:p>
      <w:pPr>
        <w:ind w:left="360" w:hanging="360"/>
      </w:pPr>
      <w:r>
        <w:rPr>
          <w:rFonts w:ascii="Aptos" w:hAnsi="Aptos" w:eastAsia="Aptos"/>
          <w:b/>
          <w:color w:val="17365D"/>
          <w:sz w:val="18"/>
        </w:rPr>
        <w:t xml:space="preserve">[7] </w:t>
      </w:r>
      <w:hyperlink r:id="rId17">
        <w:r>
          <w:rPr>
            <w:color w:val="0563C1"/>
            <w:u w:val="single"/>
            <w:rFonts w:ascii="Aptos" w:hAnsi="Aptos"/>
          </w:rPr>
          <w:t>Philippine Statistics Authority. Teenage Pregnancy Declined from 8.6 Percent in 2017 to 5.4 Percent in 2022.</w:t>
        </w:r>
      </w:hyperlink>
    </w:p>
    <w:p>
      <w:pPr>
        <w:ind w:left="360"/>
      </w:pPr>
      <w:r>
        <w:rPr>
          <w:rFonts w:ascii="Aptos" w:hAnsi="Aptos" w:eastAsia="Aptos"/>
          <w:b/>
          <w:color w:val="1F1F1F"/>
          <w:sz w:val="17"/>
        </w:rPr>
        <w:t xml:space="preserve">Official URL: </w:t>
      </w:r>
      <w:hyperlink r:id="rId17">
        <w:r>
          <w:rPr>
            <w:color w:val="0563C1"/>
            <w:u w:val="single"/>
            <w:rFonts w:ascii="Aptos" w:hAnsi="Aptos"/>
          </w:rPr>
          <w:t>https://psa.gov.ph/content/teenage-pregnancy-declined-86-percent-2017-54-percent-2022</w:t>
        </w:r>
      </w:hyperlink>
    </w:p>
    <w:p>
      <w:pPr>
        <w:ind w:left="360" w:hanging="360"/>
      </w:pPr>
      <w:r>
        <w:rPr>
          <w:rFonts w:ascii="Aptos" w:hAnsi="Aptos" w:eastAsia="Aptos"/>
          <w:b/>
          <w:color w:val="17365D"/>
          <w:sz w:val="18"/>
        </w:rPr>
        <w:t xml:space="preserve">[8] </w:t>
      </w:r>
      <w:hyperlink r:id="rId18">
        <w:r>
          <w:rPr>
            <w:color w:val="0563C1"/>
            <w:u w:val="single"/>
            <w:rFonts w:ascii="Aptos" w:hAnsi="Aptos"/>
          </w:rPr>
          <w:t>Department of Health Philippines, Regional Office XI. Safe Motherhood Program.</w:t>
        </w:r>
      </w:hyperlink>
    </w:p>
    <w:p>
      <w:pPr>
        <w:ind w:left="360"/>
      </w:pPr>
      <w:r>
        <w:rPr>
          <w:rFonts w:ascii="Aptos" w:hAnsi="Aptos" w:eastAsia="Aptos"/>
          <w:b/>
          <w:color w:val="1F1F1F"/>
          <w:sz w:val="17"/>
        </w:rPr>
        <w:t xml:space="preserve">Official URL: </w:t>
      </w:r>
      <w:hyperlink r:id="rId18">
        <w:r>
          <w:rPr>
            <w:color w:val="0563C1"/>
            <w:u w:val="single"/>
            <w:rFonts w:ascii="Aptos" w:hAnsi="Aptos"/>
          </w:rPr>
          <w:t>https://ro11.doh.gov.ph/929-2/</w:t>
        </w:r>
      </w:hyperlink>
    </w:p>
    <w:p>
      <w:pPr>
        <w:ind w:left="360" w:hanging="360"/>
      </w:pPr>
      <w:r>
        <w:rPr>
          <w:rFonts w:ascii="Aptos" w:hAnsi="Aptos" w:eastAsia="Aptos"/>
          <w:b/>
          <w:color w:val="17365D"/>
          <w:sz w:val="18"/>
        </w:rPr>
        <w:t xml:space="preserve">[9] </w:t>
      </w:r>
      <w:hyperlink r:id="rId19">
        <w:r>
          <w:rPr>
            <w:color w:val="0563C1"/>
            <w:u w:val="single"/>
            <w:rFonts w:ascii="Aptos" w:hAnsi="Aptos"/>
          </w:rPr>
          <w:t>World Health Organization. WHO recommendations on antenatal care for a positive pregnancy experience. 2016.</w:t>
        </w:r>
      </w:hyperlink>
    </w:p>
    <w:p>
      <w:pPr>
        <w:ind w:left="360"/>
      </w:pPr>
      <w:r>
        <w:rPr>
          <w:rFonts w:ascii="Aptos" w:hAnsi="Aptos" w:eastAsia="Aptos"/>
          <w:b/>
          <w:color w:val="1F1F1F"/>
          <w:sz w:val="17"/>
        </w:rPr>
        <w:t xml:space="preserve">Official URL: </w:t>
      </w:r>
      <w:hyperlink r:id="rId19">
        <w:r>
          <w:rPr>
            <w:color w:val="0563C1"/>
            <w:u w:val="single"/>
            <w:rFonts w:ascii="Aptos" w:hAnsi="Aptos"/>
          </w:rPr>
          <w:t>https://www.who.int/publications/i/item/9789241549912</w:t>
        </w:r>
      </w:hyperlink>
    </w:p>
    <w:p>
      <w:pPr>
        <w:pStyle w:val="Heading1"/>
      </w:pPr>
      <w:r>
        <w:t>18. Final Rule Statement for the Master Specification</w:t>
      </w:r>
    </w:p>
    <w:tbl>
      <w:tblPr>
        <w:tblW w:type="auto" w:w="0"/>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r>
              <w:rPr>
                <w:rFonts w:ascii="Aptos" w:hAnsi="Aptos" w:eastAsia="Aptos"/>
                <w:b/>
                <w:color w:val="17365D"/>
                <w:sz w:val="21"/>
              </w:rPr>
              <w:t>Approved wording for Document 4</w:t>
            </w:r>
          </w:p>
          <w:p>
            <w:r>
              <w:rPr>
                <w:rFonts w:ascii="Aptos" w:hAnsi="Aptos" w:eastAsia="Aptos"/>
                <w:b w:val="0"/>
                <w:color w:val="1F1F1F"/>
                <w:sz w:val="18"/>
              </w:rPr>
              <w:t>Maternal age is used as an explainable referral-oriented screening factor. The system classifies patients younger than 19 years as HIGH. It also classifies patients aged 35 years or older as HIGH when the pregnancy is recorded as the first pregnancy. These thresholds are deterministic project rules informed by evidence on adolescent pregnancy, advancing maternal age, and nulliparity. They do not diagnose a complication, prescribe treatment, determine delivery method, or replace clinician judgment. The age thresholds and their limitations must be reviewed through clinical governance before real-world deployment.</w:t>
            </w:r>
          </w:p>
        </w:tc>
      </w:tr>
    </w:tbl>
    <w:p/>
    <w:sectPr w:rsidR="00FC693F" w:rsidRPr="0006063C" w:rsidSect="00034616">
      <w:headerReference w:type="default" r:id="rId9"/>
      <w:footerReference w:type="default" r:id="rId10"/>
      <w:pgSz w:w="12240" w:h="15840"/>
      <w:pgMar w:top="936"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F5597"/>
        <w:sz w:val="16"/>
      </w:rPr>
      <w:t>DOCUMENT 4 | REWRITTEN PART 1 | MATERNAL 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val="0"/>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val="0"/>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news-room/fact-sheets/detail/adolescent-pregnancy" TargetMode="External"/><Relationship Id="rId12" Type="http://schemas.openxmlformats.org/officeDocument/2006/relationships/hyperlink" Target="https://www.acog.org/clinical/clinical-guidance/obstetric-care-consensus/articles/2022/08/pregnancy-at-age-35-years-or-older" TargetMode="External"/><Relationship Id="rId13" Type="http://schemas.openxmlformats.org/officeDocument/2006/relationships/hyperlink" Target="https://www.nice.org.uk/guidance/ng201" TargetMode="External"/><Relationship Id="rId14" Type="http://schemas.openxmlformats.org/officeDocument/2006/relationships/hyperlink" Target="https://www.nice.org.uk/guidance/cg110" TargetMode="External"/><Relationship Id="rId15" Type="http://schemas.openxmlformats.org/officeDocument/2006/relationships/hyperlink" Target="https://www.nice.org.uk/guidance/ng133" TargetMode="External"/><Relationship Id="rId16" Type="http://schemas.openxmlformats.org/officeDocument/2006/relationships/hyperlink" Target="https://psa.gov.ph/content/registered-live-births-philippines-2024" TargetMode="External"/><Relationship Id="rId17" Type="http://schemas.openxmlformats.org/officeDocument/2006/relationships/hyperlink" Target="https://psa.gov.ph/content/teenage-pregnancy-declined-86-percent-2017-54-percent-2022" TargetMode="External"/><Relationship Id="rId18" Type="http://schemas.openxmlformats.org/officeDocument/2006/relationships/hyperlink" Target="https://ro11.doh.gov.ph/929-2/" TargetMode="External"/><Relationship Id="rId19" Type="http://schemas.openxmlformats.org/officeDocument/2006/relationships/hyperlink" Target="https://www.who.int/publications/i/item/9789241549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