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w:hAnsi="Aptos" w:eastAsia="Aptos"/>
          <w:b/>
          <w:color w:val="2F5597"/>
          <w:sz w:val="28"/>
        </w:rPr>
        <w:t>DOCUMENT 4</w:t>
      </w:r>
    </w:p>
    <w:p>
      <w:pPr>
        <w:jc w:val="center"/>
      </w:pPr>
      <w:r>
        <w:rPr>
          <w:rFonts w:ascii="Aptos" w:hAnsi="Aptos" w:eastAsia="Aptos"/>
          <w:b/>
          <w:color w:val="17365D"/>
          <w:sz w:val="48"/>
        </w:rPr>
        <w:t>CLINICAL EVIDENCE AND</w:t>
        <w:br/>
        <w:t>DECISION SUPPORT JUSTIFICATION</w:t>
      </w:r>
    </w:p>
    <w:p>
      <w:pPr>
        <w:spacing w:before="240"/>
        <w:jc w:val="center"/>
      </w:pPr>
      <w:r>
        <w:rPr>
          <w:rFonts w:ascii="Aptos" w:hAnsi="Aptos" w:eastAsia="Aptos"/>
          <w:b/>
          <w:color w:val="2F5597"/>
          <w:sz w:val="29"/>
        </w:rPr>
        <w:t>REWRITTEN PART 2 — HYPERTENSION AND BLOOD PRESSURE</w:t>
      </w:r>
    </w:p>
    <w:p>
      <w:pPr>
        <w:spacing w:before="400"/>
        <w:jc w:val="center"/>
      </w:pPr>
      <w:r>
        <w:rPr>
          <w:rFonts w:ascii="Aptos" w:hAnsi="Aptos" w:eastAsia="Aptos"/>
          <w:b w:val="0"/>
          <w:color w:val="1F1F1F"/>
          <w:sz w:val="23"/>
        </w:rPr>
        <w:t>Deterministic HIGH Threshold, Severe-Range Urgency, Measurement Safety, and Referral Logic</w:t>
      </w:r>
    </w:p>
    <w:p>
      <w:pPr>
        <w:spacing w:before="540"/>
        <w:jc w:val="center"/>
      </w:pPr>
      <w:r>
        <w:rPr>
          <w:rFonts w:ascii="Aptos" w:hAnsi="Aptos" w:eastAsia="Aptos"/>
          <w:b w:val="0"/>
          <w:color w:val="1F1F1F"/>
          <w:sz w:val="21"/>
        </w:rPr>
        <w:t>Development of an Explainable Clinical Decision Support System</w:t>
        <w:br/>
        <w:t>for a Web-Based Maternity Management System in a Philippine Lying-in Clinic</w:t>
      </w:r>
    </w:p>
    <w:p>
      <w:pPr>
        <w:spacing w:before="560"/>
        <w:jc w:val="center"/>
      </w:pPr>
      <w:r>
        <w:rPr>
          <w:rFonts w:ascii="Aptos" w:hAnsi="Aptos" w:eastAsia="Aptos"/>
          <w:b w:val="0"/>
          <w:color w:val="2F5597"/>
          <w:sz w:val="18"/>
        </w:rPr>
        <w:t>Phase 1 rewrite | Evidence-linked edition | July 2026</w:t>
      </w:r>
    </w:p>
    <w:p>
      <w:r>
        <w:br w:type="page"/>
      </w:r>
    </w:p>
    <w:tbl>
      <w:tblPr>
        <w:tblW w:type="auto" w:w="0"/>
        <w:tblLook w:firstColumn="1" w:firstRow="1" w:lastColumn="0" w:lastRow="0" w:noHBand="0" w:noVBand="1" w:val="04A0"/>
      </w:tblPr>
      <w:tblGrid>
        <w:gridCol w:w="10166"/>
      </w:tblGrid>
      <w:tr>
        <w:tc>
          <w:tcPr>
            <w:tcW w:type="dxa" w:w="10166"/>
            <w:shd w:fill="FFF2CC"/>
            <w:tcMar>
              <w:top w:w="120" w:type="dxa"/>
              <w:start w:w="150" w:type="dxa"/>
              <w:bottom w:w="120" w:type="dxa"/>
              <w:end w:w="150" w:type="dxa"/>
            </w:tcMar>
          </w:tcPr>
          <w:p>
            <w:r>
              <w:rPr>
                <w:rFonts w:ascii="Aptos" w:hAnsi="Aptos" w:eastAsia="Aptos"/>
                <w:b/>
                <w:color w:val="17365D"/>
                <w:sz w:val="21"/>
              </w:rPr>
              <w:t>Clinical safety statement</w:t>
            </w:r>
          </w:p>
          <w:p>
            <w:r>
              <w:rPr>
                <w:rFonts w:ascii="Aptos" w:hAnsi="Aptos" w:eastAsia="Aptos"/>
                <w:b w:val="0"/>
                <w:color w:val="1F1F1F"/>
                <w:sz w:val="18"/>
              </w:rPr>
              <w:t>The CDSS uses blood pressure as a screening and escalation signal. It does not diagnose gestational hypertension, chronic hypertension, pre-eclampsia, eclampsia, or HELLP syndrome. A single value at or above 140/90 mmHg triggers HIGH in the project to prevent a LOW output from obscuring a potentially important finding. A value at or above 160 systolic or 110 diastolic is treated as an urgent severe-range signal requiring immediate repeat measurement, clinical assessment, and emergency referral or transfer according to local protocol.</w:t>
            </w:r>
          </w:p>
        </w:tc>
      </w:tr>
    </w:tbl>
    <w:p/>
    <w:p>
      <w:pPr>
        <w:pStyle w:val="Heading1"/>
      </w:pPr>
      <w:r>
        <w:t>Executive Summary</w:t>
      </w:r>
    </w:p>
    <w:p>
      <w:r>
        <w:t>Hypertensive disorders of pregnancy are major causes of maternal and perinatal morbidity and mortality. WHO reports that these disorders account for approximately 14% of maternal deaths worldwide.</w:t>
      </w:r>
      <w:r>
        <w:t xml:space="preserve"> </w:t>
      </w:r>
      <w:hyperlink r:id="rId11">
        <w:r>
          <w:rPr>
            <w:color w:val="0563C1"/>
            <w:u w:val="single"/>
            <w:rFonts w:ascii="Aptos" w:hAnsi="Aptos"/>
          </w:rPr>
          <w:t>[1]</w:t>
        </w:r>
      </w:hyperlink>
    </w:p>
    <w:p>
      <w:r>
        <w:t>The implemented CDSS contains two blood-pressure actions: any systolic value of 140 mmHg or higher OR diastolic value of 90 mmHg or higher produces HIGH; any systolic value of 160 mmHg or higher OR diastolic value of 110 mmHg or higher additionally produces an urgent warning. These thresholds are consistent with widely used definitions of hypertension and severe-range hypertension in pregnancy.</w:t>
      </w:r>
      <w:r>
        <w:t xml:space="preserve"> </w:t>
      </w:r>
      <w:hyperlink r:id="rId12">
        <w:r>
          <w:rPr>
            <w:color w:val="0563C1"/>
            <w:u w:val="single"/>
            <w:rFonts w:ascii="Aptos" w:hAnsi="Aptos"/>
          </w:rPr>
          <w:t>[3]</w:t>
        </w:r>
      </w:hyperlink>
      <w:r>
        <w:t xml:space="preserve">, </w:t>
      </w:r>
      <w:hyperlink r:id="rId13">
        <w:r>
          <w:rPr>
            <w:color w:val="0563C1"/>
            <w:u w:val="single"/>
            <w:rFonts w:ascii="Aptos" w:hAnsi="Aptos"/>
          </w:rPr>
          <w:t>[4]</w:t>
        </w:r>
      </w:hyperlink>
      <w:r>
        <w:t xml:space="preserve">, </w:t>
      </w:r>
      <w:hyperlink r:id="rId14">
        <w:r>
          <w:rPr>
            <w:color w:val="0563C1"/>
            <w:u w:val="single"/>
            <w:rFonts w:ascii="Aptos" w:hAnsi="Aptos"/>
          </w:rPr>
          <w:t>[7]</w:t>
        </w:r>
      </w:hyperlink>
    </w:p>
    <w:p>
      <w:r>
        <w:t>However, the controller appears to classify from a recorded visit value rather than independently confirming persistence, gestational timing, symptoms, urine protein, laboratory findings, or correct measurement technique. Therefore, the output must be described as a safety flag—not a diagnosis. The urgent threshold must use OR logic: systolic 160 alone is severe-range, and diastolic 110 alone is severe-range.</w:t>
      </w:r>
    </w:p>
    <w:p>
      <w:pPr>
        <w:pStyle w:val="Heading1"/>
      </w:pPr>
      <w:r>
        <w:t>1. Purpose and Scope</w:t>
      </w:r>
    </w:p>
    <w:p>
      <w:r>
        <w:t>This chapter establishes the evidence base, terminology, clinical boundaries, implementation traceability, safe explanations, recommendation mapping, test cases, and governance requirements for blood-pressure logic in the maternity CDSS.</w:t>
      </w:r>
    </w:p>
    <w:p>
      <w:r>
        <w:t>The scope covers prenatal and postpartum recognition because severe hypertension and pre-eclampsia may occur during pregnancy, labor, or after birth. Medication choice, diagnosis, laboratory interpretation, timing of birth, and emergency treatment remain outside the autonomous authority of the system.</w:t>
      </w:r>
    </w:p>
    <w:p>
      <w:pPr>
        <w:pStyle w:val="Heading1"/>
      </w:pPr>
      <w:r>
        <w:t>2. Implemented Deterministic Rules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Rule ID</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Recorded Condition</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CDSS Effect</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Priority</w:t>
            </w:r>
          </w:p>
        </w:tc>
      </w:tr>
      <w:tr>
        <w:trPr>
          <w:cantSplit w:val="true"/>
        </w:trPr>
        <w:tc>
          <w:tcPr>
            <w:tcW w:type="dxa" w:w="2541"/>
            <w:tcMar>
              <w:top w:w="85" w:type="dxa"/>
              <w:start w:w="100" w:type="dxa"/>
              <w:bottom w:w="85" w:type="dxa"/>
              <w:end w:w="100" w:type="dxa"/>
            </w:tcMar>
            <w:vAlign w:val="top"/>
          </w:tcPr>
          <w:p>
            <w:r>
              <w:rPr>
                <w:rFonts w:ascii="Aptos" w:hAnsi="Aptos" w:eastAsia="Aptos"/>
                <w:b w:val="0"/>
                <w:color w:val="1F1F1F"/>
                <w:sz w:val="16"/>
              </w:rPr>
              <w:t>BP-01</w:t>
            </w:r>
          </w:p>
        </w:tc>
        <w:tc>
          <w:tcPr>
            <w:tcW w:type="dxa" w:w="2541"/>
            <w:tcMar>
              <w:top w:w="85" w:type="dxa"/>
              <w:start w:w="100" w:type="dxa"/>
              <w:bottom w:w="85" w:type="dxa"/>
              <w:end w:w="100" w:type="dxa"/>
            </w:tcMar>
            <w:vAlign w:val="top"/>
          </w:tcPr>
          <w:p>
            <w:r>
              <w:rPr>
                <w:rFonts w:ascii="Aptos" w:hAnsi="Aptos" w:eastAsia="Aptos"/>
                <w:b w:val="0"/>
                <w:color w:val="1F1F1F"/>
                <w:sz w:val="16"/>
              </w:rPr>
              <w:t>SBP ≥140 OR DBP ≥90 mmHg</w:t>
            </w:r>
          </w:p>
        </w:tc>
        <w:tc>
          <w:tcPr>
            <w:tcW w:type="dxa" w:w="2541"/>
            <w:tcMar>
              <w:top w:w="85" w:type="dxa"/>
              <w:start w:w="100" w:type="dxa"/>
              <w:bottom w:w="85" w:type="dxa"/>
              <w:end w:w="100" w:type="dxa"/>
            </w:tcMar>
            <w:vAlign w:val="top"/>
          </w:tcPr>
          <w:p>
            <w:r>
              <w:rPr>
                <w:rFonts w:ascii="Aptos" w:hAnsi="Aptos" w:eastAsia="Aptos"/>
                <w:b w:val="0"/>
                <w:color w:val="1F1F1F"/>
                <w:sz w:val="16"/>
              </w:rPr>
              <w:t>Final result HIGH</w:t>
            </w:r>
          </w:p>
        </w:tc>
        <w:tc>
          <w:tcPr>
            <w:tcW w:type="dxa" w:w="2541"/>
            <w:tcMar>
              <w:top w:w="85" w:type="dxa"/>
              <w:start w:w="100" w:type="dxa"/>
              <w:bottom w:w="85" w:type="dxa"/>
              <w:end w:w="100" w:type="dxa"/>
            </w:tcMar>
            <w:vAlign w:val="top"/>
          </w:tcPr>
          <w:p>
            <w:r>
              <w:rPr>
                <w:rFonts w:ascii="Aptos" w:hAnsi="Aptos" w:eastAsia="Aptos"/>
                <w:b w:val="0"/>
                <w:color w:val="1F1F1F"/>
                <w:sz w:val="16"/>
              </w:rPr>
              <w:t>High-risk override</w:t>
            </w:r>
          </w:p>
        </w:tc>
      </w:tr>
      <w:tr>
        <w:trPr>
          <w:cantSplit w:val="true"/>
        </w:trPr>
        <w:tc>
          <w:tcPr>
            <w:tcW w:type="dxa" w:w="2541"/>
            <w:tcMar>
              <w:top w:w="85" w:type="dxa"/>
              <w:start w:w="100" w:type="dxa"/>
              <w:bottom w:w="85" w:type="dxa"/>
              <w:end w:w="100" w:type="dxa"/>
            </w:tcMar>
            <w:vAlign w:val="top"/>
            <w:shd w:fill="F5F8FC"/>
          </w:tcPr>
          <w:p>
            <w:r>
              <w:rPr>
                <w:rFonts w:ascii="Aptos" w:hAnsi="Aptos" w:eastAsia="Aptos"/>
                <w:b w:val="0"/>
                <w:color w:val="1F1F1F"/>
                <w:sz w:val="16"/>
              </w:rPr>
              <w:t>BP-02</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SBP ≥160 OR DBP ≥110 mmHg</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HIGH plus urgent severe-range reason/recommendation</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Highest clinical display priority</w:t>
            </w:r>
          </w:p>
        </w:tc>
      </w:tr>
      <w:tr>
        <w:trPr>
          <w:cantSplit w:val="true"/>
        </w:trPr>
        <w:tc>
          <w:tcPr>
            <w:tcW w:type="dxa" w:w="2541"/>
            <w:tcMar>
              <w:top w:w="85" w:type="dxa"/>
              <w:start w:w="100" w:type="dxa"/>
              <w:bottom w:w="85" w:type="dxa"/>
              <w:end w:w="100" w:type="dxa"/>
            </w:tcMar>
            <w:vAlign w:val="top"/>
          </w:tcPr>
          <w:p>
            <w:r>
              <w:rPr>
                <w:rFonts w:ascii="Aptos" w:hAnsi="Aptos" w:eastAsia="Aptos"/>
                <w:b w:val="0"/>
                <w:color w:val="1F1F1F"/>
                <w:sz w:val="16"/>
              </w:rPr>
              <w:t>BP-03</w:t>
            </w:r>
          </w:p>
        </w:tc>
        <w:tc>
          <w:tcPr>
            <w:tcW w:type="dxa" w:w="2541"/>
            <w:tcMar>
              <w:top w:w="85" w:type="dxa"/>
              <w:start w:w="100" w:type="dxa"/>
              <w:bottom w:w="85" w:type="dxa"/>
              <w:end w:w="100" w:type="dxa"/>
            </w:tcMar>
            <w:vAlign w:val="top"/>
          </w:tcPr>
          <w:p>
            <w:r>
              <w:rPr>
                <w:rFonts w:ascii="Aptos" w:hAnsi="Aptos" w:eastAsia="Aptos"/>
                <w:b w:val="0"/>
                <w:color w:val="1F1F1F"/>
                <w:sz w:val="16"/>
              </w:rPr>
              <w:t>SBP &lt;140 AND DBP &lt;90 mmHg</w:t>
            </w:r>
          </w:p>
        </w:tc>
        <w:tc>
          <w:tcPr>
            <w:tcW w:type="dxa" w:w="2541"/>
            <w:tcMar>
              <w:top w:w="85" w:type="dxa"/>
              <w:start w:w="100" w:type="dxa"/>
              <w:bottom w:w="85" w:type="dxa"/>
              <w:end w:w="100" w:type="dxa"/>
            </w:tcMar>
            <w:vAlign w:val="top"/>
          </w:tcPr>
          <w:p>
            <w:r>
              <w:rPr>
                <w:rFonts w:ascii="Aptos" w:hAnsi="Aptos" w:eastAsia="Aptos"/>
                <w:b w:val="0"/>
                <w:color w:val="1F1F1F"/>
                <w:sz w:val="16"/>
              </w:rPr>
              <w:t>No blood-pressure-based HIGH</w:t>
            </w:r>
          </w:p>
        </w:tc>
        <w:tc>
          <w:tcPr>
            <w:tcW w:type="dxa" w:w="2541"/>
            <w:tcMar>
              <w:top w:w="85" w:type="dxa"/>
              <w:start w:w="100" w:type="dxa"/>
              <w:bottom w:w="85" w:type="dxa"/>
              <w:end w:w="100" w:type="dxa"/>
            </w:tcMar>
            <w:vAlign w:val="top"/>
          </w:tcPr>
          <w:p>
            <w:r>
              <w:rPr>
                <w:rFonts w:ascii="Aptos" w:hAnsi="Aptos" w:eastAsia="Aptos"/>
                <w:b w:val="0"/>
                <w:color w:val="1F1F1F"/>
                <w:sz w:val="16"/>
              </w:rPr>
              <w:t>Continue evaluating all other rules and ML</w:t>
            </w:r>
          </w:p>
        </w:tc>
      </w:tr>
      <w:tr>
        <w:trPr>
          <w:cantSplit w:val="true"/>
        </w:trPr>
        <w:tc>
          <w:tcPr>
            <w:tcW w:type="dxa" w:w="2541"/>
            <w:tcMar>
              <w:top w:w="85" w:type="dxa"/>
              <w:start w:w="100" w:type="dxa"/>
              <w:bottom w:w="85" w:type="dxa"/>
              <w:end w:w="100" w:type="dxa"/>
            </w:tcMar>
            <w:vAlign w:val="top"/>
            <w:shd w:fill="F5F8FC"/>
          </w:tcPr>
          <w:p>
            <w:r>
              <w:rPr>
                <w:rFonts w:ascii="Aptos" w:hAnsi="Aptos" w:eastAsia="Aptos"/>
                <w:b w:val="0"/>
                <w:color w:val="1F1F1F"/>
                <w:sz w:val="16"/>
              </w:rPr>
              <w:t>BP-04</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Missing, impossible, or unparseable value</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Do not infer normal BP</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Validation error or ASSESSMENT INCOMPLETE</w:t>
            </w:r>
          </w:p>
        </w:tc>
      </w:tr>
    </w:tbl>
    <w:p/>
    <w:tbl>
      <w:tblPr>
        <w:tblW w:type="auto" w:w="0"/>
        <w:tblLook w:firstColumn="1" w:firstRow="1" w:lastColumn="0" w:lastRow="0" w:noHBand="0" w:noVBand="1" w:val="04A0"/>
      </w:tblPr>
      <w:tblGrid>
        <w:gridCol w:w="10166"/>
      </w:tblGrid>
      <w:tr>
        <w:tc>
          <w:tcPr>
            <w:tcW w:type="dxa" w:w="10166"/>
            <w:shd w:fill="FCE4D6"/>
            <w:tcMar>
              <w:top w:w="120" w:type="dxa"/>
              <w:start w:w="150" w:type="dxa"/>
              <w:bottom w:w="120" w:type="dxa"/>
              <w:end w:w="150" w:type="dxa"/>
            </w:tcMar>
          </w:tcPr>
          <w:p>
            <w:r>
              <w:rPr>
                <w:rFonts w:ascii="Aptos" w:hAnsi="Aptos" w:eastAsia="Aptos"/>
                <w:b/>
                <w:color w:val="17365D"/>
                <w:sz w:val="21"/>
              </w:rPr>
              <w:t>Critical operator rule</w:t>
            </w:r>
          </w:p>
          <w:p>
            <w:r>
              <w:rPr>
                <w:rFonts w:ascii="Aptos" w:hAnsi="Aptos" w:eastAsia="Aptos"/>
                <w:b w:val="0"/>
                <w:color w:val="1F1F1F"/>
                <w:sz w:val="18"/>
              </w:rPr>
              <w:t>The threshold must be evaluated with OR, not AND. A reading of 160/80 and a reading of 120/110 are both severe-range signals. Requiring both numbers to be elevated could miss an emergency.</w:t>
            </w:r>
          </w:p>
        </w:tc>
      </w:tr>
    </w:tbl>
    <w:p/>
    <w:p>
      <w:pPr>
        <w:pStyle w:val="Heading1"/>
      </w:pPr>
      <w:r>
        <w:t>3. Clinical Terminology and Diagnostic Boundaries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Term</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General Guideline Meaning</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What the CDSS May Say</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What the CDSS Must Not Say</w:t>
            </w:r>
          </w:p>
        </w:tc>
      </w:tr>
      <w:tr>
        <w:trPr>
          <w:cantSplit w:val="true"/>
        </w:trPr>
        <w:tc>
          <w:tcPr>
            <w:tcW w:type="dxa" w:w="2541"/>
            <w:tcMar>
              <w:top w:w="85" w:type="dxa"/>
              <w:start w:w="100" w:type="dxa"/>
              <w:bottom w:w="85" w:type="dxa"/>
              <w:end w:w="100" w:type="dxa"/>
            </w:tcMar>
            <w:vAlign w:val="top"/>
          </w:tcPr>
          <w:p>
            <w:r>
              <w:rPr>
                <w:rFonts w:ascii="Aptos" w:hAnsi="Aptos" w:eastAsia="Aptos"/>
                <w:b w:val="0"/>
                <w:color w:val="1F1F1F"/>
                <w:sz w:val="16"/>
              </w:rPr>
              <w:t>Hypertension in pregnancy</w:t>
            </w:r>
          </w:p>
        </w:tc>
        <w:tc>
          <w:tcPr>
            <w:tcW w:type="dxa" w:w="2541"/>
            <w:tcMar>
              <w:top w:w="85" w:type="dxa"/>
              <w:start w:w="100" w:type="dxa"/>
              <w:bottom w:w="85" w:type="dxa"/>
              <w:end w:w="100" w:type="dxa"/>
            </w:tcMar>
            <w:vAlign w:val="top"/>
          </w:tcPr>
          <w:p>
            <w:r>
              <w:rPr>
                <w:rFonts w:ascii="Aptos" w:hAnsi="Aptos" w:eastAsia="Aptos"/>
                <w:b w:val="0"/>
                <w:color w:val="1F1F1F"/>
                <w:sz w:val="16"/>
              </w:rPr>
              <w:t>Commonly SBP ≥140 and/or DBP ≥90, with diagnostic context and repeat confirmation depending on scenario.</w:t>
            </w:r>
          </w:p>
        </w:tc>
        <w:tc>
          <w:tcPr>
            <w:tcW w:type="dxa" w:w="2541"/>
            <w:tcMar>
              <w:top w:w="85" w:type="dxa"/>
              <w:start w:w="100" w:type="dxa"/>
              <w:bottom w:w="85" w:type="dxa"/>
              <w:end w:w="100" w:type="dxa"/>
            </w:tcMar>
            <w:vAlign w:val="top"/>
          </w:tcPr>
          <w:p>
            <w:r>
              <w:rPr>
                <w:rFonts w:ascii="Aptos" w:hAnsi="Aptos" w:eastAsia="Aptos"/>
                <w:b w:val="0"/>
                <w:color w:val="1F1F1F"/>
                <w:sz w:val="16"/>
              </w:rPr>
              <w:t>Recorded BP meets the project HIGH threshold.</w:t>
            </w:r>
          </w:p>
        </w:tc>
        <w:tc>
          <w:tcPr>
            <w:tcW w:type="dxa" w:w="2541"/>
            <w:tcMar>
              <w:top w:w="85" w:type="dxa"/>
              <w:start w:w="100" w:type="dxa"/>
              <w:bottom w:w="85" w:type="dxa"/>
              <w:end w:w="100" w:type="dxa"/>
            </w:tcMar>
            <w:vAlign w:val="top"/>
          </w:tcPr>
          <w:p>
            <w:r>
              <w:rPr>
                <w:rFonts w:ascii="Aptos" w:hAnsi="Aptos" w:eastAsia="Aptos"/>
                <w:b w:val="0"/>
                <w:color w:val="1F1F1F"/>
                <w:sz w:val="16"/>
              </w:rPr>
              <w:t>The patient definitely has gestational hypertension.</w:t>
            </w:r>
          </w:p>
        </w:tc>
      </w:tr>
      <w:tr>
        <w:trPr>
          <w:cantSplit w:val="true"/>
        </w:trPr>
        <w:tc>
          <w:tcPr>
            <w:tcW w:type="dxa" w:w="2541"/>
            <w:tcMar>
              <w:top w:w="85" w:type="dxa"/>
              <w:start w:w="100" w:type="dxa"/>
              <w:bottom w:w="85" w:type="dxa"/>
              <w:end w:w="100" w:type="dxa"/>
            </w:tcMar>
            <w:vAlign w:val="top"/>
            <w:shd w:fill="F5F8FC"/>
          </w:tcPr>
          <w:p>
            <w:r>
              <w:rPr>
                <w:rFonts w:ascii="Aptos" w:hAnsi="Aptos" w:eastAsia="Aptos"/>
                <w:b w:val="0"/>
                <w:color w:val="1F1F1F"/>
                <w:sz w:val="16"/>
              </w:rPr>
              <w:t>Gestational hypertension</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New hypertension after 20 weeks in a previously normotensive pregnancy, without pre-eclampsia features.</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Needs assessment for a hypertensive disorder.</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Diagnosed from one field without history or tests.</w:t>
            </w:r>
          </w:p>
        </w:tc>
      </w:tr>
      <w:tr>
        <w:trPr>
          <w:cantSplit w:val="true"/>
        </w:trPr>
        <w:tc>
          <w:tcPr>
            <w:tcW w:type="dxa" w:w="2541"/>
            <w:tcMar>
              <w:top w:w="85" w:type="dxa"/>
              <w:start w:w="100" w:type="dxa"/>
              <w:bottom w:w="85" w:type="dxa"/>
              <w:end w:w="100" w:type="dxa"/>
            </w:tcMar>
            <w:vAlign w:val="top"/>
          </w:tcPr>
          <w:p>
            <w:r>
              <w:rPr>
                <w:rFonts w:ascii="Aptos" w:hAnsi="Aptos" w:eastAsia="Aptos"/>
                <w:b w:val="0"/>
                <w:color w:val="1F1F1F"/>
                <w:sz w:val="16"/>
              </w:rPr>
              <w:t>Chronic hypertension</w:t>
            </w:r>
          </w:p>
        </w:tc>
        <w:tc>
          <w:tcPr>
            <w:tcW w:type="dxa" w:w="2541"/>
            <w:tcMar>
              <w:top w:w="85" w:type="dxa"/>
              <w:start w:w="100" w:type="dxa"/>
              <w:bottom w:w="85" w:type="dxa"/>
              <w:end w:w="100" w:type="dxa"/>
            </w:tcMar>
            <w:vAlign w:val="top"/>
          </w:tcPr>
          <w:p>
            <w:r>
              <w:rPr>
                <w:rFonts w:ascii="Aptos" w:hAnsi="Aptos" w:eastAsia="Aptos"/>
                <w:b w:val="0"/>
                <w:color w:val="1F1F1F"/>
                <w:sz w:val="16"/>
              </w:rPr>
              <w:t>Hypertension before pregnancy, before 20 weeks, or persisting postpartum under clinical criteria.</w:t>
            </w:r>
          </w:p>
        </w:tc>
        <w:tc>
          <w:tcPr>
            <w:tcW w:type="dxa" w:w="2541"/>
            <w:tcMar>
              <w:top w:w="85" w:type="dxa"/>
              <w:start w:w="100" w:type="dxa"/>
              <w:bottom w:w="85" w:type="dxa"/>
              <w:end w:w="100" w:type="dxa"/>
            </w:tcMar>
            <w:vAlign w:val="top"/>
          </w:tcPr>
          <w:p>
            <w:r>
              <w:rPr>
                <w:rFonts w:ascii="Aptos" w:hAnsi="Aptos" w:eastAsia="Aptos"/>
                <w:b w:val="0"/>
                <w:color w:val="1F1F1F"/>
                <w:sz w:val="16"/>
              </w:rPr>
              <w:t>History/timing should be reviewed.</w:t>
            </w:r>
          </w:p>
        </w:tc>
        <w:tc>
          <w:tcPr>
            <w:tcW w:type="dxa" w:w="2541"/>
            <w:tcMar>
              <w:top w:w="85" w:type="dxa"/>
              <w:start w:w="100" w:type="dxa"/>
              <w:bottom w:w="85" w:type="dxa"/>
              <w:end w:w="100" w:type="dxa"/>
            </w:tcMar>
            <w:vAlign w:val="top"/>
          </w:tcPr>
          <w:p>
            <w:r>
              <w:rPr>
                <w:rFonts w:ascii="Aptos" w:hAnsi="Aptos" w:eastAsia="Aptos"/>
                <w:b w:val="0"/>
                <w:color w:val="1F1F1F"/>
                <w:sz w:val="16"/>
              </w:rPr>
              <w:t>Chronic hypertension based only on the current reading.</w:t>
            </w:r>
          </w:p>
        </w:tc>
      </w:tr>
      <w:tr>
        <w:trPr>
          <w:cantSplit w:val="true"/>
        </w:trPr>
        <w:tc>
          <w:tcPr>
            <w:tcW w:type="dxa" w:w="2541"/>
            <w:tcMar>
              <w:top w:w="85" w:type="dxa"/>
              <w:start w:w="100" w:type="dxa"/>
              <w:bottom w:w="85" w:type="dxa"/>
              <w:end w:w="100" w:type="dxa"/>
            </w:tcMar>
            <w:vAlign w:val="top"/>
            <w:shd w:fill="F5F8FC"/>
          </w:tcPr>
          <w:p>
            <w:r>
              <w:rPr>
                <w:rFonts w:ascii="Aptos" w:hAnsi="Aptos" w:eastAsia="Aptos"/>
                <w:b w:val="0"/>
                <w:color w:val="1F1F1F"/>
                <w:sz w:val="16"/>
              </w:rPr>
              <w:t>Pre-eclampsia</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Hypertension with proteinuria and/or specified maternal organ dysfunction or uteroplacental dysfunction under accepted criteria.</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Assess for warning signs and refer.</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Preeclampsia is present because BP is high.</w:t>
            </w:r>
          </w:p>
        </w:tc>
      </w:tr>
      <w:tr>
        <w:trPr>
          <w:cantSplit w:val="true"/>
        </w:trPr>
        <w:tc>
          <w:tcPr>
            <w:tcW w:type="dxa" w:w="2541"/>
            <w:tcMar>
              <w:top w:w="85" w:type="dxa"/>
              <w:start w:w="100" w:type="dxa"/>
              <w:bottom w:w="85" w:type="dxa"/>
              <w:end w:w="100" w:type="dxa"/>
            </w:tcMar>
            <w:vAlign w:val="top"/>
          </w:tcPr>
          <w:p>
            <w:r>
              <w:rPr>
                <w:rFonts w:ascii="Aptos" w:hAnsi="Aptos" w:eastAsia="Aptos"/>
                <w:b w:val="0"/>
                <w:color w:val="1F1F1F"/>
                <w:sz w:val="16"/>
              </w:rPr>
              <w:t>Severe-range hypertension</w:t>
            </w:r>
          </w:p>
        </w:tc>
        <w:tc>
          <w:tcPr>
            <w:tcW w:type="dxa" w:w="2541"/>
            <w:tcMar>
              <w:top w:w="85" w:type="dxa"/>
              <w:start w:w="100" w:type="dxa"/>
              <w:bottom w:w="85" w:type="dxa"/>
              <w:end w:w="100" w:type="dxa"/>
            </w:tcMar>
            <w:vAlign w:val="top"/>
          </w:tcPr>
          <w:p>
            <w:r>
              <w:rPr>
                <w:rFonts w:ascii="Aptos" w:hAnsi="Aptos" w:eastAsia="Aptos"/>
                <w:b w:val="0"/>
                <w:color w:val="1F1F1F"/>
                <w:sz w:val="16"/>
              </w:rPr>
              <w:t>SBP ≥160 and/or DBP ≥110; requires rapid confirmation and urgent management.</w:t>
            </w:r>
          </w:p>
        </w:tc>
        <w:tc>
          <w:tcPr>
            <w:tcW w:type="dxa" w:w="2541"/>
            <w:tcMar>
              <w:top w:w="85" w:type="dxa"/>
              <w:start w:w="100" w:type="dxa"/>
              <w:bottom w:w="85" w:type="dxa"/>
              <w:end w:w="100" w:type="dxa"/>
            </w:tcMar>
            <w:vAlign w:val="top"/>
          </w:tcPr>
          <w:p>
            <w:r>
              <w:rPr>
                <w:rFonts w:ascii="Aptos" w:hAnsi="Aptos" w:eastAsia="Aptos"/>
                <w:b w:val="0"/>
                <w:color w:val="1F1F1F"/>
                <w:sz w:val="16"/>
              </w:rPr>
              <w:t>Urgent severe-range BP signal.</w:t>
            </w:r>
          </w:p>
        </w:tc>
        <w:tc>
          <w:tcPr>
            <w:tcW w:type="dxa" w:w="2541"/>
            <w:tcMar>
              <w:top w:w="85" w:type="dxa"/>
              <w:start w:w="100" w:type="dxa"/>
              <w:bottom w:w="85" w:type="dxa"/>
              <w:end w:w="100" w:type="dxa"/>
            </w:tcMar>
            <w:vAlign w:val="top"/>
          </w:tcPr>
          <w:p>
            <w:r>
              <w:rPr>
                <w:rFonts w:ascii="Aptos" w:hAnsi="Aptos" w:eastAsia="Aptos"/>
                <w:b w:val="0"/>
                <w:color w:val="1F1F1F"/>
                <w:sz w:val="16"/>
              </w:rPr>
              <w:t>A complete diagnosis or medication order.</w:t>
            </w:r>
          </w:p>
        </w:tc>
      </w:tr>
      <w:tr>
        <w:trPr>
          <w:cantSplit w:val="true"/>
        </w:trPr>
        <w:tc>
          <w:tcPr>
            <w:tcW w:type="dxa" w:w="2541"/>
            <w:tcMar>
              <w:top w:w="85" w:type="dxa"/>
              <w:start w:w="100" w:type="dxa"/>
              <w:bottom w:w="85" w:type="dxa"/>
              <w:end w:w="100" w:type="dxa"/>
            </w:tcMar>
            <w:vAlign w:val="top"/>
            <w:shd w:fill="F5F8FC"/>
          </w:tcPr>
          <w:p>
            <w:r>
              <w:rPr>
                <w:rFonts w:ascii="Aptos" w:hAnsi="Aptos" w:eastAsia="Aptos"/>
                <w:b w:val="0"/>
                <w:color w:val="1F1F1F"/>
                <w:sz w:val="16"/>
              </w:rPr>
              <w:t>Eclampsia</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Seizure associated with a hypertensive disorder after exclusion of other causes.</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Emergency transfer if seizure occurs.</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Diagnosed by the risk model.</w:t>
            </w:r>
          </w:p>
        </w:tc>
      </w:tr>
    </w:tbl>
    <w:p/>
    <w:p>
      <w:r>
        <w:t>NICE recommends interpreting proteinuria in the context of a full clinical review and requires assessment by professionals trained in hypertensive disorders of pregnancy. ACOG likewise treats high blood pressure as one component of diagnosis and evaluation rather than a stand-alone proof of pre-eclampsia.</w:t>
      </w:r>
      <w:r>
        <w:t xml:space="preserve"> </w:t>
      </w:r>
      <w:hyperlink r:id="rId12">
        <w:r>
          <w:rPr>
            <w:color w:val="0563C1"/>
            <w:u w:val="single"/>
            <w:rFonts w:ascii="Aptos" w:hAnsi="Aptos"/>
          </w:rPr>
          <w:t>[3]</w:t>
        </w:r>
      </w:hyperlink>
      <w:r>
        <w:t xml:space="preserve">, </w:t>
      </w:r>
      <w:hyperlink r:id="rId13">
        <w:r>
          <w:rPr>
            <w:color w:val="0563C1"/>
            <w:u w:val="single"/>
            <w:rFonts w:ascii="Aptos" w:hAnsi="Aptos"/>
          </w:rPr>
          <w:t>[4]</w:t>
        </w:r>
      </w:hyperlink>
      <w:r>
        <w:t xml:space="preserve">, </w:t>
      </w:r>
      <w:hyperlink r:id="rId15">
        <w:r>
          <w:rPr>
            <w:color w:val="0563C1"/>
            <w:u w:val="single"/>
            <w:rFonts w:ascii="Aptos" w:hAnsi="Aptos"/>
          </w:rPr>
          <w:t>[9]</w:t>
        </w:r>
      </w:hyperlink>
    </w:p>
    <w:p>
      <w:pPr>
        <w:pStyle w:val="Heading1"/>
      </w:pPr>
      <w:r>
        <w:t>4. Evidence for the 140/90 HIGH Threshold</w:t>
      </w:r>
    </w:p>
    <w:p>
      <w:r>
        <w:t>The 140/90 mmHg threshold is used internationally to define hypertension in pregnancy. The Philippine 2020 hypertension guideline states that hypertension is diagnosed empirically when appropriately taken blood pressure is 140 systolic or 90 diastolic or above.</w:t>
      </w:r>
      <w:r>
        <w:t xml:space="preserve"> </w:t>
      </w:r>
      <w:hyperlink r:id="rId14">
        <w:r>
          <w:rPr>
            <w:color w:val="0563C1"/>
            <w:u w:val="single"/>
            <w:rFonts w:ascii="Aptos" w:hAnsi="Aptos"/>
          </w:rPr>
          <w:t>[7]</w:t>
        </w:r>
      </w:hyperlink>
    </w:p>
    <w:p>
      <w:r>
        <w:t>NICE offers treatment for sustained chronic hypertension at 140/90 or higher and recommends pharmacologic treatment for gestational hypertension if blood pressure remains above 140/90. ACOG updated chronic-hypertension guidance after the CHAP trial to use 140/90 as the threshold for initiating or titrating therapy in chronic hypertension.</w:t>
      </w:r>
      <w:r>
        <w:t xml:space="preserve"> </w:t>
      </w:r>
      <w:hyperlink r:id="rId12">
        <w:r>
          <w:rPr>
            <w:color w:val="0563C1"/>
            <w:u w:val="single"/>
            <w:rFonts w:ascii="Aptos" w:hAnsi="Aptos"/>
          </w:rPr>
          <w:t>[3]</w:t>
        </w:r>
      </w:hyperlink>
      <w:r>
        <w:t xml:space="preserve">, </w:t>
      </w:r>
      <w:hyperlink r:id="rId16">
        <w:r>
          <w:rPr>
            <w:color w:val="0563C1"/>
            <w:u w:val="single"/>
            <w:rFonts w:ascii="Aptos" w:hAnsi="Aptos"/>
          </w:rPr>
          <w:t>[5]</w:t>
        </w:r>
      </w:hyperlink>
    </w:p>
    <w:p>
      <w:r>
        <w:t>The project uses this threshold more conservatively than a diagnostic guideline: one entered prenatal reading can trigger HIGH. This is defensible as a referral-oriented fail-safe in a lying-in clinic, but only when the explanation clearly states that repeat measurement and professional assessment are required.</w:t>
      </w:r>
    </w:p>
    <w:tbl>
      <w:tblPr>
        <w:tblW w:type="auto" w:w="0"/>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r>
              <w:rPr>
                <w:rFonts w:ascii="Aptos" w:hAnsi="Aptos" w:eastAsia="Aptos"/>
                <w:b/>
                <w:color w:val="17365D"/>
                <w:sz w:val="21"/>
              </w:rPr>
              <w:t>Project-design distinction</w:t>
            </w:r>
          </w:p>
          <w:p>
            <w:r>
              <w:rPr>
                <w:rFonts w:ascii="Aptos" w:hAnsi="Aptos" w:eastAsia="Aptos"/>
                <w:b w:val="0"/>
                <w:color w:val="1F1F1F"/>
                <w:sz w:val="18"/>
              </w:rPr>
              <w:t>Guidelines usually apply the threshold with correct technique, timing, persistence, and clinical context. The software uses the threshold to prevent false reassurance. Therefore, “HIGH” means “requires review,” not “diagnosis confirmed.”</w:t>
            </w:r>
          </w:p>
        </w:tc>
      </w:tr>
    </w:tbl>
    <w:p/>
    <w:p>
      <w:pPr>
        <w:pStyle w:val="Heading1"/>
      </w:pPr>
      <w:r>
        <w:t>5. Evidence for the 160/110 Urgent Threshold</w:t>
      </w:r>
    </w:p>
    <w:p>
      <w:r>
        <w:t>ACOG defines severe hypertension as systolic pressure of 160 mmHg or higher and/or diastolic pressure of 110 mmHg or higher. Severe values may be confirmed within a short interval to permit timely treatment. NICE directs admission and frequent measurement for severe hypertension and identifies sustained systolic pressure of 160 or higher as a concern in pre-eclampsia.</w:t>
      </w:r>
      <w:r>
        <w:t xml:space="preserve"> </w:t>
      </w:r>
      <w:hyperlink r:id="rId12">
        <w:r>
          <w:rPr>
            <w:color w:val="0563C1"/>
            <w:u w:val="single"/>
            <w:rFonts w:ascii="Aptos" w:hAnsi="Aptos"/>
          </w:rPr>
          <w:t>[3]</w:t>
        </w:r>
      </w:hyperlink>
      <w:r>
        <w:t xml:space="preserve">, </w:t>
      </w:r>
      <w:hyperlink r:id="rId13">
        <w:r>
          <w:rPr>
            <w:color w:val="0563C1"/>
            <w:u w:val="single"/>
            <w:rFonts w:ascii="Aptos" w:hAnsi="Aptos"/>
          </w:rPr>
          <w:t>[4]</w:t>
        </w:r>
      </w:hyperlink>
      <w:r>
        <w:t xml:space="preserve">, </w:t>
      </w:r>
      <w:hyperlink r:id="rId15">
        <w:r>
          <w:rPr>
            <w:color w:val="0563C1"/>
            <w:u w:val="single"/>
            <w:rFonts w:ascii="Aptos" w:hAnsi="Aptos"/>
          </w:rPr>
          <w:t>[9]</w:t>
        </w:r>
      </w:hyperlink>
    </w:p>
    <w:p>
      <w:r>
        <w:t>The Philippine guideline states that acute-onset severe hypertension at 160 systolic or 110 diastolic can occur antenatally, intrapartum, or postpartum; it emphasizes accurate measurement, persistence, and urgent treatment by qualified professionals.</w:t>
      </w:r>
      <w:r>
        <w:t xml:space="preserve"> </w:t>
      </w:r>
      <w:hyperlink r:id="rId14">
        <w:r>
          <w:rPr>
            <w:color w:val="0563C1"/>
            <w:u w:val="single"/>
            <w:rFonts w:ascii="Aptos" w:hAnsi="Aptos"/>
          </w:rPr>
          <w:t>[7]</w:t>
        </w:r>
      </w:hyperlink>
    </w:p>
    <w:p>
      <w:r>
        <w:t>For a lying-in clinic, the safe software action is not to suggest a drug. It is to display the severe-range result prominently, request immediate repeat measurement using correct technique, identify symptoms, alert the responsible clinician or midwife, and activate emergency referral/transfer procedures.</w:t>
      </w:r>
    </w:p>
    <w:p>
      <w:pPr>
        <w:pStyle w:val="Heading1"/>
      </w:pPr>
      <w:r>
        <w:t>6. Correct Blood-Pressure Measurement</w:t>
      </w:r>
    </w:p>
    <w:p>
      <w:r>
        <w:t>An inaccurate measurement can create either a false alarm or dangerous false reassurance. The CDSS cannot correct technique after the fact, so the workflow must support proper measurement and documentation.</w:t>
      </w:r>
    </w:p>
    <w:p>
      <w:pPr>
        <w:pStyle w:val="ListBullet"/>
      </w:pPr>
      <w:r>
        <w:rPr>
          <w:rFonts w:ascii="Aptos" w:hAnsi="Aptos" w:eastAsia="Aptos"/>
          <w:b w:val="0"/>
          <w:color w:val="1F1F1F"/>
          <w:sz w:val="19"/>
        </w:rPr>
        <w:t>Allow the patient to rest quietly before measurement when the situation is not an immediate emergency.</w:t>
      </w:r>
    </w:p>
    <w:p>
      <w:pPr>
        <w:pStyle w:val="ListBullet"/>
      </w:pPr>
      <w:r>
        <w:rPr>
          <w:rFonts w:ascii="Aptos" w:hAnsi="Aptos" w:eastAsia="Aptos"/>
          <w:b w:val="0"/>
          <w:color w:val="1F1F1F"/>
          <w:sz w:val="19"/>
        </w:rPr>
        <w:t>Use a validated device and an appropriately sized cuff; a cuff that is too small may overestimate pressure.</w:t>
      </w:r>
    </w:p>
    <w:p>
      <w:pPr>
        <w:pStyle w:val="ListBullet"/>
      </w:pPr>
      <w:r>
        <w:rPr>
          <w:rFonts w:ascii="Aptos" w:hAnsi="Aptos" w:eastAsia="Aptos"/>
          <w:b w:val="0"/>
          <w:color w:val="1F1F1F"/>
          <w:sz w:val="19"/>
        </w:rPr>
        <w:t>Position the patient appropriately, support the arm, and measure at heart level.</w:t>
      </w:r>
    </w:p>
    <w:p>
      <w:pPr>
        <w:pStyle w:val="ListBullet"/>
      </w:pPr>
      <w:r>
        <w:rPr>
          <w:rFonts w:ascii="Aptos" w:hAnsi="Aptos" w:eastAsia="Aptos"/>
          <w:b w:val="0"/>
          <w:color w:val="1F1F1F"/>
          <w:sz w:val="19"/>
        </w:rPr>
        <w:t>Document systolic and diastolic values as separate numeric fields in mmHg.</w:t>
      </w:r>
    </w:p>
    <w:p>
      <w:pPr>
        <w:pStyle w:val="ListBullet"/>
      </w:pPr>
      <w:r>
        <w:rPr>
          <w:rFonts w:ascii="Aptos" w:hAnsi="Aptos" w:eastAsia="Aptos"/>
          <w:b w:val="0"/>
          <w:color w:val="1F1F1F"/>
          <w:sz w:val="19"/>
        </w:rPr>
        <w:t>Repeat an unexpectedly high reading and record the repeat value and time; do not overwrite the original measurement.</w:t>
      </w:r>
    </w:p>
    <w:p>
      <w:pPr>
        <w:pStyle w:val="ListBullet"/>
      </w:pPr>
      <w:r>
        <w:rPr>
          <w:rFonts w:ascii="Aptos" w:hAnsi="Aptos" w:eastAsia="Aptos"/>
          <w:b w:val="0"/>
          <w:color w:val="1F1F1F"/>
          <w:sz w:val="19"/>
        </w:rPr>
        <w:t>For severe-range values, repeat promptly without delaying urgent clinical action.</w:t>
      </w:r>
    </w:p>
    <w:p>
      <w:pPr>
        <w:pStyle w:val="ListBullet"/>
      </w:pPr>
      <w:r>
        <w:rPr>
          <w:rFonts w:ascii="Aptos" w:hAnsi="Aptos" w:eastAsia="Aptos"/>
          <w:b w:val="0"/>
          <w:color w:val="1F1F1F"/>
          <w:sz w:val="19"/>
        </w:rPr>
        <w:t>Record symptoms, gestational age, postpartum status, prior hypertension, medications, and referral action in separate fields.</w:t>
      </w:r>
    </w:p>
    <w:tbl>
      <w:tblPr>
        <w:tblW w:type="auto" w:w="0"/>
        <w:tblLook w:firstColumn="1" w:firstRow="1" w:lastColumn="0" w:lastRow="0" w:noHBand="0" w:noVBand="1" w:val="04A0"/>
      </w:tblPr>
      <w:tblGrid>
        <w:gridCol w:w="10166"/>
      </w:tblGrid>
      <w:tr>
        <w:tc>
          <w:tcPr>
            <w:tcW w:type="dxa" w:w="10166"/>
            <w:shd w:fill="D9EAF7"/>
            <w:tcMar>
              <w:top w:w="120" w:type="dxa"/>
              <w:start w:w="150" w:type="dxa"/>
              <w:bottom w:w="120" w:type="dxa"/>
              <w:end w:w="150" w:type="dxa"/>
            </w:tcMar>
          </w:tcPr>
          <w:p>
            <w:r>
              <w:rPr>
                <w:rFonts w:ascii="Aptos" w:hAnsi="Aptos" w:eastAsia="Aptos"/>
                <w:b/>
                <w:color w:val="17365D"/>
                <w:sz w:val="21"/>
              </w:rPr>
              <w:t>Data-integrity requirement</w:t>
            </w:r>
          </w:p>
          <w:p>
            <w:r>
              <w:rPr>
                <w:rFonts w:ascii="Aptos" w:hAnsi="Aptos" w:eastAsia="Aptos"/>
                <w:b w:val="0"/>
                <w:color w:val="1F1F1F"/>
                <w:sz w:val="18"/>
              </w:rPr>
              <w:t>Never store blood pressure only as an unvalidated string such as “140/90?” or “high.” Use separate bounded numeric fields and retain measurement time, operator, and repeat status.</w:t>
            </w:r>
          </w:p>
        </w:tc>
      </w:tr>
    </w:tbl>
    <w:p/>
    <w:p>
      <w:pPr>
        <w:pStyle w:val="Heading1"/>
      </w:pPr>
      <w:r>
        <w:t>7. Full Assessment Required After a HIGH Reading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7365D"/>
            <w:tcMar>
              <w:top w:w="85" w:type="dxa"/>
              <w:start w:w="100" w:type="dxa"/>
              <w:bottom w:w="85" w:type="dxa"/>
              <w:end w:w="100" w:type="dxa"/>
            </w:tcMar>
            <w:vAlign w:val="center"/>
          </w:tcPr>
          <w:p>
            <w:pPr>
              <w:jc w:val="center"/>
            </w:pPr>
            <w:r>
              <w:rPr>
                <w:rFonts w:ascii="Aptos" w:hAnsi="Aptos" w:eastAsia="Aptos"/>
                <w:b/>
                <w:color w:val="FFFFFF"/>
                <w:sz w:val="16"/>
              </w:rPr>
              <w:t>Assessment Domain</w:t>
            </w:r>
          </w:p>
        </w:tc>
        <w:tc>
          <w:tcPr>
            <w:tcW w:type="dxa" w:w="3389"/>
            <w:shd w:fill="17365D"/>
            <w:tcMar>
              <w:top w:w="85" w:type="dxa"/>
              <w:start w:w="100" w:type="dxa"/>
              <w:bottom w:w="85" w:type="dxa"/>
              <w:end w:w="100" w:type="dxa"/>
            </w:tcMar>
            <w:vAlign w:val="center"/>
          </w:tcPr>
          <w:p>
            <w:pPr>
              <w:jc w:val="center"/>
            </w:pPr>
            <w:r>
              <w:rPr>
                <w:rFonts w:ascii="Aptos" w:hAnsi="Aptos" w:eastAsia="Aptos"/>
                <w:b/>
                <w:color w:val="FFFFFF"/>
                <w:sz w:val="16"/>
              </w:rPr>
              <w:t>Examples</w:t>
            </w:r>
          </w:p>
        </w:tc>
        <w:tc>
          <w:tcPr>
            <w:tcW w:type="dxa" w:w="3389"/>
            <w:shd w:fill="17365D"/>
            <w:tcMar>
              <w:top w:w="85" w:type="dxa"/>
              <w:start w:w="100" w:type="dxa"/>
              <w:bottom w:w="85" w:type="dxa"/>
              <w:end w:w="100" w:type="dxa"/>
            </w:tcMar>
            <w:vAlign w:val="center"/>
          </w:tcPr>
          <w:p>
            <w:pPr>
              <w:jc w:val="center"/>
            </w:pPr>
            <w:r>
              <w:rPr>
                <w:rFonts w:ascii="Aptos" w:hAnsi="Aptos" w:eastAsia="Aptos"/>
                <w:b/>
                <w:color w:val="FFFFFF"/>
                <w:sz w:val="16"/>
              </w:rPr>
              <w:t>Reason</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Repeat and verify</w:t>
            </w:r>
          </w:p>
        </w:tc>
        <w:tc>
          <w:tcPr>
            <w:tcW w:type="dxa" w:w="3389"/>
            <w:tcMar>
              <w:top w:w="85" w:type="dxa"/>
              <w:start w:w="100" w:type="dxa"/>
              <w:bottom w:w="85" w:type="dxa"/>
              <w:end w:w="100" w:type="dxa"/>
            </w:tcMar>
            <w:vAlign w:val="top"/>
          </w:tcPr>
          <w:p>
            <w:r>
              <w:rPr>
                <w:rFonts w:ascii="Aptos" w:hAnsi="Aptos" w:eastAsia="Aptos"/>
                <w:b w:val="0"/>
                <w:color w:val="1F1F1F"/>
                <w:sz w:val="16"/>
              </w:rPr>
              <w:t>Repeat BP, cuff size, device, position, time interval</w:t>
            </w:r>
          </w:p>
        </w:tc>
        <w:tc>
          <w:tcPr>
            <w:tcW w:type="dxa" w:w="3389"/>
            <w:tcMar>
              <w:top w:w="85" w:type="dxa"/>
              <w:start w:w="100" w:type="dxa"/>
              <w:bottom w:w="85" w:type="dxa"/>
              <w:end w:w="100" w:type="dxa"/>
            </w:tcMar>
            <w:vAlign w:val="top"/>
          </w:tcPr>
          <w:p>
            <w:r>
              <w:rPr>
                <w:rFonts w:ascii="Aptos" w:hAnsi="Aptos" w:eastAsia="Aptos"/>
                <w:b w:val="0"/>
                <w:color w:val="1F1F1F"/>
                <w:sz w:val="16"/>
              </w:rPr>
              <w:t>Confirms that the signal is real and documents persistence.</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Symptoms</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Severe headache, visual disturbance, pain below ribs/epigastrium, vomiting, sudden swelling, breathlessness, seizure</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May indicate pre-eclampsia or severe complications.</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Pregnancy timing</w:t>
            </w:r>
          </w:p>
        </w:tc>
        <w:tc>
          <w:tcPr>
            <w:tcW w:type="dxa" w:w="3389"/>
            <w:tcMar>
              <w:top w:w="85" w:type="dxa"/>
              <w:start w:w="100" w:type="dxa"/>
              <w:bottom w:w="85" w:type="dxa"/>
              <w:end w:w="100" w:type="dxa"/>
            </w:tcMar>
            <w:vAlign w:val="top"/>
          </w:tcPr>
          <w:p>
            <w:r>
              <w:rPr>
                <w:rFonts w:ascii="Aptos" w:hAnsi="Aptos" w:eastAsia="Aptos"/>
                <w:b w:val="0"/>
                <w:color w:val="1F1F1F"/>
                <w:sz w:val="16"/>
              </w:rPr>
              <w:t>Gestational age; before or after 20 weeks; intrapartum; postpartum</w:t>
            </w:r>
          </w:p>
        </w:tc>
        <w:tc>
          <w:tcPr>
            <w:tcW w:type="dxa" w:w="3389"/>
            <w:tcMar>
              <w:top w:w="85" w:type="dxa"/>
              <w:start w:w="100" w:type="dxa"/>
              <w:bottom w:w="85" w:type="dxa"/>
              <w:end w:w="100" w:type="dxa"/>
            </w:tcMar>
            <w:vAlign w:val="top"/>
          </w:tcPr>
          <w:p>
            <w:r>
              <w:rPr>
                <w:rFonts w:ascii="Aptos" w:hAnsi="Aptos" w:eastAsia="Aptos"/>
                <w:b w:val="0"/>
                <w:color w:val="1F1F1F"/>
                <w:sz w:val="16"/>
              </w:rPr>
              <w:t>Helps distinguish possible chronic, gestational, and postpartum disorders.</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Urine and laboratory assessment</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Proteinuria, platelets, kidney function, liver function as ordered</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BP alone cannot diagnose pre-eclampsia.</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Fetal assessment</w:t>
            </w:r>
          </w:p>
        </w:tc>
        <w:tc>
          <w:tcPr>
            <w:tcW w:type="dxa" w:w="3389"/>
            <w:tcMar>
              <w:top w:w="85" w:type="dxa"/>
              <w:start w:w="100" w:type="dxa"/>
              <w:bottom w:w="85" w:type="dxa"/>
              <w:end w:w="100" w:type="dxa"/>
            </w:tcMar>
            <w:vAlign w:val="top"/>
          </w:tcPr>
          <w:p>
            <w:r>
              <w:rPr>
                <w:rFonts w:ascii="Aptos" w:hAnsi="Aptos" w:eastAsia="Aptos"/>
                <w:b w:val="0"/>
                <w:color w:val="1F1F1F"/>
                <w:sz w:val="16"/>
              </w:rPr>
              <w:t>Fetal heart assessment and additional monitoring as clinically indicated</w:t>
            </w:r>
          </w:p>
        </w:tc>
        <w:tc>
          <w:tcPr>
            <w:tcW w:type="dxa" w:w="3389"/>
            <w:tcMar>
              <w:top w:w="85" w:type="dxa"/>
              <w:start w:w="100" w:type="dxa"/>
              <w:bottom w:w="85" w:type="dxa"/>
              <w:end w:w="100" w:type="dxa"/>
            </w:tcMar>
            <w:vAlign w:val="top"/>
          </w:tcPr>
          <w:p>
            <w:r>
              <w:rPr>
                <w:rFonts w:ascii="Aptos" w:hAnsi="Aptos" w:eastAsia="Aptos"/>
                <w:b w:val="0"/>
                <w:color w:val="1F1F1F"/>
                <w:sz w:val="16"/>
              </w:rPr>
              <w:t>Hypertensive disorders can affect placental and fetal wellbeing.</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History</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Prior hypertensive disease, renal disease, diabetes, autoimmune disease, medications</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Changes risk and management.</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Place of care</w:t>
            </w:r>
          </w:p>
        </w:tc>
        <w:tc>
          <w:tcPr>
            <w:tcW w:type="dxa" w:w="3389"/>
            <w:tcMar>
              <w:top w:w="85" w:type="dxa"/>
              <w:start w:w="100" w:type="dxa"/>
              <w:bottom w:w="85" w:type="dxa"/>
              <w:end w:w="100" w:type="dxa"/>
            </w:tcMar>
            <w:vAlign w:val="top"/>
          </w:tcPr>
          <w:p>
            <w:r>
              <w:rPr>
                <w:rFonts w:ascii="Aptos" w:hAnsi="Aptos" w:eastAsia="Aptos"/>
                <w:b w:val="0"/>
                <w:color w:val="1F1F1F"/>
                <w:sz w:val="16"/>
              </w:rPr>
              <w:t>Clinic capability, transport, receiving facility, referral acceptance</w:t>
            </w:r>
          </w:p>
        </w:tc>
        <w:tc>
          <w:tcPr>
            <w:tcW w:type="dxa" w:w="3389"/>
            <w:tcMar>
              <w:top w:w="85" w:type="dxa"/>
              <w:start w:w="100" w:type="dxa"/>
              <w:bottom w:w="85" w:type="dxa"/>
              <w:end w:w="100" w:type="dxa"/>
            </w:tcMar>
            <w:vAlign w:val="top"/>
          </w:tcPr>
          <w:p>
            <w:r>
              <w:rPr>
                <w:rFonts w:ascii="Aptos" w:hAnsi="Aptos" w:eastAsia="Aptos"/>
                <w:b w:val="0"/>
                <w:color w:val="1F1F1F"/>
                <w:sz w:val="16"/>
              </w:rPr>
              <w:t>Determines safe escalation.</w:t>
            </w:r>
          </w:p>
        </w:tc>
      </w:tr>
    </w:tbl>
    <w:p/>
    <w:p>
      <w:r>
        <w:t>NICE lists severe headache, visual problems, severe pain below the ribs, vomiting, and sudden swelling as symptoms requiring immediate professional assessment.</w:t>
      </w:r>
      <w:r>
        <w:t xml:space="preserve"> </w:t>
      </w:r>
      <w:hyperlink r:id="rId12">
        <w:r>
          <w:rPr>
            <w:color w:val="0563C1"/>
            <w:u w:val="single"/>
            <w:rFonts w:ascii="Aptos" w:hAnsi="Aptos"/>
          </w:rPr>
          <w:t>[3]</w:t>
        </w:r>
      </w:hyperlink>
    </w:p>
    <w:p>
      <w:pPr>
        <w:pStyle w:val="Heading1"/>
      </w:pPr>
      <w:r>
        <w:t>8. International and Philippine Guideline Comparison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Authority</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140/90 Position</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160/110 Position</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Implication for the Project</w:t>
            </w:r>
          </w:p>
        </w:tc>
      </w:tr>
      <w:tr>
        <w:trPr>
          <w:cantSplit w:val="true"/>
        </w:trPr>
        <w:tc>
          <w:tcPr>
            <w:tcW w:type="dxa" w:w="2541"/>
            <w:tcMar>
              <w:top w:w="85" w:type="dxa"/>
              <w:start w:w="100" w:type="dxa"/>
              <w:bottom w:w="85" w:type="dxa"/>
              <w:end w:w="100" w:type="dxa"/>
            </w:tcMar>
            <w:vAlign w:val="top"/>
          </w:tcPr>
          <w:p>
            <w:r>
              <w:rPr>
                <w:rFonts w:ascii="Aptos" w:hAnsi="Aptos" w:eastAsia="Aptos"/>
                <w:b w:val="0"/>
                <w:color w:val="1F1F1F"/>
                <w:sz w:val="16"/>
              </w:rPr>
              <w:t>WHO</w:t>
            </w:r>
          </w:p>
        </w:tc>
        <w:tc>
          <w:tcPr>
            <w:tcW w:type="dxa" w:w="2541"/>
            <w:tcMar>
              <w:top w:w="85" w:type="dxa"/>
              <w:start w:w="100" w:type="dxa"/>
              <w:bottom w:w="85" w:type="dxa"/>
              <w:end w:w="100" w:type="dxa"/>
            </w:tcMar>
            <w:vAlign w:val="top"/>
          </w:tcPr>
          <w:p>
            <w:r>
              <w:rPr>
                <w:rFonts w:ascii="Aptos" w:hAnsi="Aptos" w:eastAsia="Aptos"/>
                <w:b w:val="0"/>
                <w:color w:val="1F1F1F"/>
                <w:sz w:val="16"/>
              </w:rPr>
              <w:t>Recognizes non-severe hypertension and addresses treatment within clinical protocols.</w:t>
            </w:r>
          </w:p>
        </w:tc>
        <w:tc>
          <w:tcPr>
            <w:tcW w:type="dxa" w:w="2541"/>
            <w:tcMar>
              <w:top w:w="85" w:type="dxa"/>
              <w:start w:w="100" w:type="dxa"/>
              <w:bottom w:w="85" w:type="dxa"/>
              <w:end w:w="100" w:type="dxa"/>
            </w:tcMar>
            <w:vAlign w:val="top"/>
          </w:tcPr>
          <w:p>
            <w:r>
              <w:rPr>
                <w:rFonts w:ascii="Aptos" w:hAnsi="Aptos" w:eastAsia="Aptos"/>
                <w:b w:val="0"/>
                <w:color w:val="1F1F1F"/>
                <w:sz w:val="16"/>
              </w:rPr>
              <w:t>Severe hypertension requires effective and timely treatment.</w:t>
            </w:r>
          </w:p>
        </w:tc>
        <w:tc>
          <w:tcPr>
            <w:tcW w:type="dxa" w:w="2541"/>
            <w:tcMar>
              <w:top w:w="85" w:type="dxa"/>
              <w:start w:w="100" w:type="dxa"/>
              <w:bottom w:w="85" w:type="dxa"/>
              <w:end w:w="100" w:type="dxa"/>
            </w:tcMar>
            <w:vAlign w:val="top"/>
          </w:tcPr>
          <w:p>
            <w:r>
              <w:rPr>
                <w:rFonts w:ascii="Aptos" w:hAnsi="Aptos" w:eastAsia="Aptos"/>
                <w:b w:val="0"/>
                <w:color w:val="1F1F1F"/>
                <w:sz w:val="16"/>
              </w:rPr>
              <w:t>Supports HIGH and urgent tiers; CDSS must not prescribe.</w:t>
            </w:r>
          </w:p>
        </w:tc>
      </w:tr>
      <w:tr>
        <w:trPr>
          <w:cantSplit w:val="true"/>
        </w:trPr>
        <w:tc>
          <w:tcPr>
            <w:tcW w:type="dxa" w:w="2541"/>
            <w:tcMar>
              <w:top w:w="85" w:type="dxa"/>
              <w:start w:w="100" w:type="dxa"/>
              <w:bottom w:w="85" w:type="dxa"/>
              <w:end w:w="100" w:type="dxa"/>
            </w:tcMar>
            <w:vAlign w:val="top"/>
            <w:shd w:fill="F5F8FC"/>
          </w:tcPr>
          <w:p>
            <w:r>
              <w:rPr>
                <w:rFonts w:ascii="Aptos" w:hAnsi="Aptos" w:eastAsia="Aptos"/>
                <w:b w:val="0"/>
                <w:color w:val="1F1F1F"/>
                <w:sz w:val="16"/>
              </w:rPr>
              <w:t>NICE NG133</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Treatment/assessment thresholds use sustained SBP ≥140 or DBP ≥90.</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Severe hypertension at ≥160/110 leads to admission, frequent BP checks, and treatment.</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Strong support for referral escalation and OR logic.</w:t>
            </w:r>
          </w:p>
        </w:tc>
      </w:tr>
      <w:tr>
        <w:trPr>
          <w:cantSplit w:val="true"/>
        </w:trPr>
        <w:tc>
          <w:tcPr>
            <w:tcW w:type="dxa" w:w="2541"/>
            <w:tcMar>
              <w:top w:w="85" w:type="dxa"/>
              <w:start w:w="100" w:type="dxa"/>
              <w:bottom w:w="85" w:type="dxa"/>
              <w:end w:w="100" w:type="dxa"/>
            </w:tcMar>
            <w:vAlign w:val="top"/>
          </w:tcPr>
          <w:p>
            <w:r>
              <w:rPr>
                <w:rFonts w:ascii="Aptos" w:hAnsi="Aptos" w:eastAsia="Aptos"/>
                <w:b w:val="0"/>
                <w:color w:val="1F1F1F"/>
                <w:sz w:val="16"/>
              </w:rPr>
              <w:t>ACOG PB 222</w:t>
            </w:r>
          </w:p>
        </w:tc>
        <w:tc>
          <w:tcPr>
            <w:tcW w:type="dxa" w:w="2541"/>
            <w:tcMar>
              <w:top w:w="85" w:type="dxa"/>
              <w:start w:w="100" w:type="dxa"/>
              <w:bottom w:w="85" w:type="dxa"/>
              <w:end w:w="100" w:type="dxa"/>
            </w:tcMar>
            <w:vAlign w:val="top"/>
          </w:tcPr>
          <w:p>
            <w:r>
              <w:rPr>
                <w:rFonts w:ascii="Aptos" w:hAnsi="Aptos" w:eastAsia="Aptos"/>
                <w:b w:val="0"/>
                <w:color w:val="1F1F1F"/>
                <w:sz w:val="16"/>
              </w:rPr>
              <w:t>Hypertension includes SBP ≥140 or DBP ≥90 under diagnostic conditions.</w:t>
            </w:r>
          </w:p>
        </w:tc>
        <w:tc>
          <w:tcPr>
            <w:tcW w:type="dxa" w:w="2541"/>
            <w:tcMar>
              <w:top w:w="85" w:type="dxa"/>
              <w:start w:w="100" w:type="dxa"/>
              <w:bottom w:w="85" w:type="dxa"/>
              <w:end w:w="100" w:type="dxa"/>
            </w:tcMar>
            <w:vAlign w:val="top"/>
          </w:tcPr>
          <w:p>
            <w:r>
              <w:rPr>
                <w:rFonts w:ascii="Aptos" w:hAnsi="Aptos" w:eastAsia="Aptos"/>
                <w:b w:val="0"/>
                <w:color w:val="1F1F1F"/>
                <w:sz w:val="16"/>
              </w:rPr>
              <w:t>SBP ≥160 or DBP ≥110 is severe-range and requires timely response.</w:t>
            </w:r>
          </w:p>
        </w:tc>
        <w:tc>
          <w:tcPr>
            <w:tcW w:type="dxa" w:w="2541"/>
            <w:tcMar>
              <w:top w:w="85" w:type="dxa"/>
              <w:start w:w="100" w:type="dxa"/>
              <w:bottom w:w="85" w:type="dxa"/>
              <w:end w:w="100" w:type="dxa"/>
            </w:tcMar>
            <w:vAlign w:val="top"/>
          </w:tcPr>
          <w:p>
            <w:r>
              <w:rPr>
                <w:rFonts w:ascii="Aptos" w:hAnsi="Aptos" w:eastAsia="Aptos"/>
                <w:b w:val="0"/>
                <w:color w:val="1F1F1F"/>
                <w:sz w:val="16"/>
              </w:rPr>
              <w:t>Supports exact project thresholds but not diagnosis from one entry.</w:t>
            </w:r>
          </w:p>
        </w:tc>
      </w:tr>
      <w:tr>
        <w:trPr>
          <w:cantSplit w:val="true"/>
        </w:trPr>
        <w:tc>
          <w:tcPr>
            <w:tcW w:type="dxa" w:w="2541"/>
            <w:tcMar>
              <w:top w:w="85" w:type="dxa"/>
              <w:start w:w="100" w:type="dxa"/>
              <w:bottom w:w="85" w:type="dxa"/>
              <w:end w:w="100" w:type="dxa"/>
            </w:tcMar>
            <w:vAlign w:val="top"/>
            <w:shd w:fill="F5F8FC"/>
          </w:tcPr>
          <w:p>
            <w:r>
              <w:rPr>
                <w:rFonts w:ascii="Aptos" w:hAnsi="Aptos" w:eastAsia="Aptos"/>
                <w:b w:val="0"/>
                <w:color w:val="1F1F1F"/>
                <w:sz w:val="16"/>
              </w:rPr>
              <w:t>ACOG CHAP guidance</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140/90 is used to initiate or titrate treatment for chronic hypertension.</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Severe thresholds remain critical.</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Shows that 140/90 is clinically actionable.</w:t>
            </w:r>
          </w:p>
        </w:tc>
      </w:tr>
      <w:tr>
        <w:trPr>
          <w:cantSplit w:val="true"/>
        </w:trPr>
        <w:tc>
          <w:tcPr>
            <w:tcW w:type="dxa" w:w="2541"/>
            <w:tcMar>
              <w:top w:w="85" w:type="dxa"/>
              <w:start w:w="100" w:type="dxa"/>
              <w:bottom w:w="85" w:type="dxa"/>
              <w:end w:w="100" w:type="dxa"/>
            </w:tcMar>
            <w:vAlign w:val="top"/>
          </w:tcPr>
          <w:p>
            <w:r>
              <w:rPr>
                <w:rFonts w:ascii="Aptos" w:hAnsi="Aptos" w:eastAsia="Aptos"/>
                <w:b w:val="0"/>
                <w:color w:val="1F1F1F"/>
                <w:sz w:val="16"/>
              </w:rPr>
              <w:t>ISSHP</w:t>
            </w:r>
          </w:p>
        </w:tc>
        <w:tc>
          <w:tcPr>
            <w:tcW w:type="dxa" w:w="2541"/>
            <w:tcMar>
              <w:top w:w="85" w:type="dxa"/>
              <w:start w:w="100" w:type="dxa"/>
              <w:bottom w:w="85" w:type="dxa"/>
              <w:end w:w="100" w:type="dxa"/>
            </w:tcMar>
            <w:vAlign w:val="top"/>
          </w:tcPr>
          <w:p>
            <w:r>
              <w:rPr>
                <w:rFonts w:ascii="Aptos" w:hAnsi="Aptos" w:eastAsia="Aptos"/>
                <w:b w:val="0"/>
                <w:color w:val="1F1F1F"/>
                <w:sz w:val="16"/>
              </w:rPr>
              <w:t>Uses internationally recognized hypertension and severe-hypertension categories with standardized measurement and assessment.</w:t>
            </w:r>
          </w:p>
        </w:tc>
        <w:tc>
          <w:tcPr>
            <w:tcW w:type="dxa" w:w="2541"/>
            <w:tcMar>
              <w:top w:w="85" w:type="dxa"/>
              <w:start w:w="100" w:type="dxa"/>
              <w:bottom w:w="85" w:type="dxa"/>
              <w:end w:w="100" w:type="dxa"/>
            </w:tcMar>
            <w:vAlign w:val="top"/>
          </w:tcPr>
          <w:p>
            <w:r>
              <w:rPr>
                <w:rFonts w:ascii="Aptos" w:hAnsi="Aptos" w:eastAsia="Aptos"/>
                <w:b w:val="0"/>
                <w:color w:val="1F1F1F"/>
                <w:sz w:val="16"/>
              </w:rPr>
              <w:t>Severe values require urgent evaluation and treatment.</w:t>
            </w:r>
          </w:p>
        </w:tc>
        <w:tc>
          <w:tcPr>
            <w:tcW w:type="dxa" w:w="2541"/>
            <w:tcMar>
              <w:top w:w="85" w:type="dxa"/>
              <w:start w:w="100" w:type="dxa"/>
              <w:bottom w:w="85" w:type="dxa"/>
              <w:end w:w="100" w:type="dxa"/>
            </w:tcMar>
            <w:vAlign w:val="top"/>
          </w:tcPr>
          <w:p>
            <w:r>
              <w:rPr>
                <w:rFonts w:ascii="Aptos" w:hAnsi="Aptos" w:eastAsia="Aptos"/>
                <w:b w:val="0"/>
                <w:color w:val="1F1F1F"/>
                <w:sz w:val="16"/>
              </w:rPr>
              <w:t>Supports structured, context-aware escalation.</w:t>
            </w:r>
          </w:p>
        </w:tc>
      </w:tr>
      <w:tr>
        <w:trPr>
          <w:cantSplit w:val="true"/>
        </w:trPr>
        <w:tc>
          <w:tcPr>
            <w:tcW w:type="dxa" w:w="2541"/>
            <w:tcMar>
              <w:top w:w="85" w:type="dxa"/>
              <w:start w:w="100" w:type="dxa"/>
              <w:bottom w:w="85" w:type="dxa"/>
              <w:end w:w="100" w:type="dxa"/>
            </w:tcMar>
            <w:vAlign w:val="top"/>
            <w:shd w:fill="F5F8FC"/>
          </w:tcPr>
          <w:p>
            <w:r>
              <w:rPr>
                <w:rFonts w:ascii="Aptos" w:hAnsi="Aptos" w:eastAsia="Aptos"/>
                <w:b w:val="0"/>
                <w:color w:val="1F1F1F"/>
                <w:sz w:val="16"/>
              </w:rPr>
              <w:t>Philippine 2020 CPG</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Defines pregnancy hypertension at 140/90 with appropriate measurement.</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Defines acute severe hypertension at 160/110 and emphasizes persistence and treatment.</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Provides direct local support for thresholds.</w:t>
            </w:r>
          </w:p>
        </w:tc>
      </w:tr>
    </w:tbl>
    <w:p/>
    <w:p>
      <w:pPr>
        <w:pStyle w:val="Heading1"/>
      </w:pPr>
      <w:r>
        <w:t>9. Philippine Lying-in Clinic Context</w:t>
      </w:r>
    </w:p>
    <w:p>
      <w:r>
        <w:t>A lying-in clinic generally has narrower diagnostic, laboratory, medication, and emergency capabilities than a hospital. Consequently, the CDSS should be optimized for recognition, stabilization within authorized scope, communication, and transfer—not for independent management of a hypertensive disorder.</w:t>
      </w:r>
    </w:p>
    <w:p>
      <w:r>
        <w:t>The Philippine national hypertension guideline includes a dedicated pregnancy section using the 140/90 and 160/110 thresholds and describes referral for concerning superimposed pre-eclampsia features.</w:t>
      </w:r>
      <w:r>
        <w:t xml:space="preserve"> </w:t>
      </w:r>
      <w:hyperlink r:id="rId14">
        <w:r>
          <w:rPr>
            <w:color w:val="0563C1"/>
            <w:u w:val="single"/>
            <w:rFonts w:ascii="Aptos" w:hAnsi="Aptos"/>
          </w:rPr>
          <w:t>[7]</w:t>
        </w:r>
      </w:hyperlink>
    </w:p>
    <w:p>
      <w:pPr>
        <w:pStyle w:val="ListBullet"/>
      </w:pPr>
      <w:r>
        <w:rPr>
          <w:rFonts w:ascii="Aptos" w:hAnsi="Aptos" w:eastAsia="Aptos"/>
          <w:b w:val="0"/>
          <w:color w:val="1F1F1F"/>
          <w:sz w:val="19"/>
        </w:rPr>
        <w:t>Display the nearest appropriate receiving facility and emergency contact process.</w:t>
      </w:r>
    </w:p>
    <w:p>
      <w:pPr>
        <w:pStyle w:val="ListBullet"/>
      </w:pPr>
      <w:r>
        <w:rPr>
          <w:rFonts w:ascii="Aptos" w:hAnsi="Aptos" w:eastAsia="Aptos"/>
          <w:b w:val="0"/>
          <w:color w:val="1F1F1F"/>
          <w:sz w:val="19"/>
        </w:rPr>
        <w:t>Generate a concise referral summary including all BP readings, times, symptoms, gestational age, relevant history, and actions taken.</w:t>
      </w:r>
    </w:p>
    <w:p>
      <w:pPr>
        <w:pStyle w:val="ListBullet"/>
      </w:pPr>
      <w:r>
        <w:rPr>
          <w:rFonts w:ascii="Aptos" w:hAnsi="Aptos" w:eastAsia="Aptos"/>
          <w:b w:val="0"/>
          <w:color w:val="1F1F1F"/>
          <w:sz w:val="19"/>
        </w:rPr>
        <w:t>Allow documentation of patient refusal without presenting refusal as clinical clearance.</w:t>
      </w:r>
    </w:p>
    <w:p>
      <w:pPr>
        <w:pStyle w:val="ListBullet"/>
      </w:pPr>
      <w:r>
        <w:rPr>
          <w:rFonts w:ascii="Aptos" w:hAnsi="Aptos" w:eastAsia="Aptos"/>
          <w:b w:val="0"/>
          <w:color w:val="1F1F1F"/>
          <w:sz w:val="19"/>
        </w:rPr>
        <w:t>Provide postpartum danger-sign reminders because severe hypertension and pre-eclampsia may occur after birth.</w:t>
      </w:r>
    </w:p>
    <w:p>
      <w:pPr>
        <w:pStyle w:val="ListBullet"/>
      </w:pPr>
      <w:r>
        <w:rPr>
          <w:rFonts w:ascii="Aptos" w:hAnsi="Aptos" w:eastAsia="Aptos"/>
          <w:b w:val="0"/>
          <w:color w:val="1F1F1F"/>
          <w:sz w:val="19"/>
        </w:rPr>
        <w:t>Keep treatment recommendations within the clinic staff’s legal scope and approved protocol.</w:t>
      </w:r>
    </w:p>
    <w:p>
      <w:pPr>
        <w:pStyle w:val="Heading1"/>
      </w:pPr>
      <w:r>
        <w:t>10. Clinical Justification of Each Rule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Rule</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Clinical Rationale</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Evidence Classification</w:t>
            </w:r>
          </w:p>
        </w:tc>
        <w:tc>
          <w:tcPr>
            <w:tcW w:type="dxa" w:w="2541"/>
            <w:shd w:fill="17365D"/>
            <w:tcMar>
              <w:top w:w="85" w:type="dxa"/>
              <w:start w:w="100" w:type="dxa"/>
              <w:bottom w:w="85" w:type="dxa"/>
              <w:end w:w="100" w:type="dxa"/>
            </w:tcMar>
            <w:vAlign w:val="center"/>
          </w:tcPr>
          <w:p>
            <w:pPr>
              <w:jc w:val="center"/>
            </w:pPr>
            <w:r>
              <w:rPr>
                <w:rFonts w:ascii="Aptos" w:hAnsi="Aptos" w:eastAsia="Aptos"/>
                <w:b/>
                <w:color w:val="FFFFFF"/>
                <w:sz w:val="16"/>
              </w:rPr>
              <w:t>Safety Boundary</w:t>
            </w:r>
          </w:p>
        </w:tc>
      </w:tr>
      <w:tr>
        <w:trPr>
          <w:cantSplit w:val="true"/>
        </w:trPr>
        <w:tc>
          <w:tcPr>
            <w:tcW w:type="dxa" w:w="2541"/>
            <w:tcMar>
              <w:top w:w="85" w:type="dxa"/>
              <w:start w:w="100" w:type="dxa"/>
              <w:bottom w:w="85" w:type="dxa"/>
              <w:end w:w="100" w:type="dxa"/>
            </w:tcMar>
            <w:vAlign w:val="top"/>
          </w:tcPr>
          <w:p>
            <w:r>
              <w:rPr>
                <w:rFonts w:ascii="Aptos" w:hAnsi="Aptos" w:eastAsia="Aptos"/>
                <w:b w:val="0"/>
                <w:color w:val="1F1F1F"/>
                <w:sz w:val="16"/>
              </w:rPr>
              <w:t>SBP ≥140 OR DBP ≥90 → HIGH</w:t>
            </w:r>
          </w:p>
        </w:tc>
        <w:tc>
          <w:tcPr>
            <w:tcW w:type="dxa" w:w="2541"/>
            <w:tcMar>
              <w:top w:w="85" w:type="dxa"/>
              <w:start w:w="100" w:type="dxa"/>
              <w:bottom w:w="85" w:type="dxa"/>
              <w:end w:w="100" w:type="dxa"/>
            </w:tcMar>
            <w:vAlign w:val="top"/>
          </w:tcPr>
          <w:p>
            <w:r>
              <w:rPr>
                <w:rFonts w:ascii="Aptos" w:hAnsi="Aptos" w:eastAsia="Aptos"/>
                <w:b w:val="0"/>
                <w:color w:val="1F1F1F"/>
                <w:sz w:val="16"/>
              </w:rPr>
              <w:t>Meets internationally and locally recognized hypertension threshold and warrants assessment.</w:t>
            </w:r>
          </w:p>
        </w:tc>
        <w:tc>
          <w:tcPr>
            <w:tcW w:type="dxa" w:w="2541"/>
            <w:tcMar>
              <w:top w:w="85" w:type="dxa"/>
              <w:start w:w="100" w:type="dxa"/>
              <w:bottom w:w="85" w:type="dxa"/>
              <w:end w:w="100" w:type="dxa"/>
            </w:tcMar>
            <w:vAlign w:val="top"/>
          </w:tcPr>
          <w:p>
            <w:r>
              <w:rPr>
                <w:rFonts w:ascii="Aptos" w:hAnsi="Aptos" w:eastAsia="Aptos"/>
                <w:b w:val="0"/>
                <w:color w:val="1F1F1F"/>
                <w:sz w:val="16"/>
              </w:rPr>
              <w:t>Guideline-supported threshold; project-specific one-reading override.</w:t>
            </w:r>
          </w:p>
        </w:tc>
        <w:tc>
          <w:tcPr>
            <w:tcW w:type="dxa" w:w="2541"/>
            <w:tcMar>
              <w:top w:w="85" w:type="dxa"/>
              <w:start w:w="100" w:type="dxa"/>
              <w:bottom w:w="85" w:type="dxa"/>
              <w:end w:w="100" w:type="dxa"/>
            </w:tcMar>
            <w:vAlign w:val="top"/>
          </w:tcPr>
          <w:p>
            <w:r>
              <w:rPr>
                <w:rFonts w:ascii="Aptos" w:hAnsi="Aptos" w:eastAsia="Aptos"/>
                <w:b w:val="0"/>
                <w:color w:val="1F1F1F"/>
                <w:sz w:val="16"/>
              </w:rPr>
              <w:t>Repeat and assess; do not diagnose.</w:t>
            </w:r>
          </w:p>
        </w:tc>
      </w:tr>
      <w:tr>
        <w:trPr>
          <w:cantSplit w:val="true"/>
        </w:trPr>
        <w:tc>
          <w:tcPr>
            <w:tcW w:type="dxa" w:w="2541"/>
            <w:tcMar>
              <w:top w:w="85" w:type="dxa"/>
              <w:start w:w="100" w:type="dxa"/>
              <w:bottom w:w="85" w:type="dxa"/>
              <w:end w:w="100" w:type="dxa"/>
            </w:tcMar>
            <w:vAlign w:val="top"/>
            <w:shd w:fill="F5F8FC"/>
          </w:tcPr>
          <w:p>
            <w:r>
              <w:rPr>
                <w:rFonts w:ascii="Aptos" w:hAnsi="Aptos" w:eastAsia="Aptos"/>
                <w:b w:val="0"/>
                <w:color w:val="1F1F1F"/>
                <w:sz w:val="16"/>
              </w:rPr>
              <w:t>SBP ≥160 OR DBP ≥110 → urgent HIGH</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Severe-range BP is associated with serious maternal risk and requires rapid response.</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Strong guideline consensus.</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Immediate escalation; no autonomous drug order.</w:t>
            </w:r>
          </w:p>
        </w:tc>
      </w:tr>
      <w:tr>
        <w:trPr>
          <w:cantSplit w:val="true"/>
        </w:trPr>
        <w:tc>
          <w:tcPr>
            <w:tcW w:type="dxa" w:w="2541"/>
            <w:tcMar>
              <w:top w:w="85" w:type="dxa"/>
              <w:start w:w="100" w:type="dxa"/>
              <w:bottom w:w="85" w:type="dxa"/>
              <w:end w:w="100" w:type="dxa"/>
            </w:tcMar>
            <w:vAlign w:val="top"/>
          </w:tcPr>
          <w:p>
            <w:r>
              <w:rPr>
                <w:rFonts w:ascii="Aptos" w:hAnsi="Aptos" w:eastAsia="Aptos"/>
                <w:b w:val="0"/>
                <w:color w:val="1F1F1F"/>
                <w:sz w:val="16"/>
              </w:rPr>
              <w:t>Below 140/90 → no BP-based HIGH</w:t>
            </w:r>
          </w:p>
        </w:tc>
        <w:tc>
          <w:tcPr>
            <w:tcW w:type="dxa" w:w="2541"/>
            <w:tcMar>
              <w:top w:w="85" w:type="dxa"/>
              <w:start w:w="100" w:type="dxa"/>
              <w:bottom w:w="85" w:type="dxa"/>
              <w:end w:w="100" w:type="dxa"/>
            </w:tcMar>
            <w:vAlign w:val="top"/>
          </w:tcPr>
          <w:p>
            <w:r>
              <w:rPr>
                <w:rFonts w:ascii="Aptos" w:hAnsi="Aptos" w:eastAsia="Aptos"/>
                <w:b w:val="0"/>
                <w:color w:val="1F1F1F"/>
                <w:sz w:val="16"/>
              </w:rPr>
              <w:t>Does not meet the project BP threshold at that visit.</w:t>
            </w:r>
          </w:p>
        </w:tc>
        <w:tc>
          <w:tcPr>
            <w:tcW w:type="dxa" w:w="2541"/>
            <w:tcMar>
              <w:top w:w="85" w:type="dxa"/>
              <w:start w:w="100" w:type="dxa"/>
              <w:bottom w:w="85" w:type="dxa"/>
              <w:end w:w="100" w:type="dxa"/>
            </w:tcMar>
            <w:vAlign w:val="top"/>
          </w:tcPr>
          <w:p>
            <w:r>
              <w:rPr>
                <w:rFonts w:ascii="Aptos" w:hAnsi="Aptos" w:eastAsia="Aptos"/>
                <w:b w:val="0"/>
                <w:color w:val="1F1F1F"/>
                <w:sz w:val="16"/>
              </w:rPr>
              <w:t>Rule logic only.</w:t>
            </w:r>
          </w:p>
        </w:tc>
        <w:tc>
          <w:tcPr>
            <w:tcW w:type="dxa" w:w="2541"/>
            <w:tcMar>
              <w:top w:w="85" w:type="dxa"/>
              <w:start w:w="100" w:type="dxa"/>
              <w:bottom w:w="85" w:type="dxa"/>
              <w:end w:w="100" w:type="dxa"/>
            </w:tcMar>
            <w:vAlign w:val="top"/>
          </w:tcPr>
          <w:p>
            <w:r>
              <w:rPr>
                <w:rFonts w:ascii="Aptos" w:hAnsi="Aptos" w:eastAsia="Aptos"/>
                <w:b w:val="0"/>
                <w:color w:val="1F1F1F"/>
                <w:sz w:val="16"/>
              </w:rPr>
              <w:t>A normal value does not exclude evolving disease or symptoms.</w:t>
            </w:r>
          </w:p>
        </w:tc>
      </w:tr>
      <w:tr>
        <w:trPr>
          <w:cantSplit w:val="true"/>
        </w:trPr>
        <w:tc>
          <w:tcPr>
            <w:tcW w:type="dxa" w:w="2541"/>
            <w:tcMar>
              <w:top w:w="85" w:type="dxa"/>
              <w:start w:w="100" w:type="dxa"/>
              <w:bottom w:w="85" w:type="dxa"/>
              <w:end w:w="100" w:type="dxa"/>
            </w:tcMar>
            <w:vAlign w:val="top"/>
            <w:shd w:fill="F5F8FC"/>
          </w:tcPr>
          <w:p>
            <w:r>
              <w:rPr>
                <w:rFonts w:ascii="Aptos" w:hAnsi="Aptos" w:eastAsia="Aptos"/>
                <w:b w:val="0"/>
                <w:color w:val="1F1F1F"/>
                <w:sz w:val="16"/>
              </w:rPr>
              <w:t>Missing/invalid BP → incomplete/error</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A risk conclusion cannot be safely based on absent or impossible measurements.</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Data-safety principle.</w:t>
            </w:r>
          </w:p>
        </w:tc>
        <w:tc>
          <w:tcPr>
            <w:tcW w:type="dxa" w:w="2541"/>
            <w:tcMar>
              <w:top w:w="85" w:type="dxa"/>
              <w:start w:w="100" w:type="dxa"/>
              <w:bottom w:w="85" w:type="dxa"/>
              <w:end w:w="100" w:type="dxa"/>
            </w:tcMar>
            <w:vAlign w:val="top"/>
            <w:shd w:fill="F5F8FC"/>
          </w:tcPr>
          <w:p>
            <w:r>
              <w:rPr>
                <w:rFonts w:ascii="Aptos" w:hAnsi="Aptos" w:eastAsia="Aptos"/>
                <w:b w:val="0"/>
                <w:color w:val="1F1F1F"/>
                <w:sz w:val="16"/>
              </w:rPr>
              <w:t>Never substitute zero or previous values silently.</w:t>
            </w:r>
          </w:p>
        </w:tc>
      </w:tr>
    </w:tbl>
    <w:p/>
    <w:p>
      <w:pPr>
        <w:pStyle w:val="Heading1"/>
      </w:pPr>
      <w:r>
        <w:t>11. Implementation Traceability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val="true"/>
        </w:trPr>
        <w:tc>
          <w:tcPr>
            <w:tcW w:type="dxa" w:w="2033"/>
            <w:shd w:fill="17365D"/>
            <w:tcMar>
              <w:top w:w="85" w:type="dxa"/>
              <w:start w:w="100" w:type="dxa"/>
              <w:bottom w:w="85" w:type="dxa"/>
              <w:end w:w="100" w:type="dxa"/>
            </w:tcMar>
            <w:vAlign w:val="center"/>
          </w:tcPr>
          <w:p>
            <w:pPr>
              <w:jc w:val="center"/>
            </w:pPr>
            <w:r>
              <w:rPr>
                <w:rFonts w:ascii="Aptos" w:hAnsi="Aptos" w:eastAsia="Aptos"/>
                <w:b/>
                <w:color w:val="FFFFFF"/>
                <w:sz w:val="16"/>
              </w:rPr>
              <w:t>Evidence / Design Basis</w:t>
            </w:r>
          </w:p>
        </w:tc>
        <w:tc>
          <w:tcPr>
            <w:tcW w:type="dxa" w:w="2033"/>
            <w:shd w:fill="17365D"/>
            <w:tcMar>
              <w:top w:w="85" w:type="dxa"/>
              <w:start w:w="100" w:type="dxa"/>
              <w:bottom w:w="85" w:type="dxa"/>
              <w:end w:w="100" w:type="dxa"/>
            </w:tcMar>
            <w:vAlign w:val="center"/>
          </w:tcPr>
          <w:p>
            <w:pPr>
              <w:jc w:val="center"/>
            </w:pPr>
            <w:r>
              <w:rPr>
                <w:rFonts w:ascii="Aptos" w:hAnsi="Aptos" w:eastAsia="Aptos"/>
                <w:b/>
                <w:color w:val="FFFFFF"/>
                <w:sz w:val="16"/>
              </w:rPr>
              <w:t>Input Fields</w:t>
            </w:r>
          </w:p>
        </w:tc>
        <w:tc>
          <w:tcPr>
            <w:tcW w:type="dxa" w:w="2033"/>
            <w:shd w:fill="17365D"/>
            <w:tcMar>
              <w:top w:w="85" w:type="dxa"/>
              <w:start w:w="100" w:type="dxa"/>
              <w:bottom w:w="85" w:type="dxa"/>
              <w:end w:w="100" w:type="dxa"/>
            </w:tcMar>
            <w:vAlign w:val="center"/>
          </w:tcPr>
          <w:p>
            <w:pPr>
              <w:jc w:val="center"/>
            </w:pPr>
            <w:r>
              <w:rPr>
                <w:rFonts w:ascii="Aptos" w:hAnsi="Aptos" w:eastAsia="Aptos"/>
                <w:b/>
                <w:color w:val="FFFFFF"/>
                <w:sz w:val="16"/>
              </w:rPr>
              <w:t>Recommended Controller Logic</w:t>
            </w:r>
          </w:p>
        </w:tc>
        <w:tc>
          <w:tcPr>
            <w:tcW w:type="dxa" w:w="2033"/>
            <w:shd w:fill="17365D"/>
            <w:tcMar>
              <w:top w:w="85" w:type="dxa"/>
              <w:start w:w="100" w:type="dxa"/>
              <w:bottom w:w="85" w:type="dxa"/>
              <w:end w:w="100" w:type="dxa"/>
            </w:tcMar>
            <w:vAlign w:val="center"/>
          </w:tcPr>
          <w:p>
            <w:pPr>
              <w:jc w:val="center"/>
            </w:pPr>
            <w:r>
              <w:rPr>
                <w:rFonts w:ascii="Aptos" w:hAnsi="Aptos" w:eastAsia="Aptos"/>
                <w:b/>
                <w:color w:val="FFFFFF"/>
                <w:sz w:val="16"/>
              </w:rPr>
              <w:t>Final State</w:t>
            </w:r>
          </w:p>
        </w:tc>
        <w:tc>
          <w:tcPr>
            <w:tcW w:type="dxa" w:w="2033"/>
            <w:shd w:fill="17365D"/>
            <w:tcMar>
              <w:top w:w="85" w:type="dxa"/>
              <w:start w:w="100" w:type="dxa"/>
              <w:bottom w:w="85" w:type="dxa"/>
              <w:end w:w="100" w:type="dxa"/>
            </w:tcMar>
            <w:vAlign w:val="center"/>
          </w:tcPr>
          <w:p>
            <w:pPr>
              <w:jc w:val="center"/>
            </w:pPr>
            <w:r>
              <w:rPr>
                <w:rFonts w:ascii="Aptos" w:hAnsi="Aptos" w:eastAsia="Aptos"/>
                <w:b/>
                <w:color w:val="FFFFFF"/>
                <w:sz w:val="16"/>
              </w:rPr>
              <w:t>Explanation Priority</w:t>
            </w:r>
          </w:p>
        </w:tc>
      </w:tr>
      <w:tr>
        <w:trPr>
          <w:cantSplit w:val="true"/>
        </w:trPr>
        <w:tc>
          <w:tcPr>
            <w:tcW w:type="dxa" w:w="2033"/>
            <w:tcMar>
              <w:top w:w="85" w:type="dxa"/>
              <w:start w:w="100" w:type="dxa"/>
              <w:bottom w:w="85" w:type="dxa"/>
              <w:end w:w="100" w:type="dxa"/>
            </w:tcMar>
            <w:vAlign w:val="top"/>
          </w:tcPr>
          <w:p>
            <w:r>
              <w:rPr>
                <w:rFonts w:ascii="Aptos" w:hAnsi="Aptos" w:eastAsia="Aptos"/>
                <w:b w:val="0"/>
                <w:color w:val="1F1F1F"/>
                <w:sz w:val="16"/>
              </w:rPr>
              <w:t>140/90 pregnancy threshold</w:t>
            </w:r>
          </w:p>
        </w:tc>
        <w:tc>
          <w:tcPr>
            <w:tcW w:type="dxa" w:w="2033"/>
            <w:tcMar>
              <w:top w:w="85" w:type="dxa"/>
              <w:start w:w="100" w:type="dxa"/>
              <w:bottom w:w="85" w:type="dxa"/>
              <w:end w:w="100" w:type="dxa"/>
            </w:tcMar>
            <w:vAlign w:val="top"/>
          </w:tcPr>
          <w:p>
            <w:r>
              <w:rPr>
                <w:rFonts w:ascii="Aptos" w:hAnsi="Aptos" w:eastAsia="Aptos"/>
                <w:b w:val="0"/>
                <w:color w:val="1F1F1F"/>
                <w:sz w:val="16"/>
              </w:rPr>
              <w:t>systolic_bp, diastolic_bp</w:t>
            </w:r>
          </w:p>
        </w:tc>
        <w:tc>
          <w:tcPr>
            <w:tcW w:type="dxa" w:w="2033"/>
            <w:tcMar>
              <w:top w:w="85" w:type="dxa"/>
              <w:start w:w="100" w:type="dxa"/>
              <w:bottom w:w="85" w:type="dxa"/>
              <w:end w:w="100" w:type="dxa"/>
            </w:tcMar>
            <w:vAlign w:val="top"/>
          </w:tcPr>
          <w:p>
            <w:r>
              <w:rPr>
                <w:rFonts w:ascii="Aptos" w:hAnsi="Aptos" w:eastAsia="Aptos"/>
                <w:b w:val="0"/>
                <w:color w:val="1F1F1F"/>
                <w:sz w:val="16"/>
              </w:rPr>
              <w:t>if SBP &gt;= 140 || DBP &gt;= 90: add HIGH factor</w:t>
            </w:r>
          </w:p>
        </w:tc>
        <w:tc>
          <w:tcPr>
            <w:tcW w:type="dxa" w:w="2033"/>
            <w:tcMar>
              <w:top w:w="85" w:type="dxa"/>
              <w:start w:w="100" w:type="dxa"/>
              <w:bottom w:w="85" w:type="dxa"/>
              <w:end w:w="100" w:type="dxa"/>
            </w:tcMar>
            <w:vAlign w:val="top"/>
          </w:tcPr>
          <w:p>
            <w:r>
              <w:rPr>
                <w:rFonts w:ascii="Aptos" w:hAnsi="Aptos" w:eastAsia="Aptos"/>
                <w:b w:val="0"/>
                <w:color w:val="1F1F1F"/>
                <w:sz w:val="16"/>
              </w:rPr>
              <w:t>HIGH overrides LOW ML</w:t>
            </w:r>
          </w:p>
        </w:tc>
        <w:tc>
          <w:tcPr>
            <w:tcW w:type="dxa" w:w="2033"/>
            <w:tcMar>
              <w:top w:w="85" w:type="dxa"/>
              <w:start w:w="100" w:type="dxa"/>
              <w:bottom w:w="85" w:type="dxa"/>
              <w:end w:w="100" w:type="dxa"/>
            </w:tcMar>
            <w:vAlign w:val="top"/>
          </w:tcPr>
          <w:p>
            <w:r>
              <w:rPr>
                <w:rFonts w:ascii="Aptos" w:hAnsi="Aptos" w:eastAsia="Aptos"/>
                <w:b w:val="0"/>
                <w:color w:val="1F1F1F"/>
                <w:sz w:val="16"/>
              </w:rPr>
              <w:t>High</w:t>
            </w:r>
          </w:p>
        </w:tc>
      </w:tr>
      <w:tr>
        <w:trPr>
          <w:cantSplit w:val="true"/>
        </w:trPr>
        <w:tc>
          <w:tcPr>
            <w:tcW w:type="dxa" w:w="2033"/>
            <w:tcMar>
              <w:top w:w="85" w:type="dxa"/>
              <w:start w:w="100" w:type="dxa"/>
              <w:bottom w:w="85" w:type="dxa"/>
              <w:end w:w="100" w:type="dxa"/>
            </w:tcMar>
            <w:vAlign w:val="top"/>
            <w:shd w:fill="F5F8FC"/>
          </w:tcPr>
          <w:p>
            <w:r>
              <w:rPr>
                <w:rFonts w:ascii="Aptos" w:hAnsi="Aptos" w:eastAsia="Aptos"/>
                <w:b w:val="0"/>
                <w:color w:val="1F1F1F"/>
                <w:sz w:val="16"/>
              </w:rPr>
              <w:t>160/110 severe-range threshold</w:t>
            </w:r>
          </w:p>
        </w:tc>
        <w:tc>
          <w:tcPr>
            <w:tcW w:type="dxa" w:w="2033"/>
            <w:tcMar>
              <w:top w:w="85" w:type="dxa"/>
              <w:start w:w="100" w:type="dxa"/>
              <w:bottom w:w="85" w:type="dxa"/>
              <w:end w:w="100" w:type="dxa"/>
            </w:tcMar>
            <w:vAlign w:val="top"/>
            <w:shd w:fill="F5F8FC"/>
          </w:tcPr>
          <w:p>
            <w:r>
              <w:rPr>
                <w:rFonts w:ascii="Aptos" w:hAnsi="Aptos" w:eastAsia="Aptos"/>
                <w:b w:val="0"/>
                <w:color w:val="1F1F1F"/>
                <w:sz w:val="16"/>
              </w:rPr>
              <w:t>systolic_bp, diastolic_bp</w:t>
            </w:r>
          </w:p>
        </w:tc>
        <w:tc>
          <w:tcPr>
            <w:tcW w:type="dxa" w:w="2033"/>
            <w:tcMar>
              <w:top w:w="85" w:type="dxa"/>
              <w:start w:w="100" w:type="dxa"/>
              <w:bottom w:w="85" w:type="dxa"/>
              <w:end w:w="100" w:type="dxa"/>
            </w:tcMar>
            <w:vAlign w:val="top"/>
            <w:shd w:fill="F5F8FC"/>
          </w:tcPr>
          <w:p>
            <w:r>
              <w:rPr>
                <w:rFonts w:ascii="Aptos" w:hAnsi="Aptos" w:eastAsia="Aptos"/>
                <w:b w:val="0"/>
                <w:color w:val="1F1F1F"/>
                <w:sz w:val="16"/>
              </w:rPr>
              <w:t>if SBP &gt;= 160 || DBP &gt;= 110: add URGENT factor and HIGH</w:t>
            </w:r>
          </w:p>
        </w:tc>
        <w:tc>
          <w:tcPr>
            <w:tcW w:type="dxa" w:w="2033"/>
            <w:tcMar>
              <w:top w:w="85" w:type="dxa"/>
              <w:start w:w="100" w:type="dxa"/>
              <w:bottom w:w="85" w:type="dxa"/>
              <w:end w:w="100" w:type="dxa"/>
            </w:tcMar>
            <w:vAlign w:val="top"/>
            <w:shd w:fill="F5F8FC"/>
          </w:tcPr>
          <w:p>
            <w:r>
              <w:rPr>
                <w:rFonts w:ascii="Aptos" w:hAnsi="Aptos" w:eastAsia="Aptos"/>
                <w:b w:val="0"/>
                <w:color w:val="1F1F1F"/>
                <w:sz w:val="16"/>
              </w:rPr>
              <w:t>HIGH + urgent flag</w:t>
            </w:r>
          </w:p>
        </w:tc>
        <w:tc>
          <w:tcPr>
            <w:tcW w:type="dxa" w:w="2033"/>
            <w:tcMar>
              <w:top w:w="85" w:type="dxa"/>
              <w:start w:w="100" w:type="dxa"/>
              <w:bottom w:w="85" w:type="dxa"/>
              <w:end w:w="100" w:type="dxa"/>
            </w:tcMar>
            <w:vAlign w:val="top"/>
            <w:shd w:fill="F5F8FC"/>
          </w:tcPr>
          <w:p>
            <w:r>
              <w:rPr>
                <w:rFonts w:ascii="Aptos" w:hAnsi="Aptos" w:eastAsia="Aptos"/>
                <w:b w:val="0"/>
                <w:color w:val="1F1F1F"/>
                <w:sz w:val="16"/>
              </w:rPr>
              <w:t>First / highest</w:t>
            </w:r>
          </w:p>
        </w:tc>
      </w:tr>
      <w:tr>
        <w:trPr>
          <w:cantSplit w:val="true"/>
        </w:trPr>
        <w:tc>
          <w:tcPr>
            <w:tcW w:type="dxa" w:w="2033"/>
            <w:tcMar>
              <w:top w:w="85" w:type="dxa"/>
              <w:start w:w="100" w:type="dxa"/>
              <w:bottom w:w="85" w:type="dxa"/>
              <w:end w:w="100" w:type="dxa"/>
            </w:tcMar>
            <w:vAlign w:val="top"/>
          </w:tcPr>
          <w:p>
            <w:r>
              <w:rPr>
                <w:rFonts w:ascii="Aptos" w:hAnsi="Aptos" w:eastAsia="Aptos"/>
                <w:b w:val="0"/>
                <w:color w:val="1F1F1F"/>
                <w:sz w:val="16"/>
              </w:rPr>
              <w:t>Valid normal-range value</w:t>
            </w:r>
          </w:p>
        </w:tc>
        <w:tc>
          <w:tcPr>
            <w:tcW w:type="dxa" w:w="2033"/>
            <w:tcMar>
              <w:top w:w="85" w:type="dxa"/>
              <w:start w:w="100" w:type="dxa"/>
              <w:bottom w:w="85" w:type="dxa"/>
              <w:end w:w="100" w:type="dxa"/>
            </w:tcMar>
            <w:vAlign w:val="top"/>
          </w:tcPr>
          <w:p>
            <w:r>
              <w:rPr>
                <w:rFonts w:ascii="Aptos" w:hAnsi="Aptos" w:eastAsia="Aptos"/>
                <w:b w:val="0"/>
                <w:color w:val="1F1F1F"/>
                <w:sz w:val="16"/>
              </w:rPr>
              <w:t>Both numeric and plausible</w:t>
            </w:r>
          </w:p>
        </w:tc>
        <w:tc>
          <w:tcPr>
            <w:tcW w:type="dxa" w:w="2033"/>
            <w:tcMar>
              <w:top w:w="85" w:type="dxa"/>
              <w:start w:w="100" w:type="dxa"/>
              <w:bottom w:w="85" w:type="dxa"/>
              <w:end w:w="100" w:type="dxa"/>
            </w:tcMar>
            <w:vAlign w:val="top"/>
          </w:tcPr>
          <w:p>
            <w:r>
              <w:rPr>
                <w:rFonts w:ascii="Aptos" w:hAnsi="Aptos" w:eastAsia="Aptos"/>
                <w:b w:val="0"/>
                <w:color w:val="1F1F1F"/>
                <w:sz w:val="16"/>
              </w:rPr>
              <w:t>continue evaluating other rules and ML</w:t>
            </w:r>
          </w:p>
        </w:tc>
        <w:tc>
          <w:tcPr>
            <w:tcW w:type="dxa" w:w="2033"/>
            <w:tcMar>
              <w:top w:w="85" w:type="dxa"/>
              <w:start w:w="100" w:type="dxa"/>
              <w:bottom w:w="85" w:type="dxa"/>
              <w:end w:w="100" w:type="dxa"/>
            </w:tcMar>
            <w:vAlign w:val="top"/>
          </w:tcPr>
          <w:p>
            <w:r>
              <w:rPr>
                <w:rFonts w:ascii="Aptos" w:hAnsi="Aptos" w:eastAsia="Aptos"/>
                <w:b w:val="0"/>
                <w:color w:val="1F1F1F"/>
                <w:sz w:val="16"/>
              </w:rPr>
              <w:t>Depends on full assessment</w:t>
            </w:r>
          </w:p>
        </w:tc>
        <w:tc>
          <w:tcPr>
            <w:tcW w:type="dxa" w:w="2033"/>
            <w:tcMar>
              <w:top w:w="85" w:type="dxa"/>
              <w:start w:w="100" w:type="dxa"/>
              <w:bottom w:w="85" w:type="dxa"/>
              <w:end w:w="100" w:type="dxa"/>
            </w:tcMar>
            <w:vAlign w:val="top"/>
          </w:tcPr>
          <w:p>
            <w:r>
              <w:rPr>
                <w:rFonts w:ascii="Aptos" w:hAnsi="Aptos" w:eastAsia="Aptos"/>
                <w:b w:val="0"/>
                <w:color w:val="1F1F1F"/>
                <w:sz w:val="16"/>
              </w:rPr>
              <w:t>Routine</w:t>
            </w:r>
          </w:p>
        </w:tc>
      </w:tr>
      <w:tr>
        <w:trPr>
          <w:cantSplit w:val="true"/>
        </w:trPr>
        <w:tc>
          <w:tcPr>
            <w:tcW w:type="dxa" w:w="2033"/>
            <w:tcMar>
              <w:top w:w="85" w:type="dxa"/>
              <w:start w:w="100" w:type="dxa"/>
              <w:bottom w:w="85" w:type="dxa"/>
              <w:end w:w="100" w:type="dxa"/>
            </w:tcMar>
            <w:vAlign w:val="top"/>
            <w:shd w:fill="F5F8FC"/>
          </w:tcPr>
          <w:p>
            <w:r>
              <w:rPr>
                <w:rFonts w:ascii="Aptos" w:hAnsi="Aptos" w:eastAsia="Aptos"/>
                <w:b w:val="0"/>
                <w:color w:val="1F1F1F"/>
                <w:sz w:val="16"/>
              </w:rPr>
              <w:t>Missing or malformed data</w:t>
            </w:r>
          </w:p>
        </w:tc>
        <w:tc>
          <w:tcPr>
            <w:tcW w:type="dxa" w:w="2033"/>
            <w:tcMar>
              <w:top w:w="85" w:type="dxa"/>
              <w:start w:w="100" w:type="dxa"/>
              <w:bottom w:w="85" w:type="dxa"/>
              <w:end w:w="100" w:type="dxa"/>
            </w:tcMar>
            <w:vAlign w:val="top"/>
            <w:shd w:fill="F5F8FC"/>
          </w:tcPr>
          <w:p>
            <w:r>
              <w:rPr>
                <w:rFonts w:ascii="Aptos" w:hAnsi="Aptos" w:eastAsia="Aptos"/>
                <w:b w:val="0"/>
                <w:color w:val="1F1F1F"/>
                <w:sz w:val="16"/>
              </w:rPr>
              <w:t>null, text, impossible value</w:t>
            </w:r>
          </w:p>
        </w:tc>
        <w:tc>
          <w:tcPr>
            <w:tcW w:type="dxa" w:w="2033"/>
            <w:tcMar>
              <w:top w:w="85" w:type="dxa"/>
              <w:start w:w="100" w:type="dxa"/>
              <w:bottom w:w="85" w:type="dxa"/>
              <w:end w:w="100" w:type="dxa"/>
            </w:tcMar>
            <w:vAlign w:val="top"/>
            <w:shd w:fill="F5F8FC"/>
          </w:tcPr>
          <w:p>
            <w:r>
              <w:rPr>
                <w:rFonts w:ascii="Aptos" w:hAnsi="Aptos" w:eastAsia="Aptos"/>
                <w:b w:val="0"/>
                <w:color w:val="1F1F1F"/>
                <w:sz w:val="16"/>
              </w:rPr>
              <w:t>reject submission or mark assessment incomplete</w:t>
            </w:r>
          </w:p>
        </w:tc>
        <w:tc>
          <w:tcPr>
            <w:tcW w:type="dxa" w:w="2033"/>
            <w:tcMar>
              <w:top w:w="85" w:type="dxa"/>
              <w:start w:w="100" w:type="dxa"/>
              <w:bottom w:w="85" w:type="dxa"/>
              <w:end w:w="100" w:type="dxa"/>
            </w:tcMar>
            <w:vAlign w:val="top"/>
            <w:shd w:fill="F5F8FC"/>
          </w:tcPr>
          <w:p>
            <w:r>
              <w:rPr>
                <w:rFonts w:ascii="Aptos" w:hAnsi="Aptos" w:eastAsia="Aptos"/>
                <w:b w:val="0"/>
                <w:color w:val="1F1F1F"/>
                <w:sz w:val="16"/>
              </w:rPr>
              <w:t>INCOMPLETE/error</w:t>
            </w:r>
          </w:p>
        </w:tc>
        <w:tc>
          <w:tcPr>
            <w:tcW w:type="dxa" w:w="2033"/>
            <w:tcMar>
              <w:top w:w="85" w:type="dxa"/>
              <w:start w:w="100" w:type="dxa"/>
              <w:bottom w:w="85" w:type="dxa"/>
              <w:end w:w="100" w:type="dxa"/>
            </w:tcMar>
            <w:vAlign w:val="top"/>
            <w:shd w:fill="F5F8FC"/>
          </w:tcPr>
          <w:p>
            <w:r>
              <w:rPr>
                <w:rFonts w:ascii="Aptos" w:hAnsi="Aptos" w:eastAsia="Aptos"/>
                <w:b w:val="0"/>
                <w:color w:val="1F1F1F"/>
                <w:sz w:val="16"/>
              </w:rPr>
              <w:t>High</w:t>
            </w:r>
          </w:p>
        </w:tc>
      </w:tr>
      <w:tr>
        <w:trPr>
          <w:cantSplit w:val="true"/>
        </w:trPr>
        <w:tc>
          <w:tcPr>
            <w:tcW w:type="dxa" w:w="2033"/>
            <w:tcMar>
              <w:top w:w="85" w:type="dxa"/>
              <w:start w:w="100" w:type="dxa"/>
              <w:bottom w:w="85" w:type="dxa"/>
              <w:end w:w="100" w:type="dxa"/>
            </w:tcMar>
            <w:vAlign w:val="top"/>
          </w:tcPr>
          <w:p>
            <w:r>
              <w:rPr>
                <w:rFonts w:ascii="Aptos" w:hAnsi="Aptos" w:eastAsia="Aptos"/>
                <w:b w:val="0"/>
                <w:color w:val="1F1F1F"/>
                <w:sz w:val="16"/>
              </w:rPr>
              <w:t>Multiple measurements</w:t>
            </w:r>
          </w:p>
        </w:tc>
        <w:tc>
          <w:tcPr>
            <w:tcW w:type="dxa" w:w="2033"/>
            <w:tcMar>
              <w:top w:w="85" w:type="dxa"/>
              <w:start w:w="100" w:type="dxa"/>
              <w:bottom w:w="85" w:type="dxa"/>
              <w:end w:w="100" w:type="dxa"/>
            </w:tcMar>
            <w:vAlign w:val="top"/>
          </w:tcPr>
          <w:p>
            <w:r>
              <w:rPr>
                <w:rFonts w:ascii="Aptos" w:hAnsi="Aptos" w:eastAsia="Aptos"/>
                <w:b w:val="0"/>
                <w:color w:val="1F1F1F"/>
                <w:sz w:val="16"/>
              </w:rPr>
              <w:t>reading history and timestamps</w:t>
            </w:r>
          </w:p>
        </w:tc>
        <w:tc>
          <w:tcPr>
            <w:tcW w:type="dxa" w:w="2033"/>
            <w:tcMar>
              <w:top w:w="85" w:type="dxa"/>
              <w:start w:w="100" w:type="dxa"/>
              <w:bottom w:w="85" w:type="dxa"/>
              <w:end w:w="100" w:type="dxa"/>
            </w:tcMar>
            <w:vAlign w:val="top"/>
          </w:tcPr>
          <w:p>
            <w:r>
              <w:rPr>
                <w:rFonts w:ascii="Aptos" w:hAnsi="Aptos" w:eastAsia="Aptos"/>
                <w:b w:val="0"/>
                <w:color w:val="1F1F1F"/>
                <w:sz w:val="16"/>
              </w:rPr>
              <w:t>evaluate latest verified reading while retaining all readings; severe reading remains auditable</w:t>
            </w:r>
          </w:p>
        </w:tc>
        <w:tc>
          <w:tcPr>
            <w:tcW w:type="dxa" w:w="2033"/>
            <w:tcMar>
              <w:top w:w="85" w:type="dxa"/>
              <w:start w:w="100" w:type="dxa"/>
              <w:bottom w:w="85" w:type="dxa"/>
              <w:end w:w="100" w:type="dxa"/>
            </w:tcMar>
            <w:vAlign w:val="top"/>
          </w:tcPr>
          <w:p>
            <w:r>
              <w:rPr>
                <w:rFonts w:ascii="Aptos" w:hAnsi="Aptos" w:eastAsia="Aptos"/>
                <w:b w:val="0"/>
                <w:color w:val="1F1F1F"/>
                <w:sz w:val="16"/>
              </w:rPr>
              <w:t>Context-dependent</w:t>
            </w:r>
          </w:p>
        </w:tc>
        <w:tc>
          <w:tcPr>
            <w:tcW w:type="dxa" w:w="2033"/>
            <w:tcMar>
              <w:top w:w="85" w:type="dxa"/>
              <w:start w:w="100" w:type="dxa"/>
              <w:bottom w:w="85" w:type="dxa"/>
              <w:end w:w="100" w:type="dxa"/>
            </w:tcMar>
            <w:vAlign w:val="top"/>
          </w:tcPr>
          <w:p>
            <w:r>
              <w:rPr>
                <w:rFonts w:ascii="Aptos" w:hAnsi="Aptos" w:eastAsia="Aptos"/>
                <w:b w:val="0"/>
                <w:color w:val="1F1F1F"/>
                <w:sz w:val="16"/>
              </w:rPr>
              <w:t>Show trend and severe events</w:t>
            </w:r>
          </w:p>
        </w:tc>
      </w:tr>
    </w:tbl>
    <w:p/>
    <w:tbl>
      <w:tblPr>
        <w:tblW w:type="auto" w:w="0"/>
        <w:tblLook w:firstColumn="1" w:firstRow="1" w:lastColumn="0" w:lastRow="0" w:noHBand="0" w:noVBand="1" w:val="04A0"/>
      </w:tblPr>
      <w:tblGrid>
        <w:gridCol w:w="10166"/>
      </w:tblGrid>
      <w:tr>
        <w:tc>
          <w:tcPr>
            <w:tcW w:type="dxa" w:w="10166"/>
            <w:shd w:fill="FCE4D6"/>
            <w:tcMar>
              <w:top w:w="120" w:type="dxa"/>
              <w:start w:w="150" w:type="dxa"/>
              <w:bottom w:w="120" w:type="dxa"/>
              <w:end w:w="150" w:type="dxa"/>
            </w:tcMar>
          </w:tcPr>
          <w:p>
            <w:r>
              <w:rPr>
                <w:rFonts w:ascii="Aptos" w:hAnsi="Aptos" w:eastAsia="Aptos"/>
                <w:b/>
                <w:color w:val="17365D"/>
                <w:sz w:val="21"/>
              </w:rPr>
              <w:t>Suggested precedence</w:t>
            </w:r>
          </w:p>
          <w:p>
            <w:r>
              <w:rPr>
                <w:rFonts w:ascii="Aptos" w:hAnsi="Aptos" w:eastAsia="Aptos"/>
                <w:b w:val="0"/>
                <w:color w:val="1F1F1F"/>
                <w:sz w:val="18"/>
              </w:rPr>
              <w:t>1) severe-range BP and emergency symptoms; 2) other urgent findings; 3) non-severe HIGH factors; 4) missing-data explanation; 5) LOW explanation. The system should never bury a severe BP warning below a general recommendation.</w:t>
            </w:r>
          </w:p>
        </w:tc>
      </w:tr>
    </w:tbl>
    <w:p/>
    <w:p>
      <w:pPr>
        <w:pStyle w:val="Heading1"/>
      </w:pPr>
      <w:r>
        <w:t>12. Explainability Library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7365D"/>
            <w:tcMar>
              <w:top w:w="85" w:type="dxa"/>
              <w:start w:w="100" w:type="dxa"/>
              <w:bottom w:w="85" w:type="dxa"/>
              <w:end w:w="100" w:type="dxa"/>
            </w:tcMar>
            <w:vAlign w:val="center"/>
          </w:tcPr>
          <w:p>
            <w:pPr>
              <w:jc w:val="center"/>
            </w:pPr>
            <w:r>
              <w:rPr>
                <w:rFonts w:ascii="Aptos" w:hAnsi="Aptos" w:eastAsia="Aptos"/>
                <w:b/>
                <w:color w:val="FFFFFF"/>
                <w:sz w:val="16"/>
              </w:rPr>
              <w:t>State</w:t>
            </w:r>
          </w:p>
        </w:tc>
        <w:tc>
          <w:tcPr>
            <w:tcW w:type="dxa" w:w="5083"/>
            <w:shd w:fill="17365D"/>
            <w:tcMar>
              <w:top w:w="85" w:type="dxa"/>
              <w:start w:w="100" w:type="dxa"/>
              <w:bottom w:w="85" w:type="dxa"/>
              <w:end w:w="100" w:type="dxa"/>
            </w:tcMar>
            <w:vAlign w:val="center"/>
          </w:tcPr>
          <w:p>
            <w:pPr>
              <w:jc w:val="center"/>
            </w:pPr>
            <w:r>
              <w:rPr>
                <w:rFonts w:ascii="Aptos" w:hAnsi="Aptos" w:eastAsia="Aptos"/>
                <w:b/>
                <w:color w:val="FFFFFF"/>
                <w:sz w:val="16"/>
              </w:rPr>
              <w:t>Approved User-Facing Explanation</w:t>
            </w:r>
          </w:p>
        </w:tc>
      </w:tr>
      <w:tr>
        <w:trPr>
          <w:cantSplit w:val="true"/>
        </w:trPr>
        <w:tc>
          <w:tcPr>
            <w:tcW w:type="dxa" w:w="5083"/>
            <w:tcMar>
              <w:top w:w="85" w:type="dxa"/>
              <w:start w:w="100" w:type="dxa"/>
              <w:bottom w:w="85" w:type="dxa"/>
              <w:end w:w="100" w:type="dxa"/>
            </w:tcMar>
            <w:vAlign w:val="top"/>
          </w:tcPr>
          <w:p>
            <w:r>
              <w:rPr>
                <w:rFonts w:ascii="Aptos" w:hAnsi="Aptos" w:eastAsia="Aptos"/>
                <w:b w:val="0"/>
                <w:color w:val="1F1F1F"/>
                <w:sz w:val="16"/>
              </w:rPr>
              <w:t>HIGH: non-severe threshold</w:t>
            </w:r>
          </w:p>
        </w:tc>
        <w:tc>
          <w:tcPr>
            <w:tcW w:type="dxa" w:w="5083"/>
            <w:tcMar>
              <w:top w:w="85" w:type="dxa"/>
              <w:start w:w="100" w:type="dxa"/>
              <w:bottom w:w="85" w:type="dxa"/>
              <w:end w:w="100" w:type="dxa"/>
            </w:tcMar>
            <w:vAlign w:val="top"/>
          </w:tcPr>
          <w:p>
            <w:r>
              <w:rPr>
                <w:rFonts w:ascii="Aptos" w:hAnsi="Aptos" w:eastAsia="Aptos"/>
                <w:b w:val="0"/>
                <w:color w:val="1F1F1F"/>
                <w:sz w:val="16"/>
              </w:rPr>
              <w:t>The recorded blood pressure is [SBP]/[DBP] mmHg. The systolic value is at least 140 and/or the diastolic value is at least 90, so the system classified the assessment as HIGH. This is a screening result, not a diagnosis. Repeat the measurement correctly and arrange professional assessment.</w:t>
            </w:r>
          </w:p>
        </w:tc>
      </w:tr>
      <w:tr>
        <w:trPr>
          <w:cantSplit w:val="true"/>
        </w:trPr>
        <w:tc>
          <w:tcPr>
            <w:tcW w:type="dxa" w:w="5083"/>
            <w:tcMar>
              <w:top w:w="85" w:type="dxa"/>
              <w:start w:w="100" w:type="dxa"/>
              <w:bottom w:w="85" w:type="dxa"/>
              <w:end w:w="100" w:type="dxa"/>
            </w:tcMar>
            <w:vAlign w:val="top"/>
            <w:shd w:fill="F5F8FC"/>
          </w:tcPr>
          <w:p>
            <w:r>
              <w:rPr>
                <w:rFonts w:ascii="Aptos" w:hAnsi="Aptos" w:eastAsia="Aptos"/>
                <w:b w:val="0"/>
                <w:color w:val="1F1F1F"/>
                <w:sz w:val="16"/>
              </w:rPr>
              <w:t>URGENT HIGH: severe systolic</w:t>
            </w:r>
          </w:p>
        </w:tc>
        <w:tc>
          <w:tcPr>
            <w:tcW w:type="dxa" w:w="5083"/>
            <w:tcMar>
              <w:top w:w="85" w:type="dxa"/>
              <w:start w:w="100" w:type="dxa"/>
              <w:bottom w:w="85" w:type="dxa"/>
              <w:end w:w="100" w:type="dxa"/>
            </w:tcMar>
            <w:vAlign w:val="top"/>
            <w:shd w:fill="F5F8FC"/>
          </w:tcPr>
          <w:p>
            <w:r>
              <w:rPr>
                <w:rFonts w:ascii="Aptos" w:hAnsi="Aptos" w:eastAsia="Aptos"/>
                <w:b w:val="0"/>
                <w:color w:val="1F1F1F"/>
                <w:sz w:val="16"/>
              </w:rPr>
              <w:t>The systolic pressure is [SBP] mmHg, which is in the severe range even though the diastolic value may be lower. Repeat promptly and activate urgent clinical assessment and referral according to protocol.</w:t>
            </w:r>
          </w:p>
        </w:tc>
      </w:tr>
      <w:tr>
        <w:trPr>
          <w:cantSplit w:val="true"/>
        </w:trPr>
        <w:tc>
          <w:tcPr>
            <w:tcW w:type="dxa" w:w="5083"/>
            <w:tcMar>
              <w:top w:w="85" w:type="dxa"/>
              <w:start w:w="100" w:type="dxa"/>
              <w:bottom w:w="85" w:type="dxa"/>
              <w:end w:w="100" w:type="dxa"/>
            </w:tcMar>
            <w:vAlign w:val="top"/>
          </w:tcPr>
          <w:p>
            <w:r>
              <w:rPr>
                <w:rFonts w:ascii="Aptos" w:hAnsi="Aptos" w:eastAsia="Aptos"/>
                <w:b w:val="0"/>
                <w:color w:val="1F1F1F"/>
                <w:sz w:val="16"/>
              </w:rPr>
              <w:t>URGENT HIGH: severe diastolic</w:t>
            </w:r>
          </w:p>
        </w:tc>
        <w:tc>
          <w:tcPr>
            <w:tcW w:type="dxa" w:w="5083"/>
            <w:tcMar>
              <w:top w:w="85" w:type="dxa"/>
              <w:start w:w="100" w:type="dxa"/>
              <w:bottom w:w="85" w:type="dxa"/>
              <w:end w:w="100" w:type="dxa"/>
            </w:tcMar>
            <w:vAlign w:val="top"/>
          </w:tcPr>
          <w:p>
            <w:r>
              <w:rPr>
                <w:rFonts w:ascii="Aptos" w:hAnsi="Aptos" w:eastAsia="Aptos"/>
                <w:b w:val="0"/>
                <w:color w:val="1F1F1F"/>
                <w:sz w:val="16"/>
              </w:rPr>
              <w:t>The diastolic pressure is [DBP] mmHg, which is in the severe range even though the systolic value may be lower. Repeat promptly and activate urgent clinical assessment and referral according to protocol.</w:t>
            </w:r>
          </w:p>
        </w:tc>
      </w:tr>
      <w:tr>
        <w:trPr>
          <w:cantSplit w:val="true"/>
        </w:trPr>
        <w:tc>
          <w:tcPr>
            <w:tcW w:type="dxa" w:w="5083"/>
            <w:tcMar>
              <w:top w:w="85" w:type="dxa"/>
              <w:start w:w="100" w:type="dxa"/>
              <w:bottom w:w="85" w:type="dxa"/>
              <w:end w:w="100" w:type="dxa"/>
            </w:tcMar>
            <w:vAlign w:val="top"/>
            <w:shd w:fill="F5F8FC"/>
          </w:tcPr>
          <w:p>
            <w:r>
              <w:rPr>
                <w:rFonts w:ascii="Aptos" w:hAnsi="Aptos" w:eastAsia="Aptos"/>
                <w:b w:val="0"/>
                <w:color w:val="1F1F1F"/>
                <w:sz w:val="16"/>
              </w:rPr>
              <w:t>Normal-range reading</w:t>
            </w:r>
          </w:p>
        </w:tc>
        <w:tc>
          <w:tcPr>
            <w:tcW w:type="dxa" w:w="5083"/>
            <w:tcMar>
              <w:top w:w="85" w:type="dxa"/>
              <w:start w:w="100" w:type="dxa"/>
              <w:bottom w:w="85" w:type="dxa"/>
              <w:end w:w="100" w:type="dxa"/>
            </w:tcMar>
            <w:vAlign w:val="top"/>
            <w:shd w:fill="F5F8FC"/>
          </w:tcPr>
          <w:p>
            <w:r>
              <w:rPr>
                <w:rFonts w:ascii="Aptos" w:hAnsi="Aptos" w:eastAsia="Aptos"/>
                <w:b w:val="0"/>
                <w:color w:val="1F1F1F"/>
                <w:sz w:val="16"/>
              </w:rPr>
              <w:t>The recorded BP did not independently trigger the hypertension rule. This does not rule out pre-eclampsia or another problem if symptoms, history, or later readings are concerning.</w:t>
            </w:r>
          </w:p>
        </w:tc>
      </w:tr>
      <w:tr>
        <w:trPr>
          <w:cantSplit w:val="true"/>
        </w:trPr>
        <w:tc>
          <w:tcPr>
            <w:tcW w:type="dxa" w:w="5083"/>
            <w:tcMar>
              <w:top w:w="85" w:type="dxa"/>
              <w:start w:w="100" w:type="dxa"/>
              <w:bottom w:w="85" w:type="dxa"/>
              <w:end w:w="100" w:type="dxa"/>
            </w:tcMar>
            <w:vAlign w:val="top"/>
          </w:tcPr>
          <w:p>
            <w:r>
              <w:rPr>
                <w:rFonts w:ascii="Aptos" w:hAnsi="Aptos" w:eastAsia="Aptos"/>
                <w:b w:val="0"/>
                <w:color w:val="1F1F1F"/>
                <w:sz w:val="16"/>
              </w:rPr>
              <w:t>Invalid/missing</w:t>
            </w:r>
          </w:p>
        </w:tc>
        <w:tc>
          <w:tcPr>
            <w:tcW w:type="dxa" w:w="5083"/>
            <w:tcMar>
              <w:top w:w="85" w:type="dxa"/>
              <w:start w:w="100" w:type="dxa"/>
              <w:bottom w:w="85" w:type="dxa"/>
              <w:end w:w="100" w:type="dxa"/>
            </w:tcMar>
            <w:vAlign w:val="top"/>
          </w:tcPr>
          <w:p>
            <w:r>
              <w:rPr>
                <w:rFonts w:ascii="Aptos" w:hAnsi="Aptos" w:eastAsia="Aptos"/>
                <w:b w:val="0"/>
                <w:color w:val="1F1F1F"/>
                <w:sz w:val="16"/>
              </w:rPr>
              <w:t>Blood pressure could not be evaluated because the systolic or diastolic value is missing or invalid. Correct the record before relying on the assessment.</w:t>
            </w:r>
          </w:p>
        </w:tc>
      </w:tr>
    </w:tbl>
    <w:p/>
    <w:p>
      <w:pPr>
        <w:pStyle w:val="Heading1"/>
      </w:pPr>
      <w:r>
        <w:t>13. Recommendation Mapping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7365D"/>
            <w:tcMar>
              <w:top w:w="85" w:type="dxa"/>
              <w:start w:w="100" w:type="dxa"/>
              <w:bottom w:w="85" w:type="dxa"/>
              <w:end w:w="100" w:type="dxa"/>
            </w:tcMar>
            <w:vAlign w:val="center"/>
          </w:tcPr>
          <w:p>
            <w:pPr>
              <w:jc w:val="center"/>
            </w:pPr>
            <w:r>
              <w:rPr>
                <w:rFonts w:ascii="Aptos" w:hAnsi="Aptos" w:eastAsia="Aptos"/>
                <w:b/>
                <w:color w:val="FFFFFF"/>
                <w:sz w:val="16"/>
              </w:rPr>
              <w:t>Scenario</w:t>
            </w:r>
          </w:p>
        </w:tc>
        <w:tc>
          <w:tcPr>
            <w:tcW w:type="dxa" w:w="3389"/>
            <w:shd w:fill="17365D"/>
            <w:tcMar>
              <w:top w:w="85" w:type="dxa"/>
              <w:start w:w="100" w:type="dxa"/>
              <w:bottom w:w="85" w:type="dxa"/>
              <w:end w:w="100" w:type="dxa"/>
            </w:tcMar>
            <w:vAlign w:val="center"/>
          </w:tcPr>
          <w:p>
            <w:pPr>
              <w:jc w:val="center"/>
            </w:pPr>
            <w:r>
              <w:rPr>
                <w:rFonts w:ascii="Aptos" w:hAnsi="Aptos" w:eastAsia="Aptos"/>
                <w:b/>
                <w:color w:val="FFFFFF"/>
                <w:sz w:val="16"/>
              </w:rPr>
              <w:t>Safe CDSS Recommendation</w:t>
            </w:r>
          </w:p>
        </w:tc>
        <w:tc>
          <w:tcPr>
            <w:tcW w:type="dxa" w:w="3389"/>
            <w:shd w:fill="17365D"/>
            <w:tcMar>
              <w:top w:w="85" w:type="dxa"/>
              <w:start w:w="100" w:type="dxa"/>
              <w:bottom w:w="85" w:type="dxa"/>
              <w:end w:w="100" w:type="dxa"/>
            </w:tcMar>
            <w:vAlign w:val="center"/>
          </w:tcPr>
          <w:p>
            <w:pPr>
              <w:jc w:val="center"/>
            </w:pPr>
            <w:r>
              <w:rPr>
                <w:rFonts w:ascii="Aptos" w:hAnsi="Aptos" w:eastAsia="Aptos"/>
                <w:b/>
                <w:color w:val="FFFFFF"/>
                <w:sz w:val="16"/>
              </w:rPr>
              <w:t>Unsafe or Overreaching Output</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140–159 systolic or 90–109 diastolic, stable</w:t>
            </w:r>
          </w:p>
        </w:tc>
        <w:tc>
          <w:tcPr>
            <w:tcW w:type="dxa" w:w="3389"/>
            <w:tcMar>
              <w:top w:w="85" w:type="dxa"/>
              <w:start w:w="100" w:type="dxa"/>
              <w:bottom w:w="85" w:type="dxa"/>
              <w:end w:w="100" w:type="dxa"/>
            </w:tcMar>
            <w:vAlign w:val="top"/>
          </w:tcPr>
          <w:p>
            <w:r>
              <w:rPr>
                <w:rFonts w:ascii="Aptos" w:hAnsi="Aptos" w:eastAsia="Aptos"/>
                <w:b w:val="0"/>
                <w:color w:val="1F1F1F"/>
                <w:sz w:val="16"/>
              </w:rPr>
              <w:t>Repeat correctly; assess symptoms and history; arrange prompt evaluation/referral under clinic policy; document all readings.</w:t>
            </w:r>
          </w:p>
        </w:tc>
        <w:tc>
          <w:tcPr>
            <w:tcW w:type="dxa" w:w="3389"/>
            <w:tcMar>
              <w:top w:w="85" w:type="dxa"/>
              <w:start w:w="100" w:type="dxa"/>
              <w:bottom w:w="85" w:type="dxa"/>
              <w:end w:w="100" w:type="dxa"/>
            </w:tcMar>
            <w:vAlign w:val="top"/>
          </w:tcPr>
          <w:p>
            <w:r>
              <w:rPr>
                <w:rFonts w:ascii="Aptos" w:hAnsi="Aptos" w:eastAsia="Aptos"/>
                <w:b w:val="0"/>
                <w:color w:val="1F1F1F"/>
                <w:sz w:val="16"/>
              </w:rPr>
              <w:t>“You have pre-eclampsia” or a medication dose.</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≥160 systolic or ≥110 diastolic</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Immediate repeat/confirmation without delaying care; alert responsible clinician; urgent hospital referral/transfer; continuous observation within scope.</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Routine follow-up next week.</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High BP + headache/vision/epigastric pain/breathlessness</w:t>
            </w:r>
          </w:p>
        </w:tc>
        <w:tc>
          <w:tcPr>
            <w:tcW w:type="dxa" w:w="3389"/>
            <w:tcMar>
              <w:top w:w="85" w:type="dxa"/>
              <w:start w:w="100" w:type="dxa"/>
              <w:bottom w:w="85" w:type="dxa"/>
              <w:end w:w="100" w:type="dxa"/>
            </w:tcMar>
            <w:vAlign w:val="top"/>
          </w:tcPr>
          <w:p>
            <w:r>
              <w:rPr>
                <w:rFonts w:ascii="Aptos" w:hAnsi="Aptos" w:eastAsia="Aptos"/>
                <w:b w:val="0"/>
                <w:color w:val="1F1F1F"/>
                <w:sz w:val="16"/>
              </w:rPr>
              <w:t>Urgent emergency assessment and transfer for possible severe hypertensive complication.</w:t>
            </w:r>
          </w:p>
        </w:tc>
        <w:tc>
          <w:tcPr>
            <w:tcW w:type="dxa" w:w="3389"/>
            <w:tcMar>
              <w:top w:w="85" w:type="dxa"/>
              <w:start w:w="100" w:type="dxa"/>
              <w:bottom w:w="85" w:type="dxa"/>
              <w:end w:w="100" w:type="dxa"/>
            </w:tcMar>
            <w:vAlign w:val="top"/>
          </w:tcPr>
          <w:p>
            <w:r>
              <w:rPr>
                <w:rFonts w:ascii="Aptos" w:hAnsi="Aptos" w:eastAsia="Aptos"/>
                <w:b w:val="0"/>
                <w:color w:val="1F1F1F"/>
                <w:sz w:val="16"/>
              </w:rPr>
              <w:t>Advice to rest at home.</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High BP before 20 weeks</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Review for chronic hypertension and refer for qualified assessment.</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Automatic diagnosis of gestational hypertension.</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High BP after 20 weeks</w:t>
            </w:r>
          </w:p>
        </w:tc>
        <w:tc>
          <w:tcPr>
            <w:tcW w:type="dxa" w:w="3389"/>
            <w:tcMar>
              <w:top w:w="85" w:type="dxa"/>
              <w:start w:w="100" w:type="dxa"/>
              <w:bottom w:w="85" w:type="dxa"/>
              <w:end w:w="100" w:type="dxa"/>
            </w:tcMar>
            <w:vAlign w:val="top"/>
          </w:tcPr>
          <w:p>
            <w:r>
              <w:rPr>
                <w:rFonts w:ascii="Aptos" w:hAnsi="Aptos" w:eastAsia="Aptos"/>
                <w:b w:val="0"/>
                <w:color w:val="1F1F1F"/>
                <w:sz w:val="16"/>
              </w:rPr>
              <w:t>Assess for gestational hypertension/pre-eclampsia using full clinical evaluation.</w:t>
            </w:r>
          </w:p>
        </w:tc>
        <w:tc>
          <w:tcPr>
            <w:tcW w:type="dxa" w:w="3389"/>
            <w:tcMar>
              <w:top w:w="85" w:type="dxa"/>
              <w:start w:w="100" w:type="dxa"/>
              <w:bottom w:w="85" w:type="dxa"/>
              <w:end w:w="100" w:type="dxa"/>
            </w:tcMar>
            <w:vAlign w:val="top"/>
          </w:tcPr>
          <w:p>
            <w:r>
              <w:rPr>
                <w:rFonts w:ascii="Aptos" w:hAnsi="Aptos" w:eastAsia="Aptos"/>
                <w:b w:val="0"/>
                <w:color w:val="1F1F1F"/>
                <w:sz w:val="16"/>
              </w:rPr>
              <w:t>Diagnosis from BP alone.</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Postpartum high BP or symptoms</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Urgent postpartum assessment; severe values or neurological symptoms require emergency referral.</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Assume delivery ended the risk.</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Patient refuses referral</w:t>
            </w:r>
          </w:p>
        </w:tc>
        <w:tc>
          <w:tcPr>
            <w:tcW w:type="dxa" w:w="3389"/>
            <w:tcMar>
              <w:top w:w="85" w:type="dxa"/>
              <w:start w:w="100" w:type="dxa"/>
              <w:bottom w:w="85" w:type="dxa"/>
              <w:end w:w="100" w:type="dxa"/>
            </w:tcMar>
            <w:vAlign w:val="top"/>
          </w:tcPr>
          <w:p>
            <w:r>
              <w:rPr>
                <w:rFonts w:ascii="Aptos" w:hAnsi="Aptos" w:eastAsia="Aptos"/>
                <w:b w:val="0"/>
                <w:color w:val="1F1F1F"/>
                <w:sz w:val="16"/>
              </w:rPr>
              <w:t>Explain risk, assess decision-making capacity per policy, document counseling/refusal, provide danger signs, and follow escalation rules.</w:t>
            </w:r>
          </w:p>
        </w:tc>
        <w:tc>
          <w:tcPr>
            <w:tcW w:type="dxa" w:w="3389"/>
            <w:tcMar>
              <w:top w:w="85" w:type="dxa"/>
              <w:start w:w="100" w:type="dxa"/>
              <w:bottom w:w="85" w:type="dxa"/>
              <w:end w:w="100" w:type="dxa"/>
            </w:tcMar>
            <w:vAlign w:val="top"/>
          </w:tcPr>
          <w:p>
            <w:r>
              <w:rPr>
                <w:rFonts w:ascii="Aptos" w:hAnsi="Aptos" w:eastAsia="Aptos"/>
                <w:b w:val="0"/>
                <w:color w:val="1F1F1F"/>
                <w:sz w:val="16"/>
              </w:rPr>
              <w:t>Change HIGH to LOW or mark as resolved.</w:t>
            </w:r>
          </w:p>
        </w:tc>
      </w:tr>
    </w:tbl>
    <w:p/>
    <w:p>
      <w:pPr>
        <w:pStyle w:val="Heading1"/>
      </w:pPr>
      <w:r>
        <w:t>14. Clinical Limitations</w:t>
      </w:r>
    </w:p>
    <w:p>
      <w:pPr>
        <w:pStyle w:val="ListBullet"/>
      </w:pPr>
      <w:r>
        <w:rPr>
          <w:rFonts w:ascii="Aptos" w:hAnsi="Aptos" w:eastAsia="Aptos"/>
          <w:b w:val="0"/>
          <w:color w:val="1F1F1F"/>
          <w:sz w:val="19"/>
        </w:rPr>
        <w:t>The CDSS cannot diagnose gestational hypertension, chronic hypertension, pre-eclampsia, eclampsia, or HELLP syndrome.</w:t>
      </w:r>
    </w:p>
    <w:p>
      <w:pPr>
        <w:pStyle w:val="ListBullet"/>
      </w:pPr>
      <w:r>
        <w:rPr>
          <w:rFonts w:ascii="Aptos" w:hAnsi="Aptos" w:eastAsia="Aptos"/>
          <w:b w:val="0"/>
          <w:color w:val="1F1F1F"/>
          <w:sz w:val="19"/>
        </w:rPr>
        <w:t>One entered reading does not establish persistence or correct measurement technique.</w:t>
      </w:r>
    </w:p>
    <w:p>
      <w:pPr>
        <w:pStyle w:val="ListBullet"/>
      </w:pPr>
      <w:r>
        <w:rPr>
          <w:rFonts w:ascii="Aptos" w:hAnsi="Aptos" w:eastAsia="Aptos"/>
          <w:b w:val="0"/>
          <w:color w:val="1F1F1F"/>
          <w:sz w:val="19"/>
        </w:rPr>
        <w:t>The system does not currently incorporate proteinuria, platelet count, creatinine, liver enzymes, pulmonary edema, or validated pre-eclampsia prediction tools into the deterministic BP rule.</w:t>
      </w:r>
    </w:p>
    <w:p>
      <w:pPr>
        <w:pStyle w:val="ListBullet"/>
      </w:pPr>
      <w:r>
        <w:rPr>
          <w:rFonts w:ascii="Aptos" w:hAnsi="Aptos" w:eastAsia="Aptos"/>
          <w:b w:val="0"/>
          <w:color w:val="1F1F1F"/>
          <w:sz w:val="19"/>
        </w:rPr>
        <w:t>The system cannot select, prescribe, dose, or monitor antihypertensive medicines or magnesium sulfate.</w:t>
      </w:r>
    </w:p>
    <w:p>
      <w:pPr>
        <w:pStyle w:val="ListBullet"/>
      </w:pPr>
      <w:r>
        <w:rPr>
          <w:rFonts w:ascii="Aptos" w:hAnsi="Aptos" w:eastAsia="Aptos"/>
          <w:b w:val="0"/>
          <w:color w:val="1F1F1F"/>
          <w:sz w:val="19"/>
        </w:rPr>
        <w:t>The system cannot determine timing or mode of birth.</w:t>
      </w:r>
    </w:p>
    <w:p>
      <w:pPr>
        <w:pStyle w:val="ListBullet"/>
      </w:pPr>
      <w:r>
        <w:rPr>
          <w:rFonts w:ascii="Aptos" w:hAnsi="Aptos" w:eastAsia="Aptos"/>
          <w:b w:val="0"/>
          <w:color w:val="1F1F1F"/>
          <w:sz w:val="19"/>
        </w:rPr>
        <w:t>A reading below 140/90 does not exclude evolving disease, masked hypertension, or symptom-driven emergency.</w:t>
      </w:r>
    </w:p>
    <w:p>
      <w:pPr>
        <w:pStyle w:val="ListBullet"/>
      </w:pPr>
      <w:r>
        <w:rPr>
          <w:rFonts w:ascii="Aptos" w:hAnsi="Aptos" w:eastAsia="Aptos"/>
          <w:b w:val="0"/>
          <w:color w:val="1F1F1F"/>
          <w:sz w:val="19"/>
        </w:rPr>
        <w:t>The system may not distinguish chronic from gestational hypertension without gestational timing and previous records.</w:t>
      </w:r>
    </w:p>
    <w:p>
      <w:pPr>
        <w:pStyle w:val="ListBullet"/>
      </w:pPr>
      <w:r>
        <w:rPr>
          <w:rFonts w:ascii="Aptos" w:hAnsi="Aptos" w:eastAsia="Aptos"/>
          <w:b w:val="0"/>
          <w:color w:val="1F1F1F"/>
          <w:sz w:val="19"/>
        </w:rPr>
        <w:t>Automated or home-device readings may be inaccurate if the device is not validated or technique is poor.</w:t>
      </w:r>
    </w:p>
    <w:p>
      <w:pPr>
        <w:pStyle w:val="ListBullet"/>
      </w:pPr>
      <w:r>
        <w:rPr>
          <w:rFonts w:ascii="Aptos" w:hAnsi="Aptos" w:eastAsia="Aptos"/>
          <w:b w:val="0"/>
          <w:color w:val="1F1F1F"/>
          <w:sz w:val="19"/>
        </w:rPr>
        <w:t>The current HIGH rule may be sensitive but less specific because it activates from one recorded visit value.</w:t>
      </w:r>
    </w:p>
    <w:p>
      <w:pPr>
        <w:pStyle w:val="Heading1"/>
      </w:pPr>
      <w:r>
        <w:t>15. Validation and Boundary-Test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7365D"/>
            <w:tcMar>
              <w:top w:w="85" w:type="dxa"/>
              <w:start w:w="100" w:type="dxa"/>
              <w:bottom w:w="85" w:type="dxa"/>
              <w:end w:w="100" w:type="dxa"/>
            </w:tcMar>
            <w:vAlign w:val="center"/>
          </w:tcPr>
          <w:p>
            <w:pPr>
              <w:jc w:val="center"/>
            </w:pPr>
            <w:r>
              <w:rPr>
                <w:rFonts w:ascii="Aptos" w:hAnsi="Aptos" w:eastAsia="Aptos"/>
                <w:b/>
                <w:color w:val="FFFFFF"/>
                <w:sz w:val="16"/>
              </w:rPr>
              <w:t>Test Input</w:t>
            </w:r>
          </w:p>
        </w:tc>
        <w:tc>
          <w:tcPr>
            <w:tcW w:type="dxa" w:w="3389"/>
            <w:shd w:fill="17365D"/>
            <w:tcMar>
              <w:top w:w="85" w:type="dxa"/>
              <w:start w:w="100" w:type="dxa"/>
              <w:bottom w:w="85" w:type="dxa"/>
              <w:end w:w="100" w:type="dxa"/>
            </w:tcMar>
            <w:vAlign w:val="center"/>
          </w:tcPr>
          <w:p>
            <w:pPr>
              <w:jc w:val="center"/>
            </w:pPr>
            <w:r>
              <w:rPr>
                <w:rFonts w:ascii="Aptos" w:hAnsi="Aptos" w:eastAsia="Aptos"/>
                <w:b/>
                <w:color w:val="FFFFFF"/>
                <w:sz w:val="16"/>
              </w:rPr>
              <w:t>Expected Result</w:t>
            </w:r>
          </w:p>
        </w:tc>
        <w:tc>
          <w:tcPr>
            <w:tcW w:type="dxa" w:w="3389"/>
            <w:shd w:fill="17365D"/>
            <w:tcMar>
              <w:top w:w="85" w:type="dxa"/>
              <w:start w:w="100" w:type="dxa"/>
              <w:bottom w:w="85" w:type="dxa"/>
              <w:end w:w="100" w:type="dxa"/>
            </w:tcMar>
            <w:vAlign w:val="center"/>
          </w:tcPr>
          <w:p>
            <w:pPr>
              <w:jc w:val="center"/>
            </w:pPr>
            <w:r>
              <w:rPr>
                <w:rFonts w:ascii="Aptos" w:hAnsi="Aptos" w:eastAsia="Aptos"/>
                <w:b/>
                <w:color w:val="FFFFFF"/>
                <w:sz w:val="16"/>
              </w:rPr>
              <w:t>Required Explanation / Action</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139/89</w:t>
            </w:r>
          </w:p>
        </w:tc>
        <w:tc>
          <w:tcPr>
            <w:tcW w:type="dxa" w:w="3389"/>
            <w:tcMar>
              <w:top w:w="85" w:type="dxa"/>
              <w:start w:w="100" w:type="dxa"/>
              <w:bottom w:w="85" w:type="dxa"/>
              <w:end w:w="100" w:type="dxa"/>
            </w:tcMar>
            <w:vAlign w:val="top"/>
          </w:tcPr>
          <w:p>
            <w:r>
              <w:rPr>
                <w:rFonts w:ascii="Aptos" w:hAnsi="Aptos" w:eastAsia="Aptos"/>
                <w:b w:val="0"/>
                <w:color w:val="1F1F1F"/>
                <w:sz w:val="16"/>
              </w:rPr>
              <w:t>No BP-based HIGH</w:t>
            </w:r>
          </w:p>
        </w:tc>
        <w:tc>
          <w:tcPr>
            <w:tcW w:type="dxa" w:w="3389"/>
            <w:tcMar>
              <w:top w:w="85" w:type="dxa"/>
              <w:start w:w="100" w:type="dxa"/>
              <w:bottom w:w="85" w:type="dxa"/>
              <w:end w:w="100" w:type="dxa"/>
            </w:tcMar>
            <w:vAlign w:val="top"/>
          </w:tcPr>
          <w:p>
            <w:r>
              <w:rPr>
                <w:rFonts w:ascii="Aptos" w:hAnsi="Aptos" w:eastAsia="Aptos"/>
                <w:b w:val="0"/>
                <w:color w:val="1F1F1F"/>
                <w:sz w:val="16"/>
              </w:rPr>
              <w:t>Continue full assessment.</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140/80</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HIGH</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Systolic threshold met.</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120/90</w:t>
            </w:r>
          </w:p>
        </w:tc>
        <w:tc>
          <w:tcPr>
            <w:tcW w:type="dxa" w:w="3389"/>
            <w:tcMar>
              <w:top w:w="85" w:type="dxa"/>
              <w:start w:w="100" w:type="dxa"/>
              <w:bottom w:w="85" w:type="dxa"/>
              <w:end w:w="100" w:type="dxa"/>
            </w:tcMar>
            <w:vAlign w:val="top"/>
          </w:tcPr>
          <w:p>
            <w:r>
              <w:rPr>
                <w:rFonts w:ascii="Aptos" w:hAnsi="Aptos" w:eastAsia="Aptos"/>
                <w:b w:val="0"/>
                <w:color w:val="1F1F1F"/>
                <w:sz w:val="16"/>
              </w:rPr>
              <w:t>HIGH</w:t>
            </w:r>
          </w:p>
        </w:tc>
        <w:tc>
          <w:tcPr>
            <w:tcW w:type="dxa" w:w="3389"/>
            <w:tcMar>
              <w:top w:w="85" w:type="dxa"/>
              <w:start w:w="100" w:type="dxa"/>
              <w:bottom w:w="85" w:type="dxa"/>
              <w:end w:w="100" w:type="dxa"/>
            </w:tcMar>
            <w:vAlign w:val="top"/>
          </w:tcPr>
          <w:p>
            <w:r>
              <w:rPr>
                <w:rFonts w:ascii="Aptos" w:hAnsi="Aptos" w:eastAsia="Aptos"/>
                <w:b w:val="0"/>
                <w:color w:val="1F1F1F"/>
                <w:sz w:val="16"/>
              </w:rPr>
              <w:t>Diastolic threshold met.</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140/90</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HIGH</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Both standard thresholds met.</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159/109</w:t>
            </w:r>
          </w:p>
        </w:tc>
        <w:tc>
          <w:tcPr>
            <w:tcW w:type="dxa" w:w="3389"/>
            <w:tcMar>
              <w:top w:w="85" w:type="dxa"/>
              <w:start w:w="100" w:type="dxa"/>
              <w:bottom w:w="85" w:type="dxa"/>
              <w:end w:w="100" w:type="dxa"/>
            </w:tcMar>
            <w:vAlign w:val="top"/>
          </w:tcPr>
          <w:p>
            <w:r>
              <w:rPr>
                <w:rFonts w:ascii="Aptos" w:hAnsi="Aptos" w:eastAsia="Aptos"/>
                <w:b w:val="0"/>
                <w:color w:val="1F1F1F"/>
                <w:sz w:val="16"/>
              </w:rPr>
              <w:t>HIGH, not severe-range by BP alone</w:t>
            </w:r>
          </w:p>
        </w:tc>
        <w:tc>
          <w:tcPr>
            <w:tcW w:type="dxa" w:w="3389"/>
            <w:tcMar>
              <w:top w:w="85" w:type="dxa"/>
              <w:start w:w="100" w:type="dxa"/>
              <w:bottom w:w="85" w:type="dxa"/>
              <w:end w:w="100" w:type="dxa"/>
            </w:tcMar>
            <w:vAlign w:val="top"/>
          </w:tcPr>
          <w:p>
            <w:r>
              <w:rPr>
                <w:rFonts w:ascii="Aptos" w:hAnsi="Aptos" w:eastAsia="Aptos"/>
                <w:b w:val="0"/>
                <w:color w:val="1F1F1F"/>
                <w:sz w:val="16"/>
              </w:rPr>
              <w:t>Prompt repeat and assessment.</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160/80</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URGENT HIGH</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Severe systolic; OR logic.</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120/110</w:t>
            </w:r>
          </w:p>
        </w:tc>
        <w:tc>
          <w:tcPr>
            <w:tcW w:type="dxa" w:w="3389"/>
            <w:tcMar>
              <w:top w:w="85" w:type="dxa"/>
              <w:start w:w="100" w:type="dxa"/>
              <w:bottom w:w="85" w:type="dxa"/>
              <w:end w:w="100" w:type="dxa"/>
            </w:tcMar>
            <w:vAlign w:val="top"/>
          </w:tcPr>
          <w:p>
            <w:r>
              <w:rPr>
                <w:rFonts w:ascii="Aptos" w:hAnsi="Aptos" w:eastAsia="Aptos"/>
                <w:b w:val="0"/>
                <w:color w:val="1F1F1F"/>
                <w:sz w:val="16"/>
              </w:rPr>
              <w:t>URGENT HIGH</w:t>
            </w:r>
          </w:p>
        </w:tc>
        <w:tc>
          <w:tcPr>
            <w:tcW w:type="dxa" w:w="3389"/>
            <w:tcMar>
              <w:top w:w="85" w:type="dxa"/>
              <w:start w:w="100" w:type="dxa"/>
              <w:bottom w:w="85" w:type="dxa"/>
              <w:end w:w="100" w:type="dxa"/>
            </w:tcMar>
            <w:vAlign w:val="top"/>
          </w:tcPr>
          <w:p>
            <w:r>
              <w:rPr>
                <w:rFonts w:ascii="Aptos" w:hAnsi="Aptos" w:eastAsia="Aptos"/>
                <w:b w:val="0"/>
                <w:color w:val="1F1F1F"/>
                <w:sz w:val="16"/>
              </w:rPr>
              <w:t>Severe diastolic; OR logic.</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160/110</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URGENT HIGH</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Both severe thresholds met.</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170/70</w:t>
            </w:r>
          </w:p>
        </w:tc>
        <w:tc>
          <w:tcPr>
            <w:tcW w:type="dxa" w:w="3389"/>
            <w:tcMar>
              <w:top w:w="85" w:type="dxa"/>
              <w:start w:w="100" w:type="dxa"/>
              <w:bottom w:w="85" w:type="dxa"/>
              <w:end w:w="100" w:type="dxa"/>
            </w:tcMar>
            <w:vAlign w:val="top"/>
          </w:tcPr>
          <w:p>
            <w:r>
              <w:rPr>
                <w:rFonts w:ascii="Aptos" w:hAnsi="Aptos" w:eastAsia="Aptos"/>
                <w:b w:val="0"/>
                <w:color w:val="1F1F1F"/>
                <w:sz w:val="16"/>
              </w:rPr>
              <w:t>URGENT HIGH</w:t>
            </w:r>
          </w:p>
        </w:tc>
        <w:tc>
          <w:tcPr>
            <w:tcW w:type="dxa" w:w="3389"/>
            <w:tcMar>
              <w:top w:w="85" w:type="dxa"/>
              <w:start w:w="100" w:type="dxa"/>
              <w:bottom w:w="85" w:type="dxa"/>
              <w:end w:w="100" w:type="dxa"/>
            </w:tcMar>
            <w:vAlign w:val="top"/>
          </w:tcPr>
          <w:p>
            <w:r>
              <w:rPr>
                <w:rFonts w:ascii="Aptos" w:hAnsi="Aptos" w:eastAsia="Aptos"/>
                <w:b w:val="0"/>
                <w:color w:val="1F1F1F"/>
                <w:sz w:val="16"/>
              </w:rPr>
              <w:t>Isolated severe systolic must not be missed.</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100/120</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URGENT HIGH + data plausibility review</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Severe diastolic; verify measurement/data.</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Blank/90</w:t>
            </w:r>
          </w:p>
        </w:tc>
        <w:tc>
          <w:tcPr>
            <w:tcW w:type="dxa" w:w="3389"/>
            <w:tcMar>
              <w:top w:w="85" w:type="dxa"/>
              <w:start w:w="100" w:type="dxa"/>
              <w:bottom w:w="85" w:type="dxa"/>
              <w:end w:w="100" w:type="dxa"/>
            </w:tcMar>
            <w:vAlign w:val="top"/>
          </w:tcPr>
          <w:p>
            <w:r>
              <w:rPr>
                <w:rFonts w:ascii="Aptos" w:hAnsi="Aptos" w:eastAsia="Aptos"/>
                <w:b w:val="0"/>
                <w:color w:val="1F1F1F"/>
                <w:sz w:val="16"/>
              </w:rPr>
              <w:t>INCOMPLETE or validation error</w:t>
            </w:r>
          </w:p>
        </w:tc>
        <w:tc>
          <w:tcPr>
            <w:tcW w:type="dxa" w:w="3389"/>
            <w:tcMar>
              <w:top w:w="85" w:type="dxa"/>
              <w:start w:w="100" w:type="dxa"/>
              <w:bottom w:w="85" w:type="dxa"/>
              <w:end w:w="100" w:type="dxa"/>
            </w:tcMar>
            <w:vAlign w:val="top"/>
          </w:tcPr>
          <w:p>
            <w:r>
              <w:rPr>
                <w:rFonts w:ascii="Aptos" w:hAnsi="Aptos" w:eastAsia="Aptos"/>
                <w:b w:val="0"/>
                <w:color w:val="1F1F1F"/>
                <w:sz w:val="16"/>
              </w:rPr>
              <w:t>Missing systolic value.</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140/blank</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INCOMPLETE or validation error</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Missing diastolic value.</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0/0 or negative value</w:t>
            </w:r>
          </w:p>
        </w:tc>
        <w:tc>
          <w:tcPr>
            <w:tcW w:type="dxa" w:w="3389"/>
            <w:tcMar>
              <w:top w:w="85" w:type="dxa"/>
              <w:start w:w="100" w:type="dxa"/>
              <w:bottom w:w="85" w:type="dxa"/>
              <w:end w:w="100" w:type="dxa"/>
            </w:tcMar>
            <w:vAlign w:val="top"/>
          </w:tcPr>
          <w:p>
            <w:r>
              <w:rPr>
                <w:rFonts w:ascii="Aptos" w:hAnsi="Aptos" w:eastAsia="Aptos"/>
                <w:b w:val="0"/>
                <w:color w:val="1F1F1F"/>
                <w:sz w:val="16"/>
              </w:rPr>
              <w:t>Validation error</w:t>
            </w:r>
          </w:p>
        </w:tc>
        <w:tc>
          <w:tcPr>
            <w:tcW w:type="dxa" w:w="3389"/>
            <w:tcMar>
              <w:top w:w="85" w:type="dxa"/>
              <w:start w:w="100" w:type="dxa"/>
              <w:bottom w:w="85" w:type="dxa"/>
              <w:end w:w="100" w:type="dxa"/>
            </w:tcMar>
            <w:vAlign w:val="top"/>
          </w:tcPr>
          <w:p>
            <w:r>
              <w:rPr>
                <w:rFonts w:ascii="Aptos" w:hAnsi="Aptos" w:eastAsia="Aptos"/>
                <w:b w:val="0"/>
                <w:color w:val="1F1F1F"/>
                <w:sz w:val="16"/>
              </w:rPr>
              <w:t>Impossible physiological entry.</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Text “high”</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Validation error</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Numeric measurement required.</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145/95 then 132/84</w:t>
            </w:r>
          </w:p>
        </w:tc>
        <w:tc>
          <w:tcPr>
            <w:tcW w:type="dxa" w:w="3389"/>
            <w:tcMar>
              <w:top w:w="85" w:type="dxa"/>
              <w:start w:w="100" w:type="dxa"/>
              <w:bottom w:w="85" w:type="dxa"/>
              <w:end w:w="100" w:type="dxa"/>
            </w:tcMar>
            <w:vAlign w:val="top"/>
          </w:tcPr>
          <w:p>
            <w:r>
              <w:rPr>
                <w:rFonts w:ascii="Aptos" w:hAnsi="Aptos" w:eastAsia="Aptos"/>
                <w:b w:val="0"/>
                <w:color w:val="1F1F1F"/>
                <w:sz w:val="16"/>
              </w:rPr>
              <w:t>Retain both; latest verified status shown with prior HIGH audit trail</w:t>
            </w:r>
          </w:p>
        </w:tc>
        <w:tc>
          <w:tcPr>
            <w:tcW w:type="dxa" w:w="3389"/>
            <w:tcMar>
              <w:top w:w="85" w:type="dxa"/>
              <w:start w:w="100" w:type="dxa"/>
              <w:bottom w:w="85" w:type="dxa"/>
              <w:end w:w="100" w:type="dxa"/>
            </w:tcMar>
            <w:vAlign w:val="top"/>
          </w:tcPr>
          <w:p>
            <w:r>
              <w:rPr>
                <w:rFonts w:ascii="Aptos" w:hAnsi="Aptos" w:eastAsia="Aptos"/>
                <w:b w:val="0"/>
                <w:color w:val="1F1F1F"/>
                <w:sz w:val="16"/>
              </w:rPr>
              <w:t>Do not delete the first abnormal reading.</w:t>
            </w:r>
          </w:p>
        </w:tc>
      </w:tr>
      <w:tr>
        <w:trPr>
          <w:cantSplit w:val="true"/>
        </w:trPr>
        <w:tc>
          <w:tcPr>
            <w:tcW w:type="dxa" w:w="3389"/>
            <w:tcMar>
              <w:top w:w="85" w:type="dxa"/>
              <w:start w:w="100" w:type="dxa"/>
              <w:bottom w:w="85" w:type="dxa"/>
              <w:end w:w="100" w:type="dxa"/>
            </w:tcMar>
            <w:vAlign w:val="top"/>
            <w:shd w:fill="F5F8FC"/>
          </w:tcPr>
          <w:p>
            <w:r>
              <w:rPr>
                <w:rFonts w:ascii="Aptos" w:hAnsi="Aptos" w:eastAsia="Aptos"/>
                <w:b w:val="0"/>
                <w:color w:val="1F1F1F"/>
                <w:sz w:val="16"/>
              </w:rPr>
              <w:t>165/100 then 150/95</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URGENT event remains documented; referral action required</w:t>
            </w:r>
          </w:p>
        </w:tc>
        <w:tc>
          <w:tcPr>
            <w:tcW w:type="dxa" w:w="3389"/>
            <w:tcMar>
              <w:top w:w="85" w:type="dxa"/>
              <w:start w:w="100" w:type="dxa"/>
              <w:bottom w:w="85" w:type="dxa"/>
              <w:end w:w="100" w:type="dxa"/>
            </w:tcMar>
            <w:vAlign w:val="top"/>
            <w:shd w:fill="F5F8FC"/>
          </w:tcPr>
          <w:p>
            <w:r>
              <w:rPr>
                <w:rFonts w:ascii="Aptos" w:hAnsi="Aptos" w:eastAsia="Aptos"/>
                <w:b w:val="0"/>
                <w:color w:val="1F1F1F"/>
                <w:sz w:val="16"/>
              </w:rPr>
              <w:t>A later lower reading does not erase severe-range history.</w:t>
            </w:r>
          </w:p>
        </w:tc>
      </w:tr>
      <w:tr>
        <w:trPr>
          <w:cantSplit w:val="true"/>
        </w:trPr>
        <w:tc>
          <w:tcPr>
            <w:tcW w:type="dxa" w:w="3389"/>
            <w:tcMar>
              <w:top w:w="85" w:type="dxa"/>
              <w:start w:w="100" w:type="dxa"/>
              <w:bottom w:w="85" w:type="dxa"/>
              <w:end w:w="100" w:type="dxa"/>
            </w:tcMar>
            <w:vAlign w:val="top"/>
          </w:tcPr>
          <w:p>
            <w:r>
              <w:rPr>
                <w:rFonts w:ascii="Aptos" w:hAnsi="Aptos" w:eastAsia="Aptos"/>
                <w:b w:val="0"/>
                <w:color w:val="1F1F1F"/>
                <w:sz w:val="16"/>
              </w:rPr>
              <w:t>135/85 + severe headache/visual symptoms</w:t>
            </w:r>
          </w:p>
        </w:tc>
        <w:tc>
          <w:tcPr>
            <w:tcW w:type="dxa" w:w="3389"/>
            <w:tcMar>
              <w:top w:w="85" w:type="dxa"/>
              <w:start w:w="100" w:type="dxa"/>
              <w:bottom w:w="85" w:type="dxa"/>
              <w:end w:w="100" w:type="dxa"/>
            </w:tcMar>
            <w:vAlign w:val="top"/>
          </w:tcPr>
          <w:p>
            <w:r>
              <w:rPr>
                <w:rFonts w:ascii="Aptos" w:hAnsi="Aptos" w:eastAsia="Aptos"/>
                <w:b w:val="0"/>
                <w:color w:val="1F1F1F"/>
                <w:sz w:val="16"/>
              </w:rPr>
              <w:t>No BP rule HIGH, but symptom pathway should trigger urgent assessment</w:t>
            </w:r>
          </w:p>
        </w:tc>
        <w:tc>
          <w:tcPr>
            <w:tcW w:type="dxa" w:w="3389"/>
            <w:tcMar>
              <w:top w:w="85" w:type="dxa"/>
              <w:start w:w="100" w:type="dxa"/>
              <w:bottom w:w="85" w:type="dxa"/>
              <w:end w:w="100" w:type="dxa"/>
            </w:tcMar>
            <w:vAlign w:val="top"/>
          </w:tcPr>
          <w:p>
            <w:r>
              <w:rPr>
                <w:rFonts w:ascii="Aptos" w:hAnsi="Aptos" w:eastAsia="Aptos"/>
                <w:b w:val="0"/>
                <w:color w:val="1F1F1F"/>
                <w:sz w:val="16"/>
              </w:rPr>
              <w:t>BP threshold must not suppress symptoms.</w:t>
            </w:r>
          </w:p>
        </w:tc>
      </w:tr>
    </w:tbl>
    <w:p/>
    <w:p>
      <w:pPr>
        <w:pStyle w:val="Heading1"/>
      </w:pPr>
      <w:r>
        <w:t>16. Data and User-Interface Requirements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7365D"/>
            <w:tcMar>
              <w:top w:w="85" w:type="dxa"/>
              <w:start w:w="100" w:type="dxa"/>
              <w:bottom w:w="85" w:type="dxa"/>
              <w:end w:w="100" w:type="dxa"/>
            </w:tcMar>
            <w:vAlign w:val="center"/>
          </w:tcPr>
          <w:p>
            <w:pPr>
              <w:jc w:val="center"/>
            </w:pPr>
            <w:r>
              <w:rPr>
                <w:rFonts w:ascii="Aptos" w:hAnsi="Aptos" w:eastAsia="Aptos"/>
                <w:b/>
                <w:color w:val="FFFFFF"/>
                <w:sz w:val="16"/>
              </w:rPr>
              <w:t>Requirement</w:t>
            </w:r>
          </w:p>
        </w:tc>
        <w:tc>
          <w:tcPr>
            <w:tcW w:type="dxa" w:w="5083"/>
            <w:shd w:fill="17365D"/>
            <w:tcMar>
              <w:top w:w="85" w:type="dxa"/>
              <w:start w:w="100" w:type="dxa"/>
              <w:bottom w:w="85" w:type="dxa"/>
              <w:end w:w="100" w:type="dxa"/>
            </w:tcMar>
            <w:vAlign w:val="center"/>
          </w:tcPr>
          <w:p>
            <w:pPr>
              <w:jc w:val="center"/>
            </w:pPr>
            <w:r>
              <w:rPr>
                <w:rFonts w:ascii="Aptos" w:hAnsi="Aptos" w:eastAsia="Aptos"/>
                <w:b/>
                <w:color w:val="FFFFFF"/>
                <w:sz w:val="16"/>
              </w:rPr>
              <w:t>Recommended Design</w:t>
            </w:r>
          </w:p>
        </w:tc>
      </w:tr>
      <w:tr>
        <w:trPr>
          <w:cantSplit w:val="true"/>
        </w:trPr>
        <w:tc>
          <w:tcPr>
            <w:tcW w:type="dxa" w:w="5083"/>
            <w:tcMar>
              <w:top w:w="85" w:type="dxa"/>
              <w:start w:w="100" w:type="dxa"/>
              <w:bottom w:w="85" w:type="dxa"/>
              <w:end w:w="100" w:type="dxa"/>
            </w:tcMar>
            <w:vAlign w:val="top"/>
          </w:tcPr>
          <w:p>
            <w:r>
              <w:rPr>
                <w:rFonts w:ascii="Aptos" w:hAnsi="Aptos" w:eastAsia="Aptos"/>
                <w:b w:val="0"/>
                <w:color w:val="1F1F1F"/>
                <w:sz w:val="16"/>
              </w:rPr>
              <w:t>Numeric inputs</w:t>
            </w:r>
          </w:p>
        </w:tc>
        <w:tc>
          <w:tcPr>
            <w:tcW w:type="dxa" w:w="5083"/>
            <w:tcMar>
              <w:top w:w="85" w:type="dxa"/>
              <w:start w:w="100" w:type="dxa"/>
              <w:bottom w:w="85" w:type="dxa"/>
              <w:end w:w="100" w:type="dxa"/>
            </w:tcMar>
            <w:vAlign w:val="top"/>
          </w:tcPr>
          <w:p>
            <w:r>
              <w:rPr>
                <w:rFonts w:ascii="Aptos" w:hAnsi="Aptos" w:eastAsia="Aptos"/>
                <w:b w:val="0"/>
                <w:color w:val="1F1F1F"/>
                <w:sz w:val="16"/>
              </w:rPr>
              <w:t>Separate integer fields for systolic and diastolic; unit fixed as mmHg.</w:t>
            </w:r>
          </w:p>
        </w:tc>
      </w:tr>
      <w:tr>
        <w:trPr>
          <w:cantSplit w:val="true"/>
        </w:trPr>
        <w:tc>
          <w:tcPr>
            <w:tcW w:type="dxa" w:w="5083"/>
            <w:tcMar>
              <w:top w:w="85" w:type="dxa"/>
              <w:start w:w="100" w:type="dxa"/>
              <w:bottom w:w="85" w:type="dxa"/>
              <w:end w:w="100" w:type="dxa"/>
            </w:tcMar>
            <w:vAlign w:val="top"/>
            <w:shd w:fill="F5F8FC"/>
          </w:tcPr>
          <w:p>
            <w:r>
              <w:rPr>
                <w:rFonts w:ascii="Aptos" w:hAnsi="Aptos" w:eastAsia="Aptos"/>
                <w:b w:val="0"/>
                <w:color w:val="1F1F1F"/>
                <w:sz w:val="16"/>
              </w:rPr>
              <w:t>Plausibility validation</w:t>
            </w:r>
          </w:p>
        </w:tc>
        <w:tc>
          <w:tcPr>
            <w:tcW w:type="dxa" w:w="5083"/>
            <w:tcMar>
              <w:top w:w="85" w:type="dxa"/>
              <w:start w:w="100" w:type="dxa"/>
              <w:bottom w:w="85" w:type="dxa"/>
              <w:end w:w="100" w:type="dxa"/>
            </w:tcMar>
            <w:vAlign w:val="top"/>
            <w:shd w:fill="F5F8FC"/>
          </w:tcPr>
          <w:p>
            <w:r>
              <w:rPr>
                <w:rFonts w:ascii="Aptos" w:hAnsi="Aptos" w:eastAsia="Aptos"/>
                <w:b w:val="0"/>
                <w:color w:val="1F1F1F"/>
                <w:sz w:val="16"/>
              </w:rPr>
              <w:t>Reject impossible values and require confirmation for extreme values; limits must be clinically governed.</w:t>
            </w:r>
          </w:p>
        </w:tc>
      </w:tr>
      <w:tr>
        <w:trPr>
          <w:cantSplit w:val="true"/>
        </w:trPr>
        <w:tc>
          <w:tcPr>
            <w:tcW w:type="dxa" w:w="5083"/>
            <w:tcMar>
              <w:top w:w="85" w:type="dxa"/>
              <w:start w:w="100" w:type="dxa"/>
              <w:bottom w:w="85" w:type="dxa"/>
              <w:end w:w="100" w:type="dxa"/>
            </w:tcMar>
            <w:vAlign w:val="top"/>
          </w:tcPr>
          <w:p>
            <w:r>
              <w:rPr>
                <w:rFonts w:ascii="Aptos" w:hAnsi="Aptos" w:eastAsia="Aptos"/>
                <w:b w:val="0"/>
                <w:color w:val="1F1F1F"/>
                <w:sz w:val="16"/>
              </w:rPr>
              <w:t>Measurement metadata</w:t>
            </w:r>
          </w:p>
        </w:tc>
        <w:tc>
          <w:tcPr>
            <w:tcW w:type="dxa" w:w="5083"/>
            <w:tcMar>
              <w:top w:w="85" w:type="dxa"/>
              <w:start w:w="100" w:type="dxa"/>
              <w:bottom w:w="85" w:type="dxa"/>
              <w:end w:w="100" w:type="dxa"/>
            </w:tcMar>
            <w:vAlign w:val="top"/>
          </w:tcPr>
          <w:p>
            <w:r>
              <w:rPr>
                <w:rFonts w:ascii="Aptos" w:hAnsi="Aptos" w:eastAsia="Aptos"/>
                <w:b w:val="0"/>
                <w:color w:val="1F1F1F"/>
                <w:sz w:val="16"/>
              </w:rPr>
              <w:t>Date/time, operator, device, cuff size if available, position, repeat status, and source.</w:t>
            </w:r>
          </w:p>
        </w:tc>
      </w:tr>
      <w:tr>
        <w:trPr>
          <w:cantSplit w:val="true"/>
        </w:trPr>
        <w:tc>
          <w:tcPr>
            <w:tcW w:type="dxa" w:w="5083"/>
            <w:tcMar>
              <w:top w:w="85" w:type="dxa"/>
              <w:start w:w="100" w:type="dxa"/>
              <w:bottom w:w="85" w:type="dxa"/>
              <w:end w:w="100" w:type="dxa"/>
            </w:tcMar>
            <w:vAlign w:val="top"/>
            <w:shd w:fill="F5F8FC"/>
          </w:tcPr>
          <w:p>
            <w:r>
              <w:rPr>
                <w:rFonts w:ascii="Aptos" w:hAnsi="Aptos" w:eastAsia="Aptos"/>
                <w:b w:val="0"/>
                <w:color w:val="1F1F1F"/>
                <w:sz w:val="16"/>
              </w:rPr>
              <w:t>Trend display</w:t>
            </w:r>
          </w:p>
        </w:tc>
        <w:tc>
          <w:tcPr>
            <w:tcW w:type="dxa" w:w="5083"/>
            <w:tcMar>
              <w:top w:w="85" w:type="dxa"/>
              <w:start w:w="100" w:type="dxa"/>
              <w:bottom w:w="85" w:type="dxa"/>
              <w:end w:w="100" w:type="dxa"/>
            </w:tcMar>
            <w:vAlign w:val="top"/>
            <w:shd w:fill="F5F8FC"/>
          </w:tcPr>
          <w:p>
            <w:r>
              <w:rPr>
                <w:rFonts w:ascii="Aptos" w:hAnsi="Aptos" w:eastAsia="Aptos"/>
                <w:b w:val="0"/>
                <w:color w:val="1F1F1F"/>
                <w:sz w:val="16"/>
              </w:rPr>
              <w:t>Chronological BP table or graph; highlight threshold crossings and severe events.</w:t>
            </w:r>
          </w:p>
        </w:tc>
      </w:tr>
      <w:tr>
        <w:trPr>
          <w:cantSplit w:val="true"/>
        </w:trPr>
        <w:tc>
          <w:tcPr>
            <w:tcW w:type="dxa" w:w="5083"/>
            <w:tcMar>
              <w:top w:w="85" w:type="dxa"/>
              <w:start w:w="100" w:type="dxa"/>
              <w:bottom w:w="85" w:type="dxa"/>
              <w:end w:w="100" w:type="dxa"/>
            </w:tcMar>
            <w:vAlign w:val="top"/>
          </w:tcPr>
          <w:p>
            <w:r>
              <w:rPr>
                <w:rFonts w:ascii="Aptos" w:hAnsi="Aptos" w:eastAsia="Aptos"/>
                <w:b w:val="0"/>
                <w:color w:val="1F1F1F"/>
                <w:sz w:val="16"/>
              </w:rPr>
              <w:t>Urgency design</w:t>
            </w:r>
          </w:p>
        </w:tc>
        <w:tc>
          <w:tcPr>
            <w:tcW w:type="dxa" w:w="5083"/>
            <w:tcMar>
              <w:top w:w="85" w:type="dxa"/>
              <w:start w:w="100" w:type="dxa"/>
              <w:bottom w:w="85" w:type="dxa"/>
              <w:end w:w="100" w:type="dxa"/>
            </w:tcMar>
            <w:vAlign w:val="top"/>
          </w:tcPr>
          <w:p>
            <w:r>
              <w:rPr>
                <w:rFonts w:ascii="Aptos" w:hAnsi="Aptos" w:eastAsia="Aptos"/>
                <w:b w:val="0"/>
                <w:color w:val="1F1F1F"/>
                <w:sz w:val="16"/>
              </w:rPr>
              <w:t>Persistent red urgent banner for ≥160 systolic OR ≥110 diastolic; do not rely on color alone.</w:t>
            </w:r>
          </w:p>
        </w:tc>
      </w:tr>
      <w:tr>
        <w:trPr>
          <w:cantSplit w:val="true"/>
        </w:trPr>
        <w:tc>
          <w:tcPr>
            <w:tcW w:type="dxa" w:w="5083"/>
            <w:tcMar>
              <w:top w:w="85" w:type="dxa"/>
              <w:start w:w="100" w:type="dxa"/>
              <w:bottom w:w="85" w:type="dxa"/>
              <w:end w:w="100" w:type="dxa"/>
            </w:tcMar>
            <w:vAlign w:val="top"/>
            <w:shd w:fill="F5F8FC"/>
          </w:tcPr>
          <w:p>
            <w:r>
              <w:rPr>
                <w:rFonts w:ascii="Aptos" w:hAnsi="Aptos" w:eastAsia="Aptos"/>
                <w:b w:val="0"/>
                <w:color w:val="1F1F1F"/>
                <w:sz w:val="16"/>
              </w:rPr>
              <w:t>Acknowledgement</w:t>
            </w:r>
          </w:p>
        </w:tc>
        <w:tc>
          <w:tcPr>
            <w:tcW w:type="dxa" w:w="5083"/>
            <w:tcMar>
              <w:top w:w="85" w:type="dxa"/>
              <w:start w:w="100" w:type="dxa"/>
              <w:bottom w:w="85" w:type="dxa"/>
              <w:end w:w="100" w:type="dxa"/>
            </w:tcMar>
            <w:vAlign w:val="top"/>
            <w:shd w:fill="F5F8FC"/>
          </w:tcPr>
          <w:p>
            <w:r>
              <w:rPr>
                <w:rFonts w:ascii="Aptos" w:hAnsi="Aptos" w:eastAsia="Aptos"/>
                <w:b w:val="0"/>
                <w:color w:val="1F1F1F"/>
                <w:sz w:val="16"/>
              </w:rPr>
              <w:t>Record who saw the alert, when, repeat value, referral decision, and receiving facility.</w:t>
            </w:r>
          </w:p>
        </w:tc>
      </w:tr>
      <w:tr>
        <w:trPr>
          <w:cantSplit w:val="true"/>
        </w:trPr>
        <w:tc>
          <w:tcPr>
            <w:tcW w:type="dxa" w:w="5083"/>
            <w:tcMar>
              <w:top w:w="85" w:type="dxa"/>
              <w:start w:w="100" w:type="dxa"/>
              <w:bottom w:w="85" w:type="dxa"/>
              <w:end w:w="100" w:type="dxa"/>
            </w:tcMar>
            <w:vAlign w:val="top"/>
          </w:tcPr>
          <w:p>
            <w:r>
              <w:rPr>
                <w:rFonts w:ascii="Aptos" w:hAnsi="Aptos" w:eastAsia="Aptos"/>
                <w:b w:val="0"/>
                <w:color w:val="1F1F1F"/>
                <w:sz w:val="16"/>
              </w:rPr>
              <w:t>Auditability</w:t>
            </w:r>
          </w:p>
        </w:tc>
        <w:tc>
          <w:tcPr>
            <w:tcW w:type="dxa" w:w="5083"/>
            <w:tcMar>
              <w:top w:w="85" w:type="dxa"/>
              <w:start w:w="100" w:type="dxa"/>
              <w:bottom w:w="85" w:type="dxa"/>
              <w:end w:w="100" w:type="dxa"/>
            </w:tcMar>
            <w:vAlign w:val="top"/>
          </w:tcPr>
          <w:p>
            <w:r>
              <w:rPr>
                <w:rFonts w:ascii="Aptos" w:hAnsi="Aptos" w:eastAsia="Aptos"/>
                <w:b w:val="0"/>
                <w:color w:val="1F1F1F"/>
                <w:sz w:val="16"/>
              </w:rPr>
              <w:t>Never silently overwrite readings or downgrade a prior urgent event.</w:t>
            </w:r>
          </w:p>
        </w:tc>
      </w:tr>
      <w:tr>
        <w:trPr>
          <w:cantSplit w:val="true"/>
        </w:trPr>
        <w:tc>
          <w:tcPr>
            <w:tcW w:type="dxa" w:w="5083"/>
            <w:tcMar>
              <w:top w:w="85" w:type="dxa"/>
              <w:start w:w="100" w:type="dxa"/>
              <w:bottom w:w="85" w:type="dxa"/>
              <w:end w:w="100" w:type="dxa"/>
            </w:tcMar>
            <w:vAlign w:val="top"/>
            <w:shd w:fill="F5F8FC"/>
          </w:tcPr>
          <w:p>
            <w:r>
              <w:rPr>
                <w:rFonts w:ascii="Aptos" w:hAnsi="Aptos" w:eastAsia="Aptos"/>
                <w:b w:val="0"/>
                <w:color w:val="1F1F1F"/>
                <w:sz w:val="16"/>
              </w:rPr>
              <w:t>Accessibility</w:t>
            </w:r>
          </w:p>
        </w:tc>
        <w:tc>
          <w:tcPr>
            <w:tcW w:type="dxa" w:w="5083"/>
            <w:tcMar>
              <w:top w:w="85" w:type="dxa"/>
              <w:start w:w="100" w:type="dxa"/>
              <w:bottom w:w="85" w:type="dxa"/>
              <w:end w:w="100" w:type="dxa"/>
            </w:tcMar>
            <w:vAlign w:val="top"/>
            <w:shd w:fill="F5F8FC"/>
          </w:tcPr>
          <w:p>
            <w:r>
              <w:rPr>
                <w:rFonts w:ascii="Aptos" w:hAnsi="Aptos" w:eastAsia="Aptos"/>
                <w:b w:val="0"/>
                <w:color w:val="1F1F1F"/>
                <w:sz w:val="16"/>
              </w:rPr>
              <w:t>Plain language, sufficient contrast, text labels, keyboard access, and printable referral summary.</w:t>
            </w:r>
          </w:p>
        </w:tc>
      </w:tr>
    </w:tbl>
    <w:p/>
    <w:p>
      <w:pPr>
        <w:pStyle w:val="Heading1"/>
      </w:pPr>
      <w:r>
        <w:t>17. Panel Defense Questions and Answers</w:t>
      </w:r>
    </w:p>
    <w:p>
      <w:r>
        <w:rPr>
          <w:rFonts w:ascii="Aptos" w:hAnsi="Aptos" w:eastAsia="Aptos"/>
          <w:b/>
          <w:color w:val="17365D"/>
          <w:sz w:val="19"/>
        </w:rPr>
        <w:t>Q: Why is 140/90 automatically HIGH?</w:t>
      </w:r>
    </w:p>
    <w:p>
      <w:r>
        <w:rPr>
          <w:rFonts w:ascii="Aptos" w:hAnsi="Aptos" w:eastAsia="Aptos"/>
          <w:b w:val="0"/>
          <w:color w:val="1F1F1F"/>
          <w:sz w:val="19"/>
        </w:rPr>
        <w:t>A: It is the internationally and locally recognized hypertension threshold in pregnancy. Our system uses it as a conservative screening override so an ML LOW result cannot hide an abnormal BP. The output requires confirmation and assessment; it is not a diagnosis.</w:t>
      </w:r>
    </w:p>
    <w:p>
      <w:r>
        <w:rPr>
          <w:rFonts w:ascii="Aptos" w:hAnsi="Aptos" w:eastAsia="Aptos"/>
          <w:b/>
          <w:color w:val="17365D"/>
          <w:sz w:val="19"/>
        </w:rPr>
        <w:t>Q: Why does the system use OR instead of AND?</w:t>
      </w:r>
    </w:p>
    <w:p>
      <w:r>
        <w:rPr>
          <w:rFonts w:ascii="Aptos" w:hAnsi="Aptos" w:eastAsia="Aptos"/>
          <w:b w:val="0"/>
          <w:color w:val="1F1F1F"/>
          <w:sz w:val="19"/>
        </w:rPr>
        <w:t>A: Guidelines define hypertension and severe hypertension when either systolic or diastolic reaches the threshold. Requiring both would miss isolated severe systolic or diastolic hypertension.</w:t>
      </w:r>
    </w:p>
    <w:p>
      <w:r>
        <w:rPr>
          <w:rFonts w:ascii="Aptos" w:hAnsi="Aptos" w:eastAsia="Aptos"/>
          <w:b/>
          <w:color w:val="17365D"/>
          <w:sz w:val="19"/>
        </w:rPr>
        <w:t>Q: Does one high reading prove pre-eclampsia?</w:t>
      </w:r>
    </w:p>
    <w:p>
      <w:r>
        <w:rPr>
          <w:rFonts w:ascii="Aptos" w:hAnsi="Aptos" w:eastAsia="Aptos"/>
          <w:b w:val="0"/>
          <w:color w:val="1F1F1F"/>
          <w:sz w:val="19"/>
        </w:rPr>
        <w:t>A: No. Diagnosis requires timing, repeat measurement, and evaluation for proteinuria or organ dysfunction. The system says HIGH and recommends assessment.</w:t>
      </w:r>
    </w:p>
    <w:p>
      <w:r>
        <w:rPr>
          <w:rFonts w:ascii="Aptos" w:hAnsi="Aptos" w:eastAsia="Aptos"/>
          <w:b/>
          <w:color w:val="17365D"/>
          <w:sz w:val="19"/>
        </w:rPr>
        <w:t>Q: Why is 160/110 urgent?</w:t>
      </w:r>
    </w:p>
    <w:p>
      <w:r>
        <w:rPr>
          <w:rFonts w:ascii="Aptos" w:hAnsi="Aptos" w:eastAsia="Aptos"/>
          <w:b w:val="0"/>
          <w:color w:val="1F1F1F"/>
          <w:sz w:val="19"/>
        </w:rPr>
        <w:t>A: Severe-range hypertension carries risk of serious maternal complications and requires rapid confirmation and timely management in an appropriate facility.</w:t>
      </w:r>
    </w:p>
    <w:p>
      <w:r>
        <w:rPr>
          <w:rFonts w:ascii="Aptos" w:hAnsi="Aptos" w:eastAsia="Aptos"/>
          <w:b/>
          <w:color w:val="17365D"/>
          <w:sz w:val="19"/>
        </w:rPr>
        <w:t>Q: Why does the CDSS not recommend a specific antihypertensive?</w:t>
      </w:r>
    </w:p>
    <w:p>
      <w:r>
        <w:rPr>
          <w:rFonts w:ascii="Aptos" w:hAnsi="Aptos" w:eastAsia="Aptos"/>
          <w:b w:val="0"/>
          <w:color w:val="1F1F1F"/>
          <w:sz w:val="19"/>
        </w:rPr>
        <w:t>A: Medication selection and dosing depend on diagnosis, contraindications, gestational/postpartum context, availability, and qualified prescribing authority. The lying-in CDSS is limited to recognition and referral.</w:t>
      </w:r>
    </w:p>
    <w:p>
      <w:r>
        <w:rPr>
          <w:rFonts w:ascii="Aptos" w:hAnsi="Aptos" w:eastAsia="Aptos"/>
          <w:b/>
          <w:color w:val="17365D"/>
          <w:sz w:val="19"/>
        </w:rPr>
        <w:t>Q: What if BP becomes lower after repeating it?</w:t>
      </w:r>
    </w:p>
    <w:p>
      <w:r>
        <w:rPr>
          <w:rFonts w:ascii="Aptos" w:hAnsi="Aptos" w:eastAsia="Aptos"/>
          <w:b w:val="0"/>
          <w:color w:val="1F1F1F"/>
          <w:sz w:val="19"/>
        </w:rPr>
        <w:t>A: Both measurements remain in the record. The clinician interprets the sequence. A prior severe-range value cannot be erased and still requires documented clinical response.</w:t>
      </w:r>
    </w:p>
    <w:p>
      <w:r>
        <w:rPr>
          <w:rFonts w:ascii="Aptos" w:hAnsi="Aptos" w:eastAsia="Aptos"/>
          <w:b/>
          <w:color w:val="17365D"/>
          <w:sz w:val="19"/>
        </w:rPr>
        <w:t>Q: What if the patient has severe headache but BP is 135/85?</w:t>
      </w:r>
    </w:p>
    <w:p>
      <w:r>
        <w:rPr>
          <w:rFonts w:ascii="Aptos" w:hAnsi="Aptos" w:eastAsia="Aptos"/>
          <w:b w:val="0"/>
          <w:color w:val="1F1F1F"/>
          <w:sz w:val="19"/>
        </w:rPr>
        <w:t>A: The symptom itself may require urgent evaluation. A complete system should have a symptom emergency pathway independent of the BP rule.</w:t>
      </w:r>
    </w:p>
    <w:p>
      <w:r>
        <w:rPr>
          <w:rFonts w:ascii="Aptos" w:hAnsi="Aptos" w:eastAsia="Aptos"/>
          <w:b/>
          <w:color w:val="17365D"/>
          <w:sz w:val="19"/>
        </w:rPr>
        <w:t>Q: How is the rule locally justified?</w:t>
      </w:r>
    </w:p>
    <w:p>
      <w:r>
        <w:rPr>
          <w:rFonts w:ascii="Aptos" w:hAnsi="Aptos" w:eastAsia="Aptos"/>
          <w:b w:val="0"/>
          <w:color w:val="1F1F1F"/>
          <w:sz w:val="19"/>
        </w:rPr>
        <w:t>A: The Philippine 2020 hypertension guideline uses 140/90 for pregnancy hypertension and 160/110 for acute severe hypertension, consistent with international guidance.</w:t>
      </w:r>
    </w:p>
    <w:p>
      <w:r>
        <w:rPr>
          <w:rFonts w:ascii="Aptos" w:hAnsi="Aptos" w:eastAsia="Aptos"/>
          <w:b/>
          <w:color w:val="17365D"/>
          <w:sz w:val="19"/>
        </w:rPr>
        <w:t>Q: What is the main limitation?</w:t>
      </w:r>
    </w:p>
    <w:p>
      <w:r>
        <w:rPr>
          <w:rFonts w:ascii="Aptos" w:hAnsi="Aptos" w:eastAsia="Aptos"/>
          <w:b w:val="0"/>
          <w:color w:val="1F1F1F"/>
          <w:sz w:val="19"/>
        </w:rPr>
        <w:t>A: The current rule is based on structured BP values and does not independently verify technique, persistence, laboratory criteria, or diagnosis.</w:t>
      </w:r>
    </w:p>
    <w:p>
      <w:pPr>
        <w:pStyle w:val="Heading1"/>
      </w:pPr>
      <w:r>
        <w:t>18. Clinical Governance Recommendations Before Deployment</w:t>
      </w:r>
    </w:p>
    <w:p>
      <w:pPr>
        <w:pStyle w:val="ListBullet"/>
      </w:pPr>
      <w:r>
        <w:rPr>
          <w:rFonts w:ascii="Aptos" w:hAnsi="Aptos" w:eastAsia="Aptos"/>
          <w:b w:val="0"/>
          <w:color w:val="1F1F1F"/>
          <w:sz w:val="19"/>
        </w:rPr>
        <w:t>Obtain formal review and approval of thresholds, wording, and escalation workflow from a licensed obstetric clinician and the clinic medical director.</w:t>
      </w:r>
    </w:p>
    <w:p>
      <w:pPr>
        <w:pStyle w:val="ListBullet"/>
      </w:pPr>
      <w:r>
        <w:rPr>
          <w:rFonts w:ascii="Aptos" w:hAnsi="Aptos" w:eastAsia="Aptos"/>
          <w:b w:val="0"/>
          <w:color w:val="1F1F1F"/>
          <w:sz w:val="19"/>
        </w:rPr>
        <w:t>Confirm the clinic-specific emergency referral pathway, transport process, receiving facilities, and documentation requirements.</w:t>
      </w:r>
    </w:p>
    <w:p>
      <w:pPr>
        <w:pStyle w:val="ListBullet"/>
      </w:pPr>
      <w:r>
        <w:rPr>
          <w:rFonts w:ascii="Aptos" w:hAnsi="Aptos" w:eastAsia="Aptos"/>
          <w:b w:val="0"/>
          <w:color w:val="1F1F1F"/>
          <w:sz w:val="19"/>
        </w:rPr>
        <w:t>Implement validated BP-measurement training and periodic competency checks for staff.</w:t>
      </w:r>
    </w:p>
    <w:p>
      <w:pPr>
        <w:pStyle w:val="ListBullet"/>
      </w:pPr>
      <w:r>
        <w:rPr>
          <w:rFonts w:ascii="Aptos" w:hAnsi="Aptos" w:eastAsia="Aptos"/>
          <w:b w:val="0"/>
          <w:color w:val="1F1F1F"/>
          <w:sz w:val="19"/>
        </w:rPr>
        <w:t>Use OR logic in all comparisons and unit-test exact boundaries at 140/90 and 160/110.</w:t>
      </w:r>
    </w:p>
    <w:p>
      <w:pPr>
        <w:pStyle w:val="ListBullet"/>
      </w:pPr>
      <w:r>
        <w:rPr>
          <w:rFonts w:ascii="Aptos" w:hAnsi="Aptos" w:eastAsia="Aptos"/>
          <w:b w:val="0"/>
          <w:color w:val="1F1F1F"/>
          <w:sz w:val="19"/>
        </w:rPr>
        <w:t>Add independent emergency symptom logic rather than relying only on BP.</w:t>
      </w:r>
    </w:p>
    <w:p>
      <w:pPr>
        <w:pStyle w:val="ListBullet"/>
      </w:pPr>
      <w:r>
        <w:rPr>
          <w:rFonts w:ascii="Aptos" w:hAnsi="Aptos" w:eastAsia="Aptos"/>
          <w:b w:val="0"/>
          <w:color w:val="1F1F1F"/>
          <w:sz w:val="19"/>
        </w:rPr>
        <w:t>Define how repeated measurements affect the displayed current state without erasing prior events.</w:t>
      </w:r>
    </w:p>
    <w:p>
      <w:pPr>
        <w:pStyle w:val="ListBullet"/>
      </w:pPr>
      <w:r>
        <w:rPr>
          <w:rFonts w:ascii="Aptos" w:hAnsi="Aptos" w:eastAsia="Aptos"/>
          <w:b w:val="0"/>
          <w:color w:val="1F1F1F"/>
          <w:sz w:val="19"/>
        </w:rPr>
        <w:t>Create postpartum hypertension alerts and follow-up workflow.</w:t>
      </w:r>
    </w:p>
    <w:p>
      <w:pPr>
        <w:pStyle w:val="ListBullet"/>
      </w:pPr>
      <w:r>
        <w:rPr>
          <w:rFonts w:ascii="Aptos" w:hAnsi="Aptos" w:eastAsia="Aptos"/>
          <w:b w:val="0"/>
          <w:color w:val="1F1F1F"/>
          <w:sz w:val="19"/>
        </w:rPr>
        <w:t>Review the rules whenever WHO, NICE, ACOG, ISSHP, Philippine guidance, or local capability changes.</w:t>
      </w:r>
    </w:p>
    <w:p>
      <w:pPr>
        <w:pStyle w:val="ListBullet"/>
      </w:pPr>
      <w:r>
        <w:rPr>
          <w:rFonts w:ascii="Aptos" w:hAnsi="Aptos" w:eastAsia="Aptos"/>
          <w:b w:val="0"/>
          <w:color w:val="1F1F1F"/>
          <w:sz w:val="19"/>
        </w:rPr>
        <w:t>Conduct prospective silent-mode validation before allowing the output to influence real clinical workflow.</w:t>
      </w:r>
    </w:p>
    <w:p>
      <w:pPr>
        <w:pStyle w:val="Heading1"/>
      </w:pPr>
      <w:r>
        <w:t>19. References and Clickable Official Links</w:t>
      </w:r>
    </w:p>
    <w:p>
      <w:r>
        <w:t>Every numbered citation in this document is clickable. The source titles and URLs below are also active hyperlinks.</w:t>
      </w:r>
    </w:p>
    <w:p>
      <w:pPr>
        <w:ind w:left="360" w:hanging="360"/>
      </w:pPr>
      <w:r>
        <w:rPr>
          <w:rFonts w:ascii="Aptos" w:hAnsi="Aptos" w:eastAsia="Aptos"/>
          <w:b/>
          <w:color w:val="17365D"/>
          <w:sz w:val="18"/>
        </w:rPr>
        <w:t xml:space="preserve">[1] </w:t>
      </w:r>
      <w:hyperlink r:id="rId11">
        <w:r>
          <w:rPr>
            <w:color w:val="0563C1"/>
            <w:u w:val="single"/>
            <w:rFonts w:ascii="Aptos" w:hAnsi="Aptos"/>
          </w:rPr>
          <w:t>World Health Organization. WHO recommendations on drug treatment for non-severe hypertension in pregnancy. 2020.</w:t>
        </w:r>
      </w:hyperlink>
    </w:p>
    <w:p>
      <w:pPr>
        <w:ind w:left="360"/>
      </w:pPr>
      <w:r>
        <w:rPr>
          <w:rFonts w:ascii="Aptos" w:hAnsi="Aptos" w:eastAsia="Aptos"/>
          <w:b/>
          <w:color w:val="1F1F1F"/>
          <w:sz w:val="16"/>
        </w:rPr>
        <w:t xml:space="preserve">Official URL: </w:t>
      </w:r>
      <w:hyperlink r:id="rId11">
        <w:r>
          <w:rPr>
            <w:color w:val="0563C1"/>
            <w:u w:val="single"/>
            <w:rFonts w:ascii="Aptos" w:hAnsi="Aptos"/>
          </w:rPr>
          <w:t>https://www.who.int/publications/i/item/9789240008793</w:t>
        </w:r>
      </w:hyperlink>
    </w:p>
    <w:p>
      <w:pPr>
        <w:ind w:left="360" w:hanging="360"/>
      </w:pPr>
      <w:r>
        <w:rPr>
          <w:rFonts w:ascii="Aptos" w:hAnsi="Aptos" w:eastAsia="Aptos"/>
          <w:b/>
          <w:color w:val="17365D"/>
          <w:sz w:val="18"/>
        </w:rPr>
        <w:t xml:space="preserve">[2] </w:t>
      </w:r>
      <w:hyperlink r:id="rId17">
        <w:r>
          <w:rPr>
            <w:color w:val="0563C1"/>
            <w:u w:val="single"/>
            <w:rFonts w:ascii="Aptos" w:hAnsi="Aptos"/>
          </w:rPr>
          <w:t>World Health Organization. WHO recommendations for prevention and treatment of pre-eclampsia and eclampsia. 2011.</w:t>
        </w:r>
      </w:hyperlink>
    </w:p>
    <w:p>
      <w:pPr>
        <w:ind w:left="360"/>
      </w:pPr>
      <w:r>
        <w:rPr>
          <w:rFonts w:ascii="Aptos" w:hAnsi="Aptos" w:eastAsia="Aptos"/>
          <w:b/>
          <w:color w:val="1F1F1F"/>
          <w:sz w:val="16"/>
        </w:rPr>
        <w:t xml:space="preserve">Official URL: </w:t>
      </w:r>
      <w:hyperlink r:id="rId17">
        <w:r>
          <w:rPr>
            <w:color w:val="0563C1"/>
            <w:u w:val="single"/>
            <w:rFonts w:ascii="Aptos" w:hAnsi="Aptos"/>
          </w:rPr>
          <w:t>https://www.who.int/publications/i/item/9789241548335</w:t>
        </w:r>
      </w:hyperlink>
    </w:p>
    <w:p>
      <w:pPr>
        <w:ind w:left="360" w:hanging="360"/>
      </w:pPr>
      <w:r>
        <w:rPr>
          <w:rFonts w:ascii="Aptos" w:hAnsi="Aptos" w:eastAsia="Aptos"/>
          <w:b/>
          <w:color w:val="17365D"/>
          <w:sz w:val="18"/>
        </w:rPr>
        <w:t xml:space="preserve">[3] </w:t>
      </w:r>
      <w:hyperlink r:id="rId12">
        <w:r>
          <w:rPr>
            <w:color w:val="0563C1"/>
            <w:u w:val="single"/>
            <w:rFonts w:ascii="Aptos" w:hAnsi="Aptos"/>
          </w:rPr>
          <w:t>National Institute for Health and Care Excellence. Hypertension in pregnancy: diagnosis and management (NG133). Published 2019; updated 2023.</w:t>
        </w:r>
      </w:hyperlink>
    </w:p>
    <w:p>
      <w:pPr>
        <w:ind w:left="360"/>
      </w:pPr>
      <w:r>
        <w:rPr>
          <w:rFonts w:ascii="Aptos" w:hAnsi="Aptos" w:eastAsia="Aptos"/>
          <w:b/>
          <w:color w:val="1F1F1F"/>
          <w:sz w:val="16"/>
        </w:rPr>
        <w:t xml:space="preserve">Official URL: </w:t>
      </w:r>
      <w:hyperlink r:id="rId12">
        <w:r>
          <w:rPr>
            <w:color w:val="0563C1"/>
            <w:u w:val="single"/>
            <w:rFonts w:ascii="Aptos" w:hAnsi="Aptos"/>
          </w:rPr>
          <w:t>https://www.nice.org.uk/guidance/ng133</w:t>
        </w:r>
      </w:hyperlink>
    </w:p>
    <w:p>
      <w:pPr>
        <w:ind w:left="360" w:hanging="360"/>
      </w:pPr>
      <w:r>
        <w:rPr>
          <w:rFonts w:ascii="Aptos" w:hAnsi="Aptos" w:eastAsia="Aptos"/>
          <w:b/>
          <w:color w:val="17365D"/>
          <w:sz w:val="18"/>
        </w:rPr>
        <w:t xml:space="preserve">[4] </w:t>
      </w:r>
      <w:hyperlink r:id="rId13">
        <w:r>
          <w:rPr>
            <w:color w:val="0563C1"/>
            <w:u w:val="single"/>
            <w:rFonts w:ascii="Aptos" w:hAnsi="Aptos"/>
          </w:rPr>
          <w:t>American College of Obstetricians and Gynecologists. Gestational Hypertension and Preeclampsia. Practice Bulletin No. 222. 2020; reaffirmed 2023.</w:t>
        </w:r>
      </w:hyperlink>
    </w:p>
    <w:p>
      <w:pPr>
        <w:ind w:left="360"/>
      </w:pPr>
      <w:r>
        <w:rPr>
          <w:rFonts w:ascii="Aptos" w:hAnsi="Aptos" w:eastAsia="Aptos"/>
          <w:b/>
          <w:color w:val="1F1F1F"/>
          <w:sz w:val="16"/>
        </w:rPr>
        <w:t xml:space="preserve">Official URL: </w:t>
      </w:r>
      <w:hyperlink r:id="rId13">
        <w:r>
          <w:rPr>
            <w:color w:val="0563C1"/>
            <w:u w:val="single"/>
            <w:rFonts w:ascii="Aptos" w:hAnsi="Aptos"/>
          </w:rPr>
          <w:t>https://www.acog.org/clinical/clinical-guidance/practice-bulletin/articles/2020/06/gestational-hypertension-and-preeclampsia</w:t>
        </w:r>
      </w:hyperlink>
    </w:p>
    <w:p>
      <w:pPr>
        <w:ind w:left="360" w:hanging="360"/>
      </w:pPr>
      <w:r>
        <w:rPr>
          <w:rFonts w:ascii="Aptos" w:hAnsi="Aptos" w:eastAsia="Aptos"/>
          <w:b/>
          <w:color w:val="17365D"/>
          <w:sz w:val="18"/>
        </w:rPr>
        <w:t xml:space="preserve">[5] </w:t>
      </w:r>
      <w:hyperlink r:id="rId16">
        <w:r>
          <w:rPr>
            <w:color w:val="0563C1"/>
            <w:u w:val="single"/>
            <w:rFonts w:ascii="Aptos" w:hAnsi="Aptos"/>
          </w:rPr>
          <w:t>American College of Obstetricians and Gynecologists. Clinical Guidance for Integration of the CHAP Study Findings. 2022; reaffirmed 2025.</w:t>
        </w:r>
      </w:hyperlink>
    </w:p>
    <w:p>
      <w:pPr>
        <w:ind w:left="360"/>
      </w:pPr>
      <w:r>
        <w:rPr>
          <w:rFonts w:ascii="Aptos" w:hAnsi="Aptos" w:eastAsia="Aptos"/>
          <w:b/>
          <w:color w:val="1F1F1F"/>
          <w:sz w:val="16"/>
        </w:rPr>
        <w:t xml:space="preserve">Official URL: </w:t>
      </w:r>
      <w:hyperlink r:id="rId16">
        <w:r>
          <w:rPr>
            <w:color w:val="0563C1"/>
            <w:u w:val="single"/>
            <w:rFonts w:ascii="Aptos" w:hAnsi="Aptos"/>
          </w:rPr>
          <w:t>https://www.acog.org/clinical/clinical-guidance/practice-advisory/articles/2022/04/clinical-guidance-for-the-integration-of-the-findings-of-the-chronic-hypertension-and-pregnancy-chap-study</w:t>
        </w:r>
      </w:hyperlink>
    </w:p>
    <w:p>
      <w:pPr>
        <w:ind w:left="360" w:hanging="360"/>
      </w:pPr>
      <w:r>
        <w:rPr>
          <w:rFonts w:ascii="Aptos" w:hAnsi="Aptos" w:eastAsia="Aptos"/>
          <w:b/>
          <w:color w:val="17365D"/>
          <w:sz w:val="18"/>
        </w:rPr>
        <w:t xml:space="preserve">[6] </w:t>
      </w:r>
      <w:hyperlink r:id="rId18">
        <w:r>
          <w:rPr>
            <w:color w:val="0563C1"/>
            <w:u w:val="single"/>
            <w:rFonts w:ascii="Aptos" w:hAnsi="Aptos"/>
          </w:rPr>
          <w:t>American College of Obstetricians and Gynecologists. Chronic Hypertension in Pregnancy. Practice Bulletin No. 203. 2019.</w:t>
        </w:r>
      </w:hyperlink>
    </w:p>
    <w:p>
      <w:pPr>
        <w:ind w:left="360"/>
      </w:pPr>
      <w:r>
        <w:rPr>
          <w:rFonts w:ascii="Aptos" w:hAnsi="Aptos" w:eastAsia="Aptos"/>
          <w:b/>
          <w:color w:val="1F1F1F"/>
          <w:sz w:val="16"/>
        </w:rPr>
        <w:t xml:space="preserve">Official URL: </w:t>
      </w:r>
      <w:hyperlink r:id="rId18">
        <w:r>
          <w:rPr>
            <w:color w:val="0563C1"/>
            <w:u w:val="single"/>
            <w:rFonts w:ascii="Aptos" w:hAnsi="Aptos"/>
          </w:rPr>
          <w:t>https://www.acog.org/clinical/clinical-guidance/practice-bulletin/articles/2019/01/chronic-hypertension-in-pregnancy</w:t>
        </w:r>
      </w:hyperlink>
    </w:p>
    <w:p>
      <w:pPr>
        <w:ind w:left="360" w:hanging="360"/>
      </w:pPr>
      <w:r>
        <w:rPr>
          <w:rFonts w:ascii="Aptos" w:hAnsi="Aptos" w:eastAsia="Aptos"/>
          <w:b/>
          <w:color w:val="17365D"/>
          <w:sz w:val="18"/>
        </w:rPr>
        <w:t xml:space="preserve">[7] </w:t>
      </w:r>
      <w:hyperlink r:id="rId14">
        <w:r>
          <w:rPr>
            <w:color w:val="0563C1"/>
            <w:u w:val="single"/>
            <w:rFonts w:ascii="Aptos" w:hAnsi="Aptos"/>
          </w:rPr>
          <w:t>Ona DID, et al. Executive summary of the 2020 clinical practice guidelines for the management of hypertension in the Philippines. Journal of Clinical Hypertension. 2021;23:1637-1650.</w:t>
        </w:r>
      </w:hyperlink>
    </w:p>
    <w:p>
      <w:pPr>
        <w:ind w:left="360"/>
      </w:pPr>
      <w:r>
        <w:rPr>
          <w:rFonts w:ascii="Aptos" w:hAnsi="Aptos" w:eastAsia="Aptos"/>
          <w:b/>
          <w:color w:val="1F1F1F"/>
          <w:sz w:val="16"/>
        </w:rPr>
        <w:t xml:space="preserve">Official URL: </w:t>
      </w:r>
      <w:hyperlink r:id="rId14">
        <w:r>
          <w:rPr>
            <w:color w:val="0563C1"/>
            <w:u w:val="single"/>
            <w:rFonts w:ascii="Aptos" w:hAnsi="Aptos"/>
          </w:rPr>
          <w:t>https://pmc.ncbi.nlm.nih.gov/articles/PMC8678709/</w:t>
        </w:r>
      </w:hyperlink>
    </w:p>
    <w:p>
      <w:pPr>
        <w:ind w:left="360" w:hanging="360"/>
      </w:pPr>
      <w:r>
        <w:rPr>
          <w:rFonts w:ascii="Aptos" w:hAnsi="Aptos" w:eastAsia="Aptos"/>
          <w:b/>
          <w:color w:val="17365D"/>
          <w:sz w:val="18"/>
        </w:rPr>
        <w:t xml:space="preserve">[8] </w:t>
      </w:r>
      <w:hyperlink r:id="rId19">
        <w:r>
          <w:rPr>
            <w:color w:val="0563C1"/>
            <w:u w:val="single"/>
            <w:rFonts w:ascii="Aptos" w:hAnsi="Aptos"/>
          </w:rPr>
          <w:t>International Society for the Study of Hypertension in Pregnancy. ISSHP classification, diagnosis and management recommendations for international practice. 2021.</w:t>
        </w:r>
      </w:hyperlink>
    </w:p>
    <w:p>
      <w:pPr>
        <w:ind w:left="360"/>
      </w:pPr>
      <w:r>
        <w:rPr>
          <w:rFonts w:ascii="Aptos" w:hAnsi="Aptos" w:eastAsia="Aptos"/>
          <w:b/>
          <w:color w:val="1F1F1F"/>
          <w:sz w:val="16"/>
        </w:rPr>
        <w:t xml:space="preserve">Official URL: </w:t>
      </w:r>
      <w:hyperlink r:id="rId19">
        <w:r>
          <w:rPr>
            <w:color w:val="0563C1"/>
            <w:u w:val="single"/>
            <w:rFonts w:ascii="Aptos" w:hAnsi="Aptos"/>
          </w:rPr>
          <w:t>https://isshp.org/guidelines/</w:t>
        </w:r>
      </w:hyperlink>
    </w:p>
    <w:p>
      <w:pPr>
        <w:ind w:left="360" w:hanging="360"/>
      </w:pPr>
      <w:r>
        <w:rPr>
          <w:rFonts w:ascii="Aptos" w:hAnsi="Aptos" w:eastAsia="Aptos"/>
          <w:b/>
          <w:color w:val="17365D"/>
          <w:sz w:val="18"/>
        </w:rPr>
        <w:t xml:space="preserve">[9] </w:t>
      </w:r>
      <w:hyperlink r:id="rId15">
        <w:r>
          <w:rPr>
            <w:color w:val="0563C1"/>
            <w:u w:val="single"/>
            <w:rFonts w:ascii="Aptos" w:hAnsi="Aptos"/>
          </w:rPr>
          <w:t>American College of Obstetricians and Gynecologists. Preeclampsia and High Blood Pressure During Pregnancy: Frequently Asked Questions.</w:t>
        </w:r>
      </w:hyperlink>
    </w:p>
    <w:p>
      <w:pPr>
        <w:ind w:left="360"/>
      </w:pPr>
      <w:r>
        <w:rPr>
          <w:rFonts w:ascii="Aptos" w:hAnsi="Aptos" w:eastAsia="Aptos"/>
          <w:b/>
          <w:color w:val="1F1F1F"/>
          <w:sz w:val="16"/>
        </w:rPr>
        <w:t xml:space="preserve">Official URL: </w:t>
      </w:r>
      <w:hyperlink r:id="rId15">
        <w:r>
          <w:rPr>
            <w:color w:val="0563C1"/>
            <w:u w:val="single"/>
            <w:rFonts w:ascii="Aptos" w:hAnsi="Aptos"/>
          </w:rPr>
          <w:t>https://www.acog.org/womens-health/faqs/preeclampsia-and-high-blood-pressure-during-pregnancy</w:t>
        </w:r>
      </w:hyperlink>
    </w:p>
    <w:p>
      <w:pPr>
        <w:ind w:left="360" w:hanging="360"/>
      </w:pPr>
      <w:r>
        <w:rPr>
          <w:rFonts w:ascii="Aptos" w:hAnsi="Aptos" w:eastAsia="Aptos"/>
          <w:b/>
          <w:color w:val="17365D"/>
          <w:sz w:val="18"/>
        </w:rPr>
        <w:t xml:space="preserve">[10] </w:t>
      </w:r>
      <w:hyperlink r:id="rId20">
        <w:r>
          <w:rPr>
            <w:color w:val="0563C1"/>
            <w:u w:val="single"/>
            <w:rFonts w:ascii="Aptos" w:hAnsi="Aptos"/>
          </w:rPr>
          <w:t>World Health Organization. WHO recommendations on antenatal care for a positive pregnancy experience. 2016.</w:t>
        </w:r>
      </w:hyperlink>
    </w:p>
    <w:p>
      <w:pPr>
        <w:ind w:left="360"/>
      </w:pPr>
      <w:r>
        <w:rPr>
          <w:rFonts w:ascii="Aptos" w:hAnsi="Aptos" w:eastAsia="Aptos"/>
          <w:b/>
          <w:color w:val="1F1F1F"/>
          <w:sz w:val="16"/>
        </w:rPr>
        <w:t xml:space="preserve">Official URL: </w:t>
      </w:r>
      <w:hyperlink r:id="rId20">
        <w:r>
          <w:rPr>
            <w:color w:val="0563C1"/>
            <w:u w:val="single"/>
            <w:rFonts w:ascii="Aptos" w:hAnsi="Aptos"/>
          </w:rPr>
          <w:t>https://www.who.int/publications/i/item/9789241549912</w:t>
        </w:r>
      </w:hyperlink>
    </w:p>
    <w:p>
      <w:pPr>
        <w:pStyle w:val="Heading1"/>
      </w:pPr>
      <w:r>
        <w:t>20. Final Rule Statement for the Master Specification</w:t>
      </w:r>
    </w:p>
    <w:tbl>
      <w:tblPr>
        <w:tblW w:type="auto" w:w="0"/>
        <w:tblLook w:firstColumn="1" w:firstRow="1" w:lastColumn="0" w:lastRow="0" w:noHBand="0" w:noVBand="1" w:val="04A0"/>
      </w:tblPr>
      <w:tblGrid>
        <w:gridCol w:w="10166"/>
      </w:tblGrid>
      <w:tr>
        <w:tc>
          <w:tcPr>
            <w:tcW w:type="dxa" w:w="10166"/>
            <w:shd w:fill="E2F0D9"/>
            <w:tcMar>
              <w:top w:w="120" w:type="dxa"/>
              <w:start w:w="150" w:type="dxa"/>
              <w:bottom w:w="120" w:type="dxa"/>
              <w:end w:w="150" w:type="dxa"/>
            </w:tcMar>
          </w:tcPr>
          <w:p>
            <w:r>
              <w:rPr>
                <w:rFonts w:ascii="Aptos" w:hAnsi="Aptos" w:eastAsia="Aptos"/>
                <w:b/>
                <w:color w:val="17365D"/>
                <w:sz w:val="21"/>
              </w:rPr>
              <w:t>Approved wording for Document 4</w:t>
            </w:r>
          </w:p>
          <w:p>
            <w:r>
              <w:rPr>
                <w:rFonts w:ascii="Aptos" w:hAnsi="Aptos" w:eastAsia="Aptos"/>
                <w:b w:val="0"/>
                <w:color w:val="1F1F1F"/>
                <w:sz w:val="18"/>
              </w:rPr>
              <w:t>Blood pressure is an explainable, deterministic clinical-safety factor. A recorded systolic pressure of 140 mmHg or higher OR diastolic pressure of 90 mmHg or higher classifies the assessment as HIGH and overrides a LOW machine-learning output. A systolic pressure of 160 mmHg or higher OR diastolic pressure of 110 mmHg or higher additionally activates an urgent severe-range warning. These rules support recognition, repeat measurement, clinical assessment, and referral. They do not diagnose a hypertensive disorder, prescribe treatment, determine timing or mode of birth, or replace clinician judgment. Missing or invalid blood-pressure data must not be interpreted as normal. Severe-range values and emergency symptoms must receive the highest display and referral priority.</w:t>
            </w:r>
          </w:p>
        </w:tc>
      </w:tr>
    </w:tbl>
    <w:p/>
    <w:sectPr w:rsidR="00FC693F" w:rsidRPr="0006063C" w:rsidSect="00034616">
      <w:headerReference w:type="default" r:id="rId9"/>
      <w:footerReference w:type="default" r:id="rId10"/>
      <w:pgSz w:w="12240" w:h="15840"/>
      <w:pgMar w:top="922"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2F5597"/>
        <w:sz w:val="15"/>
      </w:rPr>
      <w:t>DOCUMENT 4 | REWRITTEN PART 2 | HYPERTENSION AND BLOOD PRESSURE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7"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val="0"/>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b w:val="0"/>
      <w:i/>
      <w:iCs/>
      <w:color w:val="2F559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0008793" TargetMode="External"/><Relationship Id="rId12" Type="http://schemas.openxmlformats.org/officeDocument/2006/relationships/hyperlink" Target="https://www.nice.org.uk/guidance/ng133" TargetMode="External"/><Relationship Id="rId13" Type="http://schemas.openxmlformats.org/officeDocument/2006/relationships/hyperlink" Target="https://www.acog.org/clinical/clinical-guidance/practice-bulletin/articles/2020/06/gestational-hypertension-and-preeclampsia" TargetMode="External"/><Relationship Id="rId14" Type="http://schemas.openxmlformats.org/officeDocument/2006/relationships/hyperlink" Target="https://pmc.ncbi.nlm.nih.gov/articles/PMC8678709/" TargetMode="External"/><Relationship Id="rId15" Type="http://schemas.openxmlformats.org/officeDocument/2006/relationships/hyperlink" Target="https://www.acog.org/womens-health/faqs/preeclampsia-and-high-blood-pressure-during-pregnancy" TargetMode="External"/><Relationship Id="rId16" Type="http://schemas.openxmlformats.org/officeDocument/2006/relationships/hyperlink" Target="https://www.acog.org/clinical/clinical-guidance/practice-advisory/articles/2022/04/clinical-guidance-for-the-integration-of-the-findings-of-the-chronic-hypertension-and-pregnancy-chap-study" TargetMode="External"/><Relationship Id="rId17" Type="http://schemas.openxmlformats.org/officeDocument/2006/relationships/hyperlink" Target="https://www.who.int/publications/i/item/9789241548335" TargetMode="External"/><Relationship Id="rId18" Type="http://schemas.openxmlformats.org/officeDocument/2006/relationships/hyperlink" Target="https://www.acog.org/clinical/clinical-guidance/practice-bulletin/articles/2019/01/chronic-hypertension-in-pregnancy" TargetMode="External"/><Relationship Id="rId19" Type="http://schemas.openxmlformats.org/officeDocument/2006/relationships/hyperlink" Target="https://isshp.org/guidelines/" TargetMode="External"/><Relationship Id="rId20" Type="http://schemas.openxmlformats.org/officeDocument/2006/relationships/hyperlink" Target="https://www.who.int/publications/i/item/9789241549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