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2F75B5"/>
          <w:sz w:val="26"/>
        </w:rPr>
        <w:t>DOCUMENT 4</w:t>
      </w:r>
    </w:p>
    <w:p>
      <w:pPr>
        <w:pStyle w:val="Title"/>
        <w:jc w:val="center"/>
      </w:pPr>
      <w:r>
        <w:t>Clinical Evidence Specification</w:t>
      </w:r>
    </w:p>
    <w:p>
      <w:pPr>
        <w:jc w:val="center"/>
      </w:pPr>
      <w:r>
        <w:rPr>
          <w:b/>
          <w:color w:val="17365D"/>
          <w:sz w:val="36"/>
        </w:rPr>
        <w:t>PART 4</w:t>
      </w:r>
    </w:p>
    <w:p>
      <w:pPr>
        <w:pStyle w:val="Title"/>
        <w:jc w:val="center"/>
      </w:pPr>
      <w:r>
        <w:t>Maternal Anemia</w:t>
      </w:r>
    </w:p>
    <w:p>
      <w:pPr>
        <w:pStyle w:val="Subtitle"/>
        <w:jc w:val="center"/>
      </w:pPr>
      <w:r>
        <w:t>Evidence, Decision Logic, Explainability, Safety Boundaries,</w:t>
        <w:br/>
        <w:t>and Validation for a Philippine Lying-in Clinic</w:t>
      </w:r>
    </w:p>
    <w:p/>
    <w:tbl>
      <w:tblPr>
        <w:tblW w:type="auto" w:w="0"/>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bottom w:w="110" w:type="dxa"/>
              <w:start w:w="120" w:type="dxa"/>
              <w:end w:w="120" w:type="dxa"/>
            </w:tcMar>
          </w:tcPr>
          <w:p>
            <w:pPr>
              <w:pStyle w:val="Callout"/>
            </w:pPr>
            <w:r/>
            <w:r>
              <w:rPr>
                <w:b/>
                <w:color w:val="C00000"/>
              </w:rPr>
              <w:t>Clinical rule documented in this chapter</w:t>
              <w:br/>
            </w:r>
            <w:r>
              <w:t>A recorded history or confirmed finding of maternal anemia is treated by the project CDSS as a deterministic HIGH-risk factor. The rule supports prompt clinical review and referral planning. It does not diagnose anemia, determine its cause, grade severity from symptoms alone, prescribe iron, or decide the place or mode of birth.</w:t>
            </w:r>
          </w:p>
        </w:tc>
      </w:tr>
    </w:tbl>
    <w:p>
      <w:pPr>
        <w:spacing w:after="20"/>
      </w:pPr>
    </w:p>
    <w:p>
      <w:pPr>
        <w:spacing w:before="52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Rewritten evidence specification | July 2026</w:t>
      </w:r>
    </w:p>
    <w:p>
      <w:r>
        <w:br w:type="page"/>
      </w:r>
    </w:p>
    <w:p>
      <w:pPr>
        <w:pStyle w:val="Heading1"/>
      </w:pPr>
      <w:r>
        <w:t>Executive Summary</w:t>
      </w:r>
    </w:p>
    <w:p>
      <w:r>
        <w:t>Maternal anemia is a reduction in blood haemoglobin below pregnancy-specific thresholds. It is common, clinically important, and may result from iron deficiency, folate or vitamin B12 deficiency, infection, inflammation, blood loss, inherited haemoglobin disorders, or other disease. Because the cause and severity cannot be established from a simple yes/no history field, the project uses anemia as a broad referral-oriented safety signal rather than as a treatment algorithm.</w:t>
      </w:r>
    </w:p>
    <w:p>
      <w:r>
        <w:t>WHO's 2024 guideline defines anemia using trimester-specific haemoglobin cutoffs: below 11.0 g/dL in the first trimester, below 10.5 g/dL in the second trimester, and below 11.0 g/dL in the third trimester. Severe anemia is below 7.0 g/dL in every trimester. WHO also recommends routine iron and folic acid supplementation during pregnancy as a population-level preventive intervention. ACOG identifies iron deficiency and acute blood loss as common causes and recommends screening and clinical evaluation.</w:t>
      </w:r>
    </w:p>
    <w:tbl>
      <w:tblPr>
        <w:tblW w:type="auto" w:w="0"/>
        <w:tblLook w:firstColumn="1" w:firstRow="1" w:lastColumn="0" w:lastRow="0" w:noHBand="0" w:noVBand="1" w:val="04A0"/>
      </w:tblPr>
      <w:tblGrid>
        <w:gridCol w:w="10080"/>
      </w:tblGrid>
      <w:tr>
        <w:tc>
          <w:tcPr>
            <w:tcW w:type="dxa" w:w="10080"/>
            <w:shd w:fill="FFF2CC"/>
            <w:tcBorders>
              <w:top w:val="single" w:sz="8" w:color="BF9000"/>
              <w:left w:val="single" w:sz="8" w:color="BF9000"/>
              <w:bottom w:val="single" w:sz="8" w:color="BF9000"/>
              <w:right w:val="single" w:sz="8" w:color="BF9000"/>
            </w:tcBorders>
            <w:tcMar>
              <w:top w:w="110" w:type="dxa"/>
              <w:bottom w:w="110" w:type="dxa"/>
              <w:start w:w="120" w:type="dxa"/>
              <w:end w:w="120" w:type="dxa"/>
            </w:tcMar>
          </w:tcPr>
          <w:p>
            <w:pPr>
              <w:pStyle w:val="Callout"/>
            </w:pPr>
            <w:r/>
            <w:r>
              <w:rPr>
                <w:b/>
                <w:color w:val="BF9000"/>
              </w:rPr>
              <w:t>Core academic distinction</w:t>
              <w:br/>
            </w:r>
            <w:r>
              <w:t>Clinical guidance supports measurement, investigation, prevention, and management of anemia in pregnancy. The exact software rule 'anemia present = HIGH' is a project safety configuration based on that evidence and the limited capability of a lying-in clinic; it is not a verbatim WHO or ACOG classification rule.</w:t>
            </w:r>
          </w:p>
        </w:tc>
      </w:tr>
    </w:tbl>
    <w:p>
      <w:pPr>
        <w:spacing w:after="20"/>
      </w:pPr>
    </w:p>
    <w:p>
      <w:pPr>
        <w:pStyle w:val="Heading1"/>
      </w:pPr>
      <w:r>
        <w:t>1. Purpose and Scope</w:t>
      </w:r>
    </w:p>
    <w:p>
      <w:r>
        <w:t>This chapter defines the clinical evidence, implementation rationale, explainability requirements, safety limits, and validation criteria for the anemia-related deterministic rule.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968"/>
            <w:vAlign w:val="center"/>
            <w:tcMar>
              <w:top w:w="70" w:type="dxa"/>
              <w:bottom w:w="70" w:type="dxa"/>
              <w:start w:w="80" w:type="dxa"/>
              <w:end w:w="80" w:type="dxa"/>
            </w:tcMar>
            <w:shd w:fill="17365D"/>
          </w:tcPr>
          <w:p>
            <w:pPr>
              <w:pStyle w:val="TableHeader"/>
            </w:pPr>
            <w:r/>
            <w:r>
              <w:rPr>
                <w:b/>
                <w:color w:val="FFFFFF"/>
              </w:rPr>
              <w:t>In scope</w:t>
            </w:r>
          </w:p>
        </w:tc>
        <w:tc>
          <w:tcPr>
            <w:tcW w:type="dxa" w:w="4968"/>
            <w:vAlign w:val="center"/>
            <w:tcMar>
              <w:top w:w="70" w:type="dxa"/>
              <w:bottom w:w="70" w:type="dxa"/>
              <w:start w:w="80" w:type="dxa"/>
              <w:end w:w="80" w:type="dxa"/>
            </w:tcMar>
            <w:shd w:fill="17365D"/>
          </w:tcPr>
          <w:p>
            <w:pPr>
              <w:pStyle w:val="TableHeader"/>
            </w:pPr>
            <w:r/>
            <w:r>
              <w:rPr>
                <w:b/>
                <w:color w:val="FFFFFF"/>
              </w:rPr>
              <w:t>Outside scope</w:t>
            </w:r>
          </w:p>
        </w:tc>
      </w:tr>
      <w:tr>
        <w:tc>
          <w:tcPr>
            <w:tcW w:type="dxa" w:w="4968"/>
            <w:vAlign w:val="center"/>
            <w:tcMar>
              <w:top w:w="70" w:type="dxa"/>
              <w:bottom w:w="70" w:type="dxa"/>
              <w:start w:w="80" w:type="dxa"/>
              <w:end w:w="80" w:type="dxa"/>
            </w:tcMar>
          </w:tcPr>
          <w:p>
            <w:pPr>
              <w:pStyle w:val="TableText"/>
            </w:pPr>
            <w:r/>
            <w:r>
              <w:rPr>
                <w:b w:val="0"/>
              </w:rPr>
              <w:t>Recognizing documented maternal anemia as a factor requiring higher-level assessment.</w:t>
            </w:r>
          </w:p>
        </w:tc>
        <w:tc>
          <w:tcPr>
            <w:tcW w:type="dxa" w:w="4968"/>
            <w:vAlign w:val="center"/>
            <w:tcMar>
              <w:top w:w="70" w:type="dxa"/>
              <w:bottom w:w="70" w:type="dxa"/>
              <w:start w:w="80" w:type="dxa"/>
              <w:end w:w="80" w:type="dxa"/>
            </w:tcMar>
          </w:tcPr>
          <w:p>
            <w:pPr>
              <w:pStyle w:val="TableText"/>
            </w:pPr>
            <w:r/>
            <w:r>
              <w:rPr>
                <w:b w:val="0"/>
              </w:rPr>
              <w:t>Diagnosing anemia from pallor, fatigue, or other symptoms without a valid haemoglobin result.</w:t>
            </w:r>
          </w:p>
        </w:tc>
      </w:tr>
      <w:tr>
        <w:tc>
          <w:tcPr>
            <w:tcW w:type="dxa" w:w="4968"/>
            <w:vAlign w:val="center"/>
            <w:tcMar>
              <w:top w:w="70" w:type="dxa"/>
              <w:bottom w:w="70" w:type="dxa"/>
              <w:start w:w="80" w:type="dxa"/>
              <w:end w:w="80" w:type="dxa"/>
            </w:tcMar>
            <w:shd w:fill="EDF4FA"/>
          </w:tcPr>
          <w:p>
            <w:pPr>
              <w:pStyle w:val="TableText"/>
            </w:pPr>
            <w:r/>
            <w:r>
              <w:rPr>
                <w:b w:val="0"/>
              </w:rPr>
              <w:t>Presenting an explainable HIGH result and referral-oriented recommendation.</w:t>
            </w:r>
          </w:p>
        </w:tc>
        <w:tc>
          <w:tcPr>
            <w:tcW w:type="dxa" w:w="4968"/>
            <w:vAlign w:val="center"/>
            <w:tcMar>
              <w:top w:w="70" w:type="dxa"/>
              <w:bottom w:w="70" w:type="dxa"/>
              <w:start w:w="80" w:type="dxa"/>
              <w:end w:w="80" w:type="dxa"/>
            </w:tcMar>
            <w:shd w:fill="EDF4FA"/>
          </w:tcPr>
          <w:p>
            <w:pPr>
              <w:pStyle w:val="TableText"/>
            </w:pPr>
            <w:r/>
            <w:r>
              <w:rPr>
                <w:b w:val="0"/>
              </w:rPr>
              <w:t>Determining iron deficiency, haemoglobinopathy, infection, bleeding source, or another cause.</w:t>
            </w:r>
          </w:p>
        </w:tc>
      </w:tr>
      <w:tr>
        <w:tc>
          <w:tcPr>
            <w:tcW w:type="dxa" w:w="4968"/>
            <w:vAlign w:val="center"/>
            <w:tcMar>
              <w:top w:w="70" w:type="dxa"/>
              <w:bottom w:w="70" w:type="dxa"/>
              <w:start w:w="80" w:type="dxa"/>
              <w:end w:w="80" w:type="dxa"/>
            </w:tcMar>
          </w:tcPr>
          <w:p>
            <w:pPr>
              <w:pStyle w:val="TableText"/>
            </w:pPr>
            <w:r/>
            <w:r>
              <w:rPr>
                <w:b w:val="0"/>
              </w:rPr>
              <w:t>Supporting complete data capture, auditability, and recalculation.</w:t>
            </w:r>
          </w:p>
        </w:tc>
        <w:tc>
          <w:tcPr>
            <w:tcW w:type="dxa" w:w="4968"/>
            <w:vAlign w:val="center"/>
            <w:tcMar>
              <w:top w:w="70" w:type="dxa"/>
              <w:bottom w:w="70" w:type="dxa"/>
              <w:start w:w="80" w:type="dxa"/>
              <w:end w:w="80" w:type="dxa"/>
            </w:tcMar>
          </w:tcPr>
          <w:p>
            <w:pPr>
              <w:pStyle w:val="TableText"/>
            </w:pPr>
            <w:r/>
            <w:r>
              <w:rPr>
                <w:b w:val="0"/>
              </w:rPr>
              <w:t>Prescribing oral or intravenous iron, transfusion, folate, vitamin B12, or other therapy.</w:t>
            </w:r>
          </w:p>
        </w:tc>
      </w:tr>
      <w:tr>
        <w:tc>
          <w:tcPr>
            <w:tcW w:type="dxa" w:w="4968"/>
            <w:vAlign w:val="center"/>
            <w:tcMar>
              <w:top w:w="70" w:type="dxa"/>
              <w:bottom w:w="70" w:type="dxa"/>
              <w:start w:w="80" w:type="dxa"/>
              <w:end w:w="80" w:type="dxa"/>
            </w:tcMar>
            <w:shd w:fill="EDF4FA"/>
          </w:tcPr>
          <w:p>
            <w:pPr>
              <w:pStyle w:val="TableText"/>
            </w:pPr>
            <w:r/>
            <w:r>
              <w:rPr>
                <w:b w:val="0"/>
              </w:rPr>
              <w:t>Using trimester-specific thresholds as evidence and future-design guidance.</w:t>
            </w:r>
          </w:p>
        </w:tc>
        <w:tc>
          <w:tcPr>
            <w:tcW w:type="dxa" w:w="4968"/>
            <w:vAlign w:val="center"/>
            <w:tcMar>
              <w:top w:w="70" w:type="dxa"/>
              <w:bottom w:w="70" w:type="dxa"/>
              <w:start w:w="80" w:type="dxa"/>
              <w:end w:w="80" w:type="dxa"/>
            </w:tcMar>
            <w:shd w:fill="EDF4FA"/>
          </w:tcPr>
          <w:p>
            <w:pPr>
              <w:pStyle w:val="TableText"/>
            </w:pPr>
            <w:r/>
            <w:r>
              <w:rPr>
                <w:b w:val="0"/>
              </w:rPr>
              <w:t>Automatically deciding place of birth, mode of delivery, or timing of birth.</w:t>
            </w:r>
          </w:p>
        </w:tc>
      </w:tr>
    </w:tbl>
    <w:p>
      <w:pPr>
        <w:spacing w:after="20"/>
      </w:pPr>
    </w:p>
    <w:p>
      <w:pPr>
        <w:pStyle w:val="Heading1"/>
      </w:pPr>
      <w:r>
        <w:t>2. Implemented Project Rule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vAlign w:val="center"/>
            <w:tcMar>
              <w:top w:w="70" w:type="dxa"/>
              <w:bottom w:w="70" w:type="dxa"/>
              <w:start w:w="80" w:type="dxa"/>
              <w:end w:w="80" w:type="dxa"/>
            </w:tcMar>
            <w:shd w:fill="17365D"/>
          </w:tcPr>
          <w:p>
            <w:pPr>
              <w:pStyle w:val="TableHeader"/>
            </w:pPr>
            <w:r/>
            <w:r>
              <w:rPr>
                <w:b/>
                <w:color w:val="FFFFFF"/>
              </w:rPr>
              <w:t>Rule ID</w:t>
            </w:r>
          </w:p>
        </w:tc>
        <w:tc>
          <w:tcPr>
            <w:tcW w:type="dxa" w:w="3600"/>
            <w:vAlign w:val="center"/>
            <w:tcMar>
              <w:top w:w="70" w:type="dxa"/>
              <w:bottom w:w="70" w:type="dxa"/>
              <w:start w:w="80" w:type="dxa"/>
              <w:end w:w="80" w:type="dxa"/>
            </w:tcMar>
            <w:shd w:fill="17365D"/>
          </w:tcPr>
          <w:p>
            <w:pPr>
              <w:pStyle w:val="TableHeader"/>
            </w:pPr>
            <w:r/>
            <w:r>
              <w:rPr>
                <w:b/>
                <w:color w:val="FFFFFF"/>
              </w:rPr>
              <w:t>Input condition</w:t>
            </w:r>
          </w:p>
        </w:tc>
        <w:tc>
          <w:tcPr>
            <w:tcW w:type="dxa" w:w="2016"/>
            <w:vAlign w:val="center"/>
            <w:tcMar>
              <w:top w:w="70" w:type="dxa"/>
              <w:bottom w:w="70" w:type="dxa"/>
              <w:start w:w="80" w:type="dxa"/>
              <w:end w:w="80" w:type="dxa"/>
            </w:tcMar>
            <w:shd w:fill="17365D"/>
          </w:tcPr>
          <w:p>
            <w:pPr>
              <w:pStyle w:val="TableHeader"/>
            </w:pPr>
            <w:r/>
            <w:r>
              <w:rPr>
                <w:b/>
                <w:color w:val="FFFFFF"/>
              </w:rPr>
              <w:t>CDSS output</w:t>
            </w:r>
          </w:p>
        </w:tc>
        <w:tc>
          <w:tcPr>
            <w:tcW w:type="dxa" w:w="3888"/>
            <w:vAlign w:val="center"/>
            <w:tcMar>
              <w:top w:w="70" w:type="dxa"/>
              <w:bottom w:w="70" w:type="dxa"/>
              <w:start w:w="80" w:type="dxa"/>
              <w:end w:w="80" w:type="dxa"/>
            </w:tcMar>
            <w:shd w:fill="17365D"/>
          </w:tcPr>
          <w:p>
            <w:pPr>
              <w:pStyle w:val="TableHeader"/>
            </w:pPr>
            <w:r/>
            <w:r>
              <w:rPr>
                <w:b/>
                <w:color w:val="FFFFFF"/>
              </w:rPr>
              <w:t>Meaning</w:t>
            </w:r>
          </w:p>
        </w:tc>
      </w:tr>
      <w:tr>
        <w:tc>
          <w:tcPr>
            <w:tcW w:type="dxa" w:w="1152"/>
            <w:vAlign w:val="center"/>
            <w:tcMar>
              <w:top w:w="70" w:type="dxa"/>
              <w:bottom w:w="70" w:type="dxa"/>
              <w:start w:w="80" w:type="dxa"/>
              <w:end w:w="80" w:type="dxa"/>
            </w:tcMar>
          </w:tcPr>
          <w:p>
            <w:pPr>
              <w:pStyle w:val="TableText"/>
            </w:pPr>
            <w:r/>
            <w:r>
              <w:rPr>
                <w:b w:val="0"/>
              </w:rPr>
              <w:t>AN-01</w:t>
            </w:r>
          </w:p>
        </w:tc>
        <w:tc>
          <w:tcPr>
            <w:tcW w:type="dxa" w:w="3600"/>
            <w:vAlign w:val="center"/>
            <w:tcMar>
              <w:top w:w="70" w:type="dxa"/>
              <w:bottom w:w="70" w:type="dxa"/>
              <w:start w:w="80" w:type="dxa"/>
              <w:end w:w="80" w:type="dxa"/>
            </w:tcMar>
          </w:tcPr>
          <w:p>
            <w:pPr>
              <w:pStyle w:val="TableText"/>
            </w:pPr>
            <w:r/>
            <w:r>
              <w:rPr>
                <w:b w:val="0"/>
              </w:rPr>
              <w:t>Medical history indicates anemia is present.</w:t>
            </w:r>
          </w:p>
        </w:tc>
        <w:tc>
          <w:tcPr>
            <w:tcW w:type="dxa" w:w="2016"/>
            <w:vAlign w:val="center"/>
            <w:tcMar>
              <w:top w:w="70" w:type="dxa"/>
              <w:bottom w:w="70" w:type="dxa"/>
              <w:start w:w="80" w:type="dxa"/>
              <w:end w:w="80" w:type="dxa"/>
            </w:tcMar>
          </w:tcPr>
          <w:p>
            <w:pPr>
              <w:pStyle w:val="TableText"/>
            </w:pPr>
            <w:r/>
            <w:r>
              <w:rPr>
                <w:b w:val="0"/>
              </w:rPr>
              <w:t>HIGH</w:t>
            </w:r>
          </w:p>
        </w:tc>
        <w:tc>
          <w:tcPr>
            <w:tcW w:type="dxa" w:w="3888"/>
            <w:vAlign w:val="center"/>
            <w:tcMar>
              <w:top w:w="70" w:type="dxa"/>
              <w:bottom w:w="70" w:type="dxa"/>
              <w:start w:w="80" w:type="dxa"/>
              <w:end w:w="80" w:type="dxa"/>
            </w:tcMar>
          </w:tcPr>
          <w:p>
            <w:pPr>
              <w:pStyle w:val="TableText"/>
            </w:pPr>
            <w:r/>
            <w:r>
              <w:rPr>
                <w:b w:val="0"/>
              </w:rPr>
              <w:t>Prompt clinical review, verification, treatment follow-up, and referral planning.</w:t>
            </w:r>
          </w:p>
        </w:tc>
      </w:tr>
      <w:tr>
        <w:tc>
          <w:tcPr>
            <w:tcW w:type="dxa" w:w="1152"/>
            <w:vAlign w:val="center"/>
            <w:tcMar>
              <w:top w:w="70" w:type="dxa"/>
              <w:bottom w:w="70" w:type="dxa"/>
              <w:start w:w="80" w:type="dxa"/>
              <w:end w:w="80" w:type="dxa"/>
            </w:tcMar>
            <w:shd w:fill="EDF4FA"/>
          </w:tcPr>
          <w:p>
            <w:pPr>
              <w:pStyle w:val="TableText"/>
            </w:pPr>
            <w:r/>
            <w:r>
              <w:rPr>
                <w:b w:val="0"/>
              </w:rPr>
              <w:t>AN-00</w:t>
            </w:r>
          </w:p>
        </w:tc>
        <w:tc>
          <w:tcPr>
            <w:tcW w:type="dxa" w:w="3600"/>
            <w:vAlign w:val="center"/>
            <w:tcMar>
              <w:top w:w="70" w:type="dxa"/>
              <w:bottom w:w="70" w:type="dxa"/>
              <w:start w:w="80" w:type="dxa"/>
              <w:end w:w="80" w:type="dxa"/>
            </w:tcMar>
            <w:shd w:fill="EDF4FA"/>
          </w:tcPr>
          <w:p>
            <w:pPr>
              <w:pStyle w:val="TableText"/>
            </w:pPr>
            <w:r/>
            <w:r>
              <w:rPr>
                <w:b w:val="0"/>
              </w:rPr>
              <w:t>Anemia is recorded absent and no other HIGH factor exists.</w:t>
            </w:r>
          </w:p>
        </w:tc>
        <w:tc>
          <w:tcPr>
            <w:tcW w:type="dxa" w:w="2016"/>
            <w:vAlign w:val="center"/>
            <w:tcMar>
              <w:top w:w="70" w:type="dxa"/>
              <w:bottom w:w="70" w:type="dxa"/>
              <w:start w:w="80" w:type="dxa"/>
              <w:end w:w="80" w:type="dxa"/>
            </w:tcMar>
            <w:shd w:fill="EDF4FA"/>
          </w:tcPr>
          <w:p>
            <w:pPr>
              <w:pStyle w:val="TableText"/>
            </w:pPr>
            <w:r/>
            <w:r>
              <w:rPr>
                <w:b w:val="0"/>
              </w:rPr>
              <w:t>No anemia override</w:t>
            </w:r>
          </w:p>
        </w:tc>
        <w:tc>
          <w:tcPr>
            <w:tcW w:type="dxa" w:w="3888"/>
            <w:vAlign w:val="center"/>
            <w:tcMar>
              <w:top w:w="70" w:type="dxa"/>
              <w:bottom w:w="70" w:type="dxa"/>
              <w:start w:w="80" w:type="dxa"/>
              <w:end w:w="80" w:type="dxa"/>
            </w:tcMar>
            <w:shd w:fill="EDF4FA"/>
          </w:tcPr>
          <w:p>
            <w:pPr>
              <w:pStyle w:val="TableText"/>
            </w:pPr>
            <w:r/>
            <w:r>
              <w:rPr>
                <w:b w:val="0"/>
              </w:rPr>
              <w:t>Final result still depends on complete records, other rules, and valid ML output.</w:t>
            </w:r>
          </w:p>
        </w:tc>
      </w:tr>
      <w:tr>
        <w:tc>
          <w:tcPr>
            <w:tcW w:type="dxa" w:w="1152"/>
            <w:vAlign w:val="center"/>
            <w:tcMar>
              <w:top w:w="70" w:type="dxa"/>
              <w:bottom w:w="70" w:type="dxa"/>
              <w:start w:w="80" w:type="dxa"/>
              <w:end w:w="80" w:type="dxa"/>
            </w:tcMar>
          </w:tcPr>
          <w:p>
            <w:pPr>
              <w:pStyle w:val="TableText"/>
            </w:pPr>
            <w:r/>
            <w:r>
              <w:rPr>
                <w:b w:val="0"/>
              </w:rPr>
              <w:t>AN-INC</w:t>
            </w:r>
          </w:p>
        </w:tc>
        <w:tc>
          <w:tcPr>
            <w:tcW w:type="dxa" w:w="3600"/>
            <w:vAlign w:val="center"/>
            <w:tcMar>
              <w:top w:w="70" w:type="dxa"/>
              <w:bottom w:w="70" w:type="dxa"/>
              <w:start w:w="80" w:type="dxa"/>
              <w:end w:w="80" w:type="dxa"/>
            </w:tcMar>
          </w:tcPr>
          <w:p>
            <w:pPr>
              <w:pStyle w:val="TableText"/>
            </w:pPr>
            <w:r/>
            <w:r>
              <w:rPr>
                <w:b w:val="0"/>
              </w:rPr>
              <w:t>Anemia status is missing, unknown, contradictory, or the medical history is unavailable.</w:t>
            </w:r>
          </w:p>
        </w:tc>
        <w:tc>
          <w:tcPr>
            <w:tcW w:type="dxa" w:w="2016"/>
            <w:vAlign w:val="center"/>
            <w:tcMar>
              <w:top w:w="70" w:type="dxa"/>
              <w:bottom w:w="70" w:type="dxa"/>
              <w:start w:w="80" w:type="dxa"/>
              <w:end w:w="80" w:type="dxa"/>
            </w:tcMar>
          </w:tcPr>
          <w:p>
            <w:pPr>
              <w:pStyle w:val="TableText"/>
            </w:pPr>
            <w:r/>
            <w:r>
              <w:rPr>
                <w:b w:val="0"/>
              </w:rPr>
              <w:t>ASSESSMENT INCOMPLETE</w:t>
            </w:r>
          </w:p>
        </w:tc>
        <w:tc>
          <w:tcPr>
            <w:tcW w:type="dxa" w:w="3888"/>
            <w:vAlign w:val="center"/>
            <w:tcMar>
              <w:top w:w="70" w:type="dxa"/>
              <w:bottom w:w="70" w:type="dxa"/>
              <w:start w:w="80" w:type="dxa"/>
              <w:end w:w="80" w:type="dxa"/>
            </w:tcMar>
          </w:tcPr>
          <w:p>
            <w:pPr>
              <w:pStyle w:val="TableText"/>
            </w:pPr>
            <w:r/>
            <w:r>
              <w:rPr>
                <w:b w:val="0"/>
              </w:rPr>
              <w:t>Do not infer absence; complete or correct the record.</w:t>
            </w:r>
          </w:p>
        </w:tc>
      </w:tr>
    </w:tbl>
    <w:p>
      <w:pPr>
        <w:spacing w:after="20"/>
      </w:pPr>
    </w:p>
    <w:tbl>
      <w:tblPr>
        <w:tblW w:type="auto" w:w="0"/>
        <w:tblLook w:firstColumn="1" w:firstRow="1" w:lastColumn="0" w:lastRow="0" w:noHBand="0" w:noVBand="1" w:val="04A0"/>
      </w:tblPr>
      <w:tblGrid>
        <w:gridCol w:w="10080"/>
      </w:tblGrid>
      <w:tr>
        <w:tc>
          <w:tcPr>
            <w:tcW w:type="dxa" w:w="10080"/>
            <w:shd w:fill="F2F2F2"/>
            <w:tcBorders>
              <w:top w:val="single" w:sz="8" w:color="666666"/>
              <w:left w:val="single" w:sz="8" w:color="666666"/>
              <w:bottom w:val="single" w:sz="8" w:color="666666"/>
              <w:right w:val="single" w:sz="8" w:color="666666"/>
            </w:tcBorders>
            <w:tcMar>
              <w:top w:w="110" w:type="dxa"/>
              <w:bottom w:w="110" w:type="dxa"/>
              <w:start w:w="120" w:type="dxa"/>
              <w:end w:w="120" w:type="dxa"/>
            </w:tcMar>
          </w:tcPr>
          <w:p>
            <w:pPr>
              <w:pStyle w:val="Callout"/>
            </w:pPr>
            <w:r/>
            <w:r>
              <w:rPr>
                <w:b/>
                <w:color w:val="666666"/>
              </w:rPr>
              <w:t>Current data limitation</w:t>
              <w:br/>
            </w:r>
            <w:r>
              <w:t>The implemented field is a boolean medical-history indicator. It does not contain haemoglobin value, trimester, test date, cause, symptoms, response to therapy, or severity. Therefore, the system must not claim that it has independently diagnosed or graded anemia.</w:t>
            </w:r>
          </w:p>
        </w:tc>
      </w:tr>
    </w:tbl>
    <w:p>
      <w:pPr>
        <w:spacing w:after="20"/>
      </w:pPr>
    </w:p>
    <w:p>
      <w:pPr>
        <w:pStyle w:val="Heading1"/>
      </w:pPr>
      <w:r>
        <w:t>3. Clinical Background</w:t>
      </w:r>
    </w:p>
    <w:p>
      <w:pPr>
        <w:pStyle w:val="Heading2"/>
      </w:pPr>
      <w:r>
        <w:t>3.1 Definition and pregnancy-specific thresholds</w:t>
      </w:r>
    </w:p>
    <w:p>
      <w:r>
        <w:t>WHO's 2024 haemoglobin guideline uses the following sea-level thresholds for pregnant women: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304"/>
            <w:vAlign w:val="center"/>
            <w:tcMar>
              <w:top w:w="70" w:type="dxa"/>
              <w:bottom w:w="70" w:type="dxa"/>
              <w:start w:w="80" w:type="dxa"/>
              <w:end w:w="80" w:type="dxa"/>
            </w:tcMar>
            <w:shd w:fill="17365D"/>
          </w:tcPr>
          <w:p>
            <w:pPr>
              <w:pStyle w:val="TableHeader"/>
            </w:pPr>
            <w:r/>
            <w:r>
              <w:rPr>
                <w:b/>
                <w:color w:val="FFFFFF"/>
              </w:rPr>
              <w:t>Pregnancy stage</w:t>
            </w:r>
          </w:p>
        </w:tc>
        <w:tc>
          <w:tcPr>
            <w:tcW w:type="dxa" w:w="1944"/>
            <w:vAlign w:val="center"/>
            <w:tcMar>
              <w:top w:w="70" w:type="dxa"/>
              <w:bottom w:w="70" w:type="dxa"/>
              <w:start w:w="80" w:type="dxa"/>
              <w:end w:w="80" w:type="dxa"/>
            </w:tcMar>
            <w:shd w:fill="17365D"/>
          </w:tcPr>
          <w:p>
            <w:pPr>
              <w:pStyle w:val="TableHeader"/>
            </w:pPr>
            <w:r/>
            <w:r>
              <w:rPr>
                <w:b/>
                <w:color w:val="FFFFFF"/>
              </w:rPr>
              <w:t>No anemia</w:t>
            </w:r>
          </w:p>
        </w:tc>
        <w:tc>
          <w:tcPr>
            <w:tcW w:type="dxa" w:w="1944"/>
            <w:vAlign w:val="center"/>
            <w:tcMar>
              <w:top w:w="70" w:type="dxa"/>
              <w:bottom w:w="70" w:type="dxa"/>
              <w:start w:w="80" w:type="dxa"/>
              <w:end w:w="80" w:type="dxa"/>
            </w:tcMar>
            <w:shd w:fill="17365D"/>
          </w:tcPr>
          <w:p>
            <w:pPr>
              <w:pStyle w:val="TableHeader"/>
            </w:pPr>
            <w:r/>
            <w:r>
              <w:rPr>
                <w:b/>
                <w:color w:val="FFFFFF"/>
              </w:rPr>
              <w:t>Mild</w:t>
            </w:r>
          </w:p>
        </w:tc>
        <w:tc>
          <w:tcPr>
            <w:tcW w:type="dxa" w:w="1944"/>
            <w:vAlign w:val="center"/>
            <w:tcMar>
              <w:top w:w="70" w:type="dxa"/>
              <w:bottom w:w="70" w:type="dxa"/>
              <w:start w:w="80" w:type="dxa"/>
              <w:end w:w="80" w:type="dxa"/>
            </w:tcMar>
            <w:shd w:fill="17365D"/>
          </w:tcPr>
          <w:p>
            <w:pPr>
              <w:pStyle w:val="TableHeader"/>
            </w:pPr>
            <w:r/>
            <w:r>
              <w:rPr>
                <w:b/>
                <w:color w:val="FFFFFF"/>
              </w:rPr>
              <w:t>Moderate</w:t>
            </w:r>
          </w:p>
        </w:tc>
        <w:tc>
          <w:tcPr>
            <w:tcW w:type="dxa" w:w="1944"/>
            <w:vAlign w:val="center"/>
            <w:tcMar>
              <w:top w:w="70" w:type="dxa"/>
              <w:bottom w:w="70" w:type="dxa"/>
              <w:start w:w="80" w:type="dxa"/>
              <w:end w:w="80" w:type="dxa"/>
            </w:tcMar>
            <w:shd w:fill="17365D"/>
          </w:tcPr>
          <w:p>
            <w:pPr>
              <w:pStyle w:val="TableHeader"/>
            </w:pPr>
            <w:r/>
            <w:r>
              <w:rPr>
                <w:b/>
                <w:color w:val="FFFFFF"/>
              </w:rPr>
              <w:t>Severe</w:t>
            </w:r>
          </w:p>
        </w:tc>
      </w:tr>
      <w:tr>
        <w:tc>
          <w:tcPr>
            <w:tcW w:type="dxa" w:w="2304"/>
            <w:vAlign w:val="center"/>
            <w:tcMar>
              <w:top w:w="70" w:type="dxa"/>
              <w:bottom w:w="70" w:type="dxa"/>
              <w:start w:w="80" w:type="dxa"/>
              <w:end w:w="80" w:type="dxa"/>
            </w:tcMar>
          </w:tcPr>
          <w:p>
            <w:pPr>
              <w:pStyle w:val="TableText"/>
            </w:pPr>
            <w:r/>
            <w:r>
              <w:rPr>
                <w:b w:val="0"/>
              </w:rPr>
              <w:t>First trimester</w:t>
            </w:r>
          </w:p>
        </w:tc>
        <w:tc>
          <w:tcPr>
            <w:tcW w:type="dxa" w:w="1944"/>
            <w:vAlign w:val="center"/>
            <w:tcMar>
              <w:top w:w="70" w:type="dxa"/>
              <w:bottom w:w="70" w:type="dxa"/>
              <w:start w:w="80" w:type="dxa"/>
              <w:end w:w="80" w:type="dxa"/>
            </w:tcMar>
          </w:tcPr>
          <w:p>
            <w:pPr>
              <w:pStyle w:val="TableText"/>
            </w:pPr>
            <w:r/>
            <w:r>
              <w:rPr>
                <w:b w:val="0"/>
              </w:rPr>
              <w:t>≥11.0 g/dL</w:t>
            </w:r>
          </w:p>
        </w:tc>
        <w:tc>
          <w:tcPr>
            <w:tcW w:type="dxa" w:w="1944"/>
            <w:vAlign w:val="center"/>
            <w:tcMar>
              <w:top w:w="70" w:type="dxa"/>
              <w:bottom w:w="70" w:type="dxa"/>
              <w:start w:w="80" w:type="dxa"/>
              <w:end w:w="80" w:type="dxa"/>
            </w:tcMar>
          </w:tcPr>
          <w:p>
            <w:pPr>
              <w:pStyle w:val="TableText"/>
            </w:pPr>
            <w:r/>
            <w:r>
              <w:rPr>
                <w:b w:val="0"/>
              </w:rPr>
              <w:t>10.0-10.9 g/dL</w:t>
            </w:r>
          </w:p>
        </w:tc>
        <w:tc>
          <w:tcPr>
            <w:tcW w:type="dxa" w:w="1944"/>
            <w:vAlign w:val="center"/>
            <w:tcMar>
              <w:top w:w="70" w:type="dxa"/>
              <w:bottom w:w="70" w:type="dxa"/>
              <w:start w:w="80" w:type="dxa"/>
              <w:end w:w="80" w:type="dxa"/>
            </w:tcMar>
          </w:tcPr>
          <w:p>
            <w:pPr>
              <w:pStyle w:val="TableText"/>
            </w:pPr>
            <w:r/>
            <w:r>
              <w:rPr>
                <w:b w:val="0"/>
              </w:rPr>
              <w:t>7.0-9.9 g/dL</w:t>
            </w:r>
          </w:p>
        </w:tc>
        <w:tc>
          <w:tcPr>
            <w:tcW w:type="dxa" w:w="1944"/>
            <w:vAlign w:val="center"/>
            <w:tcMar>
              <w:top w:w="70" w:type="dxa"/>
              <w:bottom w:w="70" w:type="dxa"/>
              <w:start w:w="80" w:type="dxa"/>
              <w:end w:w="80" w:type="dxa"/>
            </w:tcMar>
          </w:tcPr>
          <w:p>
            <w:pPr>
              <w:pStyle w:val="TableText"/>
            </w:pPr>
            <w:r/>
            <w:r>
              <w:rPr>
                <w:b w:val="0"/>
              </w:rPr>
              <w:t>&lt;7.0 g/dL</w:t>
            </w:r>
          </w:p>
        </w:tc>
      </w:tr>
      <w:tr>
        <w:tc>
          <w:tcPr>
            <w:tcW w:type="dxa" w:w="2304"/>
            <w:vAlign w:val="center"/>
            <w:tcMar>
              <w:top w:w="70" w:type="dxa"/>
              <w:bottom w:w="70" w:type="dxa"/>
              <w:start w:w="80" w:type="dxa"/>
              <w:end w:w="80" w:type="dxa"/>
            </w:tcMar>
            <w:shd w:fill="EDF4FA"/>
          </w:tcPr>
          <w:p>
            <w:pPr>
              <w:pStyle w:val="TableText"/>
            </w:pPr>
            <w:r/>
            <w:r>
              <w:rPr>
                <w:b w:val="0"/>
              </w:rPr>
              <w:t>Second trimester</w:t>
            </w:r>
          </w:p>
        </w:tc>
        <w:tc>
          <w:tcPr>
            <w:tcW w:type="dxa" w:w="1944"/>
            <w:vAlign w:val="center"/>
            <w:tcMar>
              <w:top w:w="70" w:type="dxa"/>
              <w:bottom w:w="70" w:type="dxa"/>
              <w:start w:w="80" w:type="dxa"/>
              <w:end w:w="80" w:type="dxa"/>
            </w:tcMar>
            <w:shd w:fill="EDF4FA"/>
          </w:tcPr>
          <w:p>
            <w:pPr>
              <w:pStyle w:val="TableText"/>
            </w:pPr>
            <w:r/>
            <w:r>
              <w:rPr>
                <w:b w:val="0"/>
              </w:rPr>
              <w:t>≥10.5 g/dL</w:t>
            </w:r>
          </w:p>
        </w:tc>
        <w:tc>
          <w:tcPr>
            <w:tcW w:type="dxa" w:w="1944"/>
            <w:vAlign w:val="center"/>
            <w:tcMar>
              <w:top w:w="70" w:type="dxa"/>
              <w:bottom w:w="70" w:type="dxa"/>
              <w:start w:w="80" w:type="dxa"/>
              <w:end w:w="80" w:type="dxa"/>
            </w:tcMar>
            <w:shd w:fill="EDF4FA"/>
          </w:tcPr>
          <w:p>
            <w:pPr>
              <w:pStyle w:val="TableText"/>
            </w:pPr>
            <w:r/>
            <w:r>
              <w:rPr>
                <w:b w:val="0"/>
              </w:rPr>
              <w:t>9.5-10.4 g/dL</w:t>
            </w:r>
          </w:p>
        </w:tc>
        <w:tc>
          <w:tcPr>
            <w:tcW w:type="dxa" w:w="1944"/>
            <w:vAlign w:val="center"/>
            <w:tcMar>
              <w:top w:w="70" w:type="dxa"/>
              <w:bottom w:w="70" w:type="dxa"/>
              <w:start w:w="80" w:type="dxa"/>
              <w:end w:w="80" w:type="dxa"/>
            </w:tcMar>
            <w:shd w:fill="EDF4FA"/>
          </w:tcPr>
          <w:p>
            <w:pPr>
              <w:pStyle w:val="TableText"/>
            </w:pPr>
            <w:r/>
            <w:r>
              <w:rPr>
                <w:b w:val="0"/>
              </w:rPr>
              <w:t>7.0-9.4 g/dL</w:t>
            </w:r>
          </w:p>
        </w:tc>
        <w:tc>
          <w:tcPr>
            <w:tcW w:type="dxa" w:w="1944"/>
            <w:vAlign w:val="center"/>
            <w:tcMar>
              <w:top w:w="70" w:type="dxa"/>
              <w:bottom w:w="70" w:type="dxa"/>
              <w:start w:w="80" w:type="dxa"/>
              <w:end w:w="80" w:type="dxa"/>
            </w:tcMar>
            <w:shd w:fill="EDF4FA"/>
          </w:tcPr>
          <w:p>
            <w:pPr>
              <w:pStyle w:val="TableText"/>
            </w:pPr>
            <w:r/>
            <w:r>
              <w:rPr>
                <w:b w:val="0"/>
              </w:rPr>
              <w:t>&lt;7.0 g/dL</w:t>
            </w:r>
          </w:p>
        </w:tc>
      </w:tr>
      <w:tr>
        <w:tc>
          <w:tcPr>
            <w:tcW w:type="dxa" w:w="2304"/>
            <w:vAlign w:val="center"/>
            <w:tcMar>
              <w:top w:w="70" w:type="dxa"/>
              <w:bottom w:w="70" w:type="dxa"/>
              <w:start w:w="80" w:type="dxa"/>
              <w:end w:w="80" w:type="dxa"/>
            </w:tcMar>
          </w:tcPr>
          <w:p>
            <w:pPr>
              <w:pStyle w:val="TableText"/>
            </w:pPr>
            <w:r/>
            <w:r>
              <w:rPr>
                <w:b w:val="0"/>
              </w:rPr>
              <w:t>Third trimester</w:t>
            </w:r>
          </w:p>
        </w:tc>
        <w:tc>
          <w:tcPr>
            <w:tcW w:type="dxa" w:w="1944"/>
            <w:vAlign w:val="center"/>
            <w:tcMar>
              <w:top w:w="70" w:type="dxa"/>
              <w:bottom w:w="70" w:type="dxa"/>
              <w:start w:w="80" w:type="dxa"/>
              <w:end w:w="80" w:type="dxa"/>
            </w:tcMar>
          </w:tcPr>
          <w:p>
            <w:pPr>
              <w:pStyle w:val="TableText"/>
            </w:pPr>
            <w:r/>
            <w:r>
              <w:rPr>
                <w:b w:val="0"/>
              </w:rPr>
              <w:t>≥11.0 g/dL</w:t>
            </w:r>
          </w:p>
        </w:tc>
        <w:tc>
          <w:tcPr>
            <w:tcW w:type="dxa" w:w="1944"/>
            <w:vAlign w:val="center"/>
            <w:tcMar>
              <w:top w:w="70" w:type="dxa"/>
              <w:bottom w:w="70" w:type="dxa"/>
              <w:start w:w="80" w:type="dxa"/>
              <w:end w:w="80" w:type="dxa"/>
            </w:tcMar>
          </w:tcPr>
          <w:p>
            <w:pPr>
              <w:pStyle w:val="TableText"/>
            </w:pPr>
            <w:r/>
            <w:r>
              <w:rPr>
                <w:b w:val="0"/>
              </w:rPr>
              <w:t>10.0-10.9 g/dL</w:t>
            </w:r>
          </w:p>
        </w:tc>
        <w:tc>
          <w:tcPr>
            <w:tcW w:type="dxa" w:w="1944"/>
            <w:vAlign w:val="center"/>
            <w:tcMar>
              <w:top w:w="70" w:type="dxa"/>
              <w:bottom w:w="70" w:type="dxa"/>
              <w:start w:w="80" w:type="dxa"/>
              <w:end w:w="80" w:type="dxa"/>
            </w:tcMar>
          </w:tcPr>
          <w:p>
            <w:pPr>
              <w:pStyle w:val="TableText"/>
            </w:pPr>
            <w:r/>
            <w:r>
              <w:rPr>
                <w:b w:val="0"/>
              </w:rPr>
              <w:t>7.0-9.9 g/dL</w:t>
            </w:r>
          </w:p>
        </w:tc>
        <w:tc>
          <w:tcPr>
            <w:tcW w:type="dxa" w:w="1944"/>
            <w:vAlign w:val="center"/>
            <w:tcMar>
              <w:top w:w="70" w:type="dxa"/>
              <w:bottom w:w="70" w:type="dxa"/>
              <w:start w:w="80" w:type="dxa"/>
              <w:end w:w="80" w:type="dxa"/>
            </w:tcMar>
          </w:tcPr>
          <w:p>
            <w:pPr>
              <w:pStyle w:val="TableText"/>
            </w:pPr>
            <w:r/>
            <w:r>
              <w:rPr>
                <w:b w:val="0"/>
              </w:rPr>
              <w:t>&lt;7.0 g/dL</w:t>
            </w:r>
          </w:p>
        </w:tc>
      </w:tr>
    </w:tbl>
    <w:p>
      <w:pPr>
        <w:spacing w:after="20"/>
      </w:pPr>
    </w:p>
    <w:p>
      <w:r>
        <w:t>The lower second-trimester threshold reflects normal haemodilution as maternal plasma volume expands. Haemoglobin interpretation can also require attention to altitude, smoking, measurement quality, gestational age, and local clinical context.</w:t>
      </w:r>
    </w:p>
    <w:tbl>
      <w:tblPr>
        <w:tblW w:type="auto" w:w="0"/>
        <w:tblLook w:firstColumn="1" w:firstRow="1" w:lastColumn="0" w:lastRow="0" w:noHBand="0" w:noVBand="1" w:val="04A0"/>
      </w:tblPr>
      <w:tblGrid>
        <w:gridCol w:w="10080"/>
      </w:tblGrid>
      <w:tr>
        <w:tc>
          <w:tcPr>
            <w:tcW w:type="dxa" w:w="10080"/>
            <w:shd w:fill="FFF2CC"/>
            <w:tcBorders>
              <w:top w:val="single" w:sz="8" w:color="BF9000"/>
              <w:left w:val="single" w:sz="8" w:color="BF9000"/>
              <w:bottom w:val="single" w:sz="8" w:color="BF9000"/>
              <w:right w:val="single" w:sz="8" w:color="BF9000"/>
            </w:tcBorders>
            <w:tcMar>
              <w:top w:w="110" w:type="dxa"/>
              <w:bottom w:w="110" w:type="dxa"/>
              <w:start w:w="120" w:type="dxa"/>
              <w:end w:w="120" w:type="dxa"/>
            </w:tcMar>
          </w:tcPr>
          <w:p>
            <w:pPr>
              <w:pStyle w:val="Callout"/>
            </w:pPr>
            <w:r/>
            <w:r>
              <w:rPr>
                <w:b/>
                <w:color w:val="BF9000"/>
              </w:rPr>
              <w:t>Threshold implementation warning</w:t>
              <w:br/>
            </w:r>
            <w:r>
              <w:t>These thresholds should not be retrofitted into the current yes/no field as an automatic diagnosis unless the system reliably stores the haemoglobin value, unit, test date, gestational age, measurement method, and clinically approved interpretation.</w:t>
            </w:r>
          </w:p>
        </w:tc>
      </w:tr>
    </w:tbl>
    <w:p>
      <w:pPr>
        <w:spacing w:after="20"/>
      </w:pPr>
    </w:p>
    <w:p>
      <w:pPr>
        <w:pStyle w:val="Heading2"/>
      </w:pPr>
      <w:r>
        <w:t>3.2 Causes and clinical relevance</w:t>
      </w:r>
    </w:p>
    <w:p>
      <w:pPr>
        <w:pStyle w:val="ListBullet"/>
        <w:spacing w:after="40"/>
      </w:pPr>
      <w:r>
        <w:t>Not all maternal anemia is iron-deficiency anemia. Potential causes include nutritional deficiency, infection, inflammation, blood loss, chronic disease, and inherited red-cell disorders.</w:t>
      </w:r>
    </w:p>
    <w:p>
      <w:pPr>
        <w:pStyle w:val="ListBullet"/>
        <w:spacing w:after="40"/>
      </w:pPr>
      <w:r>
        <w:t>Common symptoms such as fatigue, dizziness, weakness, headache, shortness of breath, and palpitations are nonspecific and cannot establish the diagnosis.</w:t>
      </w:r>
    </w:p>
    <w:p>
      <w:pPr>
        <w:pStyle w:val="ListBullet"/>
        <w:spacing w:after="40"/>
      </w:pPr>
      <w:r>
        <w:t>Anemia may reduce physiologic reserve when bleeding occurs during childbirth and can complicate recovery from postpartum haemorrhage.</w:t>
      </w:r>
    </w:p>
    <w:p>
      <w:pPr>
        <w:pStyle w:val="ListBullet"/>
        <w:spacing w:after="40"/>
      </w:pPr>
      <w:r>
        <w:t>WHO associates anemia during pregnancy with poor maternal and birth outcomes, including premature birth, low birth weight, and maternal mortality.</w:t>
      </w:r>
    </w:p>
    <w:p>
      <w:pPr>
        <w:pStyle w:val="ListBullet"/>
        <w:spacing w:after="40"/>
      </w:pPr>
      <w:r>
        <w:t>Severe or symptomatic anemia may require urgent hospital assessment, but the urgency depends on haemoglobin, symptoms, bleeding, vital signs, gestational age, and comorbidities.</w:t>
      </w:r>
    </w:p>
    <w:p>
      <w:pPr>
        <w:pStyle w:val="Heading1"/>
      </w:pPr>
      <w:r>
        <w:t>4. Evidence Review</w:t>
      </w:r>
    </w:p>
    <w:p>
      <w:pPr>
        <w:pStyle w:val="Heading2"/>
      </w:pPr>
      <w:r>
        <w:t>4.1 WHO: burden, diagnosis, and outcomes</w:t>
      </w:r>
    </w:p>
    <w:p>
      <w:r>
        <w:t>WHO's 2025 anemia fact sheet estimates that approximately 37% of pregnant women globally are affected. The burden is highest in low- and lower-middle-income settings and in the South-East Asia and African regions. WHO describes anemia as a manifestation of underlying conditions rather than a single disease and emphasizes accurate haemoglobin measurement and identification of causes.</w:t>
      </w:r>
    </w:p>
    <w:p>
      <w:pPr>
        <w:pStyle w:val="Heading2"/>
      </w:pPr>
      <w:r>
        <w:t>4.2 WHO 2024 haemoglobin guideline</w:t>
      </w:r>
    </w:p>
    <w:p>
      <w:r>
        <w:t>The updated guideline provides trimester-specific diagnostic and severity cutoffs and emphasizes standardized measurement and appropriate adjustment. This is the strongest evidence for how a future version could interpret verified laboratory data. It does not justify diagnosis from a checkbox or symptoms.</w:t>
      </w:r>
    </w:p>
    <w:p>
      <w:pPr>
        <w:pStyle w:val="Heading2"/>
      </w:pPr>
      <w:r>
        <w:t>4.3 WHO iron and folic acid recommendations</w:t>
      </w:r>
    </w:p>
    <w:p>
      <w:r>
        <w:t>WHO recommends daily oral supplementation containing 30-60 mg elemental iron and 400 micrograms folic acid during pregnancy to prevent maternal anemia, puerperal sepsis, low birth weight, and preterm birth. This is a preventive public-health recommendation for antenatal care, not a substitute for evaluating and treating a woman who is already anemic.</w:t>
      </w:r>
    </w:p>
    <w:p>
      <w:pPr>
        <w:pStyle w:val="Heading2"/>
      </w:pPr>
      <w:r>
        <w:t>4.4 ACOG</w:t>
      </w:r>
    </w:p>
    <w:p>
      <w:r>
        <w:t>ACOG Practice Bulletin No. 233 identifies iron deficiency and acute blood loss as the two most common causes of anemia in pregnancy and the puerperium. It addresses screening, diagnostic evaluation, iron requirements, and management. ACOG also advises that blood should be tested during pregnancy and that additional iron may be recommended by the obstetric clinician when anemia is identified.</w:t>
      </w:r>
    </w:p>
    <w:p>
      <w:pPr>
        <w:pStyle w:val="Heading2"/>
      </w:pPr>
      <w:r>
        <w:t>4.5 FIGO 2025 good-practice recommendations</w:t>
      </w:r>
    </w:p>
    <w:p>
      <w:r>
        <w:t>FIGO's recent good-practice recommendations connect antenatal anemia prevention and management with reducing the incidence and impact of postpartum haemorrhage. They emphasize screening, early treatment, cause-specific evaluation, and readiness for women approaching birth with reduced haemoglobin reserve. The project uses this evidence to support referral-oriented action, not independent treatment.</w:t>
      </w:r>
    </w:p>
    <w:p>
      <w:pPr>
        <w:pStyle w:val="Heading1"/>
      </w:pPr>
      <w:r>
        <w:t>5. Guideline-to-System Comparison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vAlign w:val="center"/>
            <w:tcMar>
              <w:top w:w="70" w:type="dxa"/>
              <w:bottom w:w="70" w:type="dxa"/>
              <w:start w:w="80" w:type="dxa"/>
              <w:end w:w="80" w:type="dxa"/>
            </w:tcMar>
            <w:shd w:fill="17365D"/>
          </w:tcPr>
          <w:p>
            <w:pPr>
              <w:pStyle w:val="TableHeader"/>
            </w:pPr>
            <w:r/>
            <w:r>
              <w:rPr>
                <w:b/>
                <w:color w:val="FFFFFF"/>
              </w:rPr>
              <w:t>Source</w:t>
            </w:r>
          </w:p>
        </w:tc>
        <w:tc>
          <w:tcPr>
            <w:tcW w:type="dxa" w:w="3528"/>
            <w:vAlign w:val="center"/>
            <w:tcMar>
              <w:top w:w="70" w:type="dxa"/>
              <w:bottom w:w="70" w:type="dxa"/>
              <w:start w:w="80" w:type="dxa"/>
              <w:end w:w="80" w:type="dxa"/>
            </w:tcMar>
            <w:shd w:fill="17365D"/>
          </w:tcPr>
          <w:p>
            <w:pPr>
              <w:pStyle w:val="TableHeader"/>
            </w:pPr>
            <w:r/>
            <w:r>
              <w:rPr>
                <w:b/>
                <w:color w:val="FFFFFF"/>
              </w:rPr>
              <w:t>Supported clinical principle</w:t>
            </w:r>
          </w:p>
        </w:tc>
        <w:tc>
          <w:tcPr>
            <w:tcW w:type="dxa" w:w="3384"/>
            <w:vAlign w:val="center"/>
            <w:tcMar>
              <w:top w:w="70" w:type="dxa"/>
              <w:bottom w:w="70" w:type="dxa"/>
              <w:start w:w="80" w:type="dxa"/>
              <w:end w:w="80" w:type="dxa"/>
            </w:tcMar>
            <w:shd w:fill="17365D"/>
          </w:tcPr>
          <w:p>
            <w:pPr>
              <w:pStyle w:val="TableHeader"/>
            </w:pPr>
            <w:r/>
            <w:r>
              <w:rPr>
                <w:b/>
                <w:color w:val="FFFFFF"/>
              </w:rPr>
              <w:t>Project implementation</w:t>
            </w:r>
          </w:p>
        </w:tc>
        <w:tc>
          <w:tcPr>
            <w:tcW w:type="dxa" w:w="3528"/>
            <w:vAlign w:val="center"/>
            <w:tcMar>
              <w:top w:w="70" w:type="dxa"/>
              <w:bottom w:w="70" w:type="dxa"/>
              <w:start w:w="80" w:type="dxa"/>
              <w:end w:w="80" w:type="dxa"/>
            </w:tcMar>
            <w:shd w:fill="17365D"/>
          </w:tcPr>
          <w:p>
            <w:pPr>
              <w:pStyle w:val="TableHeader"/>
            </w:pPr>
            <w:r/>
            <w:r>
              <w:rPr>
                <w:b/>
                <w:color w:val="FFFFFF"/>
              </w:rPr>
              <w:t>Claim prohibited</w:t>
            </w:r>
          </w:p>
        </w:tc>
      </w:tr>
      <w:tr>
        <w:tc>
          <w:tcPr>
            <w:tcW w:type="dxa" w:w="1440"/>
            <w:vAlign w:val="center"/>
            <w:tcMar>
              <w:top w:w="70" w:type="dxa"/>
              <w:bottom w:w="70" w:type="dxa"/>
              <w:start w:w="80" w:type="dxa"/>
              <w:end w:w="80" w:type="dxa"/>
            </w:tcMar>
          </w:tcPr>
          <w:p>
            <w:pPr>
              <w:pStyle w:val="TableText"/>
            </w:pPr>
            <w:r/>
            <w:r>
              <w:rPr>
                <w:b w:val="0"/>
              </w:rPr>
              <w:t>WHO 2024</w:t>
            </w:r>
          </w:p>
        </w:tc>
        <w:tc>
          <w:tcPr>
            <w:tcW w:type="dxa" w:w="3528"/>
            <w:vAlign w:val="center"/>
            <w:tcMar>
              <w:top w:w="70" w:type="dxa"/>
              <w:bottom w:w="70" w:type="dxa"/>
              <w:start w:w="80" w:type="dxa"/>
              <w:end w:w="80" w:type="dxa"/>
            </w:tcMar>
          </w:tcPr>
          <w:p>
            <w:pPr>
              <w:pStyle w:val="TableText"/>
            </w:pPr>
            <w:r/>
            <w:r>
              <w:rPr>
                <w:b w:val="0"/>
              </w:rPr>
              <w:t>Use trimester-specific haemoglobin thresholds and standardized measurement.</w:t>
            </w:r>
          </w:p>
        </w:tc>
        <w:tc>
          <w:tcPr>
            <w:tcW w:type="dxa" w:w="3384"/>
            <w:vAlign w:val="center"/>
            <w:tcMar>
              <w:top w:w="70" w:type="dxa"/>
              <w:bottom w:w="70" w:type="dxa"/>
              <w:start w:w="80" w:type="dxa"/>
              <w:end w:w="80" w:type="dxa"/>
            </w:tcMar>
          </w:tcPr>
          <w:p>
            <w:pPr>
              <w:pStyle w:val="TableText"/>
            </w:pPr>
            <w:r/>
            <w:r>
              <w:rPr>
                <w:b w:val="0"/>
              </w:rPr>
              <w:t>Recorded anemia triggers HIGH; missing status prevents LOW.</w:t>
            </w:r>
          </w:p>
        </w:tc>
        <w:tc>
          <w:tcPr>
            <w:tcW w:type="dxa" w:w="3528"/>
            <w:vAlign w:val="center"/>
            <w:tcMar>
              <w:top w:w="70" w:type="dxa"/>
              <w:bottom w:w="70" w:type="dxa"/>
              <w:start w:w="80" w:type="dxa"/>
              <w:end w:w="80" w:type="dxa"/>
            </w:tcMar>
          </w:tcPr>
          <w:p>
            <w:pPr>
              <w:pStyle w:val="TableText"/>
            </w:pPr>
            <w:r/>
            <w:r>
              <w:rPr>
                <w:b w:val="0"/>
              </w:rPr>
              <w:t>That a checkbox is equivalent to a WHO-compliant laboratory diagnosis.</w:t>
            </w:r>
          </w:p>
        </w:tc>
      </w:tr>
      <w:tr>
        <w:tc>
          <w:tcPr>
            <w:tcW w:type="dxa" w:w="1440"/>
            <w:vAlign w:val="center"/>
            <w:tcMar>
              <w:top w:w="70" w:type="dxa"/>
              <w:bottom w:w="70" w:type="dxa"/>
              <w:start w:w="80" w:type="dxa"/>
              <w:end w:w="80" w:type="dxa"/>
            </w:tcMar>
            <w:shd w:fill="EDF4FA"/>
          </w:tcPr>
          <w:p>
            <w:pPr>
              <w:pStyle w:val="TableText"/>
            </w:pPr>
            <w:r/>
            <w:r>
              <w:rPr>
                <w:b w:val="0"/>
              </w:rPr>
              <w:t>WHO supplementation</w:t>
            </w:r>
          </w:p>
        </w:tc>
        <w:tc>
          <w:tcPr>
            <w:tcW w:type="dxa" w:w="3528"/>
            <w:vAlign w:val="center"/>
            <w:tcMar>
              <w:top w:w="70" w:type="dxa"/>
              <w:bottom w:w="70" w:type="dxa"/>
              <w:start w:w="80" w:type="dxa"/>
              <w:end w:w="80" w:type="dxa"/>
            </w:tcMar>
            <w:shd w:fill="EDF4FA"/>
          </w:tcPr>
          <w:p>
            <w:pPr>
              <w:pStyle w:val="TableText"/>
            </w:pPr>
            <w:r/>
            <w:r>
              <w:rPr>
                <w:b w:val="0"/>
              </w:rPr>
              <w:t>Routine iron-folic acid helps prevent maternal anemia and adverse outcomes.</w:t>
            </w:r>
          </w:p>
        </w:tc>
        <w:tc>
          <w:tcPr>
            <w:tcW w:type="dxa" w:w="3384"/>
            <w:vAlign w:val="center"/>
            <w:tcMar>
              <w:top w:w="70" w:type="dxa"/>
              <w:bottom w:w="70" w:type="dxa"/>
              <w:start w:w="80" w:type="dxa"/>
              <w:end w:w="80" w:type="dxa"/>
            </w:tcMar>
            <w:shd w:fill="EDF4FA"/>
          </w:tcPr>
          <w:p>
            <w:pPr>
              <w:pStyle w:val="TableText"/>
            </w:pPr>
            <w:r/>
            <w:r>
              <w:rPr>
                <w:b w:val="0"/>
              </w:rPr>
              <w:t>May support general education and continuity of antenatal care.</w:t>
            </w:r>
          </w:p>
        </w:tc>
        <w:tc>
          <w:tcPr>
            <w:tcW w:type="dxa" w:w="3528"/>
            <w:vAlign w:val="center"/>
            <w:tcMar>
              <w:top w:w="70" w:type="dxa"/>
              <w:bottom w:w="70" w:type="dxa"/>
              <w:start w:w="80" w:type="dxa"/>
              <w:end w:w="80" w:type="dxa"/>
            </w:tcMar>
            <w:shd w:fill="EDF4FA"/>
          </w:tcPr>
          <w:p>
            <w:pPr>
              <w:pStyle w:val="TableText"/>
            </w:pPr>
            <w:r/>
            <w:r>
              <w:rPr>
                <w:b w:val="0"/>
              </w:rPr>
              <w:t>That the CDSS may prescribe an individualized treatment dose.</w:t>
            </w:r>
          </w:p>
        </w:tc>
      </w:tr>
      <w:tr>
        <w:tc>
          <w:tcPr>
            <w:tcW w:type="dxa" w:w="1440"/>
            <w:vAlign w:val="center"/>
            <w:tcMar>
              <w:top w:w="70" w:type="dxa"/>
              <w:bottom w:w="70" w:type="dxa"/>
              <w:start w:w="80" w:type="dxa"/>
              <w:end w:w="80" w:type="dxa"/>
            </w:tcMar>
          </w:tcPr>
          <w:p>
            <w:pPr>
              <w:pStyle w:val="TableText"/>
            </w:pPr>
            <w:r/>
            <w:r>
              <w:rPr>
                <w:b w:val="0"/>
              </w:rPr>
              <w:t>ACOG PB 233</w:t>
            </w:r>
          </w:p>
        </w:tc>
        <w:tc>
          <w:tcPr>
            <w:tcW w:type="dxa" w:w="3528"/>
            <w:vAlign w:val="center"/>
            <w:tcMar>
              <w:top w:w="70" w:type="dxa"/>
              <w:bottom w:w="70" w:type="dxa"/>
              <w:start w:w="80" w:type="dxa"/>
              <w:end w:w="80" w:type="dxa"/>
            </w:tcMar>
          </w:tcPr>
          <w:p>
            <w:pPr>
              <w:pStyle w:val="TableText"/>
            </w:pPr>
            <w:r/>
            <w:r>
              <w:rPr>
                <w:b w:val="0"/>
              </w:rPr>
              <w:t>Screen, evaluate the cause, and manage anemia clinically.</w:t>
            </w:r>
          </w:p>
        </w:tc>
        <w:tc>
          <w:tcPr>
            <w:tcW w:type="dxa" w:w="3384"/>
            <w:vAlign w:val="center"/>
            <w:tcMar>
              <w:top w:w="70" w:type="dxa"/>
              <w:bottom w:w="70" w:type="dxa"/>
              <w:start w:w="80" w:type="dxa"/>
              <w:end w:w="80" w:type="dxa"/>
            </w:tcMar>
          </w:tcPr>
          <w:p>
            <w:pPr>
              <w:pStyle w:val="TableText"/>
            </w:pPr>
            <w:r/>
            <w:r>
              <w:rPr>
                <w:b w:val="0"/>
              </w:rPr>
              <w:t>Prompt review and verification rather than treatment automation.</w:t>
            </w:r>
          </w:p>
        </w:tc>
        <w:tc>
          <w:tcPr>
            <w:tcW w:type="dxa" w:w="3528"/>
            <w:vAlign w:val="center"/>
            <w:tcMar>
              <w:top w:w="70" w:type="dxa"/>
              <w:bottom w:w="70" w:type="dxa"/>
              <w:start w:w="80" w:type="dxa"/>
              <w:end w:w="80" w:type="dxa"/>
            </w:tcMar>
          </w:tcPr>
          <w:p>
            <w:pPr>
              <w:pStyle w:val="TableText"/>
            </w:pPr>
            <w:r/>
            <w:r>
              <w:rPr>
                <w:b w:val="0"/>
              </w:rPr>
              <w:t>That all anemia is iron deficiency.</w:t>
            </w:r>
          </w:p>
        </w:tc>
      </w:tr>
      <w:tr>
        <w:tc>
          <w:tcPr>
            <w:tcW w:type="dxa" w:w="1440"/>
            <w:vAlign w:val="center"/>
            <w:tcMar>
              <w:top w:w="70" w:type="dxa"/>
              <w:bottom w:w="70" w:type="dxa"/>
              <w:start w:w="80" w:type="dxa"/>
              <w:end w:w="80" w:type="dxa"/>
            </w:tcMar>
            <w:shd w:fill="EDF4FA"/>
          </w:tcPr>
          <w:p>
            <w:pPr>
              <w:pStyle w:val="TableText"/>
            </w:pPr>
            <w:r/>
            <w:r>
              <w:rPr>
                <w:b w:val="0"/>
              </w:rPr>
              <w:t>FIGO 2025</w:t>
            </w:r>
          </w:p>
        </w:tc>
        <w:tc>
          <w:tcPr>
            <w:tcW w:type="dxa" w:w="3528"/>
            <w:vAlign w:val="center"/>
            <w:tcMar>
              <w:top w:w="70" w:type="dxa"/>
              <w:bottom w:w="70" w:type="dxa"/>
              <w:start w:w="80" w:type="dxa"/>
              <w:end w:w="80" w:type="dxa"/>
            </w:tcMar>
            <w:shd w:fill="EDF4FA"/>
          </w:tcPr>
          <w:p>
            <w:pPr>
              <w:pStyle w:val="TableText"/>
            </w:pPr>
            <w:r/>
            <w:r>
              <w:rPr>
                <w:b w:val="0"/>
              </w:rPr>
              <w:t>Correct antenatal anemia to improve reserve and reduce impact of PPH.</w:t>
            </w:r>
          </w:p>
        </w:tc>
        <w:tc>
          <w:tcPr>
            <w:tcW w:type="dxa" w:w="3384"/>
            <w:vAlign w:val="center"/>
            <w:tcMar>
              <w:top w:w="70" w:type="dxa"/>
              <w:bottom w:w="70" w:type="dxa"/>
              <w:start w:w="80" w:type="dxa"/>
              <w:end w:w="80" w:type="dxa"/>
            </w:tcMar>
            <w:shd w:fill="EDF4FA"/>
          </w:tcPr>
          <w:p>
            <w:pPr>
              <w:pStyle w:val="TableText"/>
            </w:pPr>
            <w:r/>
            <w:r>
              <w:rPr>
                <w:b w:val="0"/>
              </w:rPr>
              <w:t>Supports referral and birth-facility planning.</w:t>
            </w:r>
          </w:p>
        </w:tc>
        <w:tc>
          <w:tcPr>
            <w:tcW w:type="dxa" w:w="3528"/>
            <w:vAlign w:val="center"/>
            <w:tcMar>
              <w:top w:w="70" w:type="dxa"/>
              <w:bottom w:w="70" w:type="dxa"/>
              <w:start w:w="80" w:type="dxa"/>
              <w:end w:w="80" w:type="dxa"/>
            </w:tcMar>
            <w:shd w:fill="EDF4FA"/>
          </w:tcPr>
          <w:p>
            <w:pPr>
              <w:pStyle w:val="TableText"/>
            </w:pPr>
            <w:r/>
            <w:r>
              <w:rPr>
                <w:b w:val="0"/>
              </w:rPr>
              <w:t>That HIGH alone determines mode or place of birth.</w:t>
            </w:r>
          </w:p>
        </w:tc>
      </w:tr>
    </w:tbl>
    <w:p>
      <w:pPr>
        <w:spacing w:after="20"/>
      </w:pPr>
    </w:p>
    <w:p>
      <w:pPr>
        <w:pStyle w:val="Heading1"/>
      </w:pPr>
      <w:r>
        <w:t>6. Philippine Lying-in Clinic Context</w:t>
      </w:r>
    </w:p>
    <w:p>
      <w:r>
        <w:t>A lying-in clinic normally provides care for uncomplicated pregnancies and may not have a full laboratory service, blood bank, transfusion capability, physician on site, operating room, or advanced neonatal support. An anemic patient may need repeat complete blood count, ferritin or other investigations, assessment for bleeding or infection, cause-specific treatment, and a reviewed delivery plan.</w:t>
      </w:r>
    </w:p>
    <w:p>
      <w:r>
        <w:t>WHO's Philippine nutrition profile describes antenatal iron supplementation as an important indicator of perinatal service coverage. In a resource-limited setting, the safest software behavior is to prevent documented anemia from being hidden under a LOW prediction and to prompt qualified assessment, treatment follow-up, and referral when appropriate.</w:t>
      </w:r>
    </w:p>
    <w:tbl>
      <w:tblPr>
        <w:tblW w:type="auto" w:w="0"/>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bottom w:w="110" w:type="dxa"/>
              <w:start w:w="120" w:type="dxa"/>
              <w:end w:w="120" w:type="dxa"/>
            </w:tcMar>
          </w:tcPr>
          <w:p>
            <w:pPr>
              <w:pStyle w:val="Callout"/>
            </w:pPr>
            <w:r/>
            <w:r>
              <w:rPr>
                <w:b/>
                <w:color w:val="548235"/>
              </w:rPr>
              <w:t>Facility-scope rationale</w:t>
              <w:br/>
            </w:r>
            <w:r>
              <w:t>HIGH does not mean that every anemic patient will experience a complication or that every patient must be transferred immediately. It means the pregnancy should not be treated as automatically low risk without verified severity, clinical review, and an appropriate plan.</w:t>
            </w:r>
          </w:p>
        </w:tc>
      </w:tr>
    </w:tbl>
    <w:p>
      <w:pPr>
        <w:spacing w:after="20"/>
      </w:pPr>
    </w:p>
    <w:p>
      <w:pPr>
        <w:pStyle w:val="Heading1"/>
      </w:pPr>
      <w:r>
        <w:t>7. Clinical Justification for the HIGH Rule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tcMar>
              <w:top w:w="70" w:type="dxa"/>
              <w:bottom w:w="70" w:type="dxa"/>
              <w:start w:w="80" w:type="dxa"/>
              <w:end w:w="80" w:type="dxa"/>
            </w:tcMar>
            <w:shd w:fill="17365D"/>
          </w:tcPr>
          <w:p>
            <w:pPr>
              <w:pStyle w:val="TableHeader"/>
            </w:pPr>
            <w:r/>
            <w:r>
              <w:rPr>
                <w:b/>
                <w:color w:val="FFFFFF"/>
              </w:rPr>
              <w:t>Justification</w:t>
            </w:r>
          </w:p>
        </w:tc>
        <w:tc>
          <w:tcPr>
            <w:tcW w:type="dxa" w:w="7488"/>
            <w:vAlign w:val="center"/>
            <w:tcMar>
              <w:top w:w="70" w:type="dxa"/>
              <w:bottom w:w="70" w:type="dxa"/>
              <w:start w:w="80" w:type="dxa"/>
              <w:end w:w="80" w:type="dxa"/>
            </w:tcMar>
            <w:shd w:fill="17365D"/>
          </w:tcPr>
          <w:p>
            <w:pPr>
              <w:pStyle w:val="TableHeader"/>
            </w:pPr>
            <w:r/>
            <w:r>
              <w:rPr>
                <w:b/>
                <w:color w:val="FFFFFF"/>
              </w:rPr>
              <w:t>Reasoning</w:t>
            </w:r>
          </w:p>
        </w:tc>
      </w:tr>
      <w:tr>
        <w:tc>
          <w:tcPr>
            <w:tcW w:type="dxa" w:w="2592"/>
            <w:vAlign w:val="center"/>
            <w:tcMar>
              <w:top w:w="70" w:type="dxa"/>
              <w:bottom w:w="70" w:type="dxa"/>
              <w:start w:w="80" w:type="dxa"/>
              <w:end w:w="80" w:type="dxa"/>
            </w:tcMar>
          </w:tcPr>
          <w:p>
            <w:pPr>
              <w:pStyle w:val="TableText"/>
            </w:pPr>
            <w:r/>
            <w:r>
              <w:rPr>
                <w:b w:val="0"/>
              </w:rPr>
              <w:t>Reduced physiologic reserve</w:t>
            </w:r>
          </w:p>
        </w:tc>
        <w:tc>
          <w:tcPr>
            <w:tcW w:type="dxa" w:w="7488"/>
            <w:vAlign w:val="center"/>
            <w:tcMar>
              <w:top w:w="70" w:type="dxa"/>
              <w:bottom w:w="70" w:type="dxa"/>
              <w:start w:w="80" w:type="dxa"/>
              <w:end w:w="80" w:type="dxa"/>
            </w:tcMar>
          </w:tcPr>
          <w:p>
            <w:pPr>
              <w:pStyle w:val="TableText"/>
            </w:pPr>
            <w:r/>
            <w:r>
              <w:rPr>
                <w:b w:val="0"/>
              </w:rPr>
              <w:t>Anemia may reduce tolerance of blood loss during childbirth and may complicate recovery.</w:t>
            </w:r>
          </w:p>
        </w:tc>
      </w:tr>
      <w:tr>
        <w:tc>
          <w:tcPr>
            <w:tcW w:type="dxa" w:w="2592"/>
            <w:vAlign w:val="center"/>
            <w:tcMar>
              <w:top w:w="70" w:type="dxa"/>
              <w:bottom w:w="70" w:type="dxa"/>
              <w:start w:w="80" w:type="dxa"/>
              <w:end w:w="80" w:type="dxa"/>
            </w:tcMar>
            <w:shd w:fill="EDF4FA"/>
          </w:tcPr>
          <w:p>
            <w:pPr>
              <w:pStyle w:val="TableText"/>
            </w:pPr>
            <w:r/>
            <w:r>
              <w:rPr>
                <w:b w:val="0"/>
              </w:rPr>
              <w:t>Multiple possible causes</w:t>
            </w:r>
          </w:p>
        </w:tc>
        <w:tc>
          <w:tcPr>
            <w:tcW w:type="dxa" w:w="7488"/>
            <w:vAlign w:val="center"/>
            <w:tcMar>
              <w:top w:w="70" w:type="dxa"/>
              <w:bottom w:w="70" w:type="dxa"/>
              <w:start w:w="80" w:type="dxa"/>
              <w:end w:w="80" w:type="dxa"/>
            </w:tcMar>
            <w:shd w:fill="EDF4FA"/>
          </w:tcPr>
          <w:p>
            <w:pPr>
              <w:pStyle w:val="TableText"/>
            </w:pPr>
            <w:r/>
            <w:r>
              <w:rPr>
                <w:b w:val="0"/>
              </w:rPr>
              <w:t>The boolean field cannot identify iron deficiency, bleeding, infection, chronic disease, or haemoglobinopathy.</w:t>
            </w:r>
          </w:p>
        </w:tc>
      </w:tr>
      <w:tr>
        <w:tc>
          <w:tcPr>
            <w:tcW w:type="dxa" w:w="2592"/>
            <w:vAlign w:val="center"/>
            <w:tcMar>
              <w:top w:w="70" w:type="dxa"/>
              <w:bottom w:w="70" w:type="dxa"/>
              <w:start w:w="80" w:type="dxa"/>
              <w:end w:w="80" w:type="dxa"/>
            </w:tcMar>
          </w:tcPr>
          <w:p>
            <w:pPr>
              <w:pStyle w:val="TableText"/>
            </w:pPr>
            <w:r/>
            <w:r>
              <w:rPr>
                <w:b w:val="0"/>
              </w:rPr>
              <w:t>Severity unavailable</w:t>
            </w:r>
          </w:p>
        </w:tc>
        <w:tc>
          <w:tcPr>
            <w:tcW w:type="dxa" w:w="7488"/>
            <w:vAlign w:val="center"/>
            <w:tcMar>
              <w:top w:w="70" w:type="dxa"/>
              <w:bottom w:w="70" w:type="dxa"/>
              <w:start w:w="80" w:type="dxa"/>
              <w:end w:w="80" w:type="dxa"/>
            </w:tcMar>
          </w:tcPr>
          <w:p>
            <w:pPr>
              <w:pStyle w:val="TableText"/>
            </w:pPr>
            <w:r/>
            <w:r>
              <w:rPr>
                <w:b w:val="0"/>
              </w:rPr>
              <w:t>The system does not know whether anemia is mild, moderate, severe, symptomatic, improving, or worsening.</w:t>
            </w:r>
          </w:p>
        </w:tc>
      </w:tr>
      <w:tr>
        <w:tc>
          <w:tcPr>
            <w:tcW w:type="dxa" w:w="2592"/>
            <w:vAlign w:val="center"/>
            <w:tcMar>
              <w:top w:w="70" w:type="dxa"/>
              <w:bottom w:w="70" w:type="dxa"/>
              <w:start w:w="80" w:type="dxa"/>
              <w:end w:w="80" w:type="dxa"/>
            </w:tcMar>
            <w:shd w:fill="EDF4FA"/>
          </w:tcPr>
          <w:p>
            <w:pPr>
              <w:pStyle w:val="TableText"/>
            </w:pPr>
            <w:r/>
            <w:r>
              <w:rPr>
                <w:b w:val="0"/>
              </w:rPr>
              <w:t>Facility limitations</w:t>
            </w:r>
          </w:p>
        </w:tc>
        <w:tc>
          <w:tcPr>
            <w:tcW w:type="dxa" w:w="7488"/>
            <w:vAlign w:val="center"/>
            <w:tcMar>
              <w:top w:w="70" w:type="dxa"/>
              <w:bottom w:w="70" w:type="dxa"/>
              <w:start w:w="80" w:type="dxa"/>
              <w:end w:w="80" w:type="dxa"/>
            </w:tcMar>
            <w:shd w:fill="EDF4FA"/>
          </w:tcPr>
          <w:p>
            <w:pPr>
              <w:pStyle w:val="TableText"/>
            </w:pPr>
            <w:r/>
            <w:r>
              <w:rPr>
                <w:b w:val="0"/>
              </w:rPr>
              <w:t>Laboratory investigation, transfusion, specialist management, and emergency operative care may not be available.</w:t>
            </w:r>
          </w:p>
        </w:tc>
      </w:tr>
      <w:tr>
        <w:tc>
          <w:tcPr>
            <w:tcW w:type="dxa" w:w="2592"/>
            <w:vAlign w:val="center"/>
            <w:tcMar>
              <w:top w:w="70" w:type="dxa"/>
              <w:bottom w:w="70" w:type="dxa"/>
              <w:start w:w="80" w:type="dxa"/>
              <w:end w:w="80" w:type="dxa"/>
            </w:tcMar>
          </w:tcPr>
          <w:p>
            <w:pPr>
              <w:pStyle w:val="TableText"/>
            </w:pPr>
            <w:r/>
            <w:r>
              <w:rPr>
                <w:b w:val="0"/>
              </w:rPr>
              <w:t>Predictable safety behavior</w:t>
            </w:r>
          </w:p>
        </w:tc>
        <w:tc>
          <w:tcPr>
            <w:tcW w:type="dxa" w:w="7488"/>
            <w:vAlign w:val="center"/>
            <w:tcMar>
              <w:top w:w="70" w:type="dxa"/>
              <w:bottom w:w="70" w:type="dxa"/>
              <w:start w:w="80" w:type="dxa"/>
              <w:end w:w="80" w:type="dxa"/>
            </w:tcMar>
          </w:tcPr>
          <w:p>
            <w:pPr>
              <w:pStyle w:val="TableText"/>
            </w:pPr>
            <w:r/>
            <w:r>
              <w:rPr>
                <w:b w:val="0"/>
              </w:rPr>
              <w:t>A deterministic override prevents a LOW ML result from masking a documented condition.</w:t>
            </w:r>
          </w:p>
        </w:tc>
      </w:tr>
      <w:tr>
        <w:tc>
          <w:tcPr>
            <w:tcW w:type="dxa" w:w="2592"/>
            <w:vAlign w:val="center"/>
            <w:tcMar>
              <w:top w:w="70" w:type="dxa"/>
              <w:bottom w:w="70" w:type="dxa"/>
              <w:start w:w="80" w:type="dxa"/>
              <w:end w:w="80" w:type="dxa"/>
            </w:tcMar>
            <w:shd w:fill="EDF4FA"/>
          </w:tcPr>
          <w:p>
            <w:pPr>
              <w:pStyle w:val="TableText"/>
            </w:pPr>
            <w:r/>
            <w:r>
              <w:rPr>
                <w:b w:val="0"/>
              </w:rPr>
              <w:t>Human decision preserved</w:t>
            </w:r>
          </w:p>
        </w:tc>
        <w:tc>
          <w:tcPr>
            <w:tcW w:type="dxa" w:w="7488"/>
            <w:vAlign w:val="center"/>
            <w:tcMar>
              <w:top w:w="70" w:type="dxa"/>
              <w:bottom w:w="70" w:type="dxa"/>
              <w:start w:w="80" w:type="dxa"/>
              <w:end w:w="80" w:type="dxa"/>
            </w:tcMar>
            <w:shd w:fill="EDF4FA"/>
          </w:tcPr>
          <w:p>
            <w:pPr>
              <w:pStyle w:val="TableText"/>
            </w:pPr>
            <w:r/>
            <w:r>
              <w:rPr>
                <w:b w:val="0"/>
              </w:rPr>
              <w:t>The CDSS prompts review and referral; clinicians determine diagnosis, treatment, urgency, and delivery planning.</w:t>
            </w:r>
          </w:p>
        </w:tc>
      </w:tr>
    </w:tbl>
    <w:p>
      <w:pPr>
        <w:spacing w:after="20"/>
      </w:pPr>
    </w:p>
    <w:p>
      <w:pPr>
        <w:pStyle w:val="Heading1"/>
      </w:pPr>
      <w:r>
        <w:t>8. Decision Logic and Precedence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1728"/>
            <w:vAlign w:val="center"/>
            <w:tcMar>
              <w:top w:w="70" w:type="dxa"/>
              <w:bottom w:w="70" w:type="dxa"/>
              <w:start w:w="80" w:type="dxa"/>
              <w:end w:w="80" w:type="dxa"/>
            </w:tcMar>
            <w:shd w:fill="17365D"/>
          </w:tcPr>
          <w:p>
            <w:pPr>
              <w:pStyle w:val="TableHeader"/>
            </w:pPr>
            <w:r/>
            <w:r>
              <w:rPr>
                <w:b/>
                <w:color w:val="FFFFFF"/>
              </w:rPr>
              <w:t>Medical history</w:t>
            </w:r>
          </w:p>
        </w:tc>
        <w:tc>
          <w:tcPr>
            <w:tcW w:type="dxa" w:w="1440"/>
            <w:vAlign w:val="center"/>
            <w:tcMar>
              <w:top w:w="70" w:type="dxa"/>
              <w:bottom w:w="70" w:type="dxa"/>
              <w:start w:w="80" w:type="dxa"/>
              <w:end w:w="80" w:type="dxa"/>
            </w:tcMar>
            <w:shd w:fill="17365D"/>
          </w:tcPr>
          <w:p>
            <w:pPr>
              <w:pStyle w:val="TableHeader"/>
            </w:pPr>
            <w:r/>
            <w:r>
              <w:rPr>
                <w:b/>
                <w:color w:val="FFFFFF"/>
              </w:rPr>
              <w:t>Anemia</w:t>
            </w:r>
          </w:p>
        </w:tc>
        <w:tc>
          <w:tcPr>
            <w:tcW w:type="dxa" w:w="1440"/>
            <w:vAlign w:val="center"/>
            <w:tcMar>
              <w:top w:w="70" w:type="dxa"/>
              <w:bottom w:w="70" w:type="dxa"/>
              <w:start w:w="80" w:type="dxa"/>
              <w:end w:w="80" w:type="dxa"/>
            </w:tcMar>
            <w:shd w:fill="17365D"/>
          </w:tcPr>
          <w:p>
            <w:pPr>
              <w:pStyle w:val="TableHeader"/>
            </w:pPr>
            <w:r/>
            <w:r>
              <w:rPr>
                <w:b/>
                <w:color w:val="FFFFFF"/>
              </w:rPr>
              <w:t>ML output</w:t>
            </w:r>
          </w:p>
        </w:tc>
        <w:tc>
          <w:tcPr>
            <w:tcW w:type="dxa" w:w="1800"/>
            <w:vAlign w:val="center"/>
            <w:tcMar>
              <w:top w:w="70" w:type="dxa"/>
              <w:bottom w:w="70" w:type="dxa"/>
              <w:start w:w="80" w:type="dxa"/>
              <w:end w:w="80" w:type="dxa"/>
            </w:tcMar>
            <w:shd w:fill="17365D"/>
          </w:tcPr>
          <w:p>
            <w:pPr>
              <w:pStyle w:val="TableHeader"/>
            </w:pPr>
            <w:r/>
            <w:r>
              <w:rPr>
                <w:b/>
                <w:color w:val="FFFFFF"/>
              </w:rPr>
              <w:t>Other HIGH factor</w:t>
            </w:r>
          </w:p>
        </w:tc>
        <w:tc>
          <w:tcPr>
            <w:tcW w:type="dxa" w:w="4536"/>
            <w:vAlign w:val="center"/>
            <w:tcMar>
              <w:top w:w="70" w:type="dxa"/>
              <w:bottom w:w="70" w:type="dxa"/>
              <w:start w:w="80" w:type="dxa"/>
              <w:end w:w="80" w:type="dxa"/>
            </w:tcMar>
            <w:shd w:fill="17365D"/>
          </w:tcPr>
          <w:p>
            <w:pPr>
              <w:pStyle w:val="TableHeader"/>
            </w:pPr>
            <w:r/>
            <w:r>
              <w:rPr>
                <w:b/>
                <w:color w:val="FFFFFF"/>
              </w:rPr>
              <w:t>Expected result</w:t>
            </w:r>
          </w:p>
        </w:tc>
      </w:tr>
      <w:tr>
        <w:tc>
          <w:tcPr>
            <w:tcW w:type="dxa" w:w="1728"/>
            <w:vAlign w:val="center"/>
            <w:tcMar>
              <w:top w:w="70" w:type="dxa"/>
              <w:bottom w:w="70" w:type="dxa"/>
              <w:start w:w="80" w:type="dxa"/>
              <w:end w:w="80" w:type="dxa"/>
            </w:tcMar>
          </w:tcPr>
          <w:p>
            <w:pPr>
              <w:pStyle w:val="TableText"/>
            </w:pPr>
            <w:r/>
            <w:r>
              <w:rPr>
                <w:b w:val="0"/>
              </w:rPr>
              <w:t>Present</w:t>
            </w:r>
          </w:p>
        </w:tc>
        <w:tc>
          <w:tcPr>
            <w:tcW w:type="dxa" w:w="1440"/>
            <w:vAlign w:val="center"/>
            <w:tcMar>
              <w:top w:w="70" w:type="dxa"/>
              <w:bottom w:w="70" w:type="dxa"/>
              <w:start w:w="80" w:type="dxa"/>
              <w:end w:w="80" w:type="dxa"/>
            </w:tcMar>
          </w:tcPr>
          <w:p>
            <w:pPr>
              <w:pStyle w:val="TableText"/>
            </w:pPr>
            <w:r/>
            <w:r>
              <w:rPr>
                <w:b w:val="0"/>
              </w:rPr>
              <w:t>Yes</w:t>
            </w:r>
          </w:p>
        </w:tc>
        <w:tc>
          <w:tcPr>
            <w:tcW w:type="dxa" w:w="1440"/>
            <w:vAlign w:val="center"/>
            <w:tcMar>
              <w:top w:w="70" w:type="dxa"/>
              <w:bottom w:w="70" w:type="dxa"/>
              <w:start w:w="80" w:type="dxa"/>
              <w:end w:w="80" w:type="dxa"/>
            </w:tcMar>
          </w:tcPr>
          <w:p>
            <w:pPr>
              <w:pStyle w:val="TableText"/>
            </w:pPr>
            <w:r/>
            <w:r>
              <w:rPr>
                <w:b w:val="0"/>
              </w:rPr>
              <w:t>LOW</w:t>
            </w:r>
          </w:p>
        </w:tc>
        <w:tc>
          <w:tcPr>
            <w:tcW w:type="dxa" w:w="1800"/>
            <w:vAlign w:val="center"/>
            <w:tcMar>
              <w:top w:w="70" w:type="dxa"/>
              <w:bottom w:w="70" w:type="dxa"/>
              <w:start w:w="80" w:type="dxa"/>
              <w:end w:w="80" w:type="dxa"/>
            </w:tcMar>
          </w:tcPr>
          <w:p>
            <w:pPr>
              <w:pStyle w:val="TableText"/>
            </w:pPr>
            <w:r/>
            <w:r>
              <w:rPr>
                <w:b w:val="0"/>
              </w:rPr>
              <w:t>No</w:t>
            </w:r>
          </w:p>
        </w:tc>
        <w:tc>
          <w:tcPr>
            <w:tcW w:type="dxa" w:w="4536"/>
            <w:vAlign w:val="center"/>
            <w:tcMar>
              <w:top w:w="70" w:type="dxa"/>
              <w:bottom w:w="70" w:type="dxa"/>
              <w:start w:w="80" w:type="dxa"/>
              <w:end w:w="80" w:type="dxa"/>
            </w:tcMar>
          </w:tcPr>
          <w:p>
            <w:pPr>
              <w:pStyle w:val="TableText"/>
            </w:pPr>
            <w:r/>
            <w:r>
              <w:rPr>
                <w:b w:val="0"/>
              </w:rPr>
              <w:t>HIGH</w:t>
            </w:r>
          </w:p>
        </w:tc>
      </w:tr>
      <w:tr>
        <w:tc>
          <w:tcPr>
            <w:tcW w:type="dxa" w:w="1728"/>
            <w:vAlign w:val="center"/>
            <w:tcMar>
              <w:top w:w="70" w:type="dxa"/>
              <w:bottom w:w="70" w:type="dxa"/>
              <w:start w:w="80" w:type="dxa"/>
              <w:end w:w="80" w:type="dxa"/>
            </w:tcMar>
            <w:shd w:fill="EDF4FA"/>
          </w:tcPr>
          <w:p>
            <w:pPr>
              <w:pStyle w:val="TableText"/>
            </w:pPr>
            <w:r/>
            <w:r>
              <w:rPr>
                <w:b w:val="0"/>
              </w:rPr>
              <w:t>Present</w:t>
            </w:r>
          </w:p>
        </w:tc>
        <w:tc>
          <w:tcPr>
            <w:tcW w:type="dxa" w:w="1440"/>
            <w:vAlign w:val="center"/>
            <w:tcMar>
              <w:top w:w="70" w:type="dxa"/>
              <w:bottom w:w="70" w:type="dxa"/>
              <w:start w:w="80" w:type="dxa"/>
              <w:end w:w="80" w:type="dxa"/>
            </w:tcMar>
            <w:shd w:fill="EDF4FA"/>
          </w:tcPr>
          <w:p>
            <w:pPr>
              <w:pStyle w:val="TableText"/>
            </w:pPr>
            <w:r/>
            <w:r>
              <w:rPr>
                <w:b w:val="0"/>
              </w:rPr>
              <w:t>Yes</w:t>
            </w:r>
          </w:p>
        </w:tc>
        <w:tc>
          <w:tcPr>
            <w:tcW w:type="dxa" w:w="1440"/>
            <w:vAlign w:val="center"/>
            <w:tcMar>
              <w:top w:w="70" w:type="dxa"/>
              <w:bottom w:w="70" w:type="dxa"/>
              <w:start w:w="80" w:type="dxa"/>
              <w:end w:w="80" w:type="dxa"/>
            </w:tcMar>
            <w:shd w:fill="EDF4FA"/>
          </w:tcPr>
          <w:p>
            <w:pPr>
              <w:pStyle w:val="TableText"/>
            </w:pPr>
            <w:r/>
            <w:r>
              <w:rPr>
                <w:b w:val="0"/>
              </w:rPr>
              <w:t>HIGH</w:t>
            </w:r>
          </w:p>
        </w:tc>
        <w:tc>
          <w:tcPr>
            <w:tcW w:type="dxa" w:w="1800"/>
            <w:vAlign w:val="center"/>
            <w:tcMar>
              <w:top w:w="70" w:type="dxa"/>
              <w:bottom w:w="70" w:type="dxa"/>
              <w:start w:w="80" w:type="dxa"/>
              <w:end w:w="80" w:type="dxa"/>
            </w:tcMar>
            <w:shd w:fill="EDF4FA"/>
          </w:tcPr>
          <w:p>
            <w:pPr>
              <w:pStyle w:val="TableText"/>
            </w:pPr>
            <w:r/>
            <w:r>
              <w:rPr>
                <w:b w:val="0"/>
              </w:rPr>
              <w:t>No</w:t>
            </w:r>
          </w:p>
        </w:tc>
        <w:tc>
          <w:tcPr>
            <w:tcW w:type="dxa" w:w="4536"/>
            <w:vAlign w:val="center"/>
            <w:tcMar>
              <w:top w:w="70" w:type="dxa"/>
              <w:bottom w:w="70" w:type="dxa"/>
              <w:start w:w="80" w:type="dxa"/>
              <w:end w:w="80" w:type="dxa"/>
            </w:tcMar>
            <w:shd w:fill="EDF4FA"/>
          </w:tcPr>
          <w:p>
            <w:pPr>
              <w:pStyle w:val="TableText"/>
            </w:pPr>
            <w:r/>
            <w:r>
              <w:rPr>
                <w:b w:val="0"/>
              </w:rPr>
              <w:t>HIGH</w:t>
            </w:r>
          </w:p>
        </w:tc>
      </w:tr>
      <w:tr>
        <w:tc>
          <w:tcPr>
            <w:tcW w:type="dxa" w:w="1728"/>
            <w:vAlign w:val="center"/>
            <w:tcMar>
              <w:top w:w="70" w:type="dxa"/>
              <w:bottom w:w="70" w:type="dxa"/>
              <w:start w:w="80" w:type="dxa"/>
              <w:end w:w="80" w:type="dxa"/>
            </w:tcMar>
          </w:tcPr>
          <w:p>
            <w:pPr>
              <w:pStyle w:val="TableText"/>
            </w:pPr>
            <w:r/>
            <w:r>
              <w:rPr>
                <w:b w:val="0"/>
              </w:rPr>
              <w:t>Present</w:t>
            </w:r>
          </w:p>
        </w:tc>
        <w:tc>
          <w:tcPr>
            <w:tcW w:type="dxa" w:w="1440"/>
            <w:vAlign w:val="center"/>
            <w:tcMar>
              <w:top w:w="70" w:type="dxa"/>
              <w:bottom w:w="70" w:type="dxa"/>
              <w:start w:w="80" w:type="dxa"/>
              <w:end w:w="80" w:type="dxa"/>
            </w:tcMar>
          </w:tcPr>
          <w:p>
            <w:pPr>
              <w:pStyle w:val="TableText"/>
            </w:pPr>
            <w:r/>
            <w:r>
              <w:rPr>
                <w:b w:val="0"/>
              </w:rPr>
              <w:t>Yes</w:t>
            </w:r>
          </w:p>
        </w:tc>
        <w:tc>
          <w:tcPr>
            <w:tcW w:type="dxa" w:w="1440"/>
            <w:vAlign w:val="center"/>
            <w:tcMar>
              <w:top w:w="70" w:type="dxa"/>
              <w:bottom w:w="70" w:type="dxa"/>
              <w:start w:w="80" w:type="dxa"/>
              <w:end w:w="80" w:type="dxa"/>
            </w:tcMar>
          </w:tcPr>
          <w:p>
            <w:pPr>
              <w:pStyle w:val="TableText"/>
            </w:pPr>
            <w:r/>
            <w:r>
              <w:rPr>
                <w:b w:val="0"/>
              </w:rPr>
              <w:t>Invalid</w:t>
            </w:r>
          </w:p>
        </w:tc>
        <w:tc>
          <w:tcPr>
            <w:tcW w:type="dxa" w:w="1800"/>
            <w:vAlign w:val="center"/>
            <w:tcMar>
              <w:top w:w="70" w:type="dxa"/>
              <w:bottom w:w="70" w:type="dxa"/>
              <w:start w:w="80" w:type="dxa"/>
              <w:end w:w="80" w:type="dxa"/>
            </w:tcMar>
          </w:tcPr>
          <w:p>
            <w:pPr>
              <w:pStyle w:val="TableText"/>
            </w:pPr>
            <w:r/>
            <w:r>
              <w:rPr>
                <w:b w:val="0"/>
              </w:rPr>
              <w:t>No</w:t>
            </w:r>
          </w:p>
        </w:tc>
        <w:tc>
          <w:tcPr>
            <w:tcW w:type="dxa" w:w="4536"/>
            <w:vAlign w:val="center"/>
            <w:tcMar>
              <w:top w:w="70" w:type="dxa"/>
              <w:bottom w:w="70" w:type="dxa"/>
              <w:start w:w="80" w:type="dxa"/>
              <w:end w:w="80" w:type="dxa"/>
            </w:tcMar>
          </w:tcPr>
          <w:p>
            <w:pPr>
              <w:pStyle w:val="TableText"/>
            </w:pPr>
            <w:r/>
            <w:r>
              <w:rPr>
                <w:b w:val="0"/>
              </w:rPr>
              <w:t>HIGH, with ML failure logged</w:t>
            </w:r>
          </w:p>
        </w:tc>
      </w:tr>
      <w:tr>
        <w:tc>
          <w:tcPr>
            <w:tcW w:type="dxa" w:w="1728"/>
            <w:vAlign w:val="center"/>
            <w:tcMar>
              <w:top w:w="70" w:type="dxa"/>
              <w:bottom w:w="70" w:type="dxa"/>
              <w:start w:w="80" w:type="dxa"/>
              <w:end w:w="80" w:type="dxa"/>
            </w:tcMar>
            <w:shd w:fill="EDF4FA"/>
          </w:tcPr>
          <w:p>
            <w:pPr>
              <w:pStyle w:val="TableText"/>
            </w:pPr>
            <w:r/>
            <w:r>
              <w:rPr>
                <w:b w:val="0"/>
              </w:rPr>
              <w:t>Present</w:t>
            </w:r>
          </w:p>
        </w:tc>
        <w:tc>
          <w:tcPr>
            <w:tcW w:type="dxa" w:w="1440"/>
            <w:vAlign w:val="center"/>
            <w:tcMar>
              <w:top w:w="70" w:type="dxa"/>
              <w:bottom w:w="70" w:type="dxa"/>
              <w:start w:w="80" w:type="dxa"/>
              <w:end w:w="80" w:type="dxa"/>
            </w:tcMar>
            <w:shd w:fill="EDF4FA"/>
          </w:tcPr>
          <w:p>
            <w:pPr>
              <w:pStyle w:val="TableText"/>
            </w:pPr>
            <w:r/>
            <w:r>
              <w:rPr>
                <w:b w:val="0"/>
              </w:rPr>
              <w:t>No</w:t>
            </w:r>
          </w:p>
        </w:tc>
        <w:tc>
          <w:tcPr>
            <w:tcW w:type="dxa" w:w="1440"/>
            <w:vAlign w:val="center"/>
            <w:tcMar>
              <w:top w:w="70" w:type="dxa"/>
              <w:bottom w:w="70" w:type="dxa"/>
              <w:start w:w="80" w:type="dxa"/>
              <w:end w:w="80" w:type="dxa"/>
            </w:tcMar>
            <w:shd w:fill="EDF4FA"/>
          </w:tcPr>
          <w:p>
            <w:pPr>
              <w:pStyle w:val="TableText"/>
            </w:pPr>
            <w:r/>
            <w:r>
              <w:rPr>
                <w:b w:val="0"/>
              </w:rPr>
              <w:t>LOW</w:t>
            </w:r>
          </w:p>
        </w:tc>
        <w:tc>
          <w:tcPr>
            <w:tcW w:type="dxa" w:w="1800"/>
            <w:vAlign w:val="center"/>
            <w:tcMar>
              <w:top w:w="70" w:type="dxa"/>
              <w:bottom w:w="70" w:type="dxa"/>
              <w:start w:w="80" w:type="dxa"/>
              <w:end w:w="80" w:type="dxa"/>
            </w:tcMar>
            <w:shd w:fill="EDF4FA"/>
          </w:tcPr>
          <w:p>
            <w:pPr>
              <w:pStyle w:val="TableText"/>
            </w:pPr>
            <w:r/>
            <w:r>
              <w:rPr>
                <w:b w:val="0"/>
              </w:rPr>
              <w:t>No</w:t>
            </w:r>
          </w:p>
        </w:tc>
        <w:tc>
          <w:tcPr>
            <w:tcW w:type="dxa" w:w="4536"/>
            <w:vAlign w:val="center"/>
            <w:tcMar>
              <w:top w:w="70" w:type="dxa"/>
              <w:bottom w:w="70" w:type="dxa"/>
              <w:start w:w="80" w:type="dxa"/>
              <w:end w:w="80" w:type="dxa"/>
            </w:tcMar>
            <w:shd w:fill="EDF4FA"/>
          </w:tcPr>
          <w:p>
            <w:pPr>
              <w:pStyle w:val="TableText"/>
            </w:pPr>
            <w:r/>
            <w:r>
              <w:rPr>
                <w:b w:val="0"/>
              </w:rPr>
              <w:t>LOW only when all required records are complete and all rules are negative</w:t>
            </w:r>
          </w:p>
        </w:tc>
      </w:tr>
      <w:tr>
        <w:tc>
          <w:tcPr>
            <w:tcW w:type="dxa" w:w="1728"/>
            <w:vAlign w:val="center"/>
            <w:tcMar>
              <w:top w:w="70" w:type="dxa"/>
              <w:bottom w:w="70" w:type="dxa"/>
              <w:start w:w="80" w:type="dxa"/>
              <w:end w:w="80" w:type="dxa"/>
            </w:tcMar>
          </w:tcPr>
          <w:p>
            <w:pPr>
              <w:pStyle w:val="TableText"/>
            </w:pPr>
            <w:r/>
            <w:r>
              <w:rPr>
                <w:b w:val="0"/>
              </w:rPr>
              <w:t>Present</w:t>
            </w:r>
          </w:p>
        </w:tc>
        <w:tc>
          <w:tcPr>
            <w:tcW w:type="dxa" w:w="1440"/>
            <w:vAlign w:val="center"/>
            <w:tcMar>
              <w:top w:w="70" w:type="dxa"/>
              <w:bottom w:w="70" w:type="dxa"/>
              <w:start w:w="80" w:type="dxa"/>
              <w:end w:w="80" w:type="dxa"/>
            </w:tcMar>
          </w:tcPr>
          <w:p>
            <w:pPr>
              <w:pStyle w:val="TableText"/>
            </w:pPr>
            <w:r/>
            <w:r>
              <w:rPr>
                <w:b w:val="0"/>
              </w:rPr>
              <w:t>No</w:t>
            </w:r>
          </w:p>
        </w:tc>
        <w:tc>
          <w:tcPr>
            <w:tcW w:type="dxa" w:w="1440"/>
            <w:vAlign w:val="center"/>
            <w:tcMar>
              <w:top w:w="70" w:type="dxa"/>
              <w:bottom w:w="70" w:type="dxa"/>
              <w:start w:w="80" w:type="dxa"/>
              <w:end w:w="80" w:type="dxa"/>
            </w:tcMar>
          </w:tcPr>
          <w:p>
            <w:pPr>
              <w:pStyle w:val="TableText"/>
            </w:pPr>
            <w:r/>
            <w:r>
              <w:rPr>
                <w:b w:val="0"/>
              </w:rPr>
              <w:t>HIGH</w:t>
            </w:r>
          </w:p>
        </w:tc>
        <w:tc>
          <w:tcPr>
            <w:tcW w:type="dxa" w:w="1800"/>
            <w:vAlign w:val="center"/>
            <w:tcMar>
              <w:top w:w="70" w:type="dxa"/>
              <w:bottom w:w="70" w:type="dxa"/>
              <w:start w:w="80" w:type="dxa"/>
              <w:end w:w="80" w:type="dxa"/>
            </w:tcMar>
          </w:tcPr>
          <w:p>
            <w:pPr>
              <w:pStyle w:val="TableText"/>
            </w:pPr>
            <w:r/>
            <w:r>
              <w:rPr>
                <w:b w:val="0"/>
              </w:rPr>
              <w:t>No</w:t>
            </w:r>
          </w:p>
        </w:tc>
        <w:tc>
          <w:tcPr>
            <w:tcW w:type="dxa" w:w="4536"/>
            <w:vAlign w:val="center"/>
            <w:tcMar>
              <w:top w:w="70" w:type="dxa"/>
              <w:bottom w:w="70" w:type="dxa"/>
              <w:start w:w="80" w:type="dxa"/>
              <w:end w:w="80" w:type="dxa"/>
            </w:tcMar>
          </w:tcPr>
          <w:p>
            <w:pPr>
              <w:pStyle w:val="TableText"/>
            </w:pPr>
            <w:r/>
            <w:r>
              <w:rPr>
                <w:b w:val="0"/>
              </w:rPr>
              <w:t>HIGH</w:t>
            </w:r>
          </w:p>
        </w:tc>
      </w:tr>
      <w:tr>
        <w:tc>
          <w:tcPr>
            <w:tcW w:type="dxa" w:w="1728"/>
            <w:vAlign w:val="center"/>
            <w:tcMar>
              <w:top w:w="70" w:type="dxa"/>
              <w:bottom w:w="70" w:type="dxa"/>
              <w:start w:w="80" w:type="dxa"/>
              <w:end w:w="80" w:type="dxa"/>
            </w:tcMar>
            <w:shd w:fill="EDF4FA"/>
          </w:tcPr>
          <w:p>
            <w:pPr>
              <w:pStyle w:val="TableText"/>
            </w:pPr>
            <w:r/>
            <w:r>
              <w:rPr>
                <w:b w:val="0"/>
              </w:rPr>
              <w:t>Missing</w:t>
            </w:r>
          </w:p>
        </w:tc>
        <w:tc>
          <w:tcPr>
            <w:tcW w:type="dxa" w:w="1440"/>
            <w:vAlign w:val="center"/>
            <w:tcMar>
              <w:top w:w="70" w:type="dxa"/>
              <w:bottom w:w="70" w:type="dxa"/>
              <w:start w:w="80" w:type="dxa"/>
              <w:end w:w="80" w:type="dxa"/>
            </w:tcMar>
            <w:shd w:fill="EDF4FA"/>
          </w:tcPr>
          <w:p>
            <w:pPr>
              <w:pStyle w:val="TableText"/>
            </w:pPr>
            <w:r/>
            <w:r>
              <w:rPr>
                <w:b w:val="0"/>
              </w:rPr>
              <w:t>Unknown</w:t>
            </w:r>
          </w:p>
        </w:tc>
        <w:tc>
          <w:tcPr>
            <w:tcW w:type="dxa" w:w="1440"/>
            <w:vAlign w:val="center"/>
            <w:tcMar>
              <w:top w:w="70" w:type="dxa"/>
              <w:bottom w:w="70" w:type="dxa"/>
              <w:start w:w="80" w:type="dxa"/>
              <w:end w:w="80" w:type="dxa"/>
            </w:tcMar>
            <w:shd w:fill="EDF4FA"/>
          </w:tcPr>
          <w:p>
            <w:pPr>
              <w:pStyle w:val="TableText"/>
            </w:pPr>
            <w:r/>
            <w:r>
              <w:rPr>
                <w:b w:val="0"/>
              </w:rPr>
              <w:t>Any</w:t>
            </w:r>
          </w:p>
        </w:tc>
        <w:tc>
          <w:tcPr>
            <w:tcW w:type="dxa" w:w="1800"/>
            <w:vAlign w:val="center"/>
            <w:tcMar>
              <w:top w:w="70" w:type="dxa"/>
              <w:bottom w:w="70" w:type="dxa"/>
              <w:start w:w="80" w:type="dxa"/>
              <w:end w:w="80" w:type="dxa"/>
            </w:tcMar>
            <w:shd w:fill="EDF4FA"/>
          </w:tcPr>
          <w:p>
            <w:pPr>
              <w:pStyle w:val="TableText"/>
            </w:pPr>
            <w:r/>
            <w:r>
              <w:rPr>
                <w:b w:val="0"/>
              </w:rPr>
              <w:t>No</w:t>
            </w:r>
          </w:p>
        </w:tc>
        <w:tc>
          <w:tcPr>
            <w:tcW w:type="dxa" w:w="4536"/>
            <w:vAlign w:val="center"/>
            <w:tcMar>
              <w:top w:w="70" w:type="dxa"/>
              <w:bottom w:w="70" w:type="dxa"/>
              <w:start w:w="80" w:type="dxa"/>
              <w:end w:w="80" w:type="dxa"/>
            </w:tcMar>
            <w:shd w:fill="EDF4FA"/>
          </w:tcPr>
          <w:p>
            <w:pPr>
              <w:pStyle w:val="TableText"/>
            </w:pPr>
            <w:r/>
            <w:r>
              <w:rPr>
                <w:b w:val="0"/>
              </w:rPr>
              <w:t>ASSESSMENT INCOMPLETE</w:t>
            </w:r>
          </w:p>
        </w:tc>
      </w:tr>
      <w:tr>
        <w:tc>
          <w:tcPr>
            <w:tcW w:type="dxa" w:w="1728"/>
            <w:vAlign w:val="center"/>
            <w:tcMar>
              <w:top w:w="70" w:type="dxa"/>
              <w:bottom w:w="70" w:type="dxa"/>
              <w:start w:w="80" w:type="dxa"/>
              <w:end w:w="80" w:type="dxa"/>
            </w:tcMar>
          </w:tcPr>
          <w:p>
            <w:pPr>
              <w:pStyle w:val="TableText"/>
            </w:pPr>
            <w:r/>
            <w:r>
              <w:rPr>
                <w:b w:val="0"/>
              </w:rPr>
              <w:t>Present</w:t>
            </w:r>
          </w:p>
        </w:tc>
        <w:tc>
          <w:tcPr>
            <w:tcW w:type="dxa" w:w="1440"/>
            <w:vAlign w:val="center"/>
            <w:tcMar>
              <w:top w:w="70" w:type="dxa"/>
              <w:bottom w:w="70" w:type="dxa"/>
              <w:start w:w="80" w:type="dxa"/>
              <w:end w:w="80" w:type="dxa"/>
            </w:tcMar>
          </w:tcPr>
          <w:p>
            <w:pPr>
              <w:pStyle w:val="TableText"/>
            </w:pPr>
            <w:r/>
            <w:r>
              <w:rPr>
                <w:b w:val="0"/>
              </w:rPr>
              <w:t>Blank/contradictory</w:t>
            </w:r>
          </w:p>
        </w:tc>
        <w:tc>
          <w:tcPr>
            <w:tcW w:type="dxa" w:w="1440"/>
            <w:vAlign w:val="center"/>
            <w:tcMar>
              <w:top w:w="70" w:type="dxa"/>
              <w:bottom w:w="70" w:type="dxa"/>
              <w:start w:w="80" w:type="dxa"/>
              <w:end w:w="80" w:type="dxa"/>
            </w:tcMar>
          </w:tcPr>
          <w:p>
            <w:pPr>
              <w:pStyle w:val="TableText"/>
            </w:pPr>
            <w:r/>
            <w:r>
              <w:rPr>
                <w:b w:val="0"/>
              </w:rPr>
              <w:t>Any</w:t>
            </w:r>
          </w:p>
        </w:tc>
        <w:tc>
          <w:tcPr>
            <w:tcW w:type="dxa" w:w="1800"/>
            <w:vAlign w:val="center"/>
            <w:tcMar>
              <w:top w:w="70" w:type="dxa"/>
              <w:bottom w:w="70" w:type="dxa"/>
              <w:start w:w="80" w:type="dxa"/>
              <w:end w:w="80" w:type="dxa"/>
            </w:tcMar>
          </w:tcPr>
          <w:p>
            <w:pPr>
              <w:pStyle w:val="TableText"/>
            </w:pPr>
            <w:r/>
            <w:r>
              <w:rPr>
                <w:b w:val="0"/>
              </w:rPr>
              <w:t>No</w:t>
            </w:r>
          </w:p>
        </w:tc>
        <w:tc>
          <w:tcPr>
            <w:tcW w:type="dxa" w:w="4536"/>
            <w:vAlign w:val="center"/>
            <w:tcMar>
              <w:top w:w="70" w:type="dxa"/>
              <w:bottom w:w="70" w:type="dxa"/>
              <w:start w:w="80" w:type="dxa"/>
              <w:end w:w="80" w:type="dxa"/>
            </w:tcMar>
          </w:tcPr>
          <w:p>
            <w:pPr>
              <w:pStyle w:val="TableText"/>
            </w:pPr>
            <w:r/>
            <w:r>
              <w:rPr>
                <w:b w:val="0"/>
              </w:rPr>
              <w:t>ASSESSMENT INCOMPLETE</w:t>
            </w:r>
          </w:p>
        </w:tc>
      </w:tr>
      <w:tr>
        <w:tc>
          <w:tcPr>
            <w:tcW w:type="dxa" w:w="1728"/>
            <w:vAlign w:val="center"/>
            <w:tcMar>
              <w:top w:w="70" w:type="dxa"/>
              <w:bottom w:w="70" w:type="dxa"/>
              <w:start w:w="80" w:type="dxa"/>
              <w:end w:w="80" w:type="dxa"/>
            </w:tcMar>
            <w:shd w:fill="EDF4FA"/>
          </w:tcPr>
          <w:p>
            <w:pPr>
              <w:pStyle w:val="TableText"/>
            </w:pPr>
            <w:r/>
            <w:r>
              <w:rPr>
                <w:b w:val="0"/>
              </w:rPr>
              <w:t>Present</w:t>
            </w:r>
          </w:p>
        </w:tc>
        <w:tc>
          <w:tcPr>
            <w:tcW w:type="dxa" w:w="1440"/>
            <w:vAlign w:val="center"/>
            <w:tcMar>
              <w:top w:w="70" w:type="dxa"/>
              <w:bottom w:w="70" w:type="dxa"/>
              <w:start w:w="80" w:type="dxa"/>
              <w:end w:w="80" w:type="dxa"/>
            </w:tcMar>
            <w:shd w:fill="EDF4FA"/>
          </w:tcPr>
          <w:p>
            <w:pPr>
              <w:pStyle w:val="TableText"/>
            </w:pPr>
            <w:r/>
            <w:r>
              <w:rPr>
                <w:b w:val="0"/>
              </w:rPr>
              <w:t>No</w:t>
            </w:r>
          </w:p>
        </w:tc>
        <w:tc>
          <w:tcPr>
            <w:tcW w:type="dxa" w:w="1440"/>
            <w:vAlign w:val="center"/>
            <w:tcMar>
              <w:top w:w="70" w:type="dxa"/>
              <w:bottom w:w="70" w:type="dxa"/>
              <w:start w:w="80" w:type="dxa"/>
              <w:end w:w="80" w:type="dxa"/>
            </w:tcMar>
            <w:shd w:fill="EDF4FA"/>
          </w:tcPr>
          <w:p>
            <w:pPr>
              <w:pStyle w:val="TableText"/>
            </w:pPr>
            <w:r/>
            <w:r>
              <w:rPr>
                <w:b w:val="0"/>
              </w:rPr>
              <w:t>LOW</w:t>
            </w:r>
          </w:p>
        </w:tc>
        <w:tc>
          <w:tcPr>
            <w:tcW w:type="dxa" w:w="1800"/>
            <w:vAlign w:val="center"/>
            <w:tcMar>
              <w:top w:w="70" w:type="dxa"/>
              <w:bottom w:w="70" w:type="dxa"/>
              <w:start w:w="80" w:type="dxa"/>
              <w:end w:w="80" w:type="dxa"/>
            </w:tcMar>
            <w:shd w:fill="EDF4FA"/>
          </w:tcPr>
          <w:p>
            <w:pPr>
              <w:pStyle w:val="TableText"/>
            </w:pPr>
            <w:r/>
            <w:r>
              <w:rPr>
                <w:b w:val="0"/>
              </w:rPr>
              <w:t>Yes</w:t>
            </w:r>
          </w:p>
        </w:tc>
        <w:tc>
          <w:tcPr>
            <w:tcW w:type="dxa" w:w="4536"/>
            <w:vAlign w:val="center"/>
            <w:tcMar>
              <w:top w:w="70" w:type="dxa"/>
              <w:bottom w:w="70" w:type="dxa"/>
              <w:start w:w="80" w:type="dxa"/>
              <w:end w:w="80" w:type="dxa"/>
            </w:tcMar>
            <w:shd w:fill="EDF4FA"/>
          </w:tcPr>
          <w:p>
            <w:pPr>
              <w:pStyle w:val="TableText"/>
            </w:pPr>
            <w:r/>
            <w:r>
              <w:rPr>
                <w:b w:val="0"/>
              </w:rPr>
              <w:t>HIGH</w:t>
            </w:r>
          </w:p>
        </w:tc>
      </w:tr>
    </w:tbl>
    <w:p>
      <w:pPr>
        <w:spacing w:after="20"/>
      </w:pPr>
    </w:p>
    <w:tbl>
      <w:tblPr>
        <w:tblW w:type="auto" w:w="0"/>
        <w:tblLook w:firstColumn="1" w:firstRow="1" w:lastColumn="0" w:lastRow="0" w:noHBand="0" w:noVBand="1" w:val="04A0"/>
      </w:tblPr>
      <w:tblGrid>
        <w:gridCol w:w="10080"/>
      </w:tblGrid>
      <w:tr>
        <w:tc>
          <w:tcPr>
            <w:tcW w:type="dxa" w:w="10080"/>
            <w:shd w:fill="FCE4D6"/>
            <w:tcBorders>
              <w:top w:val="single" w:sz="8" w:color="C00000"/>
              <w:left w:val="single" w:sz="8" w:color="C00000"/>
              <w:bottom w:val="single" w:sz="8" w:color="C00000"/>
              <w:right w:val="single" w:sz="8" w:color="C00000"/>
            </w:tcBorders>
            <w:tcMar>
              <w:top w:w="110" w:type="dxa"/>
              <w:bottom w:w="110" w:type="dxa"/>
              <w:start w:w="120" w:type="dxa"/>
              <w:end w:w="120" w:type="dxa"/>
            </w:tcMar>
          </w:tcPr>
          <w:p>
            <w:pPr>
              <w:pStyle w:val="Callout"/>
            </w:pPr>
            <w:r/>
            <w:r>
              <w:rPr>
                <w:b/>
                <w:color w:val="C00000"/>
              </w:rPr>
              <w:t>Safety precedence</w:t>
              <w:br/>
            </w:r>
            <w:r>
              <w:t>A documented deterministic HIGH factor overrides ML. Missing required information prevents LOW. ML must never cancel anemia recorded in the clinical history.</w:t>
            </w:r>
          </w:p>
        </w:tc>
      </w:tr>
    </w:tbl>
    <w:p>
      <w:pPr>
        <w:spacing w:after="20"/>
      </w:pPr>
    </w:p>
    <w:p>
      <w:pPr>
        <w:pStyle w:val="Heading1"/>
      </w:pPr>
      <w:r>
        <w:t>9. Implementation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vAlign w:val="center"/>
            <w:tcMar>
              <w:top w:w="70" w:type="dxa"/>
              <w:bottom w:w="70" w:type="dxa"/>
              <w:start w:w="80" w:type="dxa"/>
              <w:end w:w="80" w:type="dxa"/>
            </w:tcMar>
            <w:shd w:fill="17365D"/>
          </w:tcPr>
          <w:p>
            <w:pPr>
              <w:pStyle w:val="TableHeader"/>
            </w:pPr>
            <w:r/>
            <w:r>
              <w:rPr>
                <w:b/>
                <w:color w:val="FFFFFF"/>
              </w:rPr>
              <w:t>Layer</w:t>
            </w:r>
          </w:p>
        </w:tc>
        <w:tc>
          <w:tcPr>
            <w:tcW w:type="dxa" w:w="4464"/>
            <w:vAlign w:val="center"/>
            <w:tcMar>
              <w:top w:w="70" w:type="dxa"/>
              <w:bottom w:w="70" w:type="dxa"/>
              <w:start w:w="80" w:type="dxa"/>
              <w:end w:w="80" w:type="dxa"/>
            </w:tcMar>
            <w:shd w:fill="17365D"/>
          </w:tcPr>
          <w:p>
            <w:pPr>
              <w:pStyle w:val="TableHeader"/>
            </w:pPr>
            <w:r/>
            <w:r>
              <w:rPr>
                <w:b/>
                <w:color w:val="FFFFFF"/>
              </w:rPr>
              <w:t>Expected implementation</w:t>
            </w:r>
          </w:p>
        </w:tc>
        <w:tc>
          <w:tcPr>
            <w:tcW w:type="dxa" w:w="4464"/>
            <w:vAlign w:val="center"/>
            <w:tcMar>
              <w:top w:w="70" w:type="dxa"/>
              <w:bottom w:w="70" w:type="dxa"/>
              <w:start w:w="80" w:type="dxa"/>
              <w:end w:w="80" w:type="dxa"/>
            </w:tcMar>
            <w:shd w:fill="17365D"/>
          </w:tcPr>
          <w:p>
            <w:pPr>
              <w:pStyle w:val="TableHeader"/>
            </w:pPr>
            <w:r/>
            <w:r>
              <w:rPr>
                <w:b/>
                <w:color w:val="FFFFFF"/>
              </w:rPr>
              <w:t>Safety requirement</w:t>
            </w:r>
          </w:p>
        </w:tc>
      </w:tr>
      <w:tr>
        <w:tc>
          <w:tcPr>
            <w:tcW w:type="dxa" w:w="1656"/>
            <w:vAlign w:val="center"/>
            <w:tcMar>
              <w:top w:w="70" w:type="dxa"/>
              <w:bottom w:w="70" w:type="dxa"/>
              <w:start w:w="80" w:type="dxa"/>
              <w:end w:w="80" w:type="dxa"/>
            </w:tcMar>
          </w:tcPr>
          <w:p>
            <w:pPr>
              <w:pStyle w:val="TableText"/>
            </w:pPr>
            <w:r/>
            <w:r>
              <w:rPr>
                <w:b w:val="0"/>
              </w:rPr>
              <w:t>Data capture</w:t>
            </w:r>
          </w:p>
        </w:tc>
        <w:tc>
          <w:tcPr>
            <w:tcW w:type="dxa" w:w="4464"/>
            <w:vAlign w:val="center"/>
            <w:tcMar>
              <w:top w:w="70" w:type="dxa"/>
              <w:bottom w:w="70" w:type="dxa"/>
              <w:start w:w="80" w:type="dxa"/>
              <w:end w:w="80" w:type="dxa"/>
            </w:tcMar>
          </w:tcPr>
          <w:p>
            <w:pPr>
              <w:pStyle w:val="TableText"/>
            </w:pPr>
            <w:r/>
            <w:r>
              <w:rPr>
                <w:b w:val="0"/>
              </w:rPr>
              <w:t>Store anemia as an explicit clinical-history value.</w:t>
            </w:r>
          </w:p>
        </w:tc>
        <w:tc>
          <w:tcPr>
            <w:tcW w:type="dxa" w:w="4464"/>
            <w:vAlign w:val="center"/>
            <w:tcMar>
              <w:top w:w="70" w:type="dxa"/>
              <w:bottom w:w="70" w:type="dxa"/>
              <w:start w:w="80" w:type="dxa"/>
              <w:end w:w="80" w:type="dxa"/>
            </w:tcMar>
          </w:tcPr>
          <w:p>
            <w:pPr>
              <w:pStyle w:val="TableText"/>
            </w:pPr>
            <w:r/>
            <w:r>
              <w:rPr>
                <w:b w:val="0"/>
              </w:rPr>
              <w:t>Prefer Yes/No/Unknown; never silently convert blank to No.</w:t>
            </w:r>
          </w:p>
        </w:tc>
      </w:tr>
      <w:tr>
        <w:tc>
          <w:tcPr>
            <w:tcW w:type="dxa" w:w="1656"/>
            <w:vAlign w:val="center"/>
            <w:tcMar>
              <w:top w:w="70" w:type="dxa"/>
              <w:bottom w:w="70" w:type="dxa"/>
              <w:start w:w="80" w:type="dxa"/>
              <w:end w:w="80" w:type="dxa"/>
            </w:tcMar>
            <w:shd w:fill="EDF4FA"/>
          </w:tcPr>
          <w:p>
            <w:pPr>
              <w:pStyle w:val="TableText"/>
            </w:pPr>
            <w:r/>
            <w:r>
              <w:rPr>
                <w:b w:val="0"/>
              </w:rPr>
              <w:t>Controller/service</w:t>
            </w:r>
          </w:p>
        </w:tc>
        <w:tc>
          <w:tcPr>
            <w:tcW w:type="dxa" w:w="4464"/>
            <w:vAlign w:val="center"/>
            <w:tcMar>
              <w:top w:w="70" w:type="dxa"/>
              <w:bottom w:w="70" w:type="dxa"/>
              <w:start w:w="80" w:type="dxa"/>
              <w:end w:w="80" w:type="dxa"/>
            </w:tcMar>
            <w:shd w:fill="EDF4FA"/>
          </w:tcPr>
          <w:p>
            <w:pPr>
              <w:pStyle w:val="TableText"/>
            </w:pPr>
            <w:r/>
            <w:r>
              <w:rPr>
                <w:b w:val="0"/>
              </w:rPr>
              <w:t>If anemia is true, add rule AN-01 and force HIGH.</w:t>
            </w:r>
          </w:p>
        </w:tc>
        <w:tc>
          <w:tcPr>
            <w:tcW w:type="dxa" w:w="4464"/>
            <w:vAlign w:val="center"/>
            <w:tcMar>
              <w:top w:w="70" w:type="dxa"/>
              <w:bottom w:w="70" w:type="dxa"/>
              <w:start w:w="80" w:type="dxa"/>
              <w:end w:w="80" w:type="dxa"/>
            </w:tcMar>
            <w:shd w:fill="EDF4FA"/>
          </w:tcPr>
          <w:p>
            <w:pPr>
              <w:pStyle w:val="TableText"/>
            </w:pPr>
            <w:r/>
            <w:r>
              <w:rPr>
                <w:b w:val="0"/>
              </w:rPr>
              <w:t>Use strict boolean normalization and recalculate after updates.</w:t>
            </w:r>
          </w:p>
        </w:tc>
      </w:tr>
      <w:tr>
        <w:tc>
          <w:tcPr>
            <w:tcW w:type="dxa" w:w="1656"/>
            <w:vAlign w:val="center"/>
            <w:tcMar>
              <w:top w:w="70" w:type="dxa"/>
              <w:bottom w:w="70" w:type="dxa"/>
              <w:start w:w="80" w:type="dxa"/>
              <w:end w:w="80" w:type="dxa"/>
            </w:tcMar>
          </w:tcPr>
          <w:p>
            <w:pPr>
              <w:pStyle w:val="TableText"/>
            </w:pPr>
            <w:r/>
            <w:r>
              <w:rPr>
                <w:b w:val="0"/>
              </w:rPr>
              <w:t>Optional future lab fields</w:t>
            </w:r>
          </w:p>
        </w:tc>
        <w:tc>
          <w:tcPr>
            <w:tcW w:type="dxa" w:w="4464"/>
            <w:vAlign w:val="center"/>
            <w:tcMar>
              <w:top w:w="70" w:type="dxa"/>
              <w:bottom w:w="70" w:type="dxa"/>
              <w:start w:w="80" w:type="dxa"/>
              <w:end w:w="80" w:type="dxa"/>
            </w:tcMar>
          </w:tcPr>
          <w:p>
            <w:pPr>
              <w:pStyle w:val="TableText"/>
            </w:pPr>
            <w:r/>
            <w:r>
              <w:rPr>
                <w:b w:val="0"/>
              </w:rPr>
              <w:t>Store haemoglobin value, unit, date, trimester, and source.</w:t>
            </w:r>
          </w:p>
        </w:tc>
        <w:tc>
          <w:tcPr>
            <w:tcW w:type="dxa" w:w="4464"/>
            <w:vAlign w:val="center"/>
            <w:tcMar>
              <w:top w:w="70" w:type="dxa"/>
              <w:bottom w:w="70" w:type="dxa"/>
              <w:start w:w="80" w:type="dxa"/>
              <w:end w:w="80" w:type="dxa"/>
            </w:tcMar>
          </w:tcPr>
          <w:p>
            <w:pPr>
              <w:pStyle w:val="TableText"/>
            </w:pPr>
            <w:r/>
            <w:r>
              <w:rPr>
                <w:b w:val="0"/>
              </w:rPr>
              <w:t>Do not interpret units or thresholds without validation and clinical approval.</w:t>
            </w:r>
          </w:p>
        </w:tc>
      </w:tr>
      <w:tr>
        <w:tc>
          <w:tcPr>
            <w:tcW w:type="dxa" w:w="1656"/>
            <w:vAlign w:val="center"/>
            <w:tcMar>
              <w:top w:w="70" w:type="dxa"/>
              <w:bottom w:w="70" w:type="dxa"/>
              <w:start w:w="80" w:type="dxa"/>
              <w:end w:w="80" w:type="dxa"/>
            </w:tcMar>
            <w:shd w:fill="EDF4FA"/>
          </w:tcPr>
          <w:p>
            <w:pPr>
              <w:pStyle w:val="TableText"/>
            </w:pPr>
            <w:r/>
            <w:r>
              <w:rPr>
                <w:b w:val="0"/>
              </w:rPr>
              <w:t>Patient profile</w:t>
            </w:r>
          </w:p>
        </w:tc>
        <w:tc>
          <w:tcPr>
            <w:tcW w:type="dxa" w:w="4464"/>
            <w:vAlign w:val="center"/>
            <w:tcMar>
              <w:top w:w="70" w:type="dxa"/>
              <w:bottom w:w="70" w:type="dxa"/>
              <w:start w:w="80" w:type="dxa"/>
              <w:end w:w="80" w:type="dxa"/>
            </w:tcMar>
            <w:shd w:fill="EDF4FA"/>
          </w:tcPr>
          <w:p>
            <w:pPr>
              <w:pStyle w:val="TableText"/>
            </w:pPr>
            <w:r/>
            <w:r>
              <w:rPr>
                <w:b w:val="0"/>
              </w:rPr>
              <w:t>Display HIGH with a plain-language reason.</w:t>
            </w:r>
          </w:p>
        </w:tc>
        <w:tc>
          <w:tcPr>
            <w:tcW w:type="dxa" w:w="4464"/>
            <w:vAlign w:val="center"/>
            <w:tcMar>
              <w:top w:w="70" w:type="dxa"/>
              <w:bottom w:w="70" w:type="dxa"/>
              <w:start w:w="80" w:type="dxa"/>
              <w:end w:w="80" w:type="dxa"/>
            </w:tcMar>
            <w:shd w:fill="EDF4FA"/>
          </w:tcPr>
          <w:p>
            <w:pPr>
              <w:pStyle w:val="TableText"/>
            </w:pPr>
            <w:r/>
            <w:r>
              <w:rPr>
                <w:b w:val="0"/>
              </w:rPr>
              <w:t>Say 'anemia was recorded'; do not invent severity or cause.</w:t>
            </w:r>
          </w:p>
        </w:tc>
      </w:tr>
      <w:tr>
        <w:tc>
          <w:tcPr>
            <w:tcW w:type="dxa" w:w="1656"/>
            <w:vAlign w:val="center"/>
            <w:tcMar>
              <w:top w:w="70" w:type="dxa"/>
              <w:bottom w:w="70" w:type="dxa"/>
              <w:start w:w="80" w:type="dxa"/>
              <w:end w:w="80" w:type="dxa"/>
            </w:tcMar>
          </w:tcPr>
          <w:p>
            <w:pPr>
              <w:pStyle w:val="TableText"/>
            </w:pPr>
            <w:r/>
            <w:r>
              <w:rPr>
                <w:b w:val="0"/>
              </w:rPr>
              <w:t>Referral</w:t>
            </w:r>
          </w:p>
        </w:tc>
        <w:tc>
          <w:tcPr>
            <w:tcW w:type="dxa" w:w="4464"/>
            <w:vAlign w:val="center"/>
            <w:tcMar>
              <w:top w:w="70" w:type="dxa"/>
              <w:bottom w:w="70" w:type="dxa"/>
              <w:start w:w="80" w:type="dxa"/>
              <w:end w:w="80" w:type="dxa"/>
            </w:tcMar>
          </w:tcPr>
          <w:p>
            <w:pPr>
              <w:pStyle w:val="TableText"/>
            </w:pPr>
            <w:r/>
            <w:r>
              <w:rPr>
                <w:b w:val="0"/>
              </w:rPr>
              <w:t>Support referral to physician or hospital and track status.</w:t>
            </w:r>
          </w:p>
        </w:tc>
        <w:tc>
          <w:tcPr>
            <w:tcW w:type="dxa" w:w="4464"/>
            <w:vAlign w:val="center"/>
            <w:tcMar>
              <w:top w:w="70" w:type="dxa"/>
              <w:bottom w:w="70" w:type="dxa"/>
              <w:start w:w="80" w:type="dxa"/>
              <w:end w:w="80" w:type="dxa"/>
            </w:tcMar>
          </w:tcPr>
          <w:p>
            <w:pPr>
              <w:pStyle w:val="TableText"/>
            </w:pPr>
            <w:r/>
            <w:r>
              <w:rPr>
                <w:b w:val="0"/>
              </w:rPr>
              <w:t>Referral creation is not proof that the patient was reviewed or accepted.</w:t>
            </w:r>
          </w:p>
        </w:tc>
      </w:tr>
      <w:tr>
        <w:tc>
          <w:tcPr>
            <w:tcW w:type="dxa" w:w="1656"/>
            <w:vAlign w:val="center"/>
            <w:tcMar>
              <w:top w:w="70" w:type="dxa"/>
              <w:bottom w:w="70" w:type="dxa"/>
              <w:start w:w="80" w:type="dxa"/>
              <w:end w:w="80" w:type="dxa"/>
            </w:tcMar>
            <w:shd w:fill="EDF4FA"/>
          </w:tcPr>
          <w:p>
            <w:pPr>
              <w:pStyle w:val="TableText"/>
            </w:pPr>
            <w:r/>
            <w:r>
              <w:rPr>
                <w:b w:val="0"/>
              </w:rPr>
              <w:t>Audit trail</w:t>
            </w:r>
          </w:p>
        </w:tc>
        <w:tc>
          <w:tcPr>
            <w:tcW w:type="dxa" w:w="4464"/>
            <w:vAlign w:val="center"/>
            <w:tcMar>
              <w:top w:w="70" w:type="dxa"/>
              <w:bottom w:w="70" w:type="dxa"/>
              <w:start w:w="80" w:type="dxa"/>
              <w:end w:w="80" w:type="dxa"/>
            </w:tcMar>
            <w:shd w:fill="EDF4FA"/>
          </w:tcPr>
          <w:p>
            <w:pPr>
              <w:pStyle w:val="TableText"/>
            </w:pPr>
            <w:r/>
            <w:r>
              <w:rPr>
                <w:b w:val="0"/>
              </w:rPr>
              <w:t>Record input, rule, reason, result, user, timestamp, and rule version.</w:t>
            </w:r>
          </w:p>
        </w:tc>
        <w:tc>
          <w:tcPr>
            <w:tcW w:type="dxa" w:w="4464"/>
            <w:vAlign w:val="center"/>
            <w:tcMar>
              <w:top w:w="70" w:type="dxa"/>
              <w:bottom w:w="70" w:type="dxa"/>
              <w:start w:w="80" w:type="dxa"/>
              <w:end w:w="80" w:type="dxa"/>
            </w:tcMar>
            <w:shd w:fill="EDF4FA"/>
          </w:tcPr>
          <w:p>
            <w:pPr>
              <w:pStyle w:val="TableText"/>
            </w:pPr>
            <w:r/>
            <w:r>
              <w:rPr>
                <w:b w:val="0"/>
              </w:rPr>
              <w:t>Preserve previous values and reason for changes.</w:t>
            </w:r>
          </w:p>
        </w:tc>
      </w:tr>
      <w:tr>
        <w:tc>
          <w:tcPr>
            <w:tcW w:type="dxa" w:w="1656"/>
            <w:vAlign w:val="center"/>
            <w:tcMar>
              <w:top w:w="70" w:type="dxa"/>
              <w:bottom w:w="70" w:type="dxa"/>
              <w:start w:w="80" w:type="dxa"/>
              <w:end w:w="80" w:type="dxa"/>
            </w:tcMar>
          </w:tcPr>
          <w:p>
            <w:pPr>
              <w:pStyle w:val="TableText"/>
            </w:pPr>
            <w:r/>
            <w:r>
              <w:rPr>
                <w:b w:val="0"/>
              </w:rPr>
              <w:t>Delivered workflow</w:t>
            </w:r>
          </w:p>
        </w:tc>
        <w:tc>
          <w:tcPr>
            <w:tcW w:type="dxa" w:w="4464"/>
            <w:vAlign w:val="center"/>
            <w:tcMar>
              <w:top w:w="70" w:type="dxa"/>
              <w:bottom w:w="70" w:type="dxa"/>
              <w:start w:w="80" w:type="dxa"/>
              <w:end w:w="80" w:type="dxa"/>
            </w:tcMar>
          </w:tcPr>
          <w:p>
            <w:pPr>
              <w:pStyle w:val="TableText"/>
            </w:pPr>
            <w:r/>
            <w:r>
              <w:rPr>
                <w:b w:val="0"/>
              </w:rPr>
              <w:t>Keep the completed pregnancy read-only.</w:t>
            </w:r>
          </w:p>
        </w:tc>
        <w:tc>
          <w:tcPr>
            <w:tcW w:type="dxa" w:w="4464"/>
            <w:vAlign w:val="center"/>
            <w:tcMar>
              <w:top w:w="70" w:type="dxa"/>
              <w:bottom w:w="70" w:type="dxa"/>
              <w:start w:w="80" w:type="dxa"/>
              <w:end w:w="80" w:type="dxa"/>
            </w:tcMar>
          </w:tcPr>
          <w:p>
            <w:pPr>
              <w:pStyle w:val="TableText"/>
            </w:pPr>
            <w:r/>
            <w:r>
              <w:rPr>
                <w:b w:val="0"/>
              </w:rPr>
              <w:t>A new pregnancy requires fresh confirmation and assessment.</w:t>
            </w:r>
          </w:p>
        </w:tc>
      </w:tr>
    </w:tbl>
    <w:p>
      <w:pPr>
        <w:spacing w:after="20"/>
      </w:pPr>
    </w:p>
    <w:p>
      <w:pPr>
        <w:pStyle w:val="Heading1"/>
      </w:pPr>
      <w:r>
        <w:t>10. Explainability Requirements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vAlign w:val="center"/>
            <w:tcMar>
              <w:top w:w="70" w:type="dxa"/>
              <w:bottom w:w="70" w:type="dxa"/>
              <w:start w:w="80" w:type="dxa"/>
              <w:end w:w="80" w:type="dxa"/>
            </w:tcMar>
            <w:shd w:fill="17365D"/>
          </w:tcPr>
          <w:p>
            <w:pPr>
              <w:pStyle w:val="TableHeader"/>
            </w:pPr>
            <w:r/>
            <w:r>
              <w:rPr>
                <w:b/>
                <w:color w:val="FFFFFF"/>
              </w:rPr>
              <w:t>Context</w:t>
            </w:r>
          </w:p>
        </w:tc>
        <w:tc>
          <w:tcPr>
            <w:tcW w:type="dxa" w:w="7632"/>
            <w:vAlign w:val="center"/>
            <w:tcMar>
              <w:top w:w="70" w:type="dxa"/>
              <w:bottom w:w="70" w:type="dxa"/>
              <w:start w:w="80" w:type="dxa"/>
              <w:end w:w="80" w:type="dxa"/>
            </w:tcMar>
            <w:shd w:fill="17365D"/>
          </w:tcPr>
          <w:p>
            <w:pPr>
              <w:pStyle w:val="TableHeader"/>
            </w:pPr>
            <w:r/>
            <w:r>
              <w:rPr>
                <w:b/>
                <w:color w:val="FFFFFF"/>
              </w:rPr>
              <w:t>Approved wording</w:t>
            </w:r>
          </w:p>
        </w:tc>
      </w:tr>
      <w:tr>
        <w:tc>
          <w:tcPr>
            <w:tcW w:type="dxa" w:w="2448"/>
            <w:vAlign w:val="center"/>
            <w:tcMar>
              <w:top w:w="70" w:type="dxa"/>
              <w:bottom w:w="70" w:type="dxa"/>
              <w:start w:w="80" w:type="dxa"/>
              <w:end w:w="80" w:type="dxa"/>
            </w:tcMar>
          </w:tcPr>
          <w:p>
            <w:pPr>
              <w:pStyle w:val="TableText"/>
            </w:pPr>
            <w:r/>
            <w:r>
              <w:rPr>
                <w:b w:val="0"/>
              </w:rPr>
              <w:t>Risk reason</w:t>
            </w:r>
          </w:p>
        </w:tc>
        <w:tc>
          <w:tcPr>
            <w:tcW w:type="dxa" w:w="7632"/>
            <w:vAlign w:val="center"/>
            <w:tcMar>
              <w:top w:w="70" w:type="dxa"/>
              <w:bottom w:w="70" w:type="dxa"/>
              <w:start w:w="80" w:type="dxa"/>
              <w:end w:w="80" w:type="dxa"/>
            </w:tcMar>
          </w:tcPr>
          <w:p>
            <w:pPr>
              <w:pStyle w:val="TableText"/>
            </w:pPr>
            <w:r/>
            <w:r>
              <w:rPr>
                <w:b w:val="0"/>
              </w:rPr>
              <w:t>Anemia was recorded in the patient's medical history. Maternal anemia requires clinical evaluation because its severity and cause affect pregnancy and birth planning.</w:t>
            </w:r>
          </w:p>
        </w:tc>
      </w:tr>
      <w:tr>
        <w:tc>
          <w:tcPr>
            <w:tcW w:type="dxa" w:w="2448"/>
            <w:vAlign w:val="center"/>
            <w:tcMar>
              <w:top w:w="70" w:type="dxa"/>
              <w:bottom w:w="70" w:type="dxa"/>
              <w:start w:w="80" w:type="dxa"/>
              <w:end w:w="80" w:type="dxa"/>
            </w:tcMar>
            <w:shd w:fill="EDF4FA"/>
          </w:tcPr>
          <w:p>
            <w:pPr>
              <w:pStyle w:val="TableText"/>
            </w:pPr>
            <w:r/>
            <w:r>
              <w:rPr>
                <w:b w:val="0"/>
              </w:rPr>
              <w:t>HIGH recommendation</w:t>
            </w:r>
          </w:p>
        </w:tc>
        <w:tc>
          <w:tcPr>
            <w:tcW w:type="dxa" w:w="7632"/>
            <w:vAlign w:val="center"/>
            <w:tcMar>
              <w:top w:w="70" w:type="dxa"/>
              <w:bottom w:w="70" w:type="dxa"/>
              <w:start w:w="80" w:type="dxa"/>
              <w:end w:w="80" w:type="dxa"/>
            </w:tcMar>
            <w:shd w:fill="EDF4FA"/>
          </w:tcPr>
          <w:p>
            <w:pPr>
              <w:pStyle w:val="TableText"/>
            </w:pPr>
            <w:r/>
            <w:r>
              <w:rPr>
                <w:b w:val="0"/>
              </w:rPr>
              <w:t>Arrange prompt clinical review, verify available blood results, and follow the clinician's treatment and referral plan. Consider a facility with appropriate emergency capability when advised.</w:t>
            </w:r>
          </w:p>
        </w:tc>
      </w:tr>
      <w:tr>
        <w:tc>
          <w:tcPr>
            <w:tcW w:type="dxa" w:w="2448"/>
            <w:vAlign w:val="center"/>
            <w:tcMar>
              <w:top w:w="70" w:type="dxa"/>
              <w:bottom w:w="70" w:type="dxa"/>
              <w:start w:w="80" w:type="dxa"/>
              <w:end w:w="80" w:type="dxa"/>
            </w:tcMar>
          </w:tcPr>
          <w:p>
            <w:pPr>
              <w:pStyle w:val="TableText"/>
            </w:pPr>
            <w:r/>
            <w:r>
              <w:rPr>
                <w:b w:val="0"/>
              </w:rPr>
              <w:t>Patient-facing</w:t>
            </w:r>
          </w:p>
        </w:tc>
        <w:tc>
          <w:tcPr>
            <w:tcW w:type="dxa" w:w="7632"/>
            <w:vAlign w:val="center"/>
            <w:tcMar>
              <w:top w:w="70" w:type="dxa"/>
              <w:bottom w:w="70" w:type="dxa"/>
              <w:start w:w="80" w:type="dxa"/>
              <w:end w:w="80" w:type="dxa"/>
            </w:tcMar>
          </w:tcPr>
          <w:p>
            <w:pPr>
              <w:pStyle w:val="TableText"/>
            </w:pPr>
            <w:r/>
            <w:r>
              <w:rPr>
                <w:b w:val="0"/>
              </w:rPr>
              <w:t>Your record shows anemia. This does not mean a complication will definitely occur, but checking the level and following treatment can improve safety for you and your baby.</w:t>
            </w:r>
          </w:p>
        </w:tc>
      </w:tr>
      <w:tr>
        <w:tc>
          <w:tcPr>
            <w:tcW w:type="dxa" w:w="2448"/>
            <w:vAlign w:val="center"/>
            <w:tcMar>
              <w:top w:w="70" w:type="dxa"/>
              <w:bottom w:w="70" w:type="dxa"/>
              <w:start w:w="80" w:type="dxa"/>
              <w:end w:w="80" w:type="dxa"/>
            </w:tcMar>
            <w:shd w:fill="EDF4FA"/>
          </w:tcPr>
          <w:p>
            <w:pPr>
              <w:pStyle w:val="TableText"/>
            </w:pPr>
            <w:r/>
            <w:r>
              <w:rPr>
                <w:b w:val="0"/>
              </w:rPr>
              <w:t>Incomplete</w:t>
            </w:r>
          </w:p>
        </w:tc>
        <w:tc>
          <w:tcPr>
            <w:tcW w:type="dxa" w:w="7632"/>
            <w:vAlign w:val="center"/>
            <w:tcMar>
              <w:top w:w="70" w:type="dxa"/>
              <w:bottom w:w="70" w:type="dxa"/>
              <w:start w:w="80" w:type="dxa"/>
              <w:end w:w="80" w:type="dxa"/>
            </w:tcMar>
            <w:shd w:fill="EDF4FA"/>
          </w:tcPr>
          <w:p>
            <w:pPr>
              <w:pStyle w:val="TableText"/>
            </w:pPr>
            <w:r/>
            <w:r>
              <w:rPr>
                <w:b w:val="0"/>
              </w:rPr>
              <w:t>The anemia information is missing or unclear. Confirm the history or laboratory result before relying on the assessment.</w:t>
            </w:r>
          </w:p>
        </w:tc>
      </w:tr>
      <w:tr>
        <w:tc>
          <w:tcPr>
            <w:tcW w:type="dxa" w:w="2448"/>
            <w:vAlign w:val="center"/>
            <w:tcMar>
              <w:top w:w="70" w:type="dxa"/>
              <w:bottom w:w="70" w:type="dxa"/>
              <w:start w:w="80" w:type="dxa"/>
              <w:end w:w="80" w:type="dxa"/>
            </w:tcMar>
          </w:tcPr>
          <w:p>
            <w:pPr>
              <w:pStyle w:val="TableText"/>
            </w:pPr>
            <w:r/>
            <w:r>
              <w:rPr>
                <w:b w:val="0"/>
              </w:rPr>
              <w:t>Boundary</w:t>
            </w:r>
          </w:p>
        </w:tc>
        <w:tc>
          <w:tcPr>
            <w:tcW w:type="dxa" w:w="7632"/>
            <w:vAlign w:val="center"/>
            <w:tcMar>
              <w:top w:w="70" w:type="dxa"/>
              <w:bottom w:w="70" w:type="dxa"/>
              <w:start w:w="80" w:type="dxa"/>
              <w:end w:w="80" w:type="dxa"/>
            </w:tcMar>
          </w:tcPr>
          <w:p>
            <w:pPr>
              <w:pStyle w:val="TableText"/>
            </w:pPr>
            <w:r/>
            <w:r>
              <w:rPr>
                <w:b w:val="0"/>
              </w:rPr>
              <w:t>This CDSS does not diagnose the cause of anemia, prescribe supplements, or determine whether transfusion or hospital delivery is required.</w:t>
            </w:r>
          </w:p>
        </w:tc>
      </w:tr>
    </w:tbl>
    <w:p>
      <w:pPr>
        <w:spacing w:after="20"/>
      </w:pPr>
    </w:p>
    <w:p>
      <w:pPr>
        <w:pStyle w:val="Heading1"/>
      </w:pPr>
      <w:r>
        <w:t>11. Recommendation Mapping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vAlign w:val="center"/>
            <w:tcMar>
              <w:top w:w="70" w:type="dxa"/>
              <w:bottom w:w="70" w:type="dxa"/>
              <w:start w:w="80" w:type="dxa"/>
              <w:end w:w="80" w:type="dxa"/>
            </w:tcMar>
            <w:shd w:fill="17365D"/>
          </w:tcPr>
          <w:p>
            <w:pPr>
              <w:pStyle w:val="TableHeader"/>
            </w:pPr>
            <w:r/>
            <w:r>
              <w:rPr>
                <w:b/>
                <w:color w:val="FFFFFF"/>
              </w:rPr>
              <w:t>State</w:t>
            </w:r>
          </w:p>
        </w:tc>
        <w:tc>
          <w:tcPr>
            <w:tcW w:type="dxa" w:w="4968"/>
            <w:vAlign w:val="center"/>
            <w:tcMar>
              <w:top w:w="70" w:type="dxa"/>
              <w:bottom w:w="70" w:type="dxa"/>
              <w:start w:w="80" w:type="dxa"/>
              <w:end w:w="80" w:type="dxa"/>
            </w:tcMar>
            <w:shd w:fill="17365D"/>
          </w:tcPr>
          <w:p>
            <w:pPr>
              <w:pStyle w:val="TableHeader"/>
            </w:pPr>
            <w:r/>
            <w:r>
              <w:rPr>
                <w:b/>
                <w:color w:val="FFFFFF"/>
              </w:rPr>
              <w:t>CDSS action</w:t>
            </w:r>
          </w:p>
        </w:tc>
        <w:tc>
          <w:tcPr>
            <w:tcW w:type="dxa" w:w="4248"/>
            <w:vAlign w:val="center"/>
            <w:tcMar>
              <w:top w:w="70" w:type="dxa"/>
              <w:bottom w:w="70" w:type="dxa"/>
              <w:start w:w="80" w:type="dxa"/>
              <w:end w:w="80" w:type="dxa"/>
            </w:tcMar>
            <w:shd w:fill="17365D"/>
          </w:tcPr>
          <w:p>
            <w:pPr>
              <w:pStyle w:val="TableHeader"/>
            </w:pPr>
            <w:r/>
            <w:r>
              <w:rPr>
                <w:b/>
                <w:color w:val="FFFFFF"/>
              </w:rPr>
              <w:t>Excluded action</w:t>
            </w:r>
          </w:p>
        </w:tc>
      </w:tr>
      <w:tr>
        <w:tc>
          <w:tcPr>
            <w:tcW w:type="dxa" w:w="2088"/>
            <w:vAlign w:val="center"/>
            <w:tcMar>
              <w:top w:w="70" w:type="dxa"/>
              <w:bottom w:w="70" w:type="dxa"/>
              <w:start w:w="80" w:type="dxa"/>
              <w:end w:w="80" w:type="dxa"/>
            </w:tcMar>
          </w:tcPr>
          <w:p>
            <w:pPr>
              <w:pStyle w:val="TableText"/>
            </w:pPr>
            <w:r/>
            <w:r>
              <w:rPr>
                <w:b w:val="0"/>
              </w:rPr>
              <w:t>Anemia present / HIGH</w:t>
            </w:r>
          </w:p>
        </w:tc>
        <w:tc>
          <w:tcPr>
            <w:tcW w:type="dxa" w:w="4968"/>
            <w:vAlign w:val="center"/>
            <w:tcMar>
              <w:top w:w="70" w:type="dxa"/>
              <w:bottom w:w="70" w:type="dxa"/>
              <w:start w:w="80" w:type="dxa"/>
              <w:end w:w="80" w:type="dxa"/>
            </w:tcMar>
          </w:tcPr>
          <w:p>
            <w:pPr>
              <w:pStyle w:val="TableText"/>
            </w:pPr>
            <w:r/>
            <w:r>
              <w:rPr>
                <w:b w:val="0"/>
              </w:rPr>
              <w:t>Prompt timely review; verify haemoglobin and treatment status; assess symptoms and bleeding history; prepare referral or co-management.</w:t>
            </w:r>
          </w:p>
        </w:tc>
        <w:tc>
          <w:tcPr>
            <w:tcW w:type="dxa" w:w="4248"/>
            <w:vAlign w:val="center"/>
            <w:tcMar>
              <w:top w:w="70" w:type="dxa"/>
              <w:bottom w:w="70" w:type="dxa"/>
              <w:start w:w="80" w:type="dxa"/>
              <w:end w:w="80" w:type="dxa"/>
            </w:tcMar>
          </w:tcPr>
          <w:p>
            <w:pPr>
              <w:pStyle w:val="TableText"/>
            </w:pPr>
            <w:r/>
            <w:r>
              <w:rPr>
                <w:b w:val="0"/>
              </w:rPr>
              <w:t>Prescribing iron dose, intravenous therapy, transfusion, or a delivery date.</w:t>
            </w:r>
          </w:p>
        </w:tc>
      </w:tr>
      <w:tr>
        <w:tc>
          <w:tcPr>
            <w:tcW w:type="dxa" w:w="2088"/>
            <w:vAlign w:val="center"/>
            <w:tcMar>
              <w:top w:w="70" w:type="dxa"/>
              <w:bottom w:w="70" w:type="dxa"/>
              <w:start w:w="80" w:type="dxa"/>
              <w:end w:w="80" w:type="dxa"/>
            </w:tcMar>
            <w:shd w:fill="EDF4FA"/>
          </w:tcPr>
          <w:p>
            <w:pPr>
              <w:pStyle w:val="TableText"/>
            </w:pPr>
            <w:r/>
            <w:r>
              <w:rPr>
                <w:b w:val="0"/>
              </w:rPr>
              <w:t>Anemia absent</w:t>
            </w:r>
          </w:p>
        </w:tc>
        <w:tc>
          <w:tcPr>
            <w:tcW w:type="dxa" w:w="4968"/>
            <w:vAlign w:val="center"/>
            <w:tcMar>
              <w:top w:w="70" w:type="dxa"/>
              <w:bottom w:w="70" w:type="dxa"/>
              <w:start w:w="80" w:type="dxa"/>
              <w:end w:w="80" w:type="dxa"/>
            </w:tcMar>
            <w:shd w:fill="EDF4FA"/>
          </w:tcPr>
          <w:p>
            <w:pPr>
              <w:pStyle w:val="TableText"/>
            </w:pPr>
            <w:r/>
            <w:r>
              <w:rPr>
                <w:b w:val="0"/>
              </w:rPr>
              <w:t>Continue all other rules and record-completeness checks.</w:t>
            </w:r>
          </w:p>
        </w:tc>
        <w:tc>
          <w:tcPr>
            <w:tcW w:type="dxa" w:w="4248"/>
            <w:vAlign w:val="center"/>
            <w:tcMar>
              <w:top w:w="70" w:type="dxa"/>
              <w:bottom w:w="70" w:type="dxa"/>
              <w:start w:w="80" w:type="dxa"/>
              <w:end w:w="80" w:type="dxa"/>
            </w:tcMar>
            <w:shd w:fill="EDF4FA"/>
          </w:tcPr>
          <w:p>
            <w:pPr>
              <w:pStyle w:val="TableText"/>
            </w:pPr>
            <w:r/>
            <w:r>
              <w:rPr>
                <w:b w:val="0"/>
              </w:rPr>
              <w:t>Assuming absence without appropriate antenatal testing.</w:t>
            </w:r>
          </w:p>
        </w:tc>
      </w:tr>
      <w:tr>
        <w:tc>
          <w:tcPr>
            <w:tcW w:type="dxa" w:w="2088"/>
            <w:vAlign w:val="center"/>
            <w:tcMar>
              <w:top w:w="70" w:type="dxa"/>
              <w:bottom w:w="70" w:type="dxa"/>
              <w:start w:w="80" w:type="dxa"/>
              <w:end w:w="80" w:type="dxa"/>
            </w:tcMar>
          </w:tcPr>
          <w:p>
            <w:pPr>
              <w:pStyle w:val="TableText"/>
            </w:pPr>
            <w:r/>
            <w:r>
              <w:rPr>
                <w:b w:val="0"/>
              </w:rPr>
              <w:t>Unknown/missing</w:t>
            </w:r>
          </w:p>
        </w:tc>
        <w:tc>
          <w:tcPr>
            <w:tcW w:type="dxa" w:w="4968"/>
            <w:vAlign w:val="center"/>
            <w:tcMar>
              <w:top w:w="70" w:type="dxa"/>
              <w:bottom w:w="70" w:type="dxa"/>
              <w:start w:w="80" w:type="dxa"/>
              <w:end w:w="80" w:type="dxa"/>
            </w:tcMar>
          </w:tcPr>
          <w:p>
            <w:pPr>
              <w:pStyle w:val="TableText"/>
            </w:pPr>
            <w:r/>
            <w:r>
              <w:rPr>
                <w:b w:val="0"/>
              </w:rPr>
              <w:t>Mark incomplete and request clarification or appropriate testing through the healthcare team.</w:t>
            </w:r>
          </w:p>
        </w:tc>
        <w:tc>
          <w:tcPr>
            <w:tcW w:type="dxa" w:w="4248"/>
            <w:vAlign w:val="center"/>
            <w:tcMar>
              <w:top w:w="70" w:type="dxa"/>
              <w:bottom w:w="70" w:type="dxa"/>
              <w:start w:w="80" w:type="dxa"/>
              <w:end w:w="80" w:type="dxa"/>
            </w:tcMar>
          </w:tcPr>
          <w:p>
            <w:pPr>
              <w:pStyle w:val="TableText"/>
            </w:pPr>
            <w:r/>
            <w:r>
              <w:rPr>
                <w:b w:val="0"/>
              </w:rPr>
              <w:t>Defaulting to No or LOW.</w:t>
            </w:r>
          </w:p>
        </w:tc>
      </w:tr>
      <w:tr>
        <w:tc>
          <w:tcPr>
            <w:tcW w:type="dxa" w:w="2088"/>
            <w:vAlign w:val="center"/>
            <w:tcMar>
              <w:top w:w="70" w:type="dxa"/>
              <w:bottom w:w="70" w:type="dxa"/>
              <w:start w:w="80" w:type="dxa"/>
              <w:end w:w="80" w:type="dxa"/>
            </w:tcMar>
            <w:shd w:fill="EDF4FA"/>
          </w:tcPr>
          <w:p>
            <w:pPr>
              <w:pStyle w:val="TableText"/>
            </w:pPr>
            <w:r/>
            <w:r>
              <w:rPr>
                <w:b w:val="0"/>
              </w:rPr>
              <w:t>Severe symptoms or suspected bleeding</w:t>
            </w:r>
          </w:p>
        </w:tc>
        <w:tc>
          <w:tcPr>
            <w:tcW w:type="dxa" w:w="4968"/>
            <w:vAlign w:val="center"/>
            <w:tcMar>
              <w:top w:w="70" w:type="dxa"/>
              <w:bottom w:w="70" w:type="dxa"/>
              <w:start w:w="80" w:type="dxa"/>
              <w:end w:w="80" w:type="dxa"/>
            </w:tcMar>
            <w:shd w:fill="EDF4FA"/>
          </w:tcPr>
          <w:p>
            <w:pPr>
              <w:pStyle w:val="TableText"/>
            </w:pPr>
            <w:r/>
            <w:r>
              <w:rPr>
                <w:b w:val="0"/>
              </w:rPr>
              <w:t>Display emergency escalation language and follow clinic protocol.</w:t>
            </w:r>
          </w:p>
        </w:tc>
        <w:tc>
          <w:tcPr>
            <w:tcW w:type="dxa" w:w="4248"/>
            <w:vAlign w:val="center"/>
            <w:tcMar>
              <w:top w:w="70" w:type="dxa"/>
              <w:bottom w:w="70" w:type="dxa"/>
              <w:start w:w="80" w:type="dxa"/>
              <w:end w:w="80" w:type="dxa"/>
            </w:tcMar>
            <w:shd w:fill="EDF4FA"/>
          </w:tcPr>
          <w:p>
            <w:pPr>
              <w:pStyle w:val="TableText"/>
            </w:pPr>
            <w:r/>
            <w:r>
              <w:rPr>
                <w:b w:val="0"/>
              </w:rPr>
              <w:t>Waiting for routine software reassessment before urgent care.</w:t>
            </w:r>
          </w:p>
        </w:tc>
      </w:tr>
      <w:tr>
        <w:tc>
          <w:tcPr>
            <w:tcW w:type="dxa" w:w="2088"/>
            <w:vAlign w:val="center"/>
            <w:tcMar>
              <w:top w:w="70" w:type="dxa"/>
              <w:bottom w:w="70" w:type="dxa"/>
              <w:start w:w="80" w:type="dxa"/>
              <w:end w:w="80" w:type="dxa"/>
            </w:tcMar>
          </w:tcPr>
          <w:p>
            <w:pPr>
              <w:pStyle w:val="TableText"/>
            </w:pPr>
            <w:r/>
            <w:r>
              <w:rPr>
                <w:b w:val="0"/>
              </w:rPr>
              <w:t>Referral refused</w:t>
            </w:r>
          </w:p>
        </w:tc>
        <w:tc>
          <w:tcPr>
            <w:tcW w:type="dxa" w:w="4968"/>
            <w:vAlign w:val="center"/>
            <w:tcMar>
              <w:top w:w="70" w:type="dxa"/>
              <w:bottom w:w="70" w:type="dxa"/>
              <w:start w:w="80" w:type="dxa"/>
              <w:end w:w="80" w:type="dxa"/>
            </w:tcMar>
          </w:tcPr>
          <w:p>
            <w:pPr>
              <w:pStyle w:val="TableText"/>
            </w:pPr>
            <w:r/>
            <w:r>
              <w:rPr>
                <w:b w:val="0"/>
              </w:rPr>
              <w:t>Document counseling, unresolved risk, refusal, and safety-net advice.</w:t>
            </w:r>
          </w:p>
        </w:tc>
        <w:tc>
          <w:tcPr>
            <w:tcW w:type="dxa" w:w="4248"/>
            <w:vAlign w:val="center"/>
            <w:tcMar>
              <w:top w:w="70" w:type="dxa"/>
              <w:bottom w:w="70" w:type="dxa"/>
              <w:start w:w="80" w:type="dxa"/>
              <w:end w:w="80" w:type="dxa"/>
            </w:tcMar>
          </w:tcPr>
          <w:p>
            <w:pPr>
              <w:pStyle w:val="TableText"/>
            </w:pPr>
            <w:r/>
            <w:r>
              <w:rPr>
                <w:b w:val="0"/>
              </w:rPr>
              <w:t>Removing HIGH or treating a waiver as clinical clearance.</w:t>
            </w:r>
          </w:p>
        </w:tc>
      </w:tr>
    </w:tbl>
    <w:p>
      <w:pPr>
        <w:spacing w:after="20"/>
      </w:pPr>
    </w:p>
    <w:p>
      <w:pPr>
        <w:pStyle w:val="Heading1"/>
      </w:pPr>
      <w:r>
        <w:t>12. Clinical Limitations and Failure Modes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tcMar>
              <w:top w:w="70" w:type="dxa"/>
              <w:bottom w:w="70" w:type="dxa"/>
              <w:start w:w="80" w:type="dxa"/>
              <w:end w:w="80" w:type="dxa"/>
            </w:tcMar>
            <w:shd w:fill="17365D"/>
          </w:tcPr>
          <w:p>
            <w:pPr>
              <w:pStyle w:val="TableHeader"/>
            </w:pPr>
            <w:r/>
            <w:r>
              <w:rPr>
                <w:b/>
                <w:color w:val="FFFFFF"/>
              </w:rPr>
              <w:t>Failure mode</w:t>
            </w:r>
          </w:p>
        </w:tc>
        <w:tc>
          <w:tcPr>
            <w:tcW w:type="dxa" w:w="3456"/>
            <w:vAlign w:val="center"/>
            <w:tcMar>
              <w:top w:w="70" w:type="dxa"/>
              <w:bottom w:w="70" w:type="dxa"/>
              <w:start w:w="80" w:type="dxa"/>
              <w:end w:w="80" w:type="dxa"/>
            </w:tcMar>
            <w:shd w:fill="17365D"/>
          </w:tcPr>
          <w:p>
            <w:pPr>
              <w:pStyle w:val="TableHeader"/>
            </w:pPr>
            <w:r/>
            <w:r>
              <w:rPr>
                <w:b/>
                <w:color w:val="FFFFFF"/>
              </w:rPr>
              <w:t>Potential harm</w:t>
            </w:r>
          </w:p>
        </w:tc>
        <w:tc>
          <w:tcPr>
            <w:tcW w:type="dxa" w:w="4392"/>
            <w:vAlign w:val="center"/>
            <w:tcMar>
              <w:top w:w="70" w:type="dxa"/>
              <w:bottom w:w="70" w:type="dxa"/>
              <w:start w:w="80" w:type="dxa"/>
              <w:end w:w="80" w:type="dxa"/>
            </w:tcMar>
            <w:shd w:fill="17365D"/>
          </w:tcPr>
          <w:p>
            <w:pPr>
              <w:pStyle w:val="TableHeader"/>
            </w:pPr>
            <w:r/>
            <w:r>
              <w:rPr>
                <w:b/>
                <w:color w:val="FFFFFF"/>
              </w:rPr>
              <w:t>Control</w:t>
            </w:r>
          </w:p>
        </w:tc>
      </w:tr>
      <w:tr>
        <w:tc>
          <w:tcPr>
            <w:tcW w:type="dxa" w:w="2880"/>
            <w:vAlign w:val="center"/>
            <w:tcMar>
              <w:top w:w="70" w:type="dxa"/>
              <w:bottom w:w="70" w:type="dxa"/>
              <w:start w:w="80" w:type="dxa"/>
              <w:end w:w="80" w:type="dxa"/>
            </w:tcMar>
          </w:tcPr>
          <w:p>
            <w:pPr>
              <w:pStyle w:val="TableText"/>
            </w:pPr>
            <w:r/>
            <w:r>
              <w:rPr>
                <w:b w:val="0"/>
              </w:rPr>
              <w:t>Anemia entered as boolean only</w:t>
            </w:r>
          </w:p>
        </w:tc>
        <w:tc>
          <w:tcPr>
            <w:tcW w:type="dxa" w:w="3456"/>
            <w:vAlign w:val="center"/>
            <w:tcMar>
              <w:top w:w="70" w:type="dxa"/>
              <w:bottom w:w="70" w:type="dxa"/>
              <w:start w:w="80" w:type="dxa"/>
              <w:end w:w="80" w:type="dxa"/>
            </w:tcMar>
          </w:tcPr>
          <w:p>
            <w:pPr>
              <w:pStyle w:val="TableText"/>
            </w:pPr>
            <w:r/>
            <w:r>
              <w:rPr>
                <w:b w:val="0"/>
              </w:rPr>
              <w:t>Severity and cause are hidden.</w:t>
            </w:r>
          </w:p>
        </w:tc>
        <w:tc>
          <w:tcPr>
            <w:tcW w:type="dxa" w:w="4392"/>
            <w:vAlign w:val="center"/>
            <w:tcMar>
              <w:top w:w="70" w:type="dxa"/>
              <w:bottom w:w="70" w:type="dxa"/>
              <w:start w:w="80" w:type="dxa"/>
              <w:end w:w="80" w:type="dxa"/>
            </w:tcMar>
          </w:tcPr>
          <w:p>
            <w:pPr>
              <w:pStyle w:val="TableText"/>
            </w:pPr>
            <w:r/>
            <w:r>
              <w:rPr>
                <w:b w:val="0"/>
              </w:rPr>
              <w:t>Use HIGH as broad safety signal; avoid treatment claims.</w:t>
            </w:r>
          </w:p>
        </w:tc>
      </w:tr>
      <w:tr>
        <w:tc>
          <w:tcPr>
            <w:tcW w:type="dxa" w:w="2880"/>
            <w:vAlign w:val="center"/>
            <w:tcMar>
              <w:top w:w="70" w:type="dxa"/>
              <w:bottom w:w="70" w:type="dxa"/>
              <w:start w:w="80" w:type="dxa"/>
              <w:end w:w="80" w:type="dxa"/>
            </w:tcMar>
            <w:shd w:fill="EDF4FA"/>
          </w:tcPr>
          <w:p>
            <w:pPr>
              <w:pStyle w:val="TableText"/>
            </w:pPr>
            <w:r/>
            <w:r>
              <w:rPr>
                <w:b w:val="0"/>
              </w:rPr>
              <w:t>Pallor used as diagnosis</w:t>
            </w:r>
          </w:p>
        </w:tc>
        <w:tc>
          <w:tcPr>
            <w:tcW w:type="dxa" w:w="3456"/>
            <w:vAlign w:val="center"/>
            <w:tcMar>
              <w:top w:w="70" w:type="dxa"/>
              <w:bottom w:w="70" w:type="dxa"/>
              <w:start w:w="80" w:type="dxa"/>
              <w:end w:w="80" w:type="dxa"/>
            </w:tcMar>
            <w:shd w:fill="EDF4FA"/>
          </w:tcPr>
          <w:p>
            <w:pPr>
              <w:pStyle w:val="TableText"/>
            </w:pPr>
            <w:r/>
            <w:r>
              <w:rPr>
                <w:b w:val="0"/>
              </w:rPr>
              <w:t>False positive or missed serious cause.</w:t>
            </w:r>
          </w:p>
        </w:tc>
        <w:tc>
          <w:tcPr>
            <w:tcW w:type="dxa" w:w="4392"/>
            <w:vAlign w:val="center"/>
            <w:tcMar>
              <w:top w:w="70" w:type="dxa"/>
              <w:bottom w:w="70" w:type="dxa"/>
              <w:start w:w="80" w:type="dxa"/>
              <w:end w:w="80" w:type="dxa"/>
            </w:tcMar>
            <w:shd w:fill="EDF4FA"/>
          </w:tcPr>
          <w:p>
            <w:pPr>
              <w:pStyle w:val="TableText"/>
            </w:pPr>
            <w:r/>
            <w:r>
              <w:rPr>
                <w:b w:val="0"/>
              </w:rPr>
              <w:t>Require laboratory confirmation by healthcare team.</w:t>
            </w:r>
          </w:p>
        </w:tc>
      </w:tr>
      <w:tr>
        <w:tc>
          <w:tcPr>
            <w:tcW w:type="dxa" w:w="2880"/>
            <w:vAlign w:val="center"/>
            <w:tcMar>
              <w:top w:w="70" w:type="dxa"/>
              <w:bottom w:w="70" w:type="dxa"/>
              <w:start w:w="80" w:type="dxa"/>
              <w:end w:w="80" w:type="dxa"/>
            </w:tcMar>
          </w:tcPr>
          <w:p>
            <w:pPr>
              <w:pStyle w:val="TableText"/>
            </w:pPr>
            <w:r/>
            <w:r>
              <w:rPr>
                <w:b w:val="0"/>
              </w:rPr>
              <w:t>Blank stored as No</w:t>
            </w:r>
          </w:p>
        </w:tc>
        <w:tc>
          <w:tcPr>
            <w:tcW w:type="dxa" w:w="3456"/>
            <w:vAlign w:val="center"/>
            <w:tcMar>
              <w:top w:w="70" w:type="dxa"/>
              <w:bottom w:w="70" w:type="dxa"/>
              <w:start w:w="80" w:type="dxa"/>
              <w:end w:w="80" w:type="dxa"/>
            </w:tcMar>
          </w:tcPr>
          <w:p>
            <w:pPr>
              <w:pStyle w:val="TableText"/>
            </w:pPr>
            <w:r/>
            <w:r>
              <w:rPr>
                <w:b w:val="0"/>
              </w:rPr>
              <w:t>False LOW result.</w:t>
            </w:r>
          </w:p>
        </w:tc>
        <w:tc>
          <w:tcPr>
            <w:tcW w:type="dxa" w:w="4392"/>
            <w:vAlign w:val="center"/>
            <w:tcMar>
              <w:top w:w="70" w:type="dxa"/>
              <w:bottom w:w="70" w:type="dxa"/>
              <w:start w:w="80" w:type="dxa"/>
              <w:end w:w="80" w:type="dxa"/>
            </w:tcMar>
          </w:tcPr>
          <w:p>
            <w:pPr>
              <w:pStyle w:val="TableText"/>
            </w:pPr>
            <w:r/>
            <w:r>
              <w:rPr>
                <w:b w:val="0"/>
              </w:rPr>
              <w:t>Use Unknown/Incomplete.</w:t>
            </w:r>
          </w:p>
        </w:tc>
      </w:tr>
      <w:tr>
        <w:tc>
          <w:tcPr>
            <w:tcW w:type="dxa" w:w="2880"/>
            <w:vAlign w:val="center"/>
            <w:tcMar>
              <w:top w:w="70" w:type="dxa"/>
              <w:bottom w:w="70" w:type="dxa"/>
              <w:start w:w="80" w:type="dxa"/>
              <w:end w:w="80" w:type="dxa"/>
            </w:tcMar>
            <w:shd w:fill="EDF4FA"/>
          </w:tcPr>
          <w:p>
            <w:pPr>
              <w:pStyle w:val="TableText"/>
            </w:pPr>
            <w:r/>
            <w:r>
              <w:rPr>
                <w:b w:val="0"/>
              </w:rPr>
              <w:t>Old laboratory result</w:t>
            </w:r>
          </w:p>
        </w:tc>
        <w:tc>
          <w:tcPr>
            <w:tcW w:type="dxa" w:w="3456"/>
            <w:vAlign w:val="center"/>
            <w:tcMar>
              <w:top w:w="70" w:type="dxa"/>
              <w:bottom w:w="70" w:type="dxa"/>
              <w:start w:w="80" w:type="dxa"/>
              <w:end w:w="80" w:type="dxa"/>
            </w:tcMar>
            <w:shd w:fill="EDF4FA"/>
          </w:tcPr>
          <w:p>
            <w:pPr>
              <w:pStyle w:val="TableText"/>
            </w:pPr>
            <w:r/>
            <w:r>
              <w:rPr>
                <w:b w:val="0"/>
              </w:rPr>
              <w:t>Current status may differ.</w:t>
            </w:r>
          </w:p>
        </w:tc>
        <w:tc>
          <w:tcPr>
            <w:tcW w:type="dxa" w:w="4392"/>
            <w:vAlign w:val="center"/>
            <w:tcMar>
              <w:top w:w="70" w:type="dxa"/>
              <w:bottom w:w="70" w:type="dxa"/>
              <w:start w:w="80" w:type="dxa"/>
              <w:end w:w="80" w:type="dxa"/>
            </w:tcMar>
            <w:shd w:fill="EDF4FA"/>
          </w:tcPr>
          <w:p>
            <w:pPr>
              <w:pStyle w:val="TableText"/>
            </w:pPr>
            <w:r/>
            <w:r>
              <w:rPr>
                <w:b w:val="0"/>
              </w:rPr>
              <w:t>Store date and repeat testing when clinically indicated.</w:t>
            </w:r>
          </w:p>
        </w:tc>
      </w:tr>
      <w:tr>
        <w:tc>
          <w:tcPr>
            <w:tcW w:type="dxa" w:w="2880"/>
            <w:vAlign w:val="center"/>
            <w:tcMar>
              <w:top w:w="70" w:type="dxa"/>
              <w:bottom w:w="70" w:type="dxa"/>
              <w:start w:w="80" w:type="dxa"/>
              <w:end w:w="80" w:type="dxa"/>
            </w:tcMar>
          </w:tcPr>
          <w:p>
            <w:pPr>
              <w:pStyle w:val="TableText"/>
            </w:pPr>
            <w:r/>
            <w:r>
              <w:rPr>
                <w:b w:val="0"/>
              </w:rPr>
              <w:t>Unit confusion g/L vs g/dL</w:t>
            </w:r>
          </w:p>
        </w:tc>
        <w:tc>
          <w:tcPr>
            <w:tcW w:type="dxa" w:w="3456"/>
            <w:vAlign w:val="center"/>
            <w:tcMar>
              <w:top w:w="70" w:type="dxa"/>
              <w:bottom w:w="70" w:type="dxa"/>
              <w:start w:w="80" w:type="dxa"/>
              <w:end w:w="80" w:type="dxa"/>
            </w:tcMar>
          </w:tcPr>
          <w:p>
            <w:pPr>
              <w:pStyle w:val="TableText"/>
            </w:pPr>
            <w:r/>
            <w:r>
              <w:rPr>
                <w:b w:val="0"/>
              </w:rPr>
              <w:t>Ten-fold interpretation error.</w:t>
            </w:r>
          </w:p>
        </w:tc>
        <w:tc>
          <w:tcPr>
            <w:tcW w:type="dxa" w:w="4392"/>
            <w:vAlign w:val="center"/>
            <w:tcMar>
              <w:top w:w="70" w:type="dxa"/>
              <w:bottom w:w="70" w:type="dxa"/>
              <w:start w:w="80" w:type="dxa"/>
              <w:end w:w="80" w:type="dxa"/>
            </w:tcMar>
          </w:tcPr>
          <w:p>
            <w:pPr>
              <w:pStyle w:val="TableText"/>
            </w:pPr>
            <w:r/>
            <w:r>
              <w:rPr>
                <w:b w:val="0"/>
              </w:rPr>
              <w:t>Store unit explicitly and validate conversions.</w:t>
            </w:r>
          </w:p>
        </w:tc>
      </w:tr>
      <w:tr>
        <w:tc>
          <w:tcPr>
            <w:tcW w:type="dxa" w:w="2880"/>
            <w:vAlign w:val="center"/>
            <w:tcMar>
              <w:top w:w="70" w:type="dxa"/>
              <w:bottom w:w="70" w:type="dxa"/>
              <w:start w:w="80" w:type="dxa"/>
              <w:end w:w="80" w:type="dxa"/>
            </w:tcMar>
            <w:shd w:fill="EDF4FA"/>
          </w:tcPr>
          <w:p>
            <w:pPr>
              <w:pStyle w:val="TableText"/>
            </w:pPr>
            <w:r/>
            <w:r>
              <w:rPr>
                <w:b w:val="0"/>
              </w:rPr>
              <w:t>Wrong trimester threshold</w:t>
            </w:r>
          </w:p>
        </w:tc>
        <w:tc>
          <w:tcPr>
            <w:tcW w:type="dxa" w:w="3456"/>
            <w:vAlign w:val="center"/>
            <w:tcMar>
              <w:top w:w="70" w:type="dxa"/>
              <w:bottom w:w="70" w:type="dxa"/>
              <w:start w:w="80" w:type="dxa"/>
              <w:end w:w="80" w:type="dxa"/>
            </w:tcMar>
            <w:shd w:fill="EDF4FA"/>
          </w:tcPr>
          <w:p>
            <w:pPr>
              <w:pStyle w:val="TableText"/>
            </w:pPr>
            <w:r/>
            <w:r>
              <w:rPr>
                <w:b w:val="0"/>
              </w:rPr>
              <w:t>Misclassification near cutoffs.</w:t>
            </w:r>
          </w:p>
        </w:tc>
        <w:tc>
          <w:tcPr>
            <w:tcW w:type="dxa" w:w="4392"/>
            <w:vAlign w:val="center"/>
            <w:tcMar>
              <w:top w:w="70" w:type="dxa"/>
              <w:bottom w:w="70" w:type="dxa"/>
              <w:start w:w="80" w:type="dxa"/>
              <w:end w:w="80" w:type="dxa"/>
            </w:tcMar>
            <w:shd w:fill="EDF4FA"/>
          </w:tcPr>
          <w:p>
            <w:pPr>
              <w:pStyle w:val="TableText"/>
            </w:pPr>
            <w:r/>
            <w:r>
              <w:rPr>
                <w:b w:val="0"/>
              </w:rPr>
              <w:t>Use gestational age and WHO 2024 trimester-specific rules in future logic.</w:t>
            </w:r>
          </w:p>
        </w:tc>
      </w:tr>
      <w:tr>
        <w:tc>
          <w:tcPr>
            <w:tcW w:type="dxa" w:w="2880"/>
            <w:vAlign w:val="center"/>
            <w:tcMar>
              <w:top w:w="70" w:type="dxa"/>
              <w:bottom w:w="70" w:type="dxa"/>
              <w:start w:w="80" w:type="dxa"/>
              <w:end w:w="80" w:type="dxa"/>
            </w:tcMar>
          </w:tcPr>
          <w:p>
            <w:pPr>
              <w:pStyle w:val="TableText"/>
            </w:pPr>
            <w:r/>
            <w:r>
              <w:rPr>
                <w:b w:val="0"/>
              </w:rPr>
              <w:t>Iron prescribed for all anemia</w:t>
            </w:r>
          </w:p>
        </w:tc>
        <w:tc>
          <w:tcPr>
            <w:tcW w:type="dxa" w:w="3456"/>
            <w:vAlign w:val="center"/>
            <w:tcMar>
              <w:top w:w="70" w:type="dxa"/>
              <w:bottom w:w="70" w:type="dxa"/>
              <w:start w:w="80" w:type="dxa"/>
              <w:end w:w="80" w:type="dxa"/>
            </w:tcMar>
          </w:tcPr>
          <w:p>
            <w:pPr>
              <w:pStyle w:val="TableText"/>
            </w:pPr>
            <w:r/>
            <w:r>
              <w:rPr>
                <w:b w:val="0"/>
              </w:rPr>
              <w:t>Non-iron causes may be missed or harmed.</w:t>
            </w:r>
          </w:p>
        </w:tc>
        <w:tc>
          <w:tcPr>
            <w:tcW w:type="dxa" w:w="4392"/>
            <w:vAlign w:val="center"/>
            <w:tcMar>
              <w:top w:w="70" w:type="dxa"/>
              <w:bottom w:w="70" w:type="dxa"/>
              <w:start w:w="80" w:type="dxa"/>
              <w:end w:w="80" w:type="dxa"/>
            </w:tcMar>
          </w:tcPr>
          <w:p>
            <w:pPr>
              <w:pStyle w:val="TableText"/>
            </w:pPr>
            <w:r/>
            <w:r>
              <w:rPr>
                <w:b w:val="0"/>
              </w:rPr>
              <w:t>No autonomous treatment recommendation.</w:t>
            </w:r>
          </w:p>
        </w:tc>
      </w:tr>
      <w:tr>
        <w:tc>
          <w:tcPr>
            <w:tcW w:type="dxa" w:w="2880"/>
            <w:vAlign w:val="center"/>
            <w:tcMar>
              <w:top w:w="70" w:type="dxa"/>
              <w:bottom w:w="70" w:type="dxa"/>
              <w:start w:w="80" w:type="dxa"/>
              <w:end w:w="80" w:type="dxa"/>
            </w:tcMar>
            <w:shd w:fill="EDF4FA"/>
          </w:tcPr>
          <w:p>
            <w:pPr>
              <w:pStyle w:val="TableText"/>
            </w:pPr>
            <w:r/>
            <w:r>
              <w:rPr>
                <w:b w:val="0"/>
              </w:rPr>
              <w:t>ML predicts LOW</w:t>
            </w:r>
          </w:p>
        </w:tc>
        <w:tc>
          <w:tcPr>
            <w:tcW w:type="dxa" w:w="3456"/>
            <w:vAlign w:val="center"/>
            <w:tcMar>
              <w:top w:w="70" w:type="dxa"/>
              <w:bottom w:w="70" w:type="dxa"/>
              <w:start w:w="80" w:type="dxa"/>
              <w:end w:w="80" w:type="dxa"/>
            </w:tcMar>
            <w:shd w:fill="EDF4FA"/>
          </w:tcPr>
          <w:p>
            <w:pPr>
              <w:pStyle w:val="TableText"/>
            </w:pPr>
            <w:r/>
            <w:r>
              <w:rPr>
                <w:b w:val="0"/>
              </w:rPr>
              <w:t>Known anemia may be masked.</w:t>
            </w:r>
          </w:p>
        </w:tc>
        <w:tc>
          <w:tcPr>
            <w:tcW w:type="dxa" w:w="4392"/>
            <w:vAlign w:val="center"/>
            <w:tcMar>
              <w:top w:w="70" w:type="dxa"/>
              <w:bottom w:w="70" w:type="dxa"/>
              <w:start w:w="80" w:type="dxa"/>
              <w:end w:w="80" w:type="dxa"/>
            </w:tcMar>
            <w:shd w:fill="EDF4FA"/>
          </w:tcPr>
          <w:p>
            <w:pPr>
              <w:pStyle w:val="TableText"/>
            </w:pPr>
            <w:r/>
            <w:r>
              <w:rPr>
                <w:b w:val="0"/>
              </w:rPr>
              <w:t>Deterministic override has precedence.</w:t>
            </w:r>
          </w:p>
        </w:tc>
      </w:tr>
      <w:tr>
        <w:tc>
          <w:tcPr>
            <w:tcW w:type="dxa" w:w="2880"/>
            <w:vAlign w:val="center"/>
            <w:tcMar>
              <w:top w:w="70" w:type="dxa"/>
              <w:bottom w:w="70" w:type="dxa"/>
              <w:start w:w="80" w:type="dxa"/>
              <w:end w:w="80" w:type="dxa"/>
            </w:tcMar>
          </w:tcPr>
          <w:p>
            <w:pPr>
              <w:pStyle w:val="TableText"/>
            </w:pPr>
            <w:r/>
            <w:r>
              <w:rPr>
                <w:b w:val="0"/>
              </w:rPr>
              <w:t>Referral not completed</w:t>
            </w:r>
          </w:p>
        </w:tc>
        <w:tc>
          <w:tcPr>
            <w:tcW w:type="dxa" w:w="3456"/>
            <w:vAlign w:val="center"/>
            <w:tcMar>
              <w:top w:w="70" w:type="dxa"/>
              <w:bottom w:w="70" w:type="dxa"/>
              <w:start w:w="80" w:type="dxa"/>
              <w:end w:w="80" w:type="dxa"/>
            </w:tcMar>
          </w:tcPr>
          <w:p>
            <w:pPr>
              <w:pStyle w:val="TableText"/>
            </w:pPr>
            <w:r/>
            <w:r>
              <w:rPr>
                <w:b w:val="0"/>
              </w:rPr>
              <w:t>False reassurance.</w:t>
            </w:r>
          </w:p>
        </w:tc>
        <w:tc>
          <w:tcPr>
            <w:tcW w:type="dxa" w:w="4392"/>
            <w:vAlign w:val="center"/>
            <w:tcMar>
              <w:top w:w="70" w:type="dxa"/>
              <w:bottom w:w="70" w:type="dxa"/>
              <w:start w:w="80" w:type="dxa"/>
              <w:end w:w="80" w:type="dxa"/>
            </w:tcMar>
          </w:tcPr>
          <w:p>
            <w:pPr>
              <w:pStyle w:val="TableText"/>
            </w:pPr>
            <w:r/>
            <w:r>
              <w:rPr>
                <w:b w:val="0"/>
              </w:rPr>
              <w:t>Track pending/completed/declined status.</w:t>
            </w:r>
          </w:p>
        </w:tc>
      </w:tr>
      <w:tr>
        <w:tc>
          <w:tcPr>
            <w:tcW w:type="dxa" w:w="2880"/>
            <w:vAlign w:val="center"/>
            <w:tcMar>
              <w:top w:w="70" w:type="dxa"/>
              <w:bottom w:w="70" w:type="dxa"/>
              <w:start w:w="80" w:type="dxa"/>
              <w:end w:w="80" w:type="dxa"/>
            </w:tcMar>
            <w:shd w:fill="EDF4FA"/>
          </w:tcPr>
          <w:p>
            <w:pPr>
              <w:pStyle w:val="TableText"/>
            </w:pPr>
            <w:r/>
            <w:r>
              <w:rPr>
                <w:b w:val="0"/>
              </w:rPr>
              <w:t>Patient refusal</w:t>
            </w:r>
          </w:p>
        </w:tc>
        <w:tc>
          <w:tcPr>
            <w:tcW w:type="dxa" w:w="3456"/>
            <w:vAlign w:val="center"/>
            <w:tcMar>
              <w:top w:w="70" w:type="dxa"/>
              <w:bottom w:w="70" w:type="dxa"/>
              <w:start w:w="80" w:type="dxa"/>
              <w:end w:w="80" w:type="dxa"/>
            </w:tcMar>
            <w:shd w:fill="EDF4FA"/>
          </w:tcPr>
          <w:p>
            <w:pPr>
              <w:pStyle w:val="TableText"/>
            </w:pPr>
            <w:r/>
            <w:r>
              <w:rPr>
                <w:b w:val="0"/>
              </w:rPr>
              <w:t>Care may be delayed.</w:t>
            </w:r>
          </w:p>
        </w:tc>
        <w:tc>
          <w:tcPr>
            <w:tcW w:type="dxa" w:w="4392"/>
            <w:vAlign w:val="center"/>
            <w:tcMar>
              <w:top w:w="70" w:type="dxa"/>
              <w:bottom w:w="70" w:type="dxa"/>
              <w:start w:w="80" w:type="dxa"/>
              <w:end w:w="80" w:type="dxa"/>
            </w:tcMar>
            <w:shd w:fill="EDF4FA"/>
          </w:tcPr>
          <w:p>
            <w:pPr>
              <w:pStyle w:val="TableText"/>
            </w:pPr>
            <w:r/>
            <w:r>
              <w:rPr>
                <w:b w:val="0"/>
              </w:rPr>
              <w:t>Maintain HIGH; document counseling and escalation advice.</w:t>
            </w:r>
          </w:p>
        </w:tc>
      </w:tr>
    </w:tbl>
    <w:p>
      <w:pPr>
        <w:spacing w:after="20"/>
      </w:pPr>
    </w:p>
    <w:p>
      <w:pPr>
        <w:pStyle w:val="Heading1"/>
      </w:pPr>
      <w:r>
        <w:t>13. Validation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37"/>
            <w:vAlign w:val="center"/>
            <w:tcMar>
              <w:top w:w="70" w:type="dxa"/>
              <w:bottom w:w="70" w:type="dxa"/>
              <w:start w:w="80" w:type="dxa"/>
              <w:end w:w="80" w:type="dxa"/>
            </w:tcMar>
            <w:shd w:fill="17365D"/>
          </w:tcPr>
          <w:p>
            <w:pPr>
              <w:pStyle w:val="TableHeader"/>
            </w:pPr>
            <w:r/>
            <w:r>
              <w:rPr>
                <w:b/>
                <w:color w:val="FFFFFF"/>
              </w:rPr>
              <w:t>Test ID</w:t>
            </w:r>
          </w:p>
        </w:tc>
        <w:tc>
          <w:tcPr>
            <w:tcW w:type="dxa" w:w="3672"/>
            <w:vAlign w:val="center"/>
            <w:tcMar>
              <w:top w:w="70" w:type="dxa"/>
              <w:bottom w:w="70" w:type="dxa"/>
              <w:start w:w="80" w:type="dxa"/>
              <w:end w:w="80" w:type="dxa"/>
            </w:tcMar>
            <w:shd w:fill="17365D"/>
          </w:tcPr>
          <w:p>
            <w:pPr>
              <w:pStyle w:val="TableHeader"/>
            </w:pPr>
            <w:r/>
            <w:r>
              <w:rPr>
                <w:b/>
                <w:color w:val="FFFFFF"/>
              </w:rPr>
              <w:t>Scenario</w:t>
            </w:r>
          </w:p>
        </w:tc>
        <w:tc>
          <w:tcPr>
            <w:tcW w:type="dxa" w:w="2160"/>
            <w:vAlign w:val="center"/>
            <w:tcMar>
              <w:top w:w="70" w:type="dxa"/>
              <w:bottom w:w="70" w:type="dxa"/>
              <w:start w:w="80" w:type="dxa"/>
              <w:end w:w="80" w:type="dxa"/>
            </w:tcMar>
            <w:shd w:fill="17365D"/>
          </w:tcPr>
          <w:p>
            <w:pPr>
              <w:pStyle w:val="TableHeader"/>
            </w:pPr>
            <w:r/>
            <w:r>
              <w:rPr>
                <w:b/>
                <w:color w:val="FFFFFF"/>
              </w:rPr>
              <w:t>Expected output</w:t>
            </w:r>
          </w:p>
        </w:tc>
        <w:tc>
          <w:tcPr>
            <w:tcW w:type="dxa" w:w="3888"/>
            <w:vAlign w:val="center"/>
            <w:tcMar>
              <w:top w:w="70" w:type="dxa"/>
              <w:bottom w:w="70" w:type="dxa"/>
              <w:start w:w="80" w:type="dxa"/>
              <w:end w:w="80" w:type="dxa"/>
            </w:tcMar>
            <w:shd w:fill="17365D"/>
          </w:tcPr>
          <w:p>
            <w:pPr>
              <w:pStyle w:val="TableHeader"/>
            </w:pPr>
            <w:r/>
            <w:r>
              <w:rPr>
                <w:b/>
                <w:color w:val="FFFFFF"/>
              </w:rPr>
              <w:t>Control/explanation</w:t>
            </w:r>
          </w:p>
        </w:tc>
      </w:tr>
      <w:tr>
        <w:tc>
          <w:tcPr>
            <w:tcW w:type="dxa" w:w="1037"/>
            <w:vAlign w:val="center"/>
            <w:tcMar>
              <w:top w:w="70" w:type="dxa"/>
              <w:bottom w:w="70" w:type="dxa"/>
              <w:start w:w="80" w:type="dxa"/>
              <w:end w:w="80" w:type="dxa"/>
            </w:tcMar>
          </w:tcPr>
          <w:p>
            <w:pPr>
              <w:pStyle w:val="TableText"/>
            </w:pPr>
            <w:r/>
            <w:r>
              <w:rPr>
                <w:b w:val="0"/>
              </w:rPr>
              <w:t>AN-T01</w:t>
            </w:r>
          </w:p>
        </w:tc>
        <w:tc>
          <w:tcPr>
            <w:tcW w:type="dxa" w:w="3672"/>
            <w:vAlign w:val="center"/>
            <w:tcMar>
              <w:top w:w="70" w:type="dxa"/>
              <w:bottom w:w="70" w:type="dxa"/>
              <w:start w:w="80" w:type="dxa"/>
              <w:end w:w="80" w:type="dxa"/>
            </w:tcMar>
          </w:tcPr>
          <w:p>
            <w:pPr>
              <w:pStyle w:val="TableText"/>
            </w:pPr>
            <w:r/>
            <w:r>
              <w:rPr>
                <w:b w:val="0"/>
              </w:rPr>
              <w:t>Anemia = Yes; ML = LOW; records complete.</w:t>
            </w:r>
          </w:p>
        </w:tc>
        <w:tc>
          <w:tcPr>
            <w:tcW w:type="dxa" w:w="2160"/>
            <w:vAlign w:val="center"/>
            <w:tcMar>
              <w:top w:w="70" w:type="dxa"/>
              <w:bottom w:w="70" w:type="dxa"/>
              <w:start w:w="80" w:type="dxa"/>
              <w:end w:w="80" w:type="dxa"/>
            </w:tcMar>
          </w:tcPr>
          <w:p>
            <w:pPr>
              <w:pStyle w:val="TableText"/>
            </w:pPr>
            <w:r/>
            <w:r>
              <w:rPr>
                <w:b w:val="0"/>
              </w:rPr>
              <w:t>HIGH</w:t>
            </w:r>
          </w:p>
        </w:tc>
        <w:tc>
          <w:tcPr>
            <w:tcW w:type="dxa" w:w="3888"/>
            <w:vAlign w:val="center"/>
            <w:tcMar>
              <w:top w:w="70" w:type="dxa"/>
              <w:bottom w:w="70" w:type="dxa"/>
              <w:start w:w="80" w:type="dxa"/>
              <w:end w:w="80" w:type="dxa"/>
            </w:tcMar>
          </w:tcPr>
          <w:p>
            <w:pPr>
              <w:pStyle w:val="TableText"/>
            </w:pPr>
            <w:r/>
            <w:r>
              <w:rPr>
                <w:b w:val="0"/>
              </w:rPr>
              <w:t>AN-01 shown.</w:t>
            </w:r>
          </w:p>
        </w:tc>
      </w:tr>
      <w:tr>
        <w:tc>
          <w:tcPr>
            <w:tcW w:type="dxa" w:w="1037"/>
            <w:vAlign w:val="center"/>
            <w:tcMar>
              <w:top w:w="70" w:type="dxa"/>
              <w:bottom w:w="70" w:type="dxa"/>
              <w:start w:w="80" w:type="dxa"/>
              <w:end w:w="80" w:type="dxa"/>
            </w:tcMar>
            <w:shd w:fill="EDF4FA"/>
          </w:tcPr>
          <w:p>
            <w:pPr>
              <w:pStyle w:val="TableText"/>
            </w:pPr>
            <w:r/>
            <w:r>
              <w:rPr>
                <w:b w:val="0"/>
              </w:rPr>
              <w:t>AN-T02</w:t>
            </w:r>
          </w:p>
        </w:tc>
        <w:tc>
          <w:tcPr>
            <w:tcW w:type="dxa" w:w="3672"/>
            <w:vAlign w:val="center"/>
            <w:tcMar>
              <w:top w:w="70" w:type="dxa"/>
              <w:bottom w:w="70" w:type="dxa"/>
              <w:start w:w="80" w:type="dxa"/>
              <w:end w:w="80" w:type="dxa"/>
            </w:tcMar>
            <w:shd w:fill="EDF4FA"/>
          </w:tcPr>
          <w:p>
            <w:pPr>
              <w:pStyle w:val="TableText"/>
            </w:pPr>
            <w:r/>
            <w:r>
              <w:rPr>
                <w:b w:val="0"/>
              </w:rPr>
              <w:t>Anemia = Yes; ML = HIGH.</w:t>
            </w:r>
          </w:p>
        </w:tc>
        <w:tc>
          <w:tcPr>
            <w:tcW w:type="dxa" w:w="2160"/>
            <w:vAlign w:val="center"/>
            <w:tcMar>
              <w:top w:w="70" w:type="dxa"/>
              <w:bottom w:w="70" w:type="dxa"/>
              <w:start w:w="80" w:type="dxa"/>
              <w:end w:w="80" w:type="dxa"/>
            </w:tcMar>
            <w:shd w:fill="EDF4FA"/>
          </w:tcPr>
          <w:p>
            <w:pPr>
              <w:pStyle w:val="TableText"/>
            </w:pPr>
            <w:r/>
            <w:r>
              <w:rPr>
                <w:b w:val="0"/>
              </w:rPr>
              <w:t>HIGH</w:t>
            </w:r>
          </w:p>
        </w:tc>
        <w:tc>
          <w:tcPr>
            <w:tcW w:type="dxa" w:w="3888"/>
            <w:vAlign w:val="center"/>
            <w:tcMar>
              <w:top w:w="70" w:type="dxa"/>
              <w:bottom w:w="70" w:type="dxa"/>
              <w:start w:w="80" w:type="dxa"/>
              <w:end w:w="80" w:type="dxa"/>
            </w:tcMar>
            <w:shd w:fill="EDF4FA"/>
          </w:tcPr>
          <w:p>
            <w:pPr>
              <w:pStyle w:val="TableText"/>
            </w:pPr>
            <w:r/>
            <w:r>
              <w:rPr>
                <w:b w:val="0"/>
              </w:rPr>
              <w:t>No duplicate or exaggerated reasons.</w:t>
            </w:r>
          </w:p>
        </w:tc>
      </w:tr>
      <w:tr>
        <w:tc>
          <w:tcPr>
            <w:tcW w:type="dxa" w:w="1037"/>
            <w:vAlign w:val="center"/>
            <w:tcMar>
              <w:top w:w="70" w:type="dxa"/>
              <w:bottom w:w="70" w:type="dxa"/>
              <w:start w:w="80" w:type="dxa"/>
              <w:end w:w="80" w:type="dxa"/>
            </w:tcMar>
          </w:tcPr>
          <w:p>
            <w:pPr>
              <w:pStyle w:val="TableText"/>
            </w:pPr>
            <w:r/>
            <w:r>
              <w:rPr>
                <w:b w:val="0"/>
              </w:rPr>
              <w:t>AN-T03</w:t>
            </w:r>
          </w:p>
        </w:tc>
        <w:tc>
          <w:tcPr>
            <w:tcW w:type="dxa" w:w="3672"/>
            <w:vAlign w:val="center"/>
            <w:tcMar>
              <w:top w:w="70" w:type="dxa"/>
              <w:bottom w:w="70" w:type="dxa"/>
              <w:start w:w="80" w:type="dxa"/>
              <w:end w:w="80" w:type="dxa"/>
            </w:tcMar>
          </w:tcPr>
          <w:p>
            <w:pPr>
              <w:pStyle w:val="TableText"/>
            </w:pPr>
            <w:r/>
            <w:r>
              <w:rPr>
                <w:b w:val="0"/>
              </w:rPr>
              <w:t>Anemia = Yes; ML unavailable.</w:t>
            </w:r>
          </w:p>
        </w:tc>
        <w:tc>
          <w:tcPr>
            <w:tcW w:type="dxa" w:w="2160"/>
            <w:vAlign w:val="center"/>
            <w:tcMar>
              <w:top w:w="70" w:type="dxa"/>
              <w:bottom w:w="70" w:type="dxa"/>
              <w:start w:w="80" w:type="dxa"/>
              <w:end w:w="80" w:type="dxa"/>
            </w:tcMar>
          </w:tcPr>
          <w:p>
            <w:pPr>
              <w:pStyle w:val="TableText"/>
            </w:pPr>
            <w:r/>
            <w:r>
              <w:rPr>
                <w:b w:val="0"/>
              </w:rPr>
              <w:t>HIGH</w:t>
            </w:r>
          </w:p>
        </w:tc>
        <w:tc>
          <w:tcPr>
            <w:tcW w:type="dxa" w:w="3888"/>
            <w:vAlign w:val="center"/>
            <w:tcMar>
              <w:top w:w="70" w:type="dxa"/>
              <w:bottom w:w="70" w:type="dxa"/>
              <w:start w:w="80" w:type="dxa"/>
              <w:end w:w="80" w:type="dxa"/>
            </w:tcMar>
          </w:tcPr>
          <w:p>
            <w:pPr>
              <w:pStyle w:val="TableText"/>
            </w:pPr>
            <w:r/>
            <w:r>
              <w:rPr>
                <w:b w:val="0"/>
              </w:rPr>
              <w:t>Rule remains; ML failure logged.</w:t>
            </w:r>
          </w:p>
        </w:tc>
      </w:tr>
      <w:tr>
        <w:tc>
          <w:tcPr>
            <w:tcW w:type="dxa" w:w="1037"/>
            <w:vAlign w:val="center"/>
            <w:tcMar>
              <w:top w:w="70" w:type="dxa"/>
              <w:bottom w:w="70" w:type="dxa"/>
              <w:start w:w="80" w:type="dxa"/>
              <w:end w:w="80" w:type="dxa"/>
            </w:tcMar>
            <w:shd w:fill="EDF4FA"/>
          </w:tcPr>
          <w:p>
            <w:pPr>
              <w:pStyle w:val="TableText"/>
            </w:pPr>
            <w:r/>
            <w:r>
              <w:rPr>
                <w:b w:val="0"/>
              </w:rPr>
              <w:t>AN-T04</w:t>
            </w:r>
          </w:p>
        </w:tc>
        <w:tc>
          <w:tcPr>
            <w:tcW w:type="dxa" w:w="3672"/>
            <w:vAlign w:val="center"/>
            <w:tcMar>
              <w:top w:w="70" w:type="dxa"/>
              <w:bottom w:w="70" w:type="dxa"/>
              <w:start w:w="80" w:type="dxa"/>
              <w:end w:w="80" w:type="dxa"/>
            </w:tcMar>
            <w:shd w:fill="EDF4FA"/>
          </w:tcPr>
          <w:p>
            <w:pPr>
              <w:pStyle w:val="TableText"/>
            </w:pPr>
            <w:r/>
            <w:r>
              <w:rPr>
                <w:b w:val="0"/>
              </w:rPr>
              <w:t>Anemia = No; ML = LOW; no other factors.</w:t>
            </w:r>
          </w:p>
        </w:tc>
        <w:tc>
          <w:tcPr>
            <w:tcW w:type="dxa" w:w="2160"/>
            <w:vAlign w:val="center"/>
            <w:tcMar>
              <w:top w:w="70" w:type="dxa"/>
              <w:bottom w:w="70" w:type="dxa"/>
              <w:start w:w="80" w:type="dxa"/>
              <w:end w:w="80" w:type="dxa"/>
            </w:tcMar>
            <w:shd w:fill="EDF4FA"/>
          </w:tcPr>
          <w:p>
            <w:pPr>
              <w:pStyle w:val="TableText"/>
            </w:pPr>
            <w:r/>
            <w:r>
              <w:rPr>
                <w:b w:val="0"/>
              </w:rPr>
              <w:t>LOW</w:t>
            </w:r>
          </w:p>
        </w:tc>
        <w:tc>
          <w:tcPr>
            <w:tcW w:type="dxa" w:w="3888"/>
            <w:vAlign w:val="center"/>
            <w:tcMar>
              <w:top w:w="70" w:type="dxa"/>
              <w:bottom w:w="70" w:type="dxa"/>
              <w:start w:w="80" w:type="dxa"/>
              <w:end w:w="80" w:type="dxa"/>
            </w:tcMar>
            <w:shd w:fill="EDF4FA"/>
          </w:tcPr>
          <w:p>
            <w:pPr>
              <w:pStyle w:val="TableText"/>
            </w:pPr>
            <w:r/>
            <w:r>
              <w:rPr>
                <w:b w:val="0"/>
              </w:rPr>
              <w:t>Only if all records complete.</w:t>
            </w:r>
          </w:p>
        </w:tc>
      </w:tr>
      <w:tr>
        <w:tc>
          <w:tcPr>
            <w:tcW w:type="dxa" w:w="1037"/>
            <w:vAlign w:val="center"/>
            <w:tcMar>
              <w:top w:w="70" w:type="dxa"/>
              <w:bottom w:w="70" w:type="dxa"/>
              <w:start w:w="80" w:type="dxa"/>
              <w:end w:w="80" w:type="dxa"/>
            </w:tcMar>
          </w:tcPr>
          <w:p>
            <w:pPr>
              <w:pStyle w:val="TableText"/>
            </w:pPr>
            <w:r/>
            <w:r>
              <w:rPr>
                <w:b w:val="0"/>
              </w:rPr>
              <w:t>AN-T05</w:t>
            </w:r>
          </w:p>
        </w:tc>
        <w:tc>
          <w:tcPr>
            <w:tcW w:type="dxa" w:w="3672"/>
            <w:vAlign w:val="center"/>
            <w:tcMar>
              <w:top w:w="70" w:type="dxa"/>
              <w:bottom w:w="70" w:type="dxa"/>
              <w:start w:w="80" w:type="dxa"/>
              <w:end w:w="80" w:type="dxa"/>
            </w:tcMar>
          </w:tcPr>
          <w:p>
            <w:pPr>
              <w:pStyle w:val="TableText"/>
            </w:pPr>
            <w:r/>
            <w:r>
              <w:rPr>
                <w:b w:val="0"/>
              </w:rPr>
              <w:t>Anemia = No; BP = 140/90.</w:t>
            </w:r>
          </w:p>
        </w:tc>
        <w:tc>
          <w:tcPr>
            <w:tcW w:type="dxa" w:w="2160"/>
            <w:vAlign w:val="center"/>
            <w:tcMar>
              <w:top w:w="70" w:type="dxa"/>
              <w:bottom w:w="70" w:type="dxa"/>
              <w:start w:w="80" w:type="dxa"/>
              <w:end w:w="80" w:type="dxa"/>
            </w:tcMar>
          </w:tcPr>
          <w:p>
            <w:pPr>
              <w:pStyle w:val="TableText"/>
            </w:pPr>
            <w:r/>
            <w:r>
              <w:rPr>
                <w:b w:val="0"/>
              </w:rPr>
              <w:t>HIGH</w:t>
            </w:r>
          </w:p>
        </w:tc>
        <w:tc>
          <w:tcPr>
            <w:tcW w:type="dxa" w:w="3888"/>
            <w:vAlign w:val="center"/>
            <w:tcMar>
              <w:top w:w="70" w:type="dxa"/>
              <w:bottom w:w="70" w:type="dxa"/>
              <w:start w:w="80" w:type="dxa"/>
              <w:end w:w="80" w:type="dxa"/>
            </w:tcMar>
          </w:tcPr>
          <w:p>
            <w:pPr>
              <w:pStyle w:val="TableText"/>
            </w:pPr>
            <w:r/>
            <w:r>
              <w:rPr>
                <w:b w:val="0"/>
              </w:rPr>
              <w:t>Hypertension reason displayed.</w:t>
            </w:r>
          </w:p>
        </w:tc>
      </w:tr>
      <w:tr>
        <w:tc>
          <w:tcPr>
            <w:tcW w:type="dxa" w:w="1037"/>
            <w:vAlign w:val="center"/>
            <w:tcMar>
              <w:top w:w="70" w:type="dxa"/>
              <w:bottom w:w="70" w:type="dxa"/>
              <w:start w:w="80" w:type="dxa"/>
              <w:end w:w="80" w:type="dxa"/>
            </w:tcMar>
            <w:shd w:fill="EDF4FA"/>
          </w:tcPr>
          <w:p>
            <w:pPr>
              <w:pStyle w:val="TableText"/>
            </w:pPr>
            <w:r/>
            <w:r>
              <w:rPr>
                <w:b w:val="0"/>
              </w:rPr>
              <w:t>AN-T06</w:t>
            </w:r>
          </w:p>
        </w:tc>
        <w:tc>
          <w:tcPr>
            <w:tcW w:type="dxa" w:w="3672"/>
            <w:vAlign w:val="center"/>
            <w:tcMar>
              <w:top w:w="70" w:type="dxa"/>
              <w:bottom w:w="70" w:type="dxa"/>
              <w:start w:w="80" w:type="dxa"/>
              <w:end w:w="80" w:type="dxa"/>
            </w:tcMar>
            <w:shd w:fill="EDF4FA"/>
          </w:tcPr>
          <w:p>
            <w:pPr>
              <w:pStyle w:val="TableText"/>
            </w:pPr>
            <w:r/>
            <w:r>
              <w:rPr>
                <w:b w:val="0"/>
              </w:rPr>
              <w:t>Anemia blank.</w:t>
            </w:r>
          </w:p>
        </w:tc>
        <w:tc>
          <w:tcPr>
            <w:tcW w:type="dxa" w:w="2160"/>
            <w:vAlign w:val="center"/>
            <w:tcMar>
              <w:top w:w="70" w:type="dxa"/>
              <w:bottom w:w="70" w:type="dxa"/>
              <w:start w:w="80" w:type="dxa"/>
              <w:end w:w="80" w:type="dxa"/>
            </w:tcMar>
            <w:shd w:fill="EDF4FA"/>
          </w:tcPr>
          <w:p>
            <w:pPr>
              <w:pStyle w:val="TableText"/>
            </w:pPr>
            <w:r/>
            <w:r>
              <w:rPr>
                <w:b w:val="0"/>
              </w:rPr>
              <w:t>ASSESSMENT INCOMPLETE</w:t>
            </w:r>
          </w:p>
        </w:tc>
        <w:tc>
          <w:tcPr>
            <w:tcW w:type="dxa" w:w="3888"/>
            <w:vAlign w:val="center"/>
            <w:tcMar>
              <w:top w:w="70" w:type="dxa"/>
              <w:bottom w:w="70" w:type="dxa"/>
              <w:start w:w="80" w:type="dxa"/>
              <w:end w:w="80" w:type="dxa"/>
            </w:tcMar>
            <w:shd w:fill="EDF4FA"/>
          </w:tcPr>
          <w:p>
            <w:pPr>
              <w:pStyle w:val="TableText"/>
            </w:pPr>
            <w:r/>
            <w:r>
              <w:rPr>
                <w:b w:val="0"/>
              </w:rPr>
              <w:t>Do not default to No.</w:t>
            </w:r>
          </w:p>
        </w:tc>
      </w:tr>
      <w:tr>
        <w:tc>
          <w:tcPr>
            <w:tcW w:type="dxa" w:w="1037"/>
            <w:vAlign w:val="center"/>
            <w:tcMar>
              <w:top w:w="70" w:type="dxa"/>
              <w:bottom w:w="70" w:type="dxa"/>
              <w:start w:w="80" w:type="dxa"/>
              <w:end w:w="80" w:type="dxa"/>
            </w:tcMar>
          </w:tcPr>
          <w:p>
            <w:pPr>
              <w:pStyle w:val="TableText"/>
            </w:pPr>
            <w:r/>
            <w:r>
              <w:rPr>
                <w:b w:val="0"/>
              </w:rPr>
              <w:t>AN-T07</w:t>
            </w:r>
          </w:p>
        </w:tc>
        <w:tc>
          <w:tcPr>
            <w:tcW w:type="dxa" w:w="3672"/>
            <w:vAlign w:val="center"/>
            <w:tcMar>
              <w:top w:w="70" w:type="dxa"/>
              <w:bottom w:w="70" w:type="dxa"/>
              <w:start w:w="80" w:type="dxa"/>
              <w:end w:w="80" w:type="dxa"/>
            </w:tcMar>
          </w:tcPr>
          <w:p>
            <w:pPr>
              <w:pStyle w:val="TableText"/>
            </w:pPr>
            <w:r/>
            <w:r>
              <w:rPr>
                <w:b w:val="0"/>
              </w:rPr>
              <w:t>Medical history missing.</w:t>
            </w:r>
          </w:p>
        </w:tc>
        <w:tc>
          <w:tcPr>
            <w:tcW w:type="dxa" w:w="2160"/>
            <w:vAlign w:val="center"/>
            <w:tcMar>
              <w:top w:w="70" w:type="dxa"/>
              <w:bottom w:w="70" w:type="dxa"/>
              <w:start w:w="80" w:type="dxa"/>
              <w:end w:w="80" w:type="dxa"/>
            </w:tcMar>
          </w:tcPr>
          <w:p>
            <w:pPr>
              <w:pStyle w:val="TableText"/>
            </w:pPr>
            <w:r/>
            <w:r>
              <w:rPr>
                <w:b w:val="0"/>
              </w:rPr>
              <w:t>ASSESSMENT INCOMPLETE</w:t>
            </w:r>
          </w:p>
        </w:tc>
        <w:tc>
          <w:tcPr>
            <w:tcW w:type="dxa" w:w="3888"/>
            <w:vAlign w:val="center"/>
            <w:tcMar>
              <w:top w:w="70" w:type="dxa"/>
              <w:bottom w:w="70" w:type="dxa"/>
              <w:start w:w="80" w:type="dxa"/>
              <w:end w:w="80" w:type="dxa"/>
            </w:tcMar>
          </w:tcPr>
          <w:p>
            <w:pPr>
              <w:pStyle w:val="TableText"/>
            </w:pPr>
            <w:r/>
            <w:r>
              <w:rPr>
                <w:b w:val="0"/>
              </w:rPr>
              <w:t>Missing record identified.</w:t>
            </w:r>
          </w:p>
        </w:tc>
      </w:tr>
      <w:tr>
        <w:tc>
          <w:tcPr>
            <w:tcW w:type="dxa" w:w="1037"/>
            <w:vAlign w:val="center"/>
            <w:tcMar>
              <w:top w:w="70" w:type="dxa"/>
              <w:bottom w:w="70" w:type="dxa"/>
              <w:start w:w="80" w:type="dxa"/>
              <w:end w:w="80" w:type="dxa"/>
            </w:tcMar>
            <w:shd w:fill="EDF4FA"/>
          </w:tcPr>
          <w:p>
            <w:pPr>
              <w:pStyle w:val="TableText"/>
            </w:pPr>
            <w:r/>
            <w:r>
              <w:rPr>
                <w:b w:val="0"/>
              </w:rPr>
              <w:t>AN-T08</w:t>
            </w:r>
          </w:p>
        </w:tc>
        <w:tc>
          <w:tcPr>
            <w:tcW w:type="dxa" w:w="3672"/>
            <w:vAlign w:val="center"/>
            <w:tcMar>
              <w:top w:w="70" w:type="dxa"/>
              <w:bottom w:w="70" w:type="dxa"/>
              <w:start w:w="80" w:type="dxa"/>
              <w:end w:w="80" w:type="dxa"/>
            </w:tcMar>
            <w:shd w:fill="EDF4FA"/>
          </w:tcPr>
          <w:p>
            <w:pPr>
              <w:pStyle w:val="TableText"/>
            </w:pPr>
            <w:r/>
            <w:r>
              <w:rPr>
                <w:b w:val="0"/>
              </w:rPr>
              <w:t>Stored string '0'.</w:t>
            </w:r>
          </w:p>
        </w:tc>
        <w:tc>
          <w:tcPr>
            <w:tcW w:type="dxa" w:w="2160"/>
            <w:vAlign w:val="center"/>
            <w:tcMar>
              <w:top w:w="70" w:type="dxa"/>
              <w:bottom w:w="70" w:type="dxa"/>
              <w:start w:w="80" w:type="dxa"/>
              <w:end w:w="80" w:type="dxa"/>
            </w:tcMar>
            <w:shd w:fill="EDF4FA"/>
          </w:tcPr>
          <w:p>
            <w:pPr>
              <w:pStyle w:val="TableText"/>
            </w:pPr>
            <w:r/>
            <w:r>
              <w:rPr>
                <w:b w:val="0"/>
              </w:rPr>
              <w:t>No anemia override</w:t>
            </w:r>
          </w:p>
        </w:tc>
        <w:tc>
          <w:tcPr>
            <w:tcW w:type="dxa" w:w="3888"/>
            <w:vAlign w:val="center"/>
            <w:tcMar>
              <w:top w:w="70" w:type="dxa"/>
              <w:bottom w:w="70" w:type="dxa"/>
              <w:start w:w="80" w:type="dxa"/>
              <w:end w:w="80" w:type="dxa"/>
            </w:tcMar>
            <w:shd w:fill="EDF4FA"/>
          </w:tcPr>
          <w:p>
            <w:pPr>
              <w:pStyle w:val="TableText"/>
            </w:pPr>
            <w:r/>
            <w:r>
              <w:rPr>
                <w:b w:val="0"/>
              </w:rPr>
              <w:t>Strict false normalization.</w:t>
            </w:r>
          </w:p>
        </w:tc>
      </w:tr>
      <w:tr>
        <w:tc>
          <w:tcPr>
            <w:tcW w:type="dxa" w:w="1037"/>
            <w:vAlign w:val="center"/>
            <w:tcMar>
              <w:top w:w="70" w:type="dxa"/>
              <w:bottom w:w="70" w:type="dxa"/>
              <w:start w:w="80" w:type="dxa"/>
              <w:end w:w="80" w:type="dxa"/>
            </w:tcMar>
          </w:tcPr>
          <w:p>
            <w:pPr>
              <w:pStyle w:val="TableText"/>
            </w:pPr>
            <w:r/>
            <w:r>
              <w:rPr>
                <w:b w:val="0"/>
              </w:rPr>
              <w:t>AN-T09</w:t>
            </w:r>
          </w:p>
        </w:tc>
        <w:tc>
          <w:tcPr>
            <w:tcW w:type="dxa" w:w="3672"/>
            <w:vAlign w:val="center"/>
            <w:tcMar>
              <w:top w:w="70" w:type="dxa"/>
              <w:bottom w:w="70" w:type="dxa"/>
              <w:start w:w="80" w:type="dxa"/>
              <w:end w:w="80" w:type="dxa"/>
            </w:tcMar>
          </w:tcPr>
          <w:p>
            <w:pPr>
              <w:pStyle w:val="TableText"/>
            </w:pPr>
            <w:r/>
            <w:r>
              <w:rPr>
                <w:b w:val="0"/>
              </w:rPr>
              <w:t>Stored string '1'.</w:t>
            </w:r>
          </w:p>
        </w:tc>
        <w:tc>
          <w:tcPr>
            <w:tcW w:type="dxa" w:w="2160"/>
            <w:vAlign w:val="center"/>
            <w:tcMar>
              <w:top w:w="70" w:type="dxa"/>
              <w:bottom w:w="70" w:type="dxa"/>
              <w:start w:w="80" w:type="dxa"/>
              <w:end w:w="80" w:type="dxa"/>
            </w:tcMar>
          </w:tcPr>
          <w:p>
            <w:pPr>
              <w:pStyle w:val="TableText"/>
            </w:pPr>
            <w:r/>
            <w:r>
              <w:rPr>
                <w:b w:val="0"/>
              </w:rPr>
              <w:t>HIGH</w:t>
            </w:r>
          </w:p>
        </w:tc>
        <w:tc>
          <w:tcPr>
            <w:tcW w:type="dxa" w:w="3888"/>
            <w:vAlign w:val="center"/>
            <w:tcMar>
              <w:top w:w="70" w:type="dxa"/>
              <w:bottom w:w="70" w:type="dxa"/>
              <w:start w:w="80" w:type="dxa"/>
              <w:end w:w="80" w:type="dxa"/>
            </w:tcMar>
          </w:tcPr>
          <w:p>
            <w:pPr>
              <w:pStyle w:val="TableText"/>
            </w:pPr>
            <w:r/>
            <w:r>
              <w:rPr>
                <w:b w:val="0"/>
              </w:rPr>
              <w:t>Strict true normalization.</w:t>
            </w:r>
          </w:p>
        </w:tc>
      </w:tr>
      <w:tr>
        <w:tc>
          <w:tcPr>
            <w:tcW w:type="dxa" w:w="1037"/>
            <w:vAlign w:val="center"/>
            <w:tcMar>
              <w:top w:w="70" w:type="dxa"/>
              <w:bottom w:w="70" w:type="dxa"/>
              <w:start w:w="80" w:type="dxa"/>
              <w:end w:w="80" w:type="dxa"/>
            </w:tcMar>
            <w:shd w:fill="EDF4FA"/>
          </w:tcPr>
          <w:p>
            <w:pPr>
              <w:pStyle w:val="TableText"/>
            </w:pPr>
            <w:r/>
            <w:r>
              <w:rPr>
                <w:b w:val="0"/>
              </w:rPr>
              <w:t>AN-T10</w:t>
            </w:r>
          </w:p>
        </w:tc>
        <w:tc>
          <w:tcPr>
            <w:tcW w:type="dxa" w:w="3672"/>
            <w:vAlign w:val="center"/>
            <w:tcMar>
              <w:top w:w="70" w:type="dxa"/>
              <w:bottom w:w="70" w:type="dxa"/>
              <w:start w:w="80" w:type="dxa"/>
              <w:end w:w="80" w:type="dxa"/>
            </w:tcMar>
            <w:shd w:fill="EDF4FA"/>
          </w:tcPr>
          <w:p>
            <w:pPr>
              <w:pStyle w:val="TableText"/>
            </w:pPr>
            <w:r/>
            <w:r>
              <w:rPr>
                <w:b w:val="0"/>
              </w:rPr>
              <w:t>Anemia changed No to Yes.</w:t>
            </w:r>
          </w:p>
        </w:tc>
        <w:tc>
          <w:tcPr>
            <w:tcW w:type="dxa" w:w="2160"/>
            <w:vAlign w:val="center"/>
            <w:tcMar>
              <w:top w:w="70" w:type="dxa"/>
              <w:bottom w:w="70" w:type="dxa"/>
              <w:start w:w="80" w:type="dxa"/>
              <w:end w:w="80" w:type="dxa"/>
            </w:tcMar>
            <w:shd w:fill="EDF4FA"/>
          </w:tcPr>
          <w:p>
            <w:pPr>
              <w:pStyle w:val="TableText"/>
            </w:pPr>
            <w:r/>
            <w:r>
              <w:rPr>
                <w:b w:val="0"/>
              </w:rPr>
              <w:t>Recalculate HIGH</w:t>
            </w:r>
          </w:p>
        </w:tc>
        <w:tc>
          <w:tcPr>
            <w:tcW w:type="dxa" w:w="3888"/>
            <w:vAlign w:val="center"/>
            <w:tcMar>
              <w:top w:w="70" w:type="dxa"/>
              <w:bottom w:w="70" w:type="dxa"/>
              <w:start w:w="80" w:type="dxa"/>
              <w:end w:w="80" w:type="dxa"/>
            </w:tcMar>
            <w:shd w:fill="EDF4FA"/>
          </w:tcPr>
          <w:p>
            <w:pPr>
              <w:pStyle w:val="TableText"/>
            </w:pPr>
            <w:r/>
            <w:r>
              <w:rPr>
                <w:b w:val="0"/>
              </w:rPr>
              <w:t>Audit old/new value.</w:t>
            </w:r>
          </w:p>
        </w:tc>
      </w:tr>
      <w:tr>
        <w:tc>
          <w:tcPr>
            <w:tcW w:type="dxa" w:w="1037"/>
            <w:vAlign w:val="center"/>
            <w:tcMar>
              <w:top w:w="70" w:type="dxa"/>
              <w:bottom w:w="70" w:type="dxa"/>
              <w:start w:w="80" w:type="dxa"/>
              <w:end w:w="80" w:type="dxa"/>
            </w:tcMar>
          </w:tcPr>
          <w:p>
            <w:pPr>
              <w:pStyle w:val="TableText"/>
            </w:pPr>
            <w:r/>
            <w:r>
              <w:rPr>
                <w:b w:val="0"/>
              </w:rPr>
              <w:t>AN-T11</w:t>
            </w:r>
          </w:p>
        </w:tc>
        <w:tc>
          <w:tcPr>
            <w:tcW w:type="dxa" w:w="3672"/>
            <w:vAlign w:val="center"/>
            <w:tcMar>
              <w:top w:w="70" w:type="dxa"/>
              <w:bottom w:w="70" w:type="dxa"/>
              <w:start w:w="80" w:type="dxa"/>
              <w:end w:w="80" w:type="dxa"/>
            </w:tcMar>
          </w:tcPr>
          <w:p>
            <w:pPr>
              <w:pStyle w:val="TableText"/>
            </w:pPr>
            <w:r/>
            <w:r>
              <w:rPr>
                <w:b w:val="0"/>
              </w:rPr>
              <w:t>Anemia changed Yes to No.</w:t>
            </w:r>
          </w:p>
        </w:tc>
        <w:tc>
          <w:tcPr>
            <w:tcW w:type="dxa" w:w="2160"/>
            <w:vAlign w:val="center"/>
            <w:tcMar>
              <w:top w:w="70" w:type="dxa"/>
              <w:bottom w:w="70" w:type="dxa"/>
              <w:start w:w="80" w:type="dxa"/>
              <w:end w:w="80" w:type="dxa"/>
            </w:tcMar>
          </w:tcPr>
          <w:p>
            <w:pPr>
              <w:pStyle w:val="TableText"/>
            </w:pPr>
            <w:r/>
            <w:r>
              <w:rPr>
                <w:b w:val="0"/>
              </w:rPr>
              <w:t>Recalculate all logic</w:t>
            </w:r>
          </w:p>
        </w:tc>
        <w:tc>
          <w:tcPr>
            <w:tcW w:type="dxa" w:w="3888"/>
            <w:vAlign w:val="center"/>
            <w:tcMar>
              <w:top w:w="70" w:type="dxa"/>
              <w:bottom w:w="70" w:type="dxa"/>
              <w:start w:w="80" w:type="dxa"/>
              <w:end w:w="80" w:type="dxa"/>
            </w:tcMar>
          </w:tcPr>
          <w:p>
            <w:pPr>
              <w:pStyle w:val="TableText"/>
            </w:pPr>
            <w:r/>
            <w:r>
              <w:rPr>
                <w:b w:val="0"/>
              </w:rPr>
              <w:t>Do not automatically force LOW.</w:t>
            </w:r>
          </w:p>
        </w:tc>
      </w:tr>
      <w:tr>
        <w:tc>
          <w:tcPr>
            <w:tcW w:type="dxa" w:w="1037"/>
            <w:vAlign w:val="center"/>
            <w:tcMar>
              <w:top w:w="70" w:type="dxa"/>
              <w:bottom w:w="70" w:type="dxa"/>
              <w:start w:w="80" w:type="dxa"/>
              <w:end w:w="80" w:type="dxa"/>
            </w:tcMar>
            <w:shd w:fill="EDF4FA"/>
          </w:tcPr>
          <w:p>
            <w:pPr>
              <w:pStyle w:val="TableText"/>
            </w:pPr>
            <w:r/>
            <w:r>
              <w:rPr>
                <w:b w:val="0"/>
              </w:rPr>
              <w:t>AN-T12</w:t>
            </w:r>
          </w:p>
        </w:tc>
        <w:tc>
          <w:tcPr>
            <w:tcW w:type="dxa" w:w="3672"/>
            <w:vAlign w:val="center"/>
            <w:tcMar>
              <w:top w:w="70" w:type="dxa"/>
              <w:bottom w:w="70" w:type="dxa"/>
              <w:start w:w="80" w:type="dxa"/>
              <w:end w:w="80" w:type="dxa"/>
            </w:tcMar>
            <w:shd w:fill="EDF4FA"/>
          </w:tcPr>
          <w:p>
            <w:pPr>
              <w:pStyle w:val="TableText"/>
            </w:pPr>
            <w:r/>
            <w:r>
              <w:rPr>
                <w:b w:val="0"/>
              </w:rPr>
              <w:t>Hb 10.8 g/dL, first trimester, future lab module.</w:t>
            </w:r>
          </w:p>
        </w:tc>
        <w:tc>
          <w:tcPr>
            <w:tcW w:type="dxa" w:w="2160"/>
            <w:vAlign w:val="center"/>
            <w:tcMar>
              <w:top w:w="70" w:type="dxa"/>
              <w:bottom w:w="70" w:type="dxa"/>
              <w:start w:w="80" w:type="dxa"/>
              <w:end w:w="80" w:type="dxa"/>
            </w:tcMar>
            <w:shd w:fill="EDF4FA"/>
          </w:tcPr>
          <w:p>
            <w:pPr>
              <w:pStyle w:val="TableText"/>
            </w:pPr>
            <w:r/>
            <w:r>
              <w:rPr>
                <w:b w:val="0"/>
              </w:rPr>
              <w:t>Anemia</w:t>
            </w:r>
          </w:p>
        </w:tc>
        <w:tc>
          <w:tcPr>
            <w:tcW w:type="dxa" w:w="3888"/>
            <w:vAlign w:val="center"/>
            <w:tcMar>
              <w:top w:w="70" w:type="dxa"/>
              <w:bottom w:w="70" w:type="dxa"/>
              <w:start w:w="80" w:type="dxa"/>
              <w:end w:w="80" w:type="dxa"/>
            </w:tcMar>
            <w:shd w:fill="EDF4FA"/>
          </w:tcPr>
          <w:p>
            <w:pPr>
              <w:pStyle w:val="TableText"/>
            </w:pPr>
            <w:r/>
            <w:r>
              <w:rPr>
                <w:b w:val="0"/>
              </w:rPr>
              <w:t>Threshold &lt;11.0 applies.</w:t>
            </w:r>
          </w:p>
        </w:tc>
      </w:tr>
      <w:tr>
        <w:tc>
          <w:tcPr>
            <w:tcW w:type="dxa" w:w="1037"/>
            <w:vAlign w:val="center"/>
            <w:tcMar>
              <w:top w:w="70" w:type="dxa"/>
              <w:bottom w:w="70" w:type="dxa"/>
              <w:start w:w="80" w:type="dxa"/>
              <w:end w:w="80" w:type="dxa"/>
            </w:tcMar>
          </w:tcPr>
          <w:p>
            <w:pPr>
              <w:pStyle w:val="TableText"/>
            </w:pPr>
            <w:r/>
            <w:r>
              <w:rPr>
                <w:b w:val="0"/>
              </w:rPr>
              <w:t>AN-T13</w:t>
            </w:r>
          </w:p>
        </w:tc>
        <w:tc>
          <w:tcPr>
            <w:tcW w:type="dxa" w:w="3672"/>
            <w:vAlign w:val="center"/>
            <w:tcMar>
              <w:top w:w="70" w:type="dxa"/>
              <w:bottom w:w="70" w:type="dxa"/>
              <w:start w:w="80" w:type="dxa"/>
              <w:end w:w="80" w:type="dxa"/>
            </w:tcMar>
          </w:tcPr>
          <w:p>
            <w:pPr>
              <w:pStyle w:val="TableText"/>
            </w:pPr>
            <w:r/>
            <w:r>
              <w:rPr>
                <w:b w:val="0"/>
              </w:rPr>
              <w:t>Hb 10.8 g/dL, second trimester, future module.</w:t>
            </w:r>
          </w:p>
        </w:tc>
        <w:tc>
          <w:tcPr>
            <w:tcW w:type="dxa" w:w="2160"/>
            <w:vAlign w:val="center"/>
            <w:tcMar>
              <w:top w:w="70" w:type="dxa"/>
              <w:bottom w:w="70" w:type="dxa"/>
              <w:start w:w="80" w:type="dxa"/>
              <w:end w:w="80" w:type="dxa"/>
            </w:tcMar>
          </w:tcPr>
          <w:p>
            <w:pPr>
              <w:pStyle w:val="TableText"/>
            </w:pPr>
            <w:r/>
            <w:r>
              <w:rPr>
                <w:b w:val="0"/>
              </w:rPr>
              <w:t>Not anemia by WHO 2024 cutoff</w:t>
            </w:r>
          </w:p>
        </w:tc>
        <w:tc>
          <w:tcPr>
            <w:tcW w:type="dxa" w:w="3888"/>
            <w:vAlign w:val="center"/>
            <w:tcMar>
              <w:top w:w="70" w:type="dxa"/>
              <w:bottom w:w="70" w:type="dxa"/>
              <w:start w:w="80" w:type="dxa"/>
              <w:end w:w="80" w:type="dxa"/>
            </w:tcMar>
          </w:tcPr>
          <w:p>
            <w:pPr>
              <w:pStyle w:val="TableText"/>
            </w:pPr>
            <w:r/>
            <w:r>
              <w:rPr>
                <w:b w:val="0"/>
              </w:rPr>
              <w:t>Threshold &lt;10.5 applies; clinical context remains.</w:t>
            </w:r>
          </w:p>
        </w:tc>
      </w:tr>
      <w:tr>
        <w:tc>
          <w:tcPr>
            <w:tcW w:type="dxa" w:w="1037"/>
            <w:vAlign w:val="center"/>
            <w:tcMar>
              <w:top w:w="70" w:type="dxa"/>
              <w:bottom w:w="70" w:type="dxa"/>
              <w:start w:w="80" w:type="dxa"/>
              <w:end w:w="80" w:type="dxa"/>
            </w:tcMar>
            <w:shd w:fill="EDF4FA"/>
          </w:tcPr>
          <w:p>
            <w:pPr>
              <w:pStyle w:val="TableText"/>
            </w:pPr>
            <w:r/>
            <w:r>
              <w:rPr>
                <w:b w:val="0"/>
              </w:rPr>
              <w:t>AN-T14</w:t>
            </w:r>
          </w:p>
        </w:tc>
        <w:tc>
          <w:tcPr>
            <w:tcW w:type="dxa" w:w="3672"/>
            <w:vAlign w:val="center"/>
            <w:tcMar>
              <w:top w:w="70" w:type="dxa"/>
              <w:bottom w:w="70" w:type="dxa"/>
              <w:start w:w="80" w:type="dxa"/>
              <w:end w:w="80" w:type="dxa"/>
            </w:tcMar>
            <w:shd w:fill="EDF4FA"/>
          </w:tcPr>
          <w:p>
            <w:pPr>
              <w:pStyle w:val="TableText"/>
            </w:pPr>
            <w:r/>
            <w:r>
              <w:rPr>
                <w:b w:val="0"/>
              </w:rPr>
              <w:t>Hb 6.9 g/dL, any trimester, future module.</w:t>
            </w:r>
          </w:p>
        </w:tc>
        <w:tc>
          <w:tcPr>
            <w:tcW w:type="dxa" w:w="2160"/>
            <w:vAlign w:val="center"/>
            <w:tcMar>
              <w:top w:w="70" w:type="dxa"/>
              <w:bottom w:w="70" w:type="dxa"/>
              <w:start w:w="80" w:type="dxa"/>
              <w:end w:w="80" w:type="dxa"/>
            </w:tcMar>
            <w:shd w:fill="EDF4FA"/>
          </w:tcPr>
          <w:p>
            <w:pPr>
              <w:pStyle w:val="TableText"/>
            </w:pPr>
            <w:r/>
            <w:r>
              <w:rPr>
                <w:b w:val="0"/>
              </w:rPr>
              <w:t>Severe / urgent escalation</w:t>
            </w:r>
          </w:p>
        </w:tc>
        <w:tc>
          <w:tcPr>
            <w:tcW w:type="dxa" w:w="3888"/>
            <w:vAlign w:val="center"/>
            <w:tcMar>
              <w:top w:w="70" w:type="dxa"/>
              <w:bottom w:w="70" w:type="dxa"/>
              <w:start w:w="80" w:type="dxa"/>
              <w:end w:w="80" w:type="dxa"/>
            </w:tcMar>
            <w:shd w:fill="EDF4FA"/>
          </w:tcPr>
          <w:p>
            <w:pPr>
              <w:pStyle w:val="TableText"/>
            </w:pPr>
            <w:r/>
            <w:r>
              <w:rPr>
                <w:b w:val="0"/>
              </w:rPr>
              <w:t>Do not rely on routine referral workflow.</w:t>
            </w:r>
          </w:p>
        </w:tc>
      </w:tr>
      <w:tr>
        <w:tc>
          <w:tcPr>
            <w:tcW w:type="dxa" w:w="1037"/>
            <w:vAlign w:val="center"/>
            <w:tcMar>
              <w:top w:w="70" w:type="dxa"/>
              <w:bottom w:w="70" w:type="dxa"/>
              <w:start w:w="80" w:type="dxa"/>
              <w:end w:w="80" w:type="dxa"/>
            </w:tcMar>
          </w:tcPr>
          <w:p>
            <w:pPr>
              <w:pStyle w:val="TableText"/>
            </w:pPr>
            <w:r/>
            <w:r>
              <w:rPr>
                <w:b w:val="0"/>
              </w:rPr>
              <w:t>AN-T15</w:t>
            </w:r>
          </w:p>
        </w:tc>
        <w:tc>
          <w:tcPr>
            <w:tcW w:type="dxa" w:w="3672"/>
            <w:vAlign w:val="center"/>
            <w:tcMar>
              <w:top w:w="70" w:type="dxa"/>
              <w:bottom w:w="70" w:type="dxa"/>
              <w:start w:w="80" w:type="dxa"/>
              <w:end w:w="80" w:type="dxa"/>
            </w:tcMar>
          </w:tcPr>
          <w:p>
            <w:pPr>
              <w:pStyle w:val="TableText"/>
            </w:pPr>
            <w:r/>
            <w:r>
              <w:rPr>
                <w:b w:val="0"/>
              </w:rPr>
              <w:t>Result entered in g/L but labelled g/dL.</w:t>
            </w:r>
          </w:p>
        </w:tc>
        <w:tc>
          <w:tcPr>
            <w:tcW w:type="dxa" w:w="2160"/>
            <w:vAlign w:val="center"/>
            <w:tcMar>
              <w:top w:w="70" w:type="dxa"/>
              <w:bottom w:w="70" w:type="dxa"/>
              <w:start w:w="80" w:type="dxa"/>
              <w:end w:w="80" w:type="dxa"/>
            </w:tcMar>
          </w:tcPr>
          <w:p>
            <w:pPr>
              <w:pStyle w:val="TableText"/>
            </w:pPr>
            <w:r/>
            <w:r>
              <w:rPr>
                <w:b w:val="0"/>
              </w:rPr>
              <w:t>Validation error</w:t>
            </w:r>
          </w:p>
        </w:tc>
        <w:tc>
          <w:tcPr>
            <w:tcW w:type="dxa" w:w="3888"/>
            <w:vAlign w:val="center"/>
            <w:tcMar>
              <w:top w:w="70" w:type="dxa"/>
              <w:bottom w:w="70" w:type="dxa"/>
              <w:start w:w="80" w:type="dxa"/>
              <w:end w:w="80" w:type="dxa"/>
            </w:tcMar>
          </w:tcPr>
          <w:p>
            <w:pPr>
              <w:pStyle w:val="TableText"/>
            </w:pPr>
            <w:r/>
            <w:r>
              <w:rPr>
                <w:b w:val="0"/>
              </w:rPr>
              <w:t>Block interpretation.</w:t>
            </w:r>
          </w:p>
        </w:tc>
      </w:tr>
      <w:tr>
        <w:tc>
          <w:tcPr>
            <w:tcW w:type="dxa" w:w="1037"/>
            <w:vAlign w:val="center"/>
            <w:tcMar>
              <w:top w:w="70" w:type="dxa"/>
              <w:bottom w:w="70" w:type="dxa"/>
              <w:start w:w="80" w:type="dxa"/>
              <w:end w:w="80" w:type="dxa"/>
            </w:tcMar>
            <w:shd w:fill="EDF4FA"/>
          </w:tcPr>
          <w:p>
            <w:pPr>
              <w:pStyle w:val="TableText"/>
            </w:pPr>
            <w:r/>
            <w:r>
              <w:rPr>
                <w:b w:val="0"/>
              </w:rPr>
              <w:t>AN-T16</w:t>
            </w:r>
          </w:p>
        </w:tc>
        <w:tc>
          <w:tcPr>
            <w:tcW w:type="dxa" w:w="3672"/>
            <w:vAlign w:val="center"/>
            <w:tcMar>
              <w:top w:w="70" w:type="dxa"/>
              <w:bottom w:w="70" w:type="dxa"/>
              <w:start w:w="80" w:type="dxa"/>
              <w:end w:w="80" w:type="dxa"/>
            </w:tcMar>
            <w:shd w:fill="EDF4FA"/>
          </w:tcPr>
          <w:p>
            <w:pPr>
              <w:pStyle w:val="TableText"/>
            </w:pPr>
            <w:r/>
            <w:r>
              <w:rPr>
                <w:b w:val="0"/>
              </w:rPr>
              <w:t>Delivered pregnancy edited.</w:t>
            </w:r>
          </w:p>
        </w:tc>
        <w:tc>
          <w:tcPr>
            <w:tcW w:type="dxa" w:w="2160"/>
            <w:vAlign w:val="center"/>
            <w:tcMar>
              <w:top w:w="70" w:type="dxa"/>
              <w:bottom w:w="70" w:type="dxa"/>
              <w:start w:w="80" w:type="dxa"/>
              <w:end w:w="80" w:type="dxa"/>
            </w:tcMar>
            <w:shd w:fill="EDF4FA"/>
          </w:tcPr>
          <w:p>
            <w:pPr>
              <w:pStyle w:val="TableText"/>
            </w:pPr>
            <w:r/>
            <w:r>
              <w:rPr>
                <w:b w:val="0"/>
              </w:rPr>
              <w:t>Blocked</w:t>
            </w:r>
          </w:p>
        </w:tc>
        <w:tc>
          <w:tcPr>
            <w:tcW w:type="dxa" w:w="3888"/>
            <w:vAlign w:val="center"/>
            <w:tcMar>
              <w:top w:w="70" w:type="dxa"/>
              <w:bottom w:w="70" w:type="dxa"/>
              <w:start w:w="80" w:type="dxa"/>
              <w:end w:w="80" w:type="dxa"/>
            </w:tcMar>
            <w:shd w:fill="EDF4FA"/>
          </w:tcPr>
          <w:p>
            <w:pPr>
              <w:pStyle w:val="TableText"/>
            </w:pPr>
            <w:r/>
            <w:r>
              <w:rPr>
                <w:b w:val="0"/>
              </w:rPr>
              <w:t>Historical assessment read-only.</w:t>
            </w:r>
          </w:p>
        </w:tc>
      </w:tr>
      <w:tr>
        <w:tc>
          <w:tcPr>
            <w:tcW w:type="dxa" w:w="1037"/>
            <w:vAlign w:val="center"/>
            <w:tcMar>
              <w:top w:w="70" w:type="dxa"/>
              <w:bottom w:w="70" w:type="dxa"/>
              <w:start w:w="80" w:type="dxa"/>
              <w:end w:w="80" w:type="dxa"/>
            </w:tcMar>
          </w:tcPr>
          <w:p>
            <w:pPr>
              <w:pStyle w:val="TableText"/>
            </w:pPr>
            <w:r/>
            <w:r>
              <w:rPr>
                <w:b w:val="0"/>
              </w:rPr>
              <w:t>AN-T17</w:t>
            </w:r>
          </w:p>
        </w:tc>
        <w:tc>
          <w:tcPr>
            <w:tcW w:type="dxa" w:w="3672"/>
            <w:vAlign w:val="center"/>
            <w:tcMar>
              <w:top w:w="70" w:type="dxa"/>
              <w:bottom w:w="70" w:type="dxa"/>
              <w:start w:w="80" w:type="dxa"/>
              <w:end w:w="80" w:type="dxa"/>
            </w:tcMar>
          </w:tcPr>
          <w:p>
            <w:pPr>
              <w:pStyle w:val="TableText"/>
            </w:pPr>
            <w:r/>
            <w:r>
              <w:rPr>
                <w:b w:val="0"/>
              </w:rPr>
              <w:t>New pregnancy after delivery.</w:t>
            </w:r>
          </w:p>
        </w:tc>
        <w:tc>
          <w:tcPr>
            <w:tcW w:type="dxa" w:w="2160"/>
            <w:vAlign w:val="center"/>
            <w:tcMar>
              <w:top w:w="70" w:type="dxa"/>
              <w:bottom w:w="70" w:type="dxa"/>
              <w:start w:w="80" w:type="dxa"/>
              <w:end w:w="80" w:type="dxa"/>
            </w:tcMar>
          </w:tcPr>
          <w:p>
            <w:pPr>
              <w:pStyle w:val="TableText"/>
            </w:pPr>
            <w:r/>
            <w:r>
              <w:rPr>
                <w:b w:val="0"/>
              </w:rPr>
              <w:t>Fresh assessment</w:t>
            </w:r>
          </w:p>
        </w:tc>
        <w:tc>
          <w:tcPr>
            <w:tcW w:type="dxa" w:w="3888"/>
            <w:vAlign w:val="center"/>
            <w:tcMar>
              <w:top w:w="70" w:type="dxa"/>
              <w:bottom w:w="70" w:type="dxa"/>
              <w:start w:w="80" w:type="dxa"/>
              <w:end w:w="80" w:type="dxa"/>
            </w:tcMar>
          </w:tcPr>
          <w:p>
            <w:pPr>
              <w:pStyle w:val="TableText"/>
            </w:pPr>
            <w:r/>
            <w:r>
              <w:rPr>
                <w:b w:val="0"/>
              </w:rPr>
              <w:t>Do not inherit without reconfirmation.</w:t>
            </w:r>
          </w:p>
        </w:tc>
      </w:tr>
      <w:tr>
        <w:tc>
          <w:tcPr>
            <w:tcW w:type="dxa" w:w="1037"/>
            <w:vAlign w:val="center"/>
            <w:tcMar>
              <w:top w:w="70" w:type="dxa"/>
              <w:bottom w:w="70" w:type="dxa"/>
              <w:start w:w="80" w:type="dxa"/>
              <w:end w:w="80" w:type="dxa"/>
            </w:tcMar>
            <w:shd w:fill="EDF4FA"/>
          </w:tcPr>
          <w:p>
            <w:pPr>
              <w:pStyle w:val="TableText"/>
            </w:pPr>
            <w:r/>
            <w:r>
              <w:rPr>
                <w:b w:val="0"/>
              </w:rPr>
              <w:t>AN-T18</w:t>
            </w:r>
          </w:p>
        </w:tc>
        <w:tc>
          <w:tcPr>
            <w:tcW w:type="dxa" w:w="3672"/>
            <w:vAlign w:val="center"/>
            <w:tcMar>
              <w:top w:w="70" w:type="dxa"/>
              <w:bottom w:w="70" w:type="dxa"/>
              <w:start w:w="80" w:type="dxa"/>
              <w:end w:w="80" w:type="dxa"/>
            </w:tcMar>
            <w:shd w:fill="EDF4FA"/>
          </w:tcPr>
          <w:p>
            <w:pPr>
              <w:pStyle w:val="TableText"/>
            </w:pPr>
            <w:r/>
            <w:r>
              <w:rPr>
                <w:b w:val="0"/>
              </w:rPr>
              <w:t>Referral refused.</w:t>
            </w:r>
          </w:p>
        </w:tc>
        <w:tc>
          <w:tcPr>
            <w:tcW w:type="dxa" w:w="2160"/>
            <w:vAlign w:val="center"/>
            <w:tcMar>
              <w:top w:w="70" w:type="dxa"/>
              <w:bottom w:w="70" w:type="dxa"/>
              <w:start w:w="80" w:type="dxa"/>
              <w:end w:w="80" w:type="dxa"/>
            </w:tcMar>
            <w:shd w:fill="EDF4FA"/>
          </w:tcPr>
          <w:p>
            <w:pPr>
              <w:pStyle w:val="TableText"/>
            </w:pPr>
            <w:r/>
            <w:r>
              <w:rPr>
                <w:b w:val="0"/>
              </w:rPr>
              <w:t>HIGH remains</w:t>
            </w:r>
          </w:p>
        </w:tc>
        <w:tc>
          <w:tcPr>
            <w:tcW w:type="dxa" w:w="3888"/>
            <w:vAlign w:val="center"/>
            <w:tcMar>
              <w:top w:w="70" w:type="dxa"/>
              <w:bottom w:w="70" w:type="dxa"/>
              <w:start w:w="80" w:type="dxa"/>
              <w:end w:w="80" w:type="dxa"/>
            </w:tcMar>
            <w:shd w:fill="EDF4FA"/>
          </w:tcPr>
          <w:p>
            <w:pPr>
              <w:pStyle w:val="TableText"/>
            </w:pPr>
            <w:r/>
            <w:r>
              <w:rPr>
                <w:b w:val="0"/>
              </w:rPr>
              <w:t>Document refusal and safety net.</w:t>
            </w:r>
          </w:p>
        </w:tc>
      </w:tr>
    </w:tbl>
    <w:p>
      <w:pPr>
        <w:spacing w:after="20"/>
      </w:pPr>
    </w:p>
    <w:p>
      <w:pPr>
        <w:pStyle w:val="Heading1"/>
      </w:pPr>
      <w:r>
        <w:t>14. Clinical Governance Requirements</w:t>
      </w:r>
    </w:p>
    <w:p>
      <w:pPr>
        <w:pStyle w:val="ListNumber"/>
        <w:spacing w:after="40"/>
      </w:pPr>
      <w:r>
        <w:t>Obtain review of the anemia rule and referral language from a qualified obstetric clinician familiar with the clinic's real capabilities.</w:t>
      </w:r>
    </w:p>
    <w:p>
      <w:pPr>
        <w:pStyle w:val="ListNumber"/>
        <w:spacing w:after="40"/>
      </w:pPr>
      <w:r>
        <w:t>Define who may record anemia, acceptable evidence, and how self-reported history is labelled and verified.</w:t>
      </w:r>
    </w:p>
    <w:p>
      <w:pPr>
        <w:pStyle w:val="ListNumber"/>
        <w:spacing w:after="40"/>
      </w:pPr>
      <w:r>
        <w:t>Keep blank or uncertain values separate from No.</w:t>
      </w:r>
    </w:p>
    <w:p>
      <w:pPr>
        <w:pStyle w:val="ListNumber"/>
        <w:spacing w:after="40"/>
      </w:pPr>
      <w:r>
        <w:t>Record the rule version, source data, reasons, result, user, and timestamp for every assessment.</w:t>
      </w:r>
    </w:p>
    <w:p>
      <w:pPr>
        <w:pStyle w:val="ListNumber"/>
        <w:spacing w:after="40"/>
      </w:pPr>
      <w:r>
        <w:t>Maintain an emergency pathway for severe symptoms, active bleeding, syncope, chest pain, respiratory distress, or haemodynamic instability.</w:t>
      </w:r>
    </w:p>
    <w:p>
      <w:pPr>
        <w:pStyle w:val="ListNumber"/>
        <w:spacing w:after="40"/>
      </w:pPr>
      <w:r>
        <w:t>Track whether referrals are pending, completed, declined, or unsuccessful.</w:t>
      </w:r>
    </w:p>
    <w:p>
      <w:pPr>
        <w:pStyle w:val="ListNumber"/>
        <w:spacing w:after="40"/>
      </w:pPr>
      <w:r>
        <w:t>Audit false negatives, delayed referrals, inconsistent units, stale laboratory values, and unexplained edits.</w:t>
      </w:r>
    </w:p>
    <w:p>
      <w:pPr>
        <w:pStyle w:val="ListNumber"/>
        <w:spacing w:after="40"/>
      </w:pPr>
      <w:r>
        <w:t>Require a separate evidence review and validation before adding haemoglobin thresholds, medication advice, transfusion triggers, or place-of-birth automation.</w:t>
      </w:r>
    </w:p>
    <w:p>
      <w:pPr>
        <w:pStyle w:val="Heading1"/>
      </w:pPr>
      <w:r>
        <w:t>15. Panel Defense Questions and Model Answers</w:t>
      </w:r>
    </w:p>
    <w:p>
      <w:pPr>
        <w:keepNext/>
      </w:pPr>
      <w:r>
        <w:rPr>
          <w:b/>
          <w:color w:val="17365D"/>
        </w:rPr>
        <w:t>Q: Why does any recorded anemia produce HIGH?</w:t>
      </w:r>
    </w:p>
    <w:p>
      <w:pPr>
        <w:ind w:left="288"/>
      </w:pPr>
      <w:r>
        <w:t>A: Because the current field does not include haemoglobin level, trimester, cause, symptoms, treatment response, or blood-loss risk. A conservative HIGH result prevents a clinically important condition from being treated as routine in a low-risk facility.</w:t>
      </w:r>
    </w:p>
    <w:p>
      <w:pPr>
        <w:keepNext/>
      </w:pPr>
      <w:r>
        <w:rPr>
          <w:b/>
          <w:color w:val="17365D"/>
        </w:rPr>
        <w:t>Q: Does WHO require the label HIGH?</w:t>
      </w:r>
    </w:p>
    <w:p>
      <w:pPr>
        <w:ind w:left="288"/>
      </w:pPr>
      <w:r>
        <w:t>A: No. WHO defines anemia and recommends prevention and management. HIGH is the project's transparent referral-support category.</w:t>
      </w:r>
    </w:p>
    <w:p>
      <w:pPr>
        <w:keepNext/>
      </w:pPr>
      <w:r>
        <w:rPr>
          <w:b/>
          <w:color w:val="17365D"/>
        </w:rPr>
        <w:t>Q: Can pallor or fatigue prove anemia?</w:t>
      </w:r>
    </w:p>
    <w:p>
      <w:pPr>
        <w:ind w:left="288"/>
      </w:pPr>
      <w:r>
        <w:t>A: No. These signs are nonspecific. Diagnosis requires a valid haemoglobin measurement interpreted in context.</w:t>
      </w:r>
    </w:p>
    <w:p>
      <w:pPr>
        <w:keepNext/>
      </w:pPr>
      <w:r>
        <w:rPr>
          <w:b/>
          <w:color w:val="17365D"/>
        </w:rPr>
        <w:t>Q: What are the WHO 2024 thresholds?</w:t>
      </w:r>
    </w:p>
    <w:p>
      <w:pPr>
        <w:ind w:left="288"/>
      </w:pPr>
      <w:r>
        <w:t>A: Below 11.0 g/dL in the first trimester, below 10.5 g/dL in the second, and below 11.0 g/dL in the third. Severe anemia is below 7.0 g/dL in any trimester.</w:t>
      </w:r>
    </w:p>
    <w:p>
      <w:pPr>
        <w:keepNext/>
      </w:pPr>
      <w:r>
        <w:rPr>
          <w:b/>
          <w:color w:val="17365D"/>
        </w:rPr>
        <w:t>Q: Why not automatically prescribe iron?</w:t>
      </w:r>
    </w:p>
    <w:p>
      <w:pPr>
        <w:ind w:left="288"/>
      </w:pPr>
      <w:r>
        <w:t>A: Not all anemia is iron deficiency, and dose, route, contraindications, severity, adherence, and underlying cause require clinical evaluation.</w:t>
      </w:r>
    </w:p>
    <w:p>
      <w:pPr>
        <w:keepNext/>
      </w:pPr>
      <w:r>
        <w:rPr>
          <w:b/>
          <w:color w:val="17365D"/>
        </w:rPr>
        <w:t>Q: Why override a LOW ML output?</w:t>
      </w:r>
    </w:p>
    <w:p>
      <w:pPr>
        <w:ind w:left="288"/>
      </w:pPr>
      <w:r>
        <w:t>A: A documented clinical factor should not be cancelled by a probabilistic model. Deterministic precedence provides predictable safety behavior and clear explanation.</w:t>
      </w:r>
    </w:p>
    <w:p>
      <w:pPr>
        <w:keepNext/>
      </w:pPr>
      <w:r>
        <w:rPr>
          <w:b/>
          <w:color w:val="17365D"/>
        </w:rPr>
        <w:t>Q: Does HIGH automatically prohibit lying-in delivery?</w:t>
      </w:r>
    </w:p>
    <w:p>
      <w:pPr>
        <w:ind w:left="288"/>
      </w:pPr>
      <w:r>
        <w:t>A: No. The CDSS prompts qualified review and referral planning. The final decision depends on severity, response to treatment, comorbidities, facility capability, and clinician judgment.</w:t>
      </w:r>
    </w:p>
    <w:p>
      <w:pPr>
        <w:keepNext/>
      </w:pPr>
      <w:r>
        <w:rPr>
          <w:b/>
          <w:color w:val="17365D"/>
        </w:rPr>
        <w:t>Q: What if anemia is mild and improving?</w:t>
      </w:r>
    </w:p>
    <w:p>
      <w:pPr>
        <w:ind w:left="288"/>
      </w:pPr>
      <w:r>
        <w:t>A: The current binary field cannot represent that nuance. HIGH remains a conservative signal until a clinically governed, validated severity model is implemented.</w:t>
      </w:r>
    </w:p>
    <w:p>
      <w:pPr>
        <w:keepNext/>
      </w:pPr>
      <w:r>
        <w:rPr>
          <w:b/>
          <w:color w:val="17365D"/>
        </w:rPr>
        <w:t>Q: What if the patient refuses referral?</w:t>
      </w:r>
    </w:p>
    <w:p>
      <w:pPr>
        <w:ind w:left="288"/>
      </w:pPr>
      <w:r>
        <w:t>A: The HIGH result remains. Counseling, refusal, safety-net instructions, and clinic protocol are documented; a waiver does not erase clinical risk.</w:t>
      </w:r>
    </w:p>
    <w:p>
      <w:pPr>
        <w:keepNext/>
      </w:pPr>
      <w:r>
        <w:rPr>
          <w:b/>
          <w:color w:val="17365D"/>
        </w:rPr>
        <w:t>Q: What is the most important software control?</w:t>
      </w:r>
    </w:p>
    <w:p>
      <w:pPr>
        <w:ind w:left="288"/>
      </w:pPr>
      <w:r>
        <w:t>A: Missing or ambiguous anemia data must never become No, and a known anemia factor must always override LOW ML output.</w:t>
      </w:r>
    </w:p>
    <w:p>
      <w:pPr>
        <w:pStyle w:val="Heading1"/>
      </w:pPr>
      <w:r>
        <w:t>16. Final Rule Statement</w:t>
      </w:r>
    </w:p>
    <w:tbl>
      <w:tblPr>
        <w:tblW w:type="auto" w:w="0"/>
        <w:tblLook w:firstColumn="1" w:firstRow="1" w:lastColumn="0" w:lastRow="0" w:noHBand="0" w:noVBand="1" w:val="04A0"/>
      </w:tblPr>
      <w:tblGrid>
        <w:gridCol w:w="10080"/>
      </w:tblGrid>
      <w:tr>
        <w:tc>
          <w:tcPr>
            <w:tcW w:type="dxa" w:w="10080"/>
            <w:shd w:fill="E2F0D9"/>
            <w:tcBorders>
              <w:top w:val="single" w:sz="8" w:color="548235"/>
              <w:left w:val="single" w:sz="8" w:color="548235"/>
              <w:bottom w:val="single" w:sz="8" w:color="548235"/>
              <w:right w:val="single" w:sz="8" w:color="548235"/>
            </w:tcBorders>
            <w:tcMar>
              <w:top w:w="110" w:type="dxa"/>
              <w:bottom w:w="110" w:type="dxa"/>
              <w:start w:w="120" w:type="dxa"/>
              <w:end w:w="120" w:type="dxa"/>
            </w:tcMar>
          </w:tcPr>
          <w:p>
            <w:pPr>
              <w:pStyle w:val="Callout"/>
            </w:pPr>
            <w:r/>
            <w:r>
              <w:rPr>
                <w:b/>
                <w:color w:val="548235"/>
              </w:rPr>
              <w:t>Approved specification</w:t>
              <w:br/>
            </w:r>
            <w:r>
              <w:t>When the current medical history records maternal anemia as present, the CDSS shall activate rule AN-01 and classify the assessment as HIGH regardless of a LOW ML output. The interface shall explain that anemia requires clinical evaluation because severity and cause influence pregnancy and birth planning. It shall recommend prompt review, verification of blood results, treatment follow-up, and referral or co-management as appropriate. The system shall state that it does not diagnose the cause, prescribe therapy, determine transfusion need, or decide the final place or mode of birth. Missing or ambiguous anemia information shall prevent LOW and produce ASSESSMENT INCOMPLETE.</w:t>
            </w:r>
          </w:p>
        </w:tc>
      </w:tr>
    </w:tbl>
    <w:p>
      <w:pPr>
        <w:spacing w:after="20"/>
      </w:pPr>
    </w:p>
    <w:p>
      <w:pPr>
        <w:pStyle w:val="Heading1"/>
      </w:pPr>
      <w:r>
        <w:t>17. References</w:t>
      </w:r>
    </w:p>
    <w:p>
      <w:r>
        <w:t>Official and primary guideline or institutional sources are used wherever publicly available. Accessed July 2026. URLs are clickable.</w:t>
      </w:r>
    </w:p>
    <w:p>
      <w:pPr>
        <w:pStyle w:val="Reference"/>
        <w:ind w:left="259" w:hanging="259"/>
      </w:pPr>
      <w:r>
        <w:t xml:space="preserve">[1] World Health Organization. Guideline on haemoglobin cutoffs to define anaemia in individuals and populations. 2024. </w:t>
      </w:r>
      <w:hyperlink r:id="rId11">
        <w:r>
          <w:rPr>
            <w:color w:val="2F75B5"/>
            <w:u w:val="single"/>
          </w:rPr>
          <w:t>https://www.who.int/publications/i/item/9789240088542</w:t>
        </w:r>
      </w:hyperlink>
    </w:p>
    <w:p>
      <w:pPr>
        <w:pStyle w:val="Reference"/>
        <w:ind w:left="259" w:hanging="259"/>
      </w:pPr>
      <w:r>
        <w:t xml:space="preserve">[2] World Health Organization. Anaemia fact sheet. 2025. </w:t>
      </w:r>
      <w:hyperlink r:id="rId12">
        <w:r>
          <w:rPr>
            <w:color w:val="2F75B5"/>
            <w:u w:val="single"/>
          </w:rPr>
          <w:t>https://www.who.int/news-room/fact-sheets/detail/anaemia</w:t>
        </w:r>
      </w:hyperlink>
    </w:p>
    <w:p>
      <w:pPr>
        <w:pStyle w:val="Reference"/>
        <w:ind w:left="259" w:hanging="259"/>
      </w:pPr>
      <w:r>
        <w:t xml:space="preserve">[3] World Health Organization. Daily iron and folic acid supplementation during pregnancy. updated 2024. </w:t>
      </w:r>
      <w:hyperlink r:id="rId13">
        <w:r>
          <w:rPr>
            <w:color w:val="2F75B5"/>
            <w:u w:val="single"/>
          </w:rPr>
          <w:t>https://www.who.int/tools/elena/interventions/daily-iron-pregnancy</w:t>
        </w:r>
      </w:hyperlink>
    </w:p>
    <w:p>
      <w:pPr>
        <w:pStyle w:val="Reference"/>
        <w:ind w:left="259" w:hanging="259"/>
      </w:pPr>
      <w:r>
        <w:t xml:space="preserve">[4] American College of Obstetricians and Gynecologists. Practice Bulletin No. 233: Anemia in Pregnancy. 2021; reaffirmed 2024. </w:t>
      </w:r>
      <w:hyperlink r:id="rId14">
        <w:r>
          <w:rPr>
            <w:color w:val="2F75B5"/>
            <w:u w:val="single"/>
          </w:rPr>
          <w:t>https://www.acog.org/clinical/clinical-guidance/practice-bulletin/articles/2021/08/anemia-in-pregnancy</w:t>
        </w:r>
      </w:hyperlink>
    </w:p>
    <w:p>
      <w:pPr>
        <w:pStyle w:val="Reference"/>
        <w:ind w:left="259" w:hanging="259"/>
      </w:pPr>
      <w:r>
        <w:t xml:space="preserve">[5] American College of Obstetricians and Gynecologists. Healthy Eating During Pregnancy. current online edition. </w:t>
      </w:r>
      <w:hyperlink r:id="rId15">
        <w:r>
          <w:rPr>
            <w:color w:val="2F75B5"/>
            <w:u w:val="single"/>
          </w:rPr>
          <w:t>https://www.acog.org/womens-health/faqs/healthy-eating-during-pregnancy</w:t>
        </w:r>
      </w:hyperlink>
    </w:p>
    <w:p>
      <w:pPr>
        <w:pStyle w:val="Reference"/>
        <w:ind w:left="259" w:hanging="259"/>
      </w:pPr>
      <w:r>
        <w:t xml:space="preserve">[6] International Federation of Gynecology and Obstetrics. FIGO good practice recommendations on anemia in pregnancy, to reduce the incidence and impact of postpartum hemorrhage. 2025. </w:t>
      </w:r>
      <w:hyperlink r:id="rId16">
        <w:r>
          <w:rPr>
            <w:color w:val="2F75B5"/>
            <w:u w:val="single"/>
          </w:rPr>
          <w:t>https://pmc.ncbi.nlm.nih.gov/articles/PMC12640178/</w:t>
        </w:r>
      </w:hyperlink>
    </w:p>
    <w:p>
      <w:pPr>
        <w:pStyle w:val="Reference"/>
        <w:ind w:left="259" w:hanging="259"/>
      </w:pPr>
      <w:r>
        <w:t xml:space="preserve">[7] World Health Organization. Nutrition Landscape Information System: Philippines country profile. current online edition. </w:t>
      </w:r>
      <w:hyperlink r:id="rId17">
        <w:r>
          <w:rPr>
            <w:color w:val="2F75B5"/>
            <w:u w:val="single"/>
          </w:rPr>
          <w:t>https://apps.who.int/nutrition/landscape/report.aspx?iso=PHL</w:t>
        </w:r>
      </w:hyperlink>
    </w:p>
    <w:p>
      <w:pPr>
        <w:pStyle w:val="Reference"/>
        <w:ind w:left="259" w:hanging="259"/>
      </w:pPr>
      <w:r>
        <w:t xml:space="preserve">[8] World Health Organization. Daily iron and folic acid supplementation in pregnant women: guideline. 2012. </w:t>
      </w:r>
      <w:hyperlink r:id="rId18">
        <w:r>
          <w:rPr>
            <w:color w:val="2F75B5"/>
            <w:u w:val="single"/>
          </w:rPr>
          <w:t>https://anaemiaalliance.who.int/resources/repository/item/guideline-daily-iron-and-folic-acid-supplementation-in-pregnant-women</w:t>
        </w:r>
      </w:hyperlink>
    </w:p>
    <w:p>
      <w:pPr>
        <w:pStyle w:val="Reference"/>
        <w:ind w:left="259" w:hanging="259"/>
      </w:pPr>
      <w:r>
        <w:t xml:space="preserve">[9] World Health Organization. Combatting anaemia through improved measurement, diagnosis and reporting. 2025. </w:t>
      </w:r>
      <w:hyperlink r:id="rId19">
        <w:r>
          <w:rPr>
            <w:color w:val="2F75B5"/>
            <w:u w:val="single"/>
          </w:rPr>
          <w:t>https://www.who.int/news/item/13-02-2025-combatting-anaemia-through-improved-measurement-diagnosis-and-reporting</w:t>
        </w:r>
      </w:hyperlink>
    </w:p>
    <w:p>
      <w:pPr>
        <w:pStyle w:val="Heading1"/>
      </w:pPr>
      <w:r>
        <w:t>Appendix A. Rule-to-Evidence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96"/>
            <w:vAlign w:val="center"/>
            <w:tcMar>
              <w:top w:w="70" w:type="dxa"/>
              <w:bottom w:w="70" w:type="dxa"/>
              <w:start w:w="80" w:type="dxa"/>
              <w:end w:w="80" w:type="dxa"/>
            </w:tcMar>
            <w:shd w:fill="17365D"/>
          </w:tcPr>
          <w:p>
            <w:pPr>
              <w:pStyle w:val="TableHeader"/>
            </w:pPr>
            <w:r/>
            <w:r>
              <w:rPr>
                <w:b/>
                <w:color w:val="FFFFFF"/>
              </w:rPr>
              <w:t>Rule element</w:t>
            </w:r>
          </w:p>
        </w:tc>
        <w:tc>
          <w:tcPr>
            <w:tcW w:type="dxa" w:w="4392"/>
            <w:vAlign w:val="center"/>
            <w:tcMar>
              <w:top w:w="70" w:type="dxa"/>
              <w:bottom w:w="70" w:type="dxa"/>
              <w:start w:w="80" w:type="dxa"/>
              <w:end w:w="80" w:type="dxa"/>
            </w:tcMar>
            <w:shd w:fill="17365D"/>
          </w:tcPr>
          <w:p>
            <w:pPr>
              <w:pStyle w:val="TableHeader"/>
            </w:pPr>
            <w:r/>
            <w:r>
              <w:rPr>
                <w:b/>
                <w:color w:val="FFFFFF"/>
              </w:rPr>
              <w:t>Evidence basis</w:t>
            </w:r>
          </w:p>
        </w:tc>
        <w:tc>
          <w:tcPr>
            <w:tcW w:type="dxa" w:w="3240"/>
            <w:vAlign w:val="center"/>
            <w:tcMar>
              <w:top w:w="70" w:type="dxa"/>
              <w:bottom w:w="70" w:type="dxa"/>
              <w:start w:w="80" w:type="dxa"/>
              <w:end w:w="80" w:type="dxa"/>
            </w:tcMar>
            <w:shd w:fill="17365D"/>
          </w:tcPr>
          <w:p>
            <w:pPr>
              <w:pStyle w:val="TableHeader"/>
            </w:pPr>
            <w:r/>
            <w:r>
              <w:rPr>
                <w:b/>
                <w:color w:val="FFFFFF"/>
              </w:rPr>
              <w:t>Statement type</w:t>
            </w:r>
          </w:p>
        </w:tc>
      </w:tr>
      <w:tr>
        <w:tc>
          <w:tcPr>
            <w:tcW w:type="dxa" w:w="3096"/>
            <w:vAlign w:val="center"/>
            <w:tcMar>
              <w:top w:w="70" w:type="dxa"/>
              <w:bottom w:w="70" w:type="dxa"/>
              <w:start w:w="80" w:type="dxa"/>
              <w:end w:w="80" w:type="dxa"/>
            </w:tcMar>
          </w:tcPr>
          <w:p>
            <w:pPr>
              <w:pStyle w:val="TableText"/>
            </w:pPr>
            <w:r/>
            <w:r>
              <w:rPr>
                <w:b w:val="0"/>
              </w:rPr>
              <w:t>Pregnancy-specific haemoglobin thresholds</w:t>
            </w:r>
          </w:p>
        </w:tc>
        <w:tc>
          <w:tcPr>
            <w:tcW w:type="dxa" w:w="4392"/>
            <w:vAlign w:val="center"/>
            <w:tcMar>
              <w:top w:w="70" w:type="dxa"/>
              <w:bottom w:w="70" w:type="dxa"/>
              <w:start w:w="80" w:type="dxa"/>
              <w:end w:w="80" w:type="dxa"/>
            </w:tcMar>
          </w:tcPr>
          <w:p>
            <w:pPr>
              <w:pStyle w:val="TableText"/>
            </w:pPr>
            <w:r/>
            <w:r>
              <w:rPr>
                <w:b w:val="0"/>
              </w:rPr>
              <w:t>WHO 2024 guideline.</w:t>
            </w:r>
          </w:p>
        </w:tc>
        <w:tc>
          <w:tcPr>
            <w:tcW w:type="dxa" w:w="3240"/>
            <w:vAlign w:val="center"/>
            <w:tcMar>
              <w:top w:w="70" w:type="dxa"/>
              <w:bottom w:w="70" w:type="dxa"/>
              <w:start w:w="80" w:type="dxa"/>
              <w:end w:w="80" w:type="dxa"/>
            </w:tcMar>
          </w:tcPr>
          <w:p>
            <w:pPr>
              <w:pStyle w:val="TableText"/>
            </w:pPr>
            <w:r/>
            <w:r>
              <w:rPr>
                <w:b w:val="0"/>
              </w:rPr>
              <w:t>Guideline-supported.</w:t>
            </w:r>
          </w:p>
        </w:tc>
      </w:tr>
      <w:tr>
        <w:tc>
          <w:tcPr>
            <w:tcW w:type="dxa" w:w="3096"/>
            <w:vAlign w:val="center"/>
            <w:tcMar>
              <w:top w:w="70" w:type="dxa"/>
              <w:bottom w:w="70" w:type="dxa"/>
              <w:start w:w="80" w:type="dxa"/>
              <w:end w:w="80" w:type="dxa"/>
            </w:tcMar>
            <w:shd w:fill="EDF4FA"/>
          </w:tcPr>
          <w:p>
            <w:pPr>
              <w:pStyle w:val="TableText"/>
            </w:pPr>
            <w:r/>
            <w:r>
              <w:rPr>
                <w:b w:val="0"/>
              </w:rPr>
              <w:t>Anemia may have multiple causes</w:t>
            </w:r>
          </w:p>
        </w:tc>
        <w:tc>
          <w:tcPr>
            <w:tcW w:type="dxa" w:w="4392"/>
            <w:vAlign w:val="center"/>
            <w:tcMar>
              <w:top w:w="70" w:type="dxa"/>
              <w:bottom w:w="70" w:type="dxa"/>
              <w:start w:w="80" w:type="dxa"/>
              <w:end w:w="80" w:type="dxa"/>
            </w:tcMar>
            <w:shd w:fill="EDF4FA"/>
          </w:tcPr>
          <w:p>
            <w:pPr>
              <w:pStyle w:val="TableText"/>
            </w:pPr>
            <w:r/>
            <w:r>
              <w:rPr>
                <w:b w:val="0"/>
              </w:rPr>
              <w:t>WHO fact sheet; ACOG PB 233.</w:t>
            </w:r>
          </w:p>
        </w:tc>
        <w:tc>
          <w:tcPr>
            <w:tcW w:type="dxa" w:w="3240"/>
            <w:vAlign w:val="center"/>
            <w:tcMar>
              <w:top w:w="70" w:type="dxa"/>
              <w:bottom w:w="70" w:type="dxa"/>
              <w:start w:w="80" w:type="dxa"/>
              <w:end w:w="80" w:type="dxa"/>
            </w:tcMar>
            <w:shd w:fill="EDF4FA"/>
          </w:tcPr>
          <w:p>
            <w:pPr>
              <w:pStyle w:val="TableText"/>
            </w:pPr>
            <w:r/>
            <w:r>
              <w:rPr>
                <w:b w:val="0"/>
              </w:rPr>
              <w:t>Guideline-supported.</w:t>
            </w:r>
          </w:p>
        </w:tc>
      </w:tr>
      <w:tr>
        <w:tc>
          <w:tcPr>
            <w:tcW w:type="dxa" w:w="3096"/>
            <w:vAlign w:val="center"/>
            <w:tcMar>
              <w:top w:w="70" w:type="dxa"/>
              <w:bottom w:w="70" w:type="dxa"/>
              <w:start w:w="80" w:type="dxa"/>
              <w:end w:w="80" w:type="dxa"/>
            </w:tcMar>
          </w:tcPr>
          <w:p>
            <w:pPr>
              <w:pStyle w:val="TableText"/>
            </w:pPr>
            <w:r/>
            <w:r>
              <w:rPr>
                <w:b w:val="0"/>
              </w:rPr>
              <w:t>Routine iron-folic acid supplementation</w:t>
            </w:r>
          </w:p>
        </w:tc>
        <w:tc>
          <w:tcPr>
            <w:tcW w:type="dxa" w:w="4392"/>
            <w:vAlign w:val="center"/>
            <w:tcMar>
              <w:top w:w="70" w:type="dxa"/>
              <w:bottom w:w="70" w:type="dxa"/>
              <w:start w:w="80" w:type="dxa"/>
              <w:end w:w="80" w:type="dxa"/>
            </w:tcMar>
          </w:tcPr>
          <w:p>
            <w:pPr>
              <w:pStyle w:val="TableText"/>
            </w:pPr>
            <w:r/>
            <w:r>
              <w:rPr>
                <w:b w:val="0"/>
              </w:rPr>
              <w:t>WHO recommendation.</w:t>
            </w:r>
          </w:p>
        </w:tc>
        <w:tc>
          <w:tcPr>
            <w:tcW w:type="dxa" w:w="3240"/>
            <w:vAlign w:val="center"/>
            <w:tcMar>
              <w:top w:w="70" w:type="dxa"/>
              <w:bottom w:w="70" w:type="dxa"/>
              <w:start w:w="80" w:type="dxa"/>
              <w:end w:w="80" w:type="dxa"/>
            </w:tcMar>
          </w:tcPr>
          <w:p>
            <w:pPr>
              <w:pStyle w:val="TableText"/>
            </w:pPr>
            <w:r/>
            <w:r>
              <w:rPr>
                <w:b w:val="0"/>
              </w:rPr>
              <w:t>Guideline-supported public-health intervention.</w:t>
            </w:r>
          </w:p>
        </w:tc>
      </w:tr>
      <w:tr>
        <w:tc>
          <w:tcPr>
            <w:tcW w:type="dxa" w:w="3096"/>
            <w:vAlign w:val="center"/>
            <w:tcMar>
              <w:top w:w="70" w:type="dxa"/>
              <w:bottom w:w="70" w:type="dxa"/>
              <w:start w:w="80" w:type="dxa"/>
              <w:end w:w="80" w:type="dxa"/>
            </w:tcMar>
            <w:shd w:fill="EDF4FA"/>
          </w:tcPr>
          <w:p>
            <w:pPr>
              <w:pStyle w:val="TableText"/>
            </w:pPr>
            <w:r/>
            <w:r>
              <w:rPr>
                <w:b w:val="0"/>
              </w:rPr>
              <w:t>Anemia present = HIGH</w:t>
            </w:r>
          </w:p>
        </w:tc>
        <w:tc>
          <w:tcPr>
            <w:tcW w:type="dxa" w:w="4392"/>
            <w:vAlign w:val="center"/>
            <w:tcMar>
              <w:top w:w="70" w:type="dxa"/>
              <w:bottom w:w="70" w:type="dxa"/>
              <w:start w:w="80" w:type="dxa"/>
              <w:end w:w="80" w:type="dxa"/>
            </w:tcMar>
            <w:shd w:fill="EDF4FA"/>
          </w:tcPr>
          <w:p>
            <w:pPr>
              <w:pStyle w:val="TableText"/>
            </w:pPr>
            <w:r/>
            <w:r>
              <w:rPr>
                <w:b w:val="0"/>
              </w:rPr>
              <w:t>Evidence plus limited lying-in capability and binary data.</w:t>
            </w:r>
          </w:p>
        </w:tc>
        <w:tc>
          <w:tcPr>
            <w:tcW w:type="dxa" w:w="3240"/>
            <w:vAlign w:val="center"/>
            <w:tcMar>
              <w:top w:w="70" w:type="dxa"/>
              <w:bottom w:w="70" w:type="dxa"/>
              <w:start w:w="80" w:type="dxa"/>
              <w:end w:w="80" w:type="dxa"/>
            </w:tcMar>
            <w:shd w:fill="EDF4FA"/>
          </w:tcPr>
          <w:p>
            <w:pPr>
              <w:pStyle w:val="TableText"/>
            </w:pPr>
            <w:r/>
            <w:r>
              <w:rPr>
                <w:b w:val="0"/>
              </w:rPr>
              <w:t>Project design decision.</w:t>
            </w:r>
          </w:p>
        </w:tc>
      </w:tr>
      <w:tr>
        <w:tc>
          <w:tcPr>
            <w:tcW w:type="dxa" w:w="3096"/>
            <w:vAlign w:val="center"/>
            <w:tcMar>
              <w:top w:w="70" w:type="dxa"/>
              <w:bottom w:w="70" w:type="dxa"/>
              <w:start w:w="80" w:type="dxa"/>
              <w:end w:w="80" w:type="dxa"/>
            </w:tcMar>
          </w:tcPr>
          <w:p>
            <w:pPr>
              <w:pStyle w:val="TableText"/>
            </w:pPr>
            <w:r/>
            <w:r>
              <w:rPr>
                <w:b w:val="0"/>
              </w:rPr>
              <w:t>Anemia overrides LOW ML</w:t>
            </w:r>
          </w:p>
        </w:tc>
        <w:tc>
          <w:tcPr>
            <w:tcW w:type="dxa" w:w="4392"/>
            <w:vAlign w:val="center"/>
            <w:tcMar>
              <w:top w:w="70" w:type="dxa"/>
              <w:bottom w:w="70" w:type="dxa"/>
              <w:start w:w="80" w:type="dxa"/>
              <w:end w:w="80" w:type="dxa"/>
            </w:tcMar>
          </w:tcPr>
          <w:p>
            <w:pPr>
              <w:pStyle w:val="TableText"/>
            </w:pPr>
            <w:r/>
            <w:r>
              <w:rPr>
                <w:b w:val="0"/>
              </w:rPr>
              <w:t>Safety engineering and explainability.</w:t>
            </w:r>
          </w:p>
        </w:tc>
        <w:tc>
          <w:tcPr>
            <w:tcW w:type="dxa" w:w="3240"/>
            <w:vAlign w:val="center"/>
            <w:tcMar>
              <w:top w:w="70" w:type="dxa"/>
              <w:bottom w:w="70" w:type="dxa"/>
              <w:start w:w="80" w:type="dxa"/>
              <w:end w:w="80" w:type="dxa"/>
            </w:tcMar>
          </w:tcPr>
          <w:p>
            <w:pPr>
              <w:pStyle w:val="TableText"/>
            </w:pPr>
            <w:r/>
            <w:r>
              <w:rPr>
                <w:b w:val="0"/>
              </w:rPr>
              <w:t>Project governance decision.</w:t>
            </w:r>
          </w:p>
        </w:tc>
      </w:tr>
      <w:tr>
        <w:tc>
          <w:tcPr>
            <w:tcW w:type="dxa" w:w="3096"/>
            <w:vAlign w:val="center"/>
            <w:tcMar>
              <w:top w:w="70" w:type="dxa"/>
              <w:bottom w:w="70" w:type="dxa"/>
              <w:start w:w="80" w:type="dxa"/>
              <w:end w:w="80" w:type="dxa"/>
            </w:tcMar>
            <w:shd w:fill="EDF4FA"/>
          </w:tcPr>
          <w:p>
            <w:pPr>
              <w:pStyle w:val="TableText"/>
            </w:pPr>
            <w:r/>
            <w:r>
              <w:rPr>
                <w:b w:val="0"/>
              </w:rPr>
              <w:t>HIGH prompts review/referral</w:t>
            </w:r>
          </w:p>
        </w:tc>
        <w:tc>
          <w:tcPr>
            <w:tcW w:type="dxa" w:w="4392"/>
            <w:vAlign w:val="center"/>
            <w:tcMar>
              <w:top w:w="70" w:type="dxa"/>
              <w:bottom w:w="70" w:type="dxa"/>
              <w:start w:w="80" w:type="dxa"/>
              <w:end w:w="80" w:type="dxa"/>
            </w:tcMar>
            <w:shd w:fill="EDF4FA"/>
          </w:tcPr>
          <w:p>
            <w:pPr>
              <w:pStyle w:val="TableText"/>
            </w:pPr>
            <w:r/>
            <w:r>
              <w:rPr>
                <w:b w:val="0"/>
              </w:rPr>
              <w:t>Clinical complexity plus facility scope.</w:t>
            </w:r>
          </w:p>
        </w:tc>
        <w:tc>
          <w:tcPr>
            <w:tcW w:type="dxa" w:w="3240"/>
            <w:vAlign w:val="center"/>
            <w:tcMar>
              <w:top w:w="70" w:type="dxa"/>
              <w:bottom w:w="70" w:type="dxa"/>
              <w:start w:w="80" w:type="dxa"/>
              <w:end w:w="80" w:type="dxa"/>
            </w:tcMar>
            <w:shd w:fill="EDF4FA"/>
          </w:tcPr>
          <w:p>
            <w:pPr>
              <w:pStyle w:val="TableText"/>
            </w:pPr>
            <w:r/>
            <w:r>
              <w:rPr>
                <w:b w:val="0"/>
              </w:rPr>
              <w:t>Evidence-informed implementation decision.</w:t>
            </w:r>
          </w:p>
        </w:tc>
      </w:tr>
      <w:tr>
        <w:tc>
          <w:tcPr>
            <w:tcW w:type="dxa" w:w="3096"/>
            <w:vAlign w:val="center"/>
            <w:tcMar>
              <w:top w:w="70" w:type="dxa"/>
              <w:bottom w:w="70" w:type="dxa"/>
              <w:start w:w="80" w:type="dxa"/>
              <w:end w:w="80" w:type="dxa"/>
            </w:tcMar>
          </w:tcPr>
          <w:p>
            <w:pPr>
              <w:pStyle w:val="TableText"/>
            </w:pPr>
            <w:r/>
            <w:r>
              <w:rPr>
                <w:b w:val="0"/>
              </w:rPr>
              <w:t>Missing data prevents LOW</w:t>
            </w:r>
          </w:p>
        </w:tc>
        <w:tc>
          <w:tcPr>
            <w:tcW w:type="dxa" w:w="4392"/>
            <w:vAlign w:val="center"/>
            <w:tcMar>
              <w:top w:w="70" w:type="dxa"/>
              <w:bottom w:w="70" w:type="dxa"/>
              <w:start w:w="80" w:type="dxa"/>
              <w:end w:w="80" w:type="dxa"/>
            </w:tcMar>
          </w:tcPr>
          <w:p>
            <w:pPr>
              <w:pStyle w:val="TableText"/>
            </w:pPr>
            <w:r/>
            <w:r>
              <w:rPr>
                <w:b w:val="0"/>
              </w:rPr>
              <w:t>False-negative prevention.</w:t>
            </w:r>
          </w:p>
        </w:tc>
        <w:tc>
          <w:tcPr>
            <w:tcW w:type="dxa" w:w="3240"/>
            <w:vAlign w:val="center"/>
            <w:tcMar>
              <w:top w:w="70" w:type="dxa"/>
              <w:bottom w:w="70" w:type="dxa"/>
              <w:start w:w="80" w:type="dxa"/>
              <w:end w:w="80" w:type="dxa"/>
            </w:tcMar>
          </w:tcPr>
          <w:p>
            <w:pPr>
              <w:pStyle w:val="TableText"/>
            </w:pPr>
            <w:r/>
            <w:r>
              <w:rPr>
                <w:b w:val="0"/>
              </w:rPr>
              <w:t>Project safety control.</w:t>
            </w:r>
          </w:p>
        </w:tc>
      </w:tr>
      <w:tr>
        <w:tc>
          <w:tcPr>
            <w:tcW w:type="dxa" w:w="3096"/>
            <w:vAlign w:val="center"/>
            <w:tcMar>
              <w:top w:w="70" w:type="dxa"/>
              <w:bottom w:w="70" w:type="dxa"/>
              <w:start w:w="80" w:type="dxa"/>
              <w:end w:w="80" w:type="dxa"/>
            </w:tcMar>
            <w:shd w:fill="EDF4FA"/>
          </w:tcPr>
          <w:p>
            <w:pPr>
              <w:pStyle w:val="TableText"/>
            </w:pPr>
            <w:r/>
            <w:r>
              <w:rPr>
                <w:b w:val="0"/>
              </w:rPr>
              <w:t>No diagnosis or prescription</w:t>
            </w:r>
          </w:p>
        </w:tc>
        <w:tc>
          <w:tcPr>
            <w:tcW w:type="dxa" w:w="4392"/>
            <w:vAlign w:val="center"/>
            <w:tcMar>
              <w:top w:w="70" w:type="dxa"/>
              <w:bottom w:w="70" w:type="dxa"/>
              <w:start w:w="80" w:type="dxa"/>
              <w:end w:w="80" w:type="dxa"/>
            </w:tcMar>
            <w:shd w:fill="EDF4FA"/>
          </w:tcPr>
          <w:p>
            <w:pPr>
              <w:pStyle w:val="TableText"/>
            </w:pPr>
            <w:r/>
            <w:r>
              <w:rPr>
                <w:b w:val="0"/>
              </w:rPr>
              <w:t>Dataset and intended-use boundaries.</w:t>
            </w:r>
          </w:p>
        </w:tc>
        <w:tc>
          <w:tcPr>
            <w:tcW w:type="dxa" w:w="3240"/>
            <w:vAlign w:val="center"/>
            <w:tcMar>
              <w:top w:w="70" w:type="dxa"/>
              <w:bottom w:w="70" w:type="dxa"/>
              <w:start w:w="80" w:type="dxa"/>
              <w:end w:w="80" w:type="dxa"/>
            </w:tcMar>
            <w:shd w:fill="EDF4FA"/>
          </w:tcPr>
          <w:p>
            <w:pPr>
              <w:pStyle w:val="TableText"/>
            </w:pPr>
            <w:r/>
            <w:r>
              <w:rPr>
                <w:b w:val="0"/>
              </w:rPr>
              <w:t>Project safety boundary.</w:t>
            </w:r>
          </w:p>
        </w:tc>
      </w:tr>
    </w:tbl>
    <w:p>
      <w:pPr>
        <w:spacing w:after="20"/>
      </w:pPr>
    </w:p>
    <w:p>
      <w:pPr>
        <w:pStyle w:val="Heading1"/>
      </w:pPr>
      <w:r>
        <w:t>Appendix B. Recommended Data for a Future Version</w:t>
      </w:r>
    </w:p>
    <w:p>
      <w:pPr>
        <w:pStyle w:val="ListBullet"/>
        <w:spacing w:after="40"/>
      </w:pPr>
      <w:r>
        <w:t>Haemoglobin value, unit, collection date, laboratory or device source, and quality-control status.</w:t>
      </w:r>
    </w:p>
    <w:p>
      <w:pPr>
        <w:pStyle w:val="ListBullet"/>
        <w:spacing w:after="40"/>
      </w:pPr>
      <w:r>
        <w:t>Gestational age or trimester at the time of testing.</w:t>
      </w:r>
    </w:p>
    <w:p>
      <w:pPr>
        <w:pStyle w:val="ListBullet"/>
        <w:spacing w:after="40"/>
      </w:pPr>
      <w:r>
        <w:t>Severity classification calculated only from a clinically approved, versioned threshold table.</w:t>
      </w:r>
    </w:p>
    <w:p>
      <w:pPr>
        <w:pStyle w:val="ListBullet"/>
        <w:spacing w:after="40"/>
      </w:pPr>
      <w:r>
        <w:t>Symptoms, vital signs, active or recent bleeding, and urgent escalation indicators.</w:t>
      </w:r>
    </w:p>
    <w:p>
      <w:pPr>
        <w:pStyle w:val="ListBullet"/>
        <w:spacing w:after="40"/>
      </w:pPr>
      <w:r>
        <w:t>Cause or suspected cause, including iron deficiency, folate or B12 deficiency, infection, chronic disease, haemoglobinopathy, or unknown.</w:t>
      </w:r>
    </w:p>
    <w:p>
      <w:pPr>
        <w:pStyle w:val="ListBullet"/>
        <w:spacing w:after="40"/>
      </w:pPr>
      <w:r>
        <w:t>Ferritin and other investigations when ordered and interpreted by the healthcare team.</w:t>
      </w:r>
    </w:p>
    <w:p>
      <w:pPr>
        <w:pStyle w:val="ListBullet"/>
        <w:spacing w:after="40"/>
      </w:pPr>
      <w:r>
        <w:t>Treatment plan, adherence, side effects, repeat result, and clinician-assessed response.</w:t>
      </w:r>
    </w:p>
    <w:p>
      <w:pPr>
        <w:pStyle w:val="ListBullet"/>
        <w:spacing w:after="40"/>
      </w:pPr>
      <w:r>
        <w:t>Referral destination, appointment date, acceptance, completion, and recommended place of birth.</w:t>
      </w:r>
    </w:p>
    <w:tbl>
      <w:tblPr>
        <w:tblW w:type="auto" w:w="0"/>
        <w:tblLook w:firstColumn="1" w:firstRow="1" w:lastColumn="0" w:lastRow="0" w:noHBand="0" w:noVBand="1" w:val="04A0"/>
      </w:tblPr>
      <w:tblGrid>
        <w:gridCol w:w="10080"/>
      </w:tblGrid>
      <w:tr>
        <w:tc>
          <w:tcPr>
            <w:tcW w:type="dxa" w:w="10080"/>
            <w:shd w:fill="FFF2CC"/>
            <w:tcBorders>
              <w:top w:val="single" w:sz="8" w:color="BF9000"/>
              <w:left w:val="single" w:sz="8" w:color="BF9000"/>
              <w:bottom w:val="single" w:sz="8" w:color="BF9000"/>
              <w:right w:val="single" w:sz="8" w:color="BF9000"/>
            </w:tcBorders>
            <w:tcMar>
              <w:top w:w="110" w:type="dxa"/>
              <w:bottom w:w="110" w:type="dxa"/>
              <w:start w:w="120" w:type="dxa"/>
              <w:end w:w="120" w:type="dxa"/>
            </w:tcMar>
          </w:tcPr>
          <w:p>
            <w:pPr>
              <w:pStyle w:val="Callout"/>
            </w:pPr>
            <w:r/>
            <w:r>
              <w:rPr>
                <w:b/>
                <w:color w:val="BF9000"/>
              </w:rPr>
              <w:t>Future-development warning</w:t>
              <w:br/>
            </w:r>
            <w:r>
              <w:t>Adding laboratory fields does not automatically justify treatment or transfusion recommendations. Any future severity, urgency, medication, or birth-planning logic requires separate evidence review, clinician approval, unit testing, clinical validation, and post-deployment monitoring.</w:t>
            </w:r>
          </w:p>
        </w:tc>
      </w:tr>
    </w:tbl>
    <w:p>
      <w:pPr>
        <w:spacing w:after="20"/>
      </w:pP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5"/>
      </w:rPr>
      <w:t>Part 4 - Maternal Anemia | Evidence specification for an explainable CDSS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5"/>
      </w:rPr>
      <w:t>DOCUMENT 4 | CLINICAL EVIDENCE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rial" w:hAnsi="Arial"/>
      <w:b/>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line="240" w:lineRule="auto"/>
    </w:pPr>
    <w:rPr>
      <w:rFonts w:ascii="Arial" w:hAnsi="Arial"/>
      <w:b w:val="0"/>
      <w:color w:val="666666"/>
      <w:sz w:val="16"/>
    </w:rPr>
  </w:style>
  <w:style w:type="paragraph" w:customStyle="1" w:styleId="Callout">
    <w:name w:val="Callout"/>
    <w:pPr>
      <w:spacing w:after="40" w:line="240" w:lineRule="auto"/>
    </w:pPr>
    <w:rPr>
      <w:rFonts w:ascii="Arial" w:hAnsi="Arial"/>
      <w:b w:val="0"/>
      <w:color w:val="1F1F1F"/>
      <w:sz w:val="19"/>
    </w:rPr>
  </w:style>
  <w:style w:type="paragraph" w:customStyle="1" w:styleId="TableText">
    <w:name w:val="Table Text"/>
    <w:pPr>
      <w:spacing w:after="40" w:line="240" w:lineRule="auto"/>
    </w:pPr>
    <w:rPr>
      <w:rFonts w:ascii="Arial" w:hAnsi="Arial"/>
      <w:b w:val="0"/>
      <w:color w:val="1F1F1F"/>
      <w:sz w:val="16"/>
    </w:rPr>
  </w:style>
  <w:style w:type="paragraph" w:customStyle="1" w:styleId="TableHeader">
    <w:name w:val="Table Header"/>
    <w:pPr>
      <w:spacing w:after="40" w:line="240" w:lineRule="auto"/>
    </w:pPr>
    <w:rPr>
      <w:rFonts w:ascii="Arial" w:hAnsi="Arial"/>
      <w:b/>
      <w:color w:val="FFFFFF"/>
      <w:sz w:val="16"/>
    </w:rPr>
  </w:style>
  <w:style w:type="paragraph" w:customStyle="1" w:styleId="Reference">
    <w:name w:val="Reference"/>
    <w:pPr>
      <w:spacing w:after="40" w:line="240" w:lineRule="auto"/>
    </w:pPr>
    <w:rPr>
      <w:rFonts w:ascii="Arial" w:hAnsi="Arial"/>
      <w:b w:val="0"/>
      <w:color w:val="1F1F1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0088542" TargetMode="External"/><Relationship Id="rId12" Type="http://schemas.openxmlformats.org/officeDocument/2006/relationships/hyperlink" Target="https://www.who.int/news-room/fact-sheets/detail/anaemia" TargetMode="External"/><Relationship Id="rId13" Type="http://schemas.openxmlformats.org/officeDocument/2006/relationships/hyperlink" Target="https://www.who.int/tools/elena/interventions/daily-iron-pregnancy" TargetMode="External"/><Relationship Id="rId14" Type="http://schemas.openxmlformats.org/officeDocument/2006/relationships/hyperlink" Target="https://www.acog.org/clinical/clinical-guidance/practice-bulletin/articles/2021/08/anemia-in-pregnancy" TargetMode="External"/><Relationship Id="rId15" Type="http://schemas.openxmlformats.org/officeDocument/2006/relationships/hyperlink" Target="https://www.acog.org/womens-health/faqs/healthy-eating-during-pregnancy" TargetMode="External"/><Relationship Id="rId16" Type="http://schemas.openxmlformats.org/officeDocument/2006/relationships/hyperlink" Target="https://pmc.ncbi.nlm.nih.gov/articles/PMC12640178/" TargetMode="External"/><Relationship Id="rId17" Type="http://schemas.openxmlformats.org/officeDocument/2006/relationships/hyperlink" Target="https://apps.who.int/nutrition/landscape/report.aspx?iso=PHL" TargetMode="External"/><Relationship Id="rId18" Type="http://schemas.openxmlformats.org/officeDocument/2006/relationships/hyperlink" Target="https://anaemiaalliance.who.int/resources/repository/item/guideline-daily-iron-and-folic-acid-supplementation-in-pregnant-women" TargetMode="External"/><Relationship Id="rId19" Type="http://schemas.openxmlformats.org/officeDocument/2006/relationships/hyperlink" Target="https://www.who.int/news/item/13-02-2025-combatting-anaemia-through-improved-measurement-diagnosis-and-repor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Part 4 - Maternal Anemia</dc:title>
  <dc:subject>Clinical evidence specification for an explainable maternity CDSS</dc:subject>
  <dc:creator>Capstone Research Team</dc:creator>
  <cp:keywords>CDSS, maternity, anemia, haemoglobin, lying-in clinic, explainability</cp:keywords>
  <dc:description>generated by python-docx</dc:description>
  <cp:lastModifiedBy/>
  <cp:revision>1</cp:revision>
  <dcterms:created xsi:type="dcterms:W3CDTF">2013-12-23T23:15:00Z</dcterms:created>
  <dcterms:modified xsi:type="dcterms:W3CDTF">2013-12-23T23:15:00Z</dcterms:modified>
  <cp:category/>
</cp:coreProperties>
</file>