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DOCUMENT 5</w:t>
      </w:r>
    </w:p>
    <w:p>
      <w:pPr>
        <w:pStyle w:val="Title"/>
        <w:jc w:val="center"/>
      </w:pPr>
      <w:r>
        <w:t>Risk Index Framework</w:t>
      </w:r>
    </w:p>
    <w:p>
      <w:pPr>
        <w:jc w:val="center"/>
      </w:pPr>
      <w:r>
        <w:rPr>
          <w:b/>
          <w:sz w:val="22"/>
        </w:rPr>
        <w:t>PART 9</w:t>
      </w:r>
    </w:p>
    <w:p>
      <w:pPr>
        <w:pStyle w:val="Title"/>
        <w:jc w:val="center"/>
      </w:pPr>
      <w:r>
        <w:t>Risk Communication Framework</w:t>
      </w:r>
    </w:p>
    <w:p>
      <w:pPr>
        <w:pStyle w:val="Subtitle"/>
        <w:jc w:val="center"/>
      </w:pPr>
      <w:r>
        <w:t>Standardized Clinical Messages, Explanation Layers, Uncertainty Disclosure, Referral Communication, Patient Counseling, Interface Consistency, and Auditability</w:t>
      </w:r>
    </w:p>
    <w:p/>
    <w:tbl>
      <w:tblPr>
        <w:tblStyle w:val="TableGrid"/>
        <w:tblW w:type="auto" w:w="0"/>
        <w:jc w:val="center"/>
        <w:tblLook w:firstColumn="1" w:firstRow="1" w:lastColumn="0" w:lastRow="0" w:noHBand="0" w:noVBand="1" w:val="04A0"/>
      </w:tblPr>
      <w:tblGrid>
        <w:gridCol w:w="10282"/>
      </w:tblGrid>
      <w:tr>
        <w:tc>
          <w:tcPr>
            <w:tcW w:type="dxa" w:w="10282"/>
            <w:shd w:fill="EAF2F8"/>
          </w:tcPr>
          <w:p>
            <w:pPr>
              <w:jc w:val="left"/>
            </w:pPr>
            <w:r/>
            <w:r>
              <w:rPr>
                <w:rFonts w:ascii="Arial" w:hAnsi="Arial"/>
                <w:b/>
                <w:sz w:val="19"/>
              </w:rPr>
              <w:t>Purpose of this chapter</w:t>
            </w:r>
          </w:p>
          <w:p>
            <w:pPr>
              <w:spacing w:after="0"/>
            </w:pPr>
            <w:r>
              <w:rPr>
                <w:rFonts w:ascii="Arial" w:hAnsi="Arial"/>
                <w:sz w:val="17"/>
              </w:rPr>
              <w:t>Part 9 defines how every CDSS result is communicated safely and consistently. It establishes the minimum content, wording, audience layers, referral messages, uncertainty statements, interface rules, documentation requirements, and validation scenarios for HIGH, LOW, and ASSESSMENT INCOMPLETE outputs.</w:t>
            </w:r>
          </w:p>
        </w:tc>
      </w:tr>
    </w:tbl>
    <w:p/>
    <w:p>
      <w:pPr>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t>Authoritative risk communication specification | July 2026</w:t>
      </w:r>
    </w:p>
    <w:p>
      <w:r>
        <w:br w:type="page"/>
      </w:r>
    </w:p>
    <w:p>
      <w:pPr>
        <w:pStyle w:val="Heading1"/>
      </w:pPr>
      <w:r>
        <w:t>Clinical Safety Statement</w:t>
      </w:r>
    </w:p>
    <w:tbl>
      <w:tblPr>
        <w:tblStyle w:val="TableGrid"/>
        <w:tblW w:type="auto" w:w="0"/>
        <w:jc w:val="center"/>
        <w:tblLook w:firstColumn="1" w:firstRow="1" w:lastColumn="0" w:lastRow="0" w:noHBand="0" w:noVBand="1" w:val="04A0"/>
      </w:tblPr>
      <w:tblGrid>
        <w:gridCol w:w="10282"/>
      </w:tblGrid>
      <w:tr>
        <w:tc>
          <w:tcPr>
            <w:tcW w:type="dxa" w:w="10282"/>
            <w:shd w:fill="FFF2CC"/>
          </w:tcPr>
          <w:p>
            <w:pPr>
              <w:spacing w:after="40"/>
            </w:pPr>
            <w:r/>
            <w:r>
              <w:rPr>
                <w:rFonts w:ascii="Arial" w:hAnsi="Arial"/>
                <w:b/>
                <w:sz w:val="18"/>
              </w:rPr>
              <w:t>Clinical boundary</w:t>
            </w:r>
          </w:p>
          <w:p>
            <w:pPr>
              <w:spacing w:after="0"/>
            </w:pPr>
            <w:r>
              <w:rPr>
                <w:rFonts w:ascii="Arial" w:hAnsi="Arial"/>
                <w:sz w:val="17"/>
              </w:rPr>
              <w:t>The CDSS communicates decision-support information to authorized health workers. It does not independently diagnose, prescribe, guarantee safety, or replace direct counseling and professional judgment. Patient-facing explanations must be delivered or reviewed by an authorized health worker, especially when referral, urgency, uncertainty, or refusal is involved.</w:t>
            </w:r>
          </w:p>
        </w:tc>
      </w:tr>
    </w:tbl>
    <w:p/>
    <w:p>
      <w:pPr>
        <w:pStyle w:val="Heading1"/>
      </w:pPr>
      <w:r>
        <w:t>Executive Summary</w:t>
      </w:r>
    </w:p>
    <w:p>
      <w:pPr>
        <w:spacing w:after="100" w:line="252" w:lineRule="auto"/>
      </w:pPr>
      <w:r>
        <w:t>A clinically correct classification can still cause harm when it is vague, alarmist, falsely reassuring, internally inconsistent, or disconnected from the next action. The Risk Communication Framework therefore treats communication as a safety control. Every output must answer six questions: What is the current state? Why was it assigned? What information is missing or uncertain? What should happen next? How urgent is the action? Who reviewed and acted on it?</w:t>
      </w:r>
    </w:p>
    <w:p>
      <w:pPr>
        <w:spacing w:after="100" w:line="252" w:lineRule="auto"/>
      </w:pPr>
      <w:r>
        <w:t>The framework uses three final risk states—HIGH, LOW, and ASSESSMENT INCOMPLETE—while keeping escalation urgency separate through E0 to E4. Messages are layered for midwives, administrators, print or handover records, audit reviewers, and patient counseling. The same assessment version, reasons, urgency, limitations, and recommendation must remain consistent across the screen, printed referral, email notification, and audit history.</w:t>
      </w:r>
    </w:p>
    <w:tbl>
      <w:tblPr>
        <w:tblStyle w:val="TableGrid"/>
        <w:tblW w:type="auto" w:w="0"/>
        <w:jc w:val="center"/>
        <w:tblLook w:firstColumn="1" w:firstRow="1" w:lastColumn="0" w:lastRow="0" w:noHBand="0" w:noVBand="1" w:val="04A0"/>
      </w:tblPr>
      <w:tblGrid>
        <w:gridCol w:w="10282"/>
      </w:tblGrid>
      <w:tr>
        <w:tc>
          <w:tcPr>
            <w:tcW w:type="dxa" w:w="10282"/>
            <w:shd w:fill="FFF2CC"/>
          </w:tcPr>
          <w:p>
            <w:pPr>
              <w:spacing w:after="40"/>
            </w:pPr>
            <w:r/>
            <w:r>
              <w:rPr>
                <w:rFonts w:ascii="Arial" w:hAnsi="Arial"/>
                <w:b/>
                <w:sz w:val="18"/>
              </w:rPr>
              <w:t>Central communication rule</w:t>
            </w:r>
          </w:p>
          <w:p>
            <w:pPr>
              <w:spacing w:after="0"/>
            </w:pPr>
            <w:r>
              <w:rPr>
                <w:rFonts w:ascii="Arial" w:hAnsi="Arial"/>
                <w:sz w:val="17"/>
              </w:rPr>
              <w:t>No output may present a risk label without its patient-specific basis, limitations, next action, and human-review status.</w:t>
            </w:r>
          </w:p>
        </w:tc>
      </w:tr>
    </w:tbl>
    <w:p/>
    <w:p>
      <w:pPr>
        <w:pStyle w:val="Heading1"/>
      </w:pPr>
      <w:r>
        <w:t>1. Purpose and Scope</w:t>
      </w:r>
    </w:p>
    <w:tbl>
      <w:tblPr>
        <w:tblStyle w:val="TableGrid"/>
        <w:tblW w:type="auto" w:w="0"/>
        <w:jc w:val="center"/>
        <w:tblLayout w:type="autofit"/>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In scope</w:t>
            </w:r>
          </w:p>
        </w:tc>
        <w:tc>
          <w:tcPr>
            <w:tcW w:type="dxa" w:w="5141"/>
            <w:vAlign w:val="center"/>
            <w:shd w:fill="D9EAF7"/>
          </w:tcPr>
          <w:p>
            <w:pPr>
              <w:spacing w:after="0"/>
            </w:pPr>
            <w:r/>
            <w:r>
              <w:rPr>
                <w:rFonts w:ascii="Arial" w:hAnsi="Arial"/>
                <w:b/>
                <w:sz w:val="16"/>
              </w:rPr>
              <w:t>Outside scope</w:t>
            </w:r>
          </w:p>
        </w:tc>
      </w:tr>
      <w:tr>
        <w:tc>
          <w:tcPr>
            <w:tcW w:type="dxa" w:w="5141"/>
            <w:vAlign w:val="center"/>
          </w:tcPr>
          <w:p>
            <w:pPr>
              <w:spacing w:after="0"/>
            </w:pPr>
            <w:r/>
            <w:r>
              <w:rPr>
                <w:rFonts w:ascii="Arial" w:hAnsi="Arial"/>
                <w:b w:val="0"/>
                <w:sz w:val="16"/>
              </w:rPr>
              <w:t>Defining standardized wording for HIGH, LOW, and ASSESSMENT INCOMPLETE.</w:t>
            </w:r>
          </w:p>
        </w:tc>
        <w:tc>
          <w:tcPr>
            <w:tcW w:type="dxa" w:w="5141"/>
            <w:vAlign w:val="center"/>
          </w:tcPr>
          <w:p>
            <w:pPr>
              <w:spacing w:after="0"/>
            </w:pPr>
            <w:r/>
            <w:r>
              <w:rPr>
                <w:rFonts w:ascii="Arial" w:hAnsi="Arial"/>
                <w:b w:val="0"/>
                <w:sz w:val="16"/>
              </w:rPr>
              <w:t>Replacing direct clinical explanation, consent, or counseling.</w:t>
            </w:r>
          </w:p>
        </w:tc>
      </w:tr>
      <w:tr>
        <w:tc>
          <w:tcPr>
            <w:tcW w:type="dxa" w:w="5141"/>
            <w:vAlign w:val="center"/>
          </w:tcPr>
          <w:p>
            <w:pPr>
              <w:spacing w:after="0"/>
            </w:pPr>
            <w:r/>
            <w:r>
              <w:rPr>
                <w:rFonts w:ascii="Arial" w:hAnsi="Arial"/>
                <w:b w:val="0"/>
                <w:sz w:val="16"/>
              </w:rPr>
              <w:t>Defining explanation layers for different authorized audiences.</w:t>
            </w:r>
          </w:p>
        </w:tc>
        <w:tc>
          <w:tcPr>
            <w:tcW w:type="dxa" w:w="5141"/>
            <w:vAlign w:val="center"/>
          </w:tcPr>
          <w:p>
            <w:pPr>
              <w:spacing w:after="0"/>
            </w:pPr>
            <w:r/>
            <w:r>
              <w:rPr>
                <w:rFonts w:ascii="Arial" w:hAnsi="Arial"/>
                <w:b w:val="0"/>
                <w:sz w:val="16"/>
              </w:rPr>
              <w:t>Producing autonomous patient-specific diagnosis or treatment.</w:t>
            </w:r>
          </w:p>
        </w:tc>
      </w:tr>
      <w:tr>
        <w:tc>
          <w:tcPr>
            <w:tcW w:type="dxa" w:w="5141"/>
            <w:vAlign w:val="center"/>
          </w:tcPr>
          <w:p>
            <w:pPr>
              <w:spacing w:after="0"/>
            </w:pPr>
            <w:r/>
            <w:r>
              <w:rPr>
                <w:rFonts w:ascii="Arial" w:hAnsi="Arial"/>
                <w:b w:val="0"/>
                <w:sz w:val="16"/>
              </w:rPr>
              <w:t>Communicating uncertainty, missing data, conflict, and ML limitations.</w:t>
            </w:r>
          </w:p>
        </w:tc>
        <w:tc>
          <w:tcPr>
            <w:tcW w:type="dxa" w:w="5141"/>
            <w:vAlign w:val="center"/>
          </w:tcPr>
          <w:p>
            <w:pPr>
              <w:spacing w:after="0"/>
            </w:pPr>
            <w:r/>
            <w:r>
              <w:rPr>
                <w:rFonts w:ascii="Arial" w:hAnsi="Arial"/>
                <w:b w:val="0"/>
                <w:sz w:val="16"/>
              </w:rPr>
              <w:t>Claiming that LOW means no future complication is possible.</w:t>
            </w:r>
          </w:p>
        </w:tc>
      </w:tr>
      <w:tr>
        <w:tc>
          <w:tcPr>
            <w:tcW w:type="dxa" w:w="5141"/>
            <w:vAlign w:val="center"/>
          </w:tcPr>
          <w:p>
            <w:pPr>
              <w:spacing w:after="0"/>
            </w:pPr>
            <w:r/>
            <w:r>
              <w:rPr>
                <w:rFonts w:ascii="Arial" w:hAnsi="Arial"/>
                <w:b w:val="0"/>
                <w:sz w:val="16"/>
              </w:rPr>
              <w:t>Connecting risk output to escalation, referral, refusal, follow-up, and audit.</w:t>
            </w:r>
          </w:p>
        </w:tc>
        <w:tc>
          <w:tcPr>
            <w:tcW w:type="dxa" w:w="5141"/>
            <w:vAlign w:val="center"/>
          </w:tcPr>
          <w:p>
            <w:pPr>
              <w:spacing w:after="0"/>
            </w:pPr>
            <w:r/>
            <w:r>
              <w:rPr>
                <w:rFonts w:ascii="Arial" w:hAnsi="Arial"/>
                <w:b w:val="0"/>
                <w:sz w:val="16"/>
              </w:rPr>
              <w:t>Using system messages as legal waivers or proof of completed care.</w:t>
            </w:r>
          </w:p>
        </w:tc>
      </w:tr>
      <w:tr>
        <w:tc>
          <w:tcPr>
            <w:tcW w:type="dxa" w:w="5141"/>
            <w:vAlign w:val="center"/>
          </w:tcPr>
          <w:p>
            <w:pPr>
              <w:spacing w:after="0"/>
            </w:pPr>
            <w:r/>
            <w:r>
              <w:rPr>
                <w:rFonts w:ascii="Arial" w:hAnsi="Arial"/>
                <w:b w:val="0"/>
                <w:sz w:val="16"/>
              </w:rPr>
              <w:t>Maintaining screen, print, email, and handover consistency.</w:t>
            </w:r>
          </w:p>
        </w:tc>
        <w:tc>
          <w:tcPr>
            <w:tcW w:type="dxa" w:w="5141"/>
            <w:vAlign w:val="center"/>
          </w:tcPr>
          <w:p>
            <w:pPr>
              <w:spacing w:after="0"/>
            </w:pPr>
            <w:r/>
            <w:r>
              <w:rPr>
                <w:rFonts w:ascii="Arial" w:hAnsi="Arial"/>
                <w:b w:val="0"/>
                <w:sz w:val="16"/>
              </w:rPr>
              <w:t>Allowing administrative status to rewrite the clinical assessment.</w:t>
            </w:r>
          </w:p>
        </w:tc>
      </w:tr>
    </w:tbl>
    <w:p>
      <w:pPr>
        <w:spacing w:after="0"/>
      </w:pPr>
    </w:p>
    <w:p>
      <w:pPr>
        <w:pStyle w:val="Heading1"/>
      </w:pPr>
      <w:r>
        <w:t>2. Communication Principles</w:t>
      </w:r>
    </w:p>
    <w:tbl>
      <w:tblPr>
        <w:tblStyle w:val="TableGrid"/>
        <w:tblW w:type="auto" w:w="0"/>
        <w:jc w:val="center"/>
        <w:tblLayout w:type="autofit"/>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Principle</w:t>
            </w:r>
          </w:p>
        </w:tc>
        <w:tc>
          <w:tcPr>
            <w:tcW w:type="dxa" w:w="5141"/>
            <w:vAlign w:val="center"/>
            <w:shd w:fill="D9EAF7"/>
          </w:tcPr>
          <w:p>
            <w:pPr>
              <w:spacing w:after="0"/>
            </w:pPr>
            <w:r/>
            <w:r>
              <w:rPr>
                <w:rFonts w:ascii="Arial" w:hAnsi="Arial"/>
                <w:b/>
                <w:sz w:val="16"/>
              </w:rPr>
              <w:t>Requirement</w:t>
            </w:r>
          </w:p>
        </w:tc>
      </w:tr>
      <w:tr>
        <w:tc>
          <w:tcPr>
            <w:tcW w:type="dxa" w:w="5141"/>
            <w:vAlign w:val="center"/>
          </w:tcPr>
          <w:p>
            <w:pPr>
              <w:spacing w:after="0"/>
            </w:pPr>
            <w:r/>
            <w:r>
              <w:rPr>
                <w:rFonts w:ascii="Arial" w:hAnsi="Arial"/>
                <w:b w:val="0"/>
                <w:sz w:val="16"/>
              </w:rPr>
              <w:t>Plain language</w:t>
            </w:r>
          </w:p>
        </w:tc>
        <w:tc>
          <w:tcPr>
            <w:tcW w:type="dxa" w:w="5141"/>
            <w:vAlign w:val="center"/>
          </w:tcPr>
          <w:p>
            <w:pPr>
              <w:spacing w:after="0"/>
            </w:pPr>
            <w:r/>
            <w:r>
              <w:rPr>
                <w:rFonts w:ascii="Arial" w:hAnsi="Arial"/>
                <w:b w:val="0"/>
                <w:sz w:val="16"/>
              </w:rPr>
              <w:t>Use understandable wording while retaining exact clinical values and source labels.</w:t>
            </w:r>
          </w:p>
        </w:tc>
      </w:tr>
      <w:tr>
        <w:tc>
          <w:tcPr>
            <w:tcW w:type="dxa" w:w="5141"/>
            <w:vAlign w:val="center"/>
          </w:tcPr>
          <w:p>
            <w:pPr>
              <w:spacing w:after="0"/>
            </w:pPr>
            <w:r/>
            <w:r>
              <w:rPr>
                <w:rFonts w:ascii="Arial" w:hAnsi="Arial"/>
                <w:b w:val="0"/>
                <w:sz w:val="16"/>
              </w:rPr>
              <w:t>Specificity</w:t>
            </w:r>
          </w:p>
        </w:tc>
        <w:tc>
          <w:tcPr>
            <w:tcW w:type="dxa" w:w="5141"/>
            <w:vAlign w:val="center"/>
          </w:tcPr>
          <w:p>
            <w:pPr>
              <w:spacing w:after="0"/>
            </w:pPr>
            <w:r/>
            <w:r>
              <w:rPr>
                <w:rFonts w:ascii="Arial" w:hAnsi="Arial"/>
                <w:b w:val="0"/>
                <w:sz w:val="16"/>
              </w:rPr>
              <w:t>State the patient-specific factors that caused the result; avoid generic statements.</w:t>
            </w:r>
          </w:p>
        </w:tc>
      </w:tr>
      <w:tr>
        <w:tc>
          <w:tcPr>
            <w:tcW w:type="dxa" w:w="5141"/>
            <w:vAlign w:val="center"/>
          </w:tcPr>
          <w:p>
            <w:pPr>
              <w:spacing w:after="0"/>
            </w:pPr>
            <w:r/>
            <w:r>
              <w:rPr>
                <w:rFonts w:ascii="Arial" w:hAnsi="Arial"/>
                <w:b w:val="0"/>
                <w:sz w:val="16"/>
              </w:rPr>
              <w:t>Actionability</w:t>
            </w:r>
          </w:p>
        </w:tc>
        <w:tc>
          <w:tcPr>
            <w:tcW w:type="dxa" w:w="5141"/>
            <w:vAlign w:val="center"/>
          </w:tcPr>
          <w:p>
            <w:pPr>
              <w:spacing w:after="0"/>
            </w:pPr>
            <w:r/>
            <w:r>
              <w:rPr>
                <w:rFonts w:ascii="Arial" w:hAnsi="Arial"/>
                <w:b w:val="0"/>
                <w:sz w:val="16"/>
              </w:rPr>
              <w:t>State the next required action, urgency, responsible role, and follow-up expectation.</w:t>
            </w:r>
          </w:p>
        </w:tc>
      </w:tr>
      <w:tr>
        <w:tc>
          <w:tcPr>
            <w:tcW w:type="dxa" w:w="5141"/>
            <w:vAlign w:val="center"/>
          </w:tcPr>
          <w:p>
            <w:pPr>
              <w:spacing w:after="0"/>
            </w:pPr>
            <w:r/>
            <w:r>
              <w:rPr>
                <w:rFonts w:ascii="Arial" w:hAnsi="Arial"/>
                <w:b w:val="0"/>
                <w:sz w:val="16"/>
              </w:rPr>
              <w:t>Visible uncertainty</w:t>
            </w:r>
          </w:p>
        </w:tc>
        <w:tc>
          <w:tcPr>
            <w:tcW w:type="dxa" w:w="5141"/>
            <w:vAlign w:val="center"/>
          </w:tcPr>
          <w:p>
            <w:pPr>
              <w:spacing w:after="0"/>
            </w:pPr>
            <w:r/>
            <w:r>
              <w:rPr>
                <w:rFonts w:ascii="Arial" w:hAnsi="Arial"/>
                <w:b w:val="0"/>
                <w:sz w:val="16"/>
              </w:rPr>
              <w:t>Show missing, stale, conflicting, unverified, or failed information rather than hiding it.</w:t>
            </w:r>
          </w:p>
        </w:tc>
      </w:tr>
      <w:tr>
        <w:tc>
          <w:tcPr>
            <w:tcW w:type="dxa" w:w="5141"/>
            <w:vAlign w:val="center"/>
          </w:tcPr>
          <w:p>
            <w:pPr>
              <w:spacing w:after="0"/>
            </w:pPr>
            <w:r/>
            <w:r>
              <w:rPr>
                <w:rFonts w:ascii="Arial" w:hAnsi="Arial"/>
                <w:b w:val="0"/>
                <w:sz w:val="16"/>
              </w:rPr>
              <w:t>Non-alarmist honesty</w:t>
            </w:r>
          </w:p>
        </w:tc>
        <w:tc>
          <w:tcPr>
            <w:tcW w:type="dxa" w:w="5141"/>
            <w:vAlign w:val="center"/>
          </w:tcPr>
          <w:p>
            <w:pPr>
              <w:spacing w:after="0"/>
            </w:pPr>
            <w:r/>
            <w:r>
              <w:rPr>
                <w:rFonts w:ascii="Arial" w:hAnsi="Arial"/>
                <w:b w:val="0"/>
                <w:sz w:val="16"/>
              </w:rPr>
              <w:t>Communicate concern without claiming certainty, diagnosis, or inevitable harm.</w:t>
            </w:r>
          </w:p>
        </w:tc>
      </w:tr>
      <w:tr>
        <w:tc>
          <w:tcPr>
            <w:tcW w:type="dxa" w:w="5141"/>
            <w:vAlign w:val="center"/>
          </w:tcPr>
          <w:p>
            <w:pPr>
              <w:spacing w:after="0"/>
            </w:pPr>
            <w:r/>
            <w:r>
              <w:rPr>
                <w:rFonts w:ascii="Arial" w:hAnsi="Arial"/>
                <w:b w:val="0"/>
                <w:sz w:val="16"/>
              </w:rPr>
              <w:t>Human authority</w:t>
            </w:r>
          </w:p>
        </w:tc>
        <w:tc>
          <w:tcPr>
            <w:tcW w:type="dxa" w:w="5141"/>
            <w:vAlign w:val="center"/>
          </w:tcPr>
          <w:p>
            <w:pPr>
              <w:spacing w:after="0"/>
            </w:pPr>
            <w:r/>
            <w:r>
              <w:rPr>
                <w:rFonts w:ascii="Arial" w:hAnsi="Arial"/>
                <w:b w:val="0"/>
                <w:sz w:val="16"/>
              </w:rPr>
              <w:t>State that the authorized health worker reviews and decides; the software supports.</w:t>
            </w:r>
          </w:p>
        </w:tc>
      </w:tr>
      <w:tr>
        <w:tc>
          <w:tcPr>
            <w:tcW w:type="dxa" w:w="5141"/>
            <w:vAlign w:val="center"/>
          </w:tcPr>
          <w:p>
            <w:pPr>
              <w:spacing w:after="0"/>
            </w:pPr>
            <w:r/>
            <w:r>
              <w:rPr>
                <w:rFonts w:ascii="Arial" w:hAnsi="Arial"/>
                <w:b w:val="0"/>
                <w:sz w:val="16"/>
              </w:rPr>
              <w:t>Consistency</w:t>
            </w:r>
          </w:p>
        </w:tc>
        <w:tc>
          <w:tcPr>
            <w:tcW w:type="dxa" w:w="5141"/>
            <w:vAlign w:val="center"/>
          </w:tcPr>
          <w:p>
            <w:pPr>
              <w:spacing w:after="0"/>
            </w:pPr>
            <w:r/>
            <w:r>
              <w:rPr>
                <w:rFonts w:ascii="Arial" w:hAnsi="Arial"/>
                <w:b w:val="0"/>
                <w:sz w:val="16"/>
              </w:rPr>
              <w:t>Use the same assessment version and message content across all channels.</w:t>
            </w:r>
          </w:p>
        </w:tc>
      </w:tr>
      <w:tr>
        <w:tc>
          <w:tcPr>
            <w:tcW w:type="dxa" w:w="5141"/>
            <w:vAlign w:val="center"/>
          </w:tcPr>
          <w:p>
            <w:pPr>
              <w:spacing w:after="0"/>
            </w:pPr>
            <w:r/>
            <w:r>
              <w:rPr>
                <w:rFonts w:ascii="Arial" w:hAnsi="Arial"/>
                <w:b w:val="0"/>
                <w:sz w:val="16"/>
              </w:rPr>
              <w:t>Historical integrity</w:t>
            </w:r>
          </w:p>
        </w:tc>
        <w:tc>
          <w:tcPr>
            <w:tcW w:type="dxa" w:w="5141"/>
            <w:vAlign w:val="center"/>
          </w:tcPr>
          <w:p>
            <w:pPr>
              <w:spacing w:after="0"/>
            </w:pPr>
            <w:r/>
            <w:r>
              <w:rPr>
                <w:rFonts w:ascii="Arial" w:hAnsi="Arial"/>
                <w:b w:val="0"/>
                <w:sz w:val="16"/>
              </w:rPr>
              <w:t>Later reassessment creates a new message version; earlier messages remain reconstructable.</w:t>
            </w:r>
          </w:p>
        </w:tc>
      </w:tr>
      <w:tr>
        <w:tc>
          <w:tcPr>
            <w:tcW w:type="dxa" w:w="5141"/>
            <w:vAlign w:val="center"/>
          </w:tcPr>
          <w:p>
            <w:pPr>
              <w:spacing w:after="0"/>
            </w:pPr>
            <w:r/>
            <w:r>
              <w:rPr>
                <w:rFonts w:ascii="Arial" w:hAnsi="Arial"/>
                <w:b w:val="0"/>
                <w:sz w:val="16"/>
              </w:rPr>
              <w:t>Respect and equity</w:t>
            </w:r>
          </w:p>
        </w:tc>
        <w:tc>
          <w:tcPr>
            <w:tcW w:type="dxa" w:w="5141"/>
            <w:vAlign w:val="center"/>
          </w:tcPr>
          <w:p>
            <w:pPr>
              <w:spacing w:after="0"/>
            </w:pPr>
            <w:r/>
            <w:r>
              <w:rPr>
                <w:rFonts w:ascii="Arial" w:hAnsi="Arial"/>
                <w:b w:val="0"/>
                <w:sz w:val="16"/>
              </w:rPr>
              <w:t>Avoid blame, stigmatizing labels, and assumptions about patient refusal or access barriers.</w:t>
            </w:r>
          </w:p>
        </w:tc>
      </w:tr>
    </w:tbl>
    <w:p>
      <w:pPr>
        <w:spacing w:after="0"/>
      </w:pPr>
    </w:p>
    <w:p>
      <w:pPr>
        <w:pStyle w:val="Heading1"/>
      </w:pPr>
      <w:r>
        <w:t>3. Communication Model</w:t>
      </w:r>
    </w:p>
    <w:p>
      <w:pPr>
        <w:pStyle w:val="ListNumber"/>
        <w:spacing w:after="40"/>
      </w:pPr>
      <w:r>
        <w:t>Verify patient identity, pregnancy episode, encounter, source, and measurement context.</w:t>
      </w:r>
    </w:p>
    <w:p>
      <w:pPr>
        <w:pStyle w:val="ListNumber"/>
        <w:spacing w:after="40"/>
      </w:pPr>
      <w:r>
        <w:t>Run deterministic rules, ML inference, completeness checks, and escalation logic.</w:t>
      </w:r>
    </w:p>
    <w:p>
      <w:pPr>
        <w:pStyle w:val="ListNumber"/>
        <w:spacing w:after="40"/>
      </w:pPr>
      <w:r>
        <w:t>Create one versioned assessment object containing state, urgency, reasons, limitations, and recommendation.</w:t>
      </w:r>
    </w:p>
    <w:p>
      <w:pPr>
        <w:pStyle w:val="ListNumber"/>
        <w:spacing w:after="40"/>
      </w:pPr>
      <w:r>
        <w:t>Generate audience-specific views from the same source object rather than rewriting messages independently.</w:t>
      </w:r>
    </w:p>
    <w:p>
      <w:pPr>
        <w:pStyle w:val="ListNumber"/>
        <w:spacing w:after="40"/>
      </w:pPr>
      <w:r>
        <w:t>Require authorized user review before counseling, referral completion, or manual override is recorded.</w:t>
      </w:r>
    </w:p>
    <w:p>
      <w:pPr>
        <w:pStyle w:val="ListNumber"/>
        <w:spacing w:after="40"/>
      </w:pPr>
      <w:r>
        <w:t>Document the patient discussion, decision, barriers, referral actions, and follow-up.</w:t>
      </w:r>
    </w:p>
    <w:p>
      <w:pPr>
        <w:pStyle w:val="ListNumber"/>
        <w:spacing w:after="40"/>
      </w:pPr>
      <w:r>
        <w:t>Preserve the exact communicated version in the audit trail.</w:t>
      </w:r>
    </w:p>
    <w:p>
      <w:pPr>
        <w:pStyle w:val="Heading1"/>
      </w:pPr>
      <w:r>
        <w:t>4. Minimum Risk Message Structure</w:t>
      </w:r>
    </w:p>
    <w:tbl>
      <w:tblPr>
        <w:tblStyle w:val="TableGrid"/>
        <w:tblW w:type="auto" w:w="0"/>
        <w:jc w:val="center"/>
        <w:tblLayout w:type="autofit"/>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Message component</w:t>
            </w:r>
          </w:p>
        </w:tc>
        <w:tc>
          <w:tcPr>
            <w:tcW w:type="dxa" w:w="5141"/>
            <w:vAlign w:val="center"/>
            <w:shd w:fill="D9EAF7"/>
          </w:tcPr>
          <w:p>
            <w:pPr>
              <w:spacing w:after="0"/>
            </w:pPr>
            <w:r/>
            <w:r>
              <w:rPr>
                <w:rFonts w:ascii="Arial" w:hAnsi="Arial"/>
                <w:b/>
                <w:sz w:val="16"/>
              </w:rPr>
              <w:t>Required content</w:t>
            </w:r>
          </w:p>
        </w:tc>
      </w:tr>
      <w:tr>
        <w:tc>
          <w:tcPr>
            <w:tcW w:type="dxa" w:w="5141"/>
            <w:vAlign w:val="center"/>
          </w:tcPr>
          <w:p>
            <w:pPr>
              <w:spacing w:after="0"/>
            </w:pPr>
            <w:r/>
            <w:r>
              <w:rPr>
                <w:rFonts w:ascii="Arial" w:hAnsi="Arial"/>
                <w:b w:val="0"/>
                <w:sz w:val="16"/>
              </w:rPr>
              <w:t>Identity and context</w:t>
            </w:r>
          </w:p>
        </w:tc>
        <w:tc>
          <w:tcPr>
            <w:tcW w:type="dxa" w:w="5141"/>
            <w:vAlign w:val="center"/>
          </w:tcPr>
          <w:p>
            <w:pPr>
              <w:spacing w:after="0"/>
            </w:pPr>
            <w:r/>
            <w:r>
              <w:rPr>
                <w:rFonts w:ascii="Arial" w:hAnsi="Arial"/>
                <w:b w:val="0"/>
                <w:sz w:val="16"/>
              </w:rPr>
              <w:t>Patient, current pregnancy, assessment date/time, encounter, and reviewer.</w:t>
            </w:r>
          </w:p>
        </w:tc>
      </w:tr>
      <w:tr>
        <w:tc>
          <w:tcPr>
            <w:tcW w:type="dxa" w:w="5141"/>
            <w:vAlign w:val="center"/>
          </w:tcPr>
          <w:p>
            <w:pPr>
              <w:spacing w:after="0"/>
            </w:pPr>
            <w:r/>
            <w:r>
              <w:rPr>
                <w:rFonts w:ascii="Arial" w:hAnsi="Arial"/>
                <w:b w:val="0"/>
                <w:sz w:val="16"/>
              </w:rPr>
              <w:t>Risk state</w:t>
            </w:r>
          </w:p>
        </w:tc>
        <w:tc>
          <w:tcPr>
            <w:tcW w:type="dxa" w:w="5141"/>
            <w:vAlign w:val="center"/>
          </w:tcPr>
          <w:p>
            <w:pPr>
              <w:spacing w:after="0"/>
            </w:pPr>
            <w:r/>
            <w:r>
              <w:rPr>
                <w:rFonts w:ascii="Arial" w:hAnsi="Arial"/>
                <w:b w:val="0"/>
                <w:sz w:val="16"/>
              </w:rPr>
              <w:t>HIGH, LOW, or ASSESSMENT INCOMPLETE.</w:t>
            </w:r>
          </w:p>
        </w:tc>
      </w:tr>
      <w:tr>
        <w:tc>
          <w:tcPr>
            <w:tcW w:type="dxa" w:w="5141"/>
            <w:vAlign w:val="center"/>
          </w:tcPr>
          <w:p>
            <w:pPr>
              <w:spacing w:after="0"/>
            </w:pPr>
            <w:r/>
            <w:r>
              <w:rPr>
                <w:rFonts w:ascii="Arial" w:hAnsi="Arial"/>
                <w:b w:val="0"/>
                <w:sz w:val="16"/>
              </w:rPr>
              <w:t>Escalation</w:t>
            </w:r>
          </w:p>
        </w:tc>
        <w:tc>
          <w:tcPr>
            <w:tcW w:type="dxa" w:w="5141"/>
            <w:vAlign w:val="center"/>
          </w:tcPr>
          <w:p>
            <w:pPr>
              <w:spacing w:after="0"/>
            </w:pPr>
            <w:r/>
            <w:r>
              <w:rPr>
                <w:rFonts w:ascii="Arial" w:hAnsi="Arial"/>
                <w:b w:val="0"/>
                <w:sz w:val="16"/>
              </w:rPr>
              <w:t>E0-E4, plain-language urgency, and source of urgency.</w:t>
            </w:r>
          </w:p>
        </w:tc>
      </w:tr>
      <w:tr>
        <w:tc>
          <w:tcPr>
            <w:tcW w:type="dxa" w:w="5141"/>
            <w:vAlign w:val="center"/>
          </w:tcPr>
          <w:p>
            <w:pPr>
              <w:spacing w:after="0"/>
            </w:pPr>
            <w:r/>
            <w:r>
              <w:rPr>
                <w:rFonts w:ascii="Arial" w:hAnsi="Arial"/>
                <w:b w:val="0"/>
                <w:sz w:val="16"/>
              </w:rPr>
              <w:t>Reasons</w:t>
            </w:r>
          </w:p>
        </w:tc>
        <w:tc>
          <w:tcPr>
            <w:tcW w:type="dxa" w:w="5141"/>
            <w:vAlign w:val="center"/>
          </w:tcPr>
          <w:p>
            <w:pPr>
              <w:spacing w:after="0"/>
            </w:pPr>
            <w:r/>
            <w:r>
              <w:rPr>
                <w:rFonts w:ascii="Arial" w:hAnsi="Arial"/>
                <w:b w:val="0"/>
                <w:sz w:val="16"/>
              </w:rPr>
              <w:t>All matched deterministic factors, ML contribution, values, dates, and source records.</w:t>
            </w:r>
          </w:p>
        </w:tc>
      </w:tr>
      <w:tr>
        <w:tc>
          <w:tcPr>
            <w:tcW w:type="dxa" w:w="5141"/>
            <w:vAlign w:val="center"/>
          </w:tcPr>
          <w:p>
            <w:pPr>
              <w:spacing w:after="0"/>
            </w:pPr>
            <w:r/>
            <w:r>
              <w:rPr>
                <w:rFonts w:ascii="Arial" w:hAnsi="Arial"/>
                <w:b w:val="0"/>
                <w:sz w:val="16"/>
              </w:rPr>
              <w:t>Limitations</w:t>
            </w:r>
          </w:p>
        </w:tc>
        <w:tc>
          <w:tcPr>
            <w:tcW w:type="dxa" w:w="5141"/>
            <w:vAlign w:val="center"/>
          </w:tcPr>
          <w:p>
            <w:pPr>
              <w:spacing w:after="0"/>
            </w:pPr>
            <w:r/>
            <w:r>
              <w:rPr>
                <w:rFonts w:ascii="Arial" w:hAnsi="Arial"/>
                <w:b w:val="0"/>
                <w:sz w:val="16"/>
              </w:rPr>
              <w:t>Missing, stale, unverified, contradictory, failed, or out-of-scope information.</w:t>
            </w:r>
          </w:p>
        </w:tc>
      </w:tr>
      <w:tr>
        <w:tc>
          <w:tcPr>
            <w:tcW w:type="dxa" w:w="5141"/>
            <w:vAlign w:val="center"/>
          </w:tcPr>
          <w:p>
            <w:pPr>
              <w:spacing w:after="0"/>
            </w:pPr>
            <w:r/>
            <w:r>
              <w:rPr>
                <w:rFonts w:ascii="Arial" w:hAnsi="Arial"/>
                <w:b w:val="0"/>
                <w:sz w:val="16"/>
              </w:rPr>
              <w:t>Recommendation</w:t>
            </w:r>
          </w:p>
        </w:tc>
        <w:tc>
          <w:tcPr>
            <w:tcW w:type="dxa" w:w="5141"/>
            <w:vAlign w:val="center"/>
          </w:tcPr>
          <w:p>
            <w:pPr>
              <w:spacing w:after="0"/>
            </w:pPr>
            <w:r/>
            <w:r>
              <w:rPr>
                <w:rFonts w:ascii="Arial" w:hAnsi="Arial"/>
                <w:b w:val="0"/>
                <w:sz w:val="16"/>
              </w:rPr>
              <w:t>Immediate next action, responsible role, referral or completion requirement, and follow-up.</w:t>
            </w:r>
          </w:p>
        </w:tc>
      </w:tr>
      <w:tr>
        <w:tc>
          <w:tcPr>
            <w:tcW w:type="dxa" w:w="5141"/>
            <w:vAlign w:val="center"/>
          </w:tcPr>
          <w:p>
            <w:pPr>
              <w:spacing w:after="0"/>
            </w:pPr>
            <w:r/>
            <w:r>
              <w:rPr>
                <w:rFonts w:ascii="Arial" w:hAnsi="Arial"/>
                <w:b w:val="0"/>
                <w:sz w:val="16"/>
              </w:rPr>
              <w:t>Scope statement</w:t>
            </w:r>
          </w:p>
        </w:tc>
        <w:tc>
          <w:tcPr>
            <w:tcW w:type="dxa" w:w="5141"/>
            <w:vAlign w:val="center"/>
          </w:tcPr>
          <w:p>
            <w:pPr>
              <w:spacing w:after="0"/>
            </w:pPr>
            <w:r/>
            <w:r>
              <w:rPr>
                <w:rFonts w:ascii="Arial" w:hAnsi="Arial"/>
                <w:b w:val="0"/>
                <w:sz w:val="16"/>
              </w:rPr>
              <w:t>Whether the recommended care exceeds normal lying-in capability.</w:t>
            </w:r>
          </w:p>
        </w:tc>
      </w:tr>
      <w:tr>
        <w:tc>
          <w:tcPr>
            <w:tcW w:type="dxa" w:w="5141"/>
            <w:vAlign w:val="center"/>
          </w:tcPr>
          <w:p>
            <w:pPr>
              <w:spacing w:after="0"/>
            </w:pPr>
            <w:r/>
            <w:r>
              <w:rPr>
                <w:rFonts w:ascii="Arial" w:hAnsi="Arial"/>
                <w:b w:val="0"/>
                <w:sz w:val="16"/>
              </w:rPr>
              <w:t>Human-review notice</w:t>
            </w:r>
          </w:p>
        </w:tc>
        <w:tc>
          <w:tcPr>
            <w:tcW w:type="dxa" w:w="5141"/>
            <w:vAlign w:val="center"/>
          </w:tcPr>
          <w:p>
            <w:pPr>
              <w:spacing w:after="0"/>
            </w:pPr>
            <w:r/>
            <w:r>
              <w:rPr>
                <w:rFonts w:ascii="Arial" w:hAnsi="Arial"/>
                <w:b w:val="0"/>
                <w:sz w:val="16"/>
              </w:rPr>
              <w:t>The output supports and does not replace professional judgment.</w:t>
            </w:r>
          </w:p>
        </w:tc>
      </w:tr>
      <w:tr>
        <w:tc>
          <w:tcPr>
            <w:tcW w:type="dxa" w:w="5141"/>
            <w:vAlign w:val="center"/>
          </w:tcPr>
          <w:p>
            <w:pPr>
              <w:spacing w:after="0"/>
            </w:pPr>
            <w:r/>
            <w:r>
              <w:rPr>
                <w:rFonts w:ascii="Arial" w:hAnsi="Arial"/>
                <w:b w:val="0"/>
                <w:sz w:val="16"/>
              </w:rPr>
              <w:t>Version/provenance</w:t>
            </w:r>
          </w:p>
        </w:tc>
        <w:tc>
          <w:tcPr>
            <w:tcW w:type="dxa" w:w="5141"/>
            <w:vAlign w:val="center"/>
          </w:tcPr>
          <w:p>
            <w:pPr>
              <w:spacing w:after="0"/>
            </w:pPr>
            <w:r/>
            <w:r>
              <w:rPr>
                <w:rFonts w:ascii="Arial" w:hAnsi="Arial"/>
                <w:b w:val="0"/>
                <w:sz w:val="16"/>
              </w:rPr>
              <w:t>Assessment, rules, model, recommendation, and communication-template versions.</w:t>
            </w:r>
          </w:p>
        </w:tc>
      </w:tr>
    </w:tbl>
    <w:p>
      <w:pPr>
        <w:spacing w:after="0"/>
      </w:pPr>
    </w:p>
    <w:p>
      <w:pPr>
        <w:pStyle w:val="Heading1"/>
      </w:pPr>
      <w:r>
        <w:t>5. Standardized State Messages</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State</w:t>
            </w:r>
          </w:p>
        </w:tc>
        <w:tc>
          <w:tcPr>
            <w:tcW w:type="dxa" w:w="3427"/>
            <w:vAlign w:val="center"/>
            <w:shd w:fill="D9EAF7"/>
          </w:tcPr>
          <w:p>
            <w:pPr>
              <w:spacing w:after="0"/>
            </w:pPr>
            <w:r/>
            <w:r>
              <w:rPr>
                <w:rFonts w:ascii="Arial" w:hAnsi="Arial"/>
                <w:b/>
                <w:sz w:val="16"/>
              </w:rPr>
              <w:t>Core staff message</w:t>
            </w:r>
          </w:p>
        </w:tc>
        <w:tc>
          <w:tcPr>
            <w:tcW w:type="dxa" w:w="3427"/>
            <w:vAlign w:val="center"/>
            <w:shd w:fill="D9EAF7"/>
          </w:tcPr>
          <w:p>
            <w:pPr>
              <w:spacing w:after="0"/>
            </w:pPr>
            <w:r/>
            <w:r>
              <w:rPr>
                <w:rFonts w:ascii="Arial" w:hAnsi="Arial"/>
                <w:b/>
                <w:sz w:val="16"/>
              </w:rPr>
              <w:t>Required patient-counseling meaning</w:t>
            </w:r>
          </w:p>
        </w:tc>
      </w:tr>
      <w:tr>
        <w:tc>
          <w:tcPr>
            <w:tcW w:type="dxa" w:w="3427"/>
            <w:vAlign w:val="center"/>
          </w:tcPr>
          <w:p>
            <w:pPr>
              <w:spacing w:after="0"/>
            </w:pPr>
            <w:r/>
            <w:r>
              <w:rPr>
                <w:rFonts w:ascii="Arial" w:hAnsi="Arial"/>
                <w:b w:val="0"/>
                <w:sz w:val="16"/>
              </w:rPr>
              <w:t>HIGH</w:t>
            </w:r>
          </w:p>
        </w:tc>
        <w:tc>
          <w:tcPr>
            <w:tcW w:type="dxa" w:w="3427"/>
            <w:vAlign w:val="center"/>
          </w:tcPr>
          <w:p>
            <w:pPr>
              <w:spacing w:after="0"/>
            </w:pPr>
            <w:r/>
            <w:r>
              <w:rPr>
                <w:rFonts w:ascii="Arial" w:hAnsi="Arial"/>
                <w:b w:val="0"/>
                <w:sz w:val="16"/>
              </w:rPr>
              <w:t>A high-risk factor or valid model concern was identified. Review the listed reasons and escalation level. Arrange the indicated higher-level assessment or urgent action. Do not treat referral creation as completed care.</w:t>
            </w:r>
          </w:p>
        </w:tc>
        <w:tc>
          <w:tcPr>
            <w:tcW w:type="dxa" w:w="3427"/>
            <w:vAlign w:val="center"/>
          </w:tcPr>
          <w:p>
            <w:pPr>
              <w:spacing w:after="0"/>
            </w:pPr>
            <w:r/>
            <w:r>
              <w:rPr>
                <w:rFonts w:ascii="Arial" w:hAnsi="Arial"/>
                <w:b w:val="0"/>
                <w:sz w:val="16"/>
              </w:rPr>
              <w:t>Explain that the findings need additional assessment or planning beyond routine lying-in care. Avoid saying that a complication is certain.</w:t>
            </w:r>
          </w:p>
        </w:tc>
      </w:tr>
      <w:tr>
        <w:tc>
          <w:tcPr>
            <w:tcW w:type="dxa" w:w="3427"/>
            <w:vAlign w:val="center"/>
          </w:tcPr>
          <w:p>
            <w:pPr>
              <w:spacing w:after="0"/>
            </w:pPr>
            <w:r/>
            <w:r>
              <w:rPr>
                <w:rFonts w:ascii="Arial" w:hAnsi="Arial"/>
                <w:b w:val="0"/>
                <w:sz w:val="16"/>
              </w:rPr>
              <w:t>LOW</w:t>
            </w:r>
          </w:p>
        </w:tc>
        <w:tc>
          <w:tcPr>
            <w:tcW w:type="dxa" w:w="3427"/>
            <w:vAlign w:val="center"/>
          </w:tcPr>
          <w:p>
            <w:pPr>
              <w:spacing w:after="0"/>
            </w:pPr>
            <w:r/>
            <w:r>
              <w:rPr>
                <w:rFonts w:ascii="Arial" w:hAnsi="Arial"/>
                <w:b w:val="0"/>
                <w:sz w:val="16"/>
              </w:rPr>
              <w:t>Required records are complete, no approved deterministic HIGH factor is active, and the validated model output is LOW for this assessment snapshot. Continue routine care and return precautions.</w:t>
            </w:r>
          </w:p>
        </w:tc>
        <w:tc>
          <w:tcPr>
            <w:tcW w:type="dxa" w:w="3427"/>
            <w:vAlign w:val="center"/>
          </w:tcPr>
          <w:p>
            <w:pPr>
              <w:spacing w:after="0"/>
            </w:pPr>
            <w:r/>
            <w:r>
              <w:rPr>
                <w:rFonts w:ascii="Arial" w:hAnsi="Arial"/>
                <w:b w:val="0"/>
                <w:sz w:val="16"/>
              </w:rPr>
              <w:t>Explain that no currently encoded high-risk factor was identified, but new symptoms or findings still require prompt review.</w:t>
            </w:r>
          </w:p>
        </w:tc>
      </w:tr>
      <w:tr>
        <w:tc>
          <w:tcPr>
            <w:tcW w:type="dxa" w:w="3427"/>
            <w:vAlign w:val="center"/>
          </w:tcPr>
          <w:p>
            <w:pPr>
              <w:spacing w:after="0"/>
            </w:pPr>
            <w:r/>
            <w:r>
              <w:rPr>
                <w:rFonts w:ascii="Arial" w:hAnsi="Arial"/>
                <w:b w:val="0"/>
                <w:sz w:val="16"/>
              </w:rPr>
              <w:t>ASSESSMENT INCOMPLETE</w:t>
            </w:r>
          </w:p>
        </w:tc>
        <w:tc>
          <w:tcPr>
            <w:tcW w:type="dxa" w:w="3427"/>
            <w:vAlign w:val="center"/>
          </w:tcPr>
          <w:p>
            <w:pPr>
              <w:spacing w:after="0"/>
            </w:pPr>
            <w:r/>
            <w:r>
              <w:rPr>
                <w:rFonts w:ascii="Arial" w:hAnsi="Arial"/>
                <w:b w:val="0"/>
                <w:sz w:val="16"/>
              </w:rPr>
              <w:t>The system cannot safely classify this assessment as LOW because required information or valid ML output is unavailable. Complete or verify the listed items. Escalate sooner when clinical concern exists.</w:t>
            </w:r>
          </w:p>
        </w:tc>
        <w:tc>
          <w:tcPr>
            <w:tcW w:type="dxa" w:w="3427"/>
            <w:vAlign w:val="center"/>
          </w:tcPr>
          <w:p>
            <w:pPr>
              <w:spacing w:after="0"/>
            </w:pPr>
            <w:r/>
            <w:r>
              <w:rPr>
                <w:rFonts w:ascii="Arial" w:hAnsi="Arial"/>
                <w:b w:val="0"/>
                <w:sz w:val="16"/>
              </w:rPr>
              <w:t>Explain what information is missing and why completion matters. Do not describe the patient as low risk.</w:t>
            </w:r>
          </w:p>
        </w:tc>
      </w:tr>
    </w:tbl>
    <w:p>
      <w:pPr>
        <w:spacing w:after="0"/>
      </w:pPr>
    </w:p>
    <w:p>
      <w:pPr>
        <w:pStyle w:val="Heading1"/>
      </w:pPr>
      <w:r>
        <w:t>6. Communication of Deterministic and ML Evidence</w:t>
      </w:r>
    </w:p>
    <w:tbl>
      <w:tblPr>
        <w:tblStyle w:val="TableGrid"/>
        <w:tblW w:type="auto" w:w="0"/>
        <w:jc w:val="center"/>
        <w:tblLayout w:type="autofit"/>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Evidence source</w:t>
            </w:r>
          </w:p>
        </w:tc>
        <w:tc>
          <w:tcPr>
            <w:tcW w:type="dxa" w:w="5141"/>
            <w:vAlign w:val="center"/>
            <w:shd w:fill="D9EAF7"/>
          </w:tcPr>
          <w:p>
            <w:pPr>
              <w:spacing w:after="0"/>
            </w:pPr>
            <w:r/>
            <w:r>
              <w:rPr>
                <w:rFonts w:ascii="Arial" w:hAnsi="Arial"/>
                <w:b/>
                <w:sz w:val="16"/>
              </w:rPr>
              <w:t>How it must be communicated</w:t>
            </w:r>
          </w:p>
        </w:tc>
      </w:tr>
      <w:tr>
        <w:tc>
          <w:tcPr>
            <w:tcW w:type="dxa" w:w="5141"/>
            <w:vAlign w:val="center"/>
          </w:tcPr>
          <w:p>
            <w:pPr>
              <w:spacing w:after="0"/>
            </w:pPr>
            <w:r/>
            <w:r>
              <w:rPr>
                <w:rFonts w:ascii="Arial" w:hAnsi="Arial"/>
                <w:b w:val="0"/>
                <w:sz w:val="16"/>
              </w:rPr>
              <w:t>Deterministic rule</w:t>
            </w:r>
          </w:p>
        </w:tc>
        <w:tc>
          <w:tcPr>
            <w:tcW w:type="dxa" w:w="5141"/>
            <w:vAlign w:val="center"/>
          </w:tcPr>
          <w:p>
            <w:pPr>
              <w:spacing w:after="0"/>
            </w:pPr>
            <w:r/>
            <w:r>
              <w:rPr>
                <w:rFonts w:ascii="Arial" w:hAnsi="Arial"/>
                <w:b w:val="0"/>
                <w:sz w:val="16"/>
              </w:rPr>
              <w:t>Name the factor, exact value/category, threshold or rule identifier, source record, and action implication.</w:t>
            </w:r>
          </w:p>
        </w:tc>
      </w:tr>
      <w:tr>
        <w:tc>
          <w:tcPr>
            <w:tcW w:type="dxa" w:w="5141"/>
            <w:vAlign w:val="center"/>
          </w:tcPr>
          <w:p>
            <w:pPr>
              <w:spacing w:after="0"/>
            </w:pPr>
            <w:r/>
            <w:r>
              <w:rPr>
                <w:rFonts w:ascii="Arial" w:hAnsi="Arial"/>
                <w:b w:val="0"/>
                <w:sz w:val="16"/>
              </w:rPr>
              <w:t>ML HIGH</w:t>
            </w:r>
          </w:p>
        </w:tc>
        <w:tc>
          <w:tcPr>
            <w:tcW w:type="dxa" w:w="5141"/>
            <w:vAlign w:val="center"/>
          </w:tcPr>
          <w:p>
            <w:pPr>
              <w:spacing w:after="0"/>
            </w:pPr>
            <w:r/>
            <w:r>
              <w:rPr>
                <w:rFonts w:ascii="Arial" w:hAnsi="Arial"/>
                <w:b w:val="0"/>
                <w:sz w:val="16"/>
              </w:rPr>
              <w:t>Label it as a model-supported concern, show the approved explanation summary and limitations, and do not present it as diagnosis.</w:t>
            </w:r>
          </w:p>
        </w:tc>
      </w:tr>
      <w:tr>
        <w:tc>
          <w:tcPr>
            <w:tcW w:type="dxa" w:w="5141"/>
            <w:vAlign w:val="center"/>
          </w:tcPr>
          <w:p>
            <w:pPr>
              <w:spacing w:after="0"/>
            </w:pPr>
            <w:r/>
            <w:r>
              <w:rPr>
                <w:rFonts w:ascii="Arial" w:hAnsi="Arial"/>
                <w:b w:val="0"/>
                <w:sz w:val="16"/>
              </w:rPr>
              <w:t>ML LOW</w:t>
            </w:r>
          </w:p>
        </w:tc>
        <w:tc>
          <w:tcPr>
            <w:tcW w:type="dxa" w:w="5141"/>
            <w:vAlign w:val="center"/>
          </w:tcPr>
          <w:p>
            <w:pPr>
              <w:spacing w:after="0"/>
            </w:pPr>
            <w:r/>
            <w:r>
              <w:rPr>
                <w:rFonts w:ascii="Arial" w:hAnsi="Arial"/>
                <w:b w:val="0"/>
                <w:sz w:val="16"/>
              </w:rPr>
              <w:t>Use only when all required records are complete and no deterministic HIGH is active. Do not display a probability as a guarantee.</w:t>
            </w:r>
          </w:p>
        </w:tc>
      </w:tr>
      <w:tr>
        <w:tc>
          <w:tcPr>
            <w:tcW w:type="dxa" w:w="5141"/>
            <w:vAlign w:val="center"/>
          </w:tcPr>
          <w:p>
            <w:pPr>
              <w:spacing w:after="0"/>
            </w:pPr>
            <w:r/>
            <w:r>
              <w:rPr>
                <w:rFonts w:ascii="Arial" w:hAnsi="Arial"/>
                <w:b w:val="0"/>
                <w:sz w:val="16"/>
              </w:rPr>
              <w:t>ML failure/invalid output</w:t>
            </w:r>
          </w:p>
        </w:tc>
        <w:tc>
          <w:tcPr>
            <w:tcW w:type="dxa" w:w="5141"/>
            <w:vAlign w:val="center"/>
          </w:tcPr>
          <w:p>
            <w:pPr>
              <w:spacing w:after="0"/>
            </w:pPr>
            <w:r/>
            <w:r>
              <w:rPr>
                <w:rFonts w:ascii="Arial" w:hAnsi="Arial"/>
                <w:b w:val="0"/>
                <w:sz w:val="16"/>
              </w:rPr>
              <w:t>State that model processing failed or was invalid; preserve deterministic HIGH factors and otherwise classify as INCOMPLETE.</w:t>
            </w:r>
          </w:p>
        </w:tc>
      </w:tr>
      <w:tr>
        <w:tc>
          <w:tcPr>
            <w:tcW w:type="dxa" w:w="5141"/>
            <w:vAlign w:val="center"/>
          </w:tcPr>
          <w:p>
            <w:pPr>
              <w:spacing w:after="0"/>
            </w:pPr>
            <w:r/>
            <w:r>
              <w:rPr>
                <w:rFonts w:ascii="Arial" w:hAnsi="Arial"/>
                <w:b w:val="0"/>
                <w:sz w:val="16"/>
              </w:rPr>
              <w:t>Conflicting rule and ML</w:t>
            </w:r>
          </w:p>
        </w:tc>
        <w:tc>
          <w:tcPr>
            <w:tcW w:type="dxa" w:w="5141"/>
            <w:vAlign w:val="center"/>
          </w:tcPr>
          <w:p>
            <w:pPr>
              <w:spacing w:after="0"/>
            </w:pPr>
            <w:r/>
            <w:r>
              <w:rPr>
                <w:rFonts w:ascii="Arial" w:hAnsi="Arial"/>
                <w:b w:val="0"/>
                <w:sz w:val="16"/>
              </w:rPr>
              <w:t>State that the deterministic HIGH factor takes precedence and show both outputs without implying an unresolved tie.</w:t>
            </w:r>
          </w:p>
        </w:tc>
      </w:tr>
    </w:tbl>
    <w:p>
      <w:pPr>
        <w:spacing w:after="0"/>
      </w:pPr>
    </w:p>
    <w:p>
      <w:pPr>
        <w:pStyle w:val="Heading1"/>
      </w:pPr>
      <w:r>
        <w:t>7. Uncertainty and Missing-Data Language</w:t>
      </w:r>
    </w:p>
    <w:p>
      <w:pPr>
        <w:pStyle w:val="ListBullet"/>
        <w:spacing w:after="40"/>
      </w:pPr>
      <w:r>
        <w:t>Use 'not available,' 'not verified,' 'outdated,' 'conflicting,' or 'processing failed' instead of silently treating a field as normal.</w:t>
      </w:r>
    </w:p>
    <w:p>
      <w:pPr>
        <w:pStyle w:val="ListBullet"/>
        <w:spacing w:after="40"/>
      </w:pPr>
      <w:r>
        <w:t>State which record is required: medical history, ultrasound report, birth plan, prenatal measurement, or other approved input.</w:t>
      </w:r>
    </w:p>
    <w:p>
      <w:pPr>
        <w:pStyle w:val="ListBullet"/>
        <w:spacing w:after="40"/>
      </w:pPr>
      <w:r>
        <w:t>Distinguish missing information from a clinically negative finding.</w:t>
      </w:r>
    </w:p>
    <w:p>
      <w:pPr>
        <w:pStyle w:val="ListBullet"/>
        <w:spacing w:after="40"/>
      </w:pPr>
      <w:r>
        <w:t>Do not hide uncertainty inside tooltips only; it must be visible in the main message when it affects classification or action.</w:t>
      </w:r>
    </w:p>
    <w:p>
      <w:pPr>
        <w:pStyle w:val="ListBullet"/>
        <w:spacing w:after="40"/>
      </w:pPr>
      <w:r>
        <w:t>Allow the clinician to escalate despite incomplete data when direct assessment indicates concern.</w:t>
      </w:r>
    </w:p>
    <w:p>
      <w:pPr>
        <w:pStyle w:val="Heading1"/>
      </w:pPr>
      <w:r>
        <w:t>8. Audience-Specific Layers</w:t>
      </w:r>
    </w:p>
    <w:tbl>
      <w:tblPr>
        <w:tblStyle w:val="TableGrid"/>
        <w:tblW w:type="auto" w:w="0"/>
        <w:jc w:val="center"/>
        <w:tblLayout w:type="autofit"/>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Audience</w:t>
            </w:r>
          </w:p>
        </w:tc>
        <w:tc>
          <w:tcPr>
            <w:tcW w:type="dxa" w:w="5141"/>
            <w:vAlign w:val="center"/>
            <w:shd w:fill="D9EAF7"/>
          </w:tcPr>
          <w:p>
            <w:pPr>
              <w:spacing w:after="0"/>
            </w:pPr>
            <w:r/>
            <w:r>
              <w:rPr>
                <w:rFonts w:ascii="Arial" w:hAnsi="Arial"/>
                <w:b/>
                <w:sz w:val="16"/>
              </w:rPr>
              <w:t>Information layer</w:t>
            </w:r>
          </w:p>
        </w:tc>
      </w:tr>
      <w:tr>
        <w:tc>
          <w:tcPr>
            <w:tcW w:type="dxa" w:w="5141"/>
            <w:vAlign w:val="center"/>
          </w:tcPr>
          <w:p>
            <w:pPr>
              <w:spacing w:after="0"/>
            </w:pPr>
            <w:r/>
            <w:r>
              <w:rPr>
                <w:rFonts w:ascii="Arial" w:hAnsi="Arial"/>
                <w:b w:val="0"/>
                <w:sz w:val="16"/>
              </w:rPr>
              <w:t>Midwife/authorized user</w:t>
            </w:r>
          </w:p>
        </w:tc>
        <w:tc>
          <w:tcPr>
            <w:tcW w:type="dxa" w:w="5141"/>
            <w:vAlign w:val="center"/>
          </w:tcPr>
          <w:p>
            <w:pPr>
              <w:spacing w:after="0"/>
            </w:pPr>
            <w:r/>
            <w:r>
              <w:rPr>
                <w:rFonts w:ascii="Arial" w:hAnsi="Arial"/>
                <w:b w:val="0"/>
                <w:sz w:val="16"/>
              </w:rPr>
              <w:t>Full state, escalation, patient-specific reasons, values, source dates, limitations, action buttons, and review acknowledgment.</w:t>
            </w:r>
          </w:p>
        </w:tc>
      </w:tr>
      <w:tr>
        <w:tc>
          <w:tcPr>
            <w:tcW w:type="dxa" w:w="5141"/>
            <w:vAlign w:val="center"/>
          </w:tcPr>
          <w:p>
            <w:pPr>
              <w:spacing w:after="0"/>
            </w:pPr>
            <w:r/>
            <w:r>
              <w:rPr>
                <w:rFonts w:ascii="Arial" w:hAnsi="Arial"/>
                <w:b w:val="0"/>
                <w:sz w:val="16"/>
              </w:rPr>
              <w:t>Clinic administrator</w:t>
            </w:r>
          </w:p>
        </w:tc>
        <w:tc>
          <w:tcPr>
            <w:tcW w:type="dxa" w:w="5141"/>
            <w:vAlign w:val="center"/>
          </w:tcPr>
          <w:p>
            <w:pPr>
              <w:spacing w:after="0"/>
            </w:pPr>
            <w:r/>
            <w:r>
              <w:rPr>
                <w:rFonts w:ascii="Arial" w:hAnsi="Arial"/>
                <w:b w:val="0"/>
                <w:sz w:val="16"/>
              </w:rPr>
              <w:t>Operational status, referral coordination, contact failures, follow-up due dates, and de-identified service indicators; no unnecessary clinical detail.</w:t>
            </w:r>
          </w:p>
        </w:tc>
      </w:tr>
      <w:tr>
        <w:tc>
          <w:tcPr>
            <w:tcW w:type="dxa" w:w="5141"/>
            <w:vAlign w:val="center"/>
          </w:tcPr>
          <w:p>
            <w:pPr>
              <w:spacing w:after="0"/>
            </w:pPr>
            <w:r/>
            <w:r>
              <w:rPr>
                <w:rFonts w:ascii="Arial" w:hAnsi="Arial"/>
                <w:b w:val="0"/>
                <w:sz w:val="16"/>
              </w:rPr>
              <w:t>Receiving facility/handover</w:t>
            </w:r>
          </w:p>
        </w:tc>
        <w:tc>
          <w:tcPr>
            <w:tcW w:type="dxa" w:w="5141"/>
            <w:vAlign w:val="center"/>
          </w:tcPr>
          <w:p>
            <w:pPr>
              <w:spacing w:after="0"/>
            </w:pPr>
            <w:r/>
            <w:r>
              <w:rPr>
                <w:rFonts w:ascii="Arial" w:hAnsi="Arial"/>
                <w:b w:val="0"/>
                <w:sz w:val="16"/>
              </w:rPr>
              <w:t>Patient identity, pregnancy context, reason for referral, urgency, relevant values, actions already taken, contact details, and sending clinician.</w:t>
            </w:r>
          </w:p>
        </w:tc>
      </w:tr>
      <w:tr>
        <w:tc>
          <w:tcPr>
            <w:tcW w:type="dxa" w:w="5141"/>
            <w:vAlign w:val="center"/>
          </w:tcPr>
          <w:p>
            <w:pPr>
              <w:spacing w:after="0"/>
            </w:pPr>
            <w:r/>
            <w:r>
              <w:rPr>
                <w:rFonts w:ascii="Arial" w:hAnsi="Arial"/>
                <w:b w:val="0"/>
                <w:sz w:val="16"/>
              </w:rPr>
              <w:t>Patient counseling</w:t>
            </w:r>
          </w:p>
        </w:tc>
        <w:tc>
          <w:tcPr>
            <w:tcW w:type="dxa" w:w="5141"/>
            <w:vAlign w:val="center"/>
          </w:tcPr>
          <w:p>
            <w:pPr>
              <w:spacing w:after="0"/>
            </w:pPr>
            <w:r/>
            <w:r>
              <w:rPr>
                <w:rFonts w:ascii="Arial" w:hAnsi="Arial"/>
                <w:b w:val="0"/>
                <w:sz w:val="16"/>
              </w:rPr>
              <w:t>Plain-language explanation of concern, uncertainty, recommended next step, benefits of referral, foreseeable risks of delay, and return/emergency precautions.</w:t>
            </w:r>
          </w:p>
        </w:tc>
      </w:tr>
      <w:tr>
        <w:tc>
          <w:tcPr>
            <w:tcW w:type="dxa" w:w="5141"/>
            <w:vAlign w:val="center"/>
          </w:tcPr>
          <w:p>
            <w:pPr>
              <w:spacing w:after="0"/>
            </w:pPr>
            <w:r/>
            <w:r>
              <w:rPr>
                <w:rFonts w:ascii="Arial" w:hAnsi="Arial"/>
                <w:b w:val="0"/>
                <w:sz w:val="16"/>
              </w:rPr>
              <w:t>Audit/reviewer</w:t>
            </w:r>
          </w:p>
        </w:tc>
        <w:tc>
          <w:tcPr>
            <w:tcW w:type="dxa" w:w="5141"/>
            <w:vAlign w:val="center"/>
          </w:tcPr>
          <w:p>
            <w:pPr>
              <w:spacing w:after="0"/>
            </w:pPr>
            <w:r/>
            <w:r>
              <w:rPr>
                <w:rFonts w:ascii="Arial" w:hAnsi="Arial"/>
                <w:b w:val="0"/>
                <w:sz w:val="16"/>
              </w:rPr>
              <w:t>Complete provenance, versions, generated text, user edits, communication channel, timestamps, patient response, and outcome.</w:t>
            </w:r>
          </w:p>
        </w:tc>
      </w:tr>
    </w:tbl>
    <w:p>
      <w:pPr>
        <w:spacing w:after="0"/>
      </w:pPr>
    </w:p>
    <w:p>
      <w:pPr>
        <w:pStyle w:val="Heading1"/>
      </w:pPr>
      <w:r>
        <w:t>9. Referral, Refusal, and Safety-Net Communication</w:t>
      </w:r>
    </w:p>
    <w:tbl>
      <w:tblPr>
        <w:tblStyle w:val="TableGrid"/>
        <w:tblW w:type="auto" w:w="0"/>
        <w:jc w:val="center"/>
        <w:tblLayout w:type="autofit"/>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Situation</w:t>
            </w:r>
          </w:p>
        </w:tc>
        <w:tc>
          <w:tcPr>
            <w:tcW w:type="dxa" w:w="5141"/>
            <w:vAlign w:val="center"/>
            <w:shd w:fill="D9EAF7"/>
          </w:tcPr>
          <w:p>
            <w:pPr>
              <w:spacing w:after="0"/>
            </w:pPr>
            <w:r/>
            <w:r>
              <w:rPr>
                <w:rFonts w:ascii="Arial" w:hAnsi="Arial"/>
                <w:b/>
                <w:sz w:val="16"/>
              </w:rPr>
              <w:t>Required communication</w:t>
            </w:r>
          </w:p>
        </w:tc>
      </w:tr>
      <w:tr>
        <w:tc>
          <w:tcPr>
            <w:tcW w:type="dxa" w:w="5141"/>
            <w:vAlign w:val="center"/>
          </w:tcPr>
          <w:p>
            <w:pPr>
              <w:spacing w:after="0"/>
            </w:pPr>
            <w:r/>
            <w:r>
              <w:rPr>
                <w:rFonts w:ascii="Arial" w:hAnsi="Arial"/>
                <w:b w:val="0"/>
                <w:sz w:val="16"/>
              </w:rPr>
              <w:t>Referral recommended</w:t>
            </w:r>
          </w:p>
        </w:tc>
        <w:tc>
          <w:tcPr>
            <w:tcW w:type="dxa" w:w="5141"/>
            <w:vAlign w:val="center"/>
          </w:tcPr>
          <w:p>
            <w:pPr>
              <w:spacing w:after="0"/>
            </w:pPr>
            <w:r/>
            <w:r>
              <w:rPr>
                <w:rFonts w:ascii="Arial" w:hAnsi="Arial"/>
                <w:b w:val="0"/>
                <w:sz w:val="16"/>
              </w:rPr>
              <w:t>Explain reason, urgency, expected destination/service, and that referral is for further assessment or management.</w:t>
            </w:r>
          </w:p>
        </w:tc>
      </w:tr>
      <w:tr>
        <w:tc>
          <w:tcPr>
            <w:tcW w:type="dxa" w:w="5141"/>
            <w:vAlign w:val="center"/>
          </w:tcPr>
          <w:p>
            <w:pPr>
              <w:spacing w:after="0"/>
            </w:pPr>
            <w:r/>
            <w:r>
              <w:rPr>
                <w:rFonts w:ascii="Arial" w:hAnsi="Arial"/>
                <w:b w:val="0"/>
                <w:sz w:val="16"/>
              </w:rPr>
              <w:t>Urgent referral</w:t>
            </w:r>
          </w:p>
        </w:tc>
        <w:tc>
          <w:tcPr>
            <w:tcW w:type="dxa" w:w="5141"/>
            <w:vAlign w:val="center"/>
          </w:tcPr>
          <w:p>
            <w:pPr>
              <w:spacing w:after="0"/>
            </w:pPr>
            <w:r/>
            <w:r>
              <w:rPr>
                <w:rFonts w:ascii="Arial" w:hAnsi="Arial"/>
                <w:b w:val="0"/>
                <w:sz w:val="16"/>
              </w:rPr>
              <w:t>Use prominent language, record contact and transfer times, and state that routine workflow must not delay action.</w:t>
            </w:r>
          </w:p>
        </w:tc>
      </w:tr>
      <w:tr>
        <w:tc>
          <w:tcPr>
            <w:tcW w:type="dxa" w:w="5141"/>
            <w:vAlign w:val="center"/>
          </w:tcPr>
          <w:p>
            <w:pPr>
              <w:spacing w:after="0"/>
            </w:pPr>
            <w:r/>
            <w:r>
              <w:rPr>
                <w:rFonts w:ascii="Arial" w:hAnsi="Arial"/>
                <w:b w:val="0"/>
                <w:sz w:val="16"/>
              </w:rPr>
              <w:t>Receiving facility unavailable</w:t>
            </w:r>
          </w:p>
        </w:tc>
        <w:tc>
          <w:tcPr>
            <w:tcW w:type="dxa" w:w="5141"/>
            <w:vAlign w:val="center"/>
          </w:tcPr>
          <w:p>
            <w:pPr>
              <w:spacing w:after="0"/>
            </w:pPr>
            <w:r/>
            <w:r>
              <w:rPr>
                <w:rFonts w:ascii="Arial" w:hAnsi="Arial"/>
                <w:b w:val="0"/>
                <w:sz w:val="16"/>
              </w:rPr>
              <w:t>Keep urgency visible, document failed contact, and identify the alternate pathway.</w:t>
            </w:r>
          </w:p>
        </w:tc>
      </w:tr>
      <w:tr>
        <w:tc>
          <w:tcPr>
            <w:tcW w:type="dxa" w:w="5141"/>
            <w:vAlign w:val="center"/>
          </w:tcPr>
          <w:p>
            <w:pPr>
              <w:spacing w:after="0"/>
            </w:pPr>
            <w:r/>
            <w:r>
              <w:rPr>
                <w:rFonts w:ascii="Arial" w:hAnsi="Arial"/>
                <w:b w:val="0"/>
                <w:sz w:val="16"/>
              </w:rPr>
              <w:t>Patient accepts</w:t>
            </w:r>
          </w:p>
        </w:tc>
        <w:tc>
          <w:tcPr>
            <w:tcW w:type="dxa" w:w="5141"/>
            <w:vAlign w:val="center"/>
          </w:tcPr>
          <w:p>
            <w:pPr>
              <w:spacing w:after="0"/>
            </w:pPr>
            <w:r/>
            <w:r>
              <w:rPr>
                <w:rFonts w:ascii="Arial" w:hAnsi="Arial"/>
                <w:b w:val="0"/>
                <w:sz w:val="16"/>
              </w:rPr>
              <w:t>Record understanding, destination, transport plan, expected time, and responsible coordinator.</w:t>
            </w:r>
          </w:p>
        </w:tc>
      </w:tr>
      <w:tr>
        <w:tc>
          <w:tcPr>
            <w:tcW w:type="dxa" w:w="5141"/>
            <w:vAlign w:val="center"/>
          </w:tcPr>
          <w:p>
            <w:pPr>
              <w:spacing w:after="0"/>
            </w:pPr>
            <w:r/>
            <w:r>
              <w:rPr>
                <w:rFonts w:ascii="Arial" w:hAnsi="Arial"/>
                <w:b w:val="0"/>
                <w:sz w:val="16"/>
              </w:rPr>
              <w:t>Patient declines or defers</w:t>
            </w:r>
          </w:p>
        </w:tc>
        <w:tc>
          <w:tcPr>
            <w:tcW w:type="dxa" w:w="5141"/>
            <w:vAlign w:val="center"/>
          </w:tcPr>
          <w:p>
            <w:pPr>
              <w:spacing w:after="0"/>
            </w:pPr>
            <w:r/>
            <w:r>
              <w:rPr>
                <w:rFonts w:ascii="Arial" w:hAnsi="Arial"/>
                <w:b w:val="0"/>
                <w:sz w:val="16"/>
              </w:rPr>
              <w:t>Record counseling, stated barriers, questions, alternatives offered, safety-net instructions, and planned follow-up. Risk remains unchanged.</w:t>
            </w:r>
          </w:p>
        </w:tc>
      </w:tr>
      <w:tr>
        <w:tc>
          <w:tcPr>
            <w:tcW w:type="dxa" w:w="5141"/>
            <w:vAlign w:val="center"/>
          </w:tcPr>
          <w:p>
            <w:pPr>
              <w:spacing w:after="0"/>
            </w:pPr>
            <w:r/>
            <w:r>
              <w:rPr>
                <w:rFonts w:ascii="Arial" w:hAnsi="Arial"/>
                <w:b w:val="0"/>
                <w:sz w:val="16"/>
              </w:rPr>
              <w:t>Waiver signed</w:t>
            </w:r>
          </w:p>
        </w:tc>
        <w:tc>
          <w:tcPr>
            <w:tcW w:type="dxa" w:w="5141"/>
            <w:vAlign w:val="center"/>
          </w:tcPr>
          <w:p>
            <w:pPr>
              <w:spacing w:after="0"/>
            </w:pPr>
            <w:r/>
            <w:r>
              <w:rPr>
                <w:rFonts w:ascii="Arial" w:hAnsi="Arial"/>
                <w:b w:val="0"/>
                <w:sz w:val="16"/>
              </w:rPr>
              <w:t>State that the document records informed refusal; it does not erase the recommendation, risk, or duty to respond to deterioration.</w:t>
            </w:r>
          </w:p>
        </w:tc>
      </w:tr>
      <w:tr>
        <w:tc>
          <w:tcPr>
            <w:tcW w:type="dxa" w:w="5141"/>
            <w:vAlign w:val="center"/>
          </w:tcPr>
          <w:p>
            <w:pPr>
              <w:spacing w:after="0"/>
            </w:pPr>
            <w:r/>
            <w:r>
              <w:rPr>
                <w:rFonts w:ascii="Arial" w:hAnsi="Arial"/>
                <w:b w:val="0"/>
                <w:sz w:val="16"/>
              </w:rPr>
              <w:t>Referral completed</w:t>
            </w:r>
          </w:p>
        </w:tc>
        <w:tc>
          <w:tcPr>
            <w:tcW w:type="dxa" w:w="5141"/>
            <w:vAlign w:val="center"/>
          </w:tcPr>
          <w:p>
            <w:pPr>
              <w:spacing w:after="0"/>
            </w:pPr>
            <w:r/>
            <w:r>
              <w:rPr>
                <w:rFonts w:ascii="Arial" w:hAnsi="Arial"/>
                <w:b w:val="0"/>
                <w:sz w:val="16"/>
              </w:rPr>
              <w:t>Record actual attendance or handover and receiving feedback; do not infer that risk resolved without reassessment.</w:t>
            </w:r>
          </w:p>
        </w:tc>
      </w:tr>
    </w:tbl>
    <w:p>
      <w:pPr>
        <w:spacing w:after="0"/>
      </w:pPr>
    </w:p>
    <w:p>
      <w:pPr>
        <w:pStyle w:val="Heading1"/>
      </w:pPr>
      <w:r>
        <w:t>10. Interface and Print Requirements</w:t>
      </w:r>
    </w:p>
    <w:p>
      <w:pPr>
        <w:pStyle w:val="ListBullet"/>
        <w:spacing w:after="40"/>
      </w:pPr>
      <w:r>
        <w:t>Risk badge and escalation banner must remain visually distinct but must not rely on color alone.</w:t>
      </w:r>
    </w:p>
    <w:p>
      <w:pPr>
        <w:pStyle w:val="ListBullet"/>
        <w:spacing w:after="40"/>
      </w:pPr>
      <w:r>
        <w:t>Reasons must be visible near the state, not hidden in a separate audit screen.</w:t>
      </w:r>
    </w:p>
    <w:p>
      <w:pPr>
        <w:pStyle w:val="ListBullet"/>
        <w:spacing w:after="40"/>
      </w:pPr>
      <w:r>
        <w:t>LOW must include a snapshot limitation and return-precaution statement.</w:t>
      </w:r>
    </w:p>
    <w:p>
      <w:pPr>
        <w:pStyle w:val="ListBullet"/>
        <w:spacing w:after="40"/>
      </w:pPr>
      <w:r>
        <w:t>ASSESSMENT INCOMPLETE must list exactly what is missing or invalid.</w:t>
      </w:r>
    </w:p>
    <w:p>
      <w:pPr>
        <w:pStyle w:val="ListBullet"/>
        <w:spacing w:after="40"/>
      </w:pPr>
      <w:r>
        <w:t>HIGH must include the referral or escalation action and the lying-in scope boundary.</w:t>
      </w:r>
    </w:p>
    <w:p>
      <w:pPr>
        <w:pStyle w:val="ListBullet"/>
        <w:spacing w:after="40"/>
      </w:pPr>
      <w:r>
        <w:t>Screen, print, email, referral, and audit versions must be generated from the same stored assessment object.</w:t>
      </w:r>
    </w:p>
    <w:p>
      <w:pPr>
        <w:pStyle w:val="ListBullet"/>
        <w:spacing w:after="40"/>
      </w:pPr>
      <w:r>
        <w:t>Any manual text addition must be attributed, time-stamped, and separated from system-generated wording.</w:t>
      </w:r>
    </w:p>
    <w:p>
      <w:pPr>
        <w:pStyle w:val="ListBullet"/>
        <w:spacing w:after="40"/>
      </w:pPr>
      <w:r>
        <w:t>Delivered pregnancy records remain historical; new-pregnancy communication starts a separate chain.</w:t>
      </w:r>
    </w:p>
    <w:p>
      <w:pPr>
        <w:pStyle w:val="Heading1"/>
      </w:pPr>
      <w:r>
        <w:t>11. Laravel and Data Mapping</w:t>
      </w:r>
    </w:p>
    <w:tbl>
      <w:tblPr>
        <w:tblStyle w:val="TableGrid"/>
        <w:tblW w:type="auto" w:w="0"/>
        <w:jc w:val="center"/>
        <w:tblLayout w:type="autofit"/>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Component</w:t>
            </w:r>
          </w:p>
        </w:tc>
        <w:tc>
          <w:tcPr>
            <w:tcW w:type="dxa" w:w="5141"/>
            <w:vAlign w:val="center"/>
            <w:shd w:fill="D9EAF7"/>
          </w:tcPr>
          <w:p>
            <w:pPr>
              <w:spacing w:after="0"/>
            </w:pPr>
            <w:r/>
            <w:r>
              <w:rPr>
                <w:rFonts w:ascii="Arial" w:hAnsi="Arial"/>
                <w:b/>
                <w:sz w:val="16"/>
              </w:rPr>
              <w:t>Communication responsibility</w:t>
            </w:r>
          </w:p>
        </w:tc>
      </w:tr>
      <w:tr>
        <w:tc>
          <w:tcPr>
            <w:tcW w:type="dxa" w:w="5141"/>
            <w:vAlign w:val="center"/>
          </w:tcPr>
          <w:p>
            <w:pPr>
              <w:spacing w:after="0"/>
            </w:pPr>
            <w:r/>
            <w:r>
              <w:rPr>
                <w:rFonts w:ascii="Arial" w:hAnsi="Arial"/>
                <w:b w:val="0"/>
                <w:sz w:val="16"/>
              </w:rPr>
              <w:t>PrenatalVisitController / assessment service</w:t>
            </w:r>
          </w:p>
        </w:tc>
        <w:tc>
          <w:tcPr>
            <w:tcW w:type="dxa" w:w="5141"/>
            <w:vAlign w:val="center"/>
          </w:tcPr>
          <w:p>
            <w:pPr>
              <w:spacing w:after="0"/>
            </w:pPr>
            <w:r/>
            <w:r>
              <w:rPr>
                <w:rFonts w:ascii="Arial" w:hAnsi="Arial"/>
                <w:b w:val="0"/>
                <w:sz w:val="16"/>
              </w:rPr>
              <w:t>Create the versioned assessment state, reasons, limitations, recommendation, and escalation object.</w:t>
            </w:r>
          </w:p>
        </w:tc>
      </w:tr>
      <w:tr>
        <w:tc>
          <w:tcPr>
            <w:tcW w:type="dxa" w:w="5141"/>
            <w:vAlign w:val="center"/>
          </w:tcPr>
          <w:p>
            <w:pPr>
              <w:spacing w:after="0"/>
            </w:pPr>
            <w:r/>
            <w:r>
              <w:rPr>
                <w:rFonts w:ascii="Arial" w:hAnsi="Arial"/>
                <w:b w:val="0"/>
                <w:sz w:val="16"/>
              </w:rPr>
              <w:t>Patient profile view</w:t>
            </w:r>
          </w:p>
        </w:tc>
        <w:tc>
          <w:tcPr>
            <w:tcW w:type="dxa" w:w="5141"/>
            <w:vAlign w:val="center"/>
          </w:tcPr>
          <w:p>
            <w:pPr>
              <w:spacing w:after="0"/>
            </w:pPr>
            <w:r/>
            <w:r>
              <w:rPr>
                <w:rFonts w:ascii="Arial" w:hAnsi="Arial"/>
                <w:b w:val="0"/>
                <w:sz w:val="16"/>
              </w:rPr>
              <w:t>Display current result, prior versions, reasons, limitations, and action status.</w:t>
            </w:r>
          </w:p>
        </w:tc>
      </w:tr>
      <w:tr>
        <w:tc>
          <w:tcPr>
            <w:tcW w:type="dxa" w:w="5141"/>
            <w:vAlign w:val="center"/>
          </w:tcPr>
          <w:p>
            <w:pPr>
              <w:spacing w:after="0"/>
            </w:pPr>
            <w:r/>
            <w:r>
              <w:rPr>
                <w:rFonts w:ascii="Arial" w:hAnsi="Arial"/>
                <w:b w:val="0"/>
                <w:sz w:val="16"/>
              </w:rPr>
              <w:t>ReferralController</w:t>
            </w:r>
          </w:p>
        </w:tc>
        <w:tc>
          <w:tcPr>
            <w:tcW w:type="dxa" w:w="5141"/>
            <w:vAlign w:val="center"/>
          </w:tcPr>
          <w:p>
            <w:pPr>
              <w:spacing w:after="0"/>
            </w:pPr>
            <w:r/>
            <w:r>
              <w:rPr>
                <w:rFonts w:ascii="Arial" w:hAnsi="Arial"/>
                <w:b w:val="0"/>
                <w:sz w:val="16"/>
              </w:rPr>
              <w:t>Carry forward the exact approved assessment/referral version and record acceptance, refusal, contact, transfer, and completion.</w:t>
            </w:r>
          </w:p>
        </w:tc>
      </w:tr>
      <w:tr>
        <w:tc>
          <w:tcPr>
            <w:tcW w:type="dxa" w:w="5141"/>
            <w:vAlign w:val="center"/>
          </w:tcPr>
          <w:p>
            <w:pPr>
              <w:spacing w:after="0"/>
            </w:pPr>
            <w:r/>
            <w:r>
              <w:rPr>
                <w:rFonts w:ascii="Arial" w:hAnsi="Arial"/>
                <w:b w:val="0"/>
                <w:sz w:val="16"/>
              </w:rPr>
              <w:t>Mailable/notification service</w:t>
            </w:r>
          </w:p>
        </w:tc>
        <w:tc>
          <w:tcPr>
            <w:tcW w:type="dxa" w:w="5141"/>
            <w:vAlign w:val="center"/>
          </w:tcPr>
          <w:p>
            <w:pPr>
              <w:spacing w:after="0"/>
            </w:pPr>
            <w:r/>
            <w:r>
              <w:rPr>
                <w:rFonts w:ascii="Arial" w:hAnsi="Arial"/>
                <w:b w:val="0"/>
                <w:sz w:val="16"/>
              </w:rPr>
              <w:t>Use approved templates and record delivery success/failure without changing clinical status.</w:t>
            </w:r>
          </w:p>
        </w:tc>
      </w:tr>
      <w:tr>
        <w:tc>
          <w:tcPr>
            <w:tcW w:type="dxa" w:w="5141"/>
            <w:vAlign w:val="center"/>
          </w:tcPr>
          <w:p>
            <w:pPr>
              <w:spacing w:after="0"/>
            </w:pPr>
            <w:r/>
            <w:r>
              <w:rPr>
                <w:rFonts w:ascii="Arial" w:hAnsi="Arial"/>
                <w:b w:val="0"/>
                <w:sz w:val="16"/>
              </w:rPr>
              <w:t>Audit log</w:t>
            </w:r>
          </w:p>
        </w:tc>
        <w:tc>
          <w:tcPr>
            <w:tcW w:type="dxa" w:w="5141"/>
            <w:vAlign w:val="center"/>
          </w:tcPr>
          <w:p>
            <w:pPr>
              <w:spacing w:after="0"/>
            </w:pPr>
            <w:r/>
            <w:r>
              <w:rPr>
                <w:rFonts w:ascii="Arial" w:hAnsi="Arial"/>
                <w:b w:val="0"/>
                <w:sz w:val="16"/>
              </w:rPr>
              <w:t>Preserve generated message, user, versions, timestamps, edits, acknowledgment, and downstream action.</w:t>
            </w:r>
          </w:p>
        </w:tc>
      </w:tr>
      <w:tr>
        <w:tc>
          <w:tcPr>
            <w:tcW w:type="dxa" w:w="5141"/>
            <w:vAlign w:val="center"/>
          </w:tcPr>
          <w:p>
            <w:pPr>
              <w:spacing w:after="0"/>
            </w:pPr>
            <w:r/>
            <w:r>
              <w:rPr>
                <w:rFonts w:ascii="Arial" w:hAnsi="Arial"/>
                <w:b w:val="0"/>
                <w:sz w:val="16"/>
              </w:rPr>
              <w:t>Print view</w:t>
            </w:r>
          </w:p>
        </w:tc>
        <w:tc>
          <w:tcPr>
            <w:tcW w:type="dxa" w:w="5141"/>
            <w:vAlign w:val="center"/>
          </w:tcPr>
          <w:p>
            <w:pPr>
              <w:spacing w:after="0"/>
            </w:pPr>
            <w:r/>
            <w:r>
              <w:rPr>
                <w:rFonts w:ascii="Arial" w:hAnsi="Arial"/>
                <w:b w:val="0"/>
                <w:sz w:val="16"/>
              </w:rPr>
              <w:t>Match the same assessment, urgency, reason codes, and recommendation shown on screen.</w:t>
            </w:r>
          </w:p>
        </w:tc>
      </w:tr>
      <w:tr>
        <w:tc>
          <w:tcPr>
            <w:tcW w:type="dxa" w:w="5141"/>
            <w:vAlign w:val="center"/>
          </w:tcPr>
          <w:p>
            <w:pPr>
              <w:spacing w:after="0"/>
            </w:pPr>
            <w:r/>
            <w:r>
              <w:rPr>
                <w:rFonts w:ascii="Arial" w:hAnsi="Arial"/>
                <w:b w:val="0"/>
                <w:sz w:val="16"/>
              </w:rPr>
              <w:t>Delivered-action guards</w:t>
            </w:r>
          </w:p>
        </w:tc>
        <w:tc>
          <w:tcPr>
            <w:tcW w:type="dxa" w:w="5141"/>
            <w:vAlign w:val="center"/>
          </w:tcPr>
          <w:p>
            <w:pPr>
              <w:spacing w:after="0"/>
            </w:pPr>
            <w:r/>
            <w:r>
              <w:rPr>
                <w:rFonts w:ascii="Arial" w:hAnsi="Arial"/>
                <w:b w:val="0"/>
                <w:sz w:val="16"/>
              </w:rPr>
              <w:t>Prevent active-care message changes while retaining historical communication.</w:t>
            </w:r>
          </w:p>
        </w:tc>
      </w:tr>
    </w:tbl>
    <w:p>
      <w:pPr>
        <w:spacing w:after="0"/>
      </w:pPr>
    </w:p>
    <w:p>
      <w:pPr>
        <w:pStyle w:val="Heading1"/>
      </w:pPr>
      <w:r>
        <w:t>12. Communication Object</w:t>
      </w:r>
    </w:p>
    <w:p>
      <w:pPr>
        <w:spacing w:after="100" w:line="252" w:lineRule="auto"/>
      </w:pPr>
      <w:r>
        <w:t>A suggested stored communication payload is shown below. Field names may be adapted to the project schema, but the meaning and traceability must be preserved.</w:t>
      </w:r>
    </w:p>
    <w:tbl>
      <w:tblPr>
        <w:tblStyle w:val="TableGrid"/>
        <w:tblW w:type="auto" w:w="0"/>
        <w:jc w:val="center"/>
        <w:tblLook w:firstColumn="1" w:firstRow="1" w:lastColumn="0" w:lastRow="0" w:noHBand="0" w:noVBand="1" w:val="04A0"/>
      </w:tblPr>
      <w:tblGrid>
        <w:gridCol w:w="10282"/>
      </w:tblGrid>
      <w:tr>
        <w:tc>
          <w:tcPr>
            <w:tcW w:type="dxa" w:w="10282"/>
            <w:shd w:fill="FFF2CC"/>
          </w:tcPr>
          <w:p>
            <w:pPr>
              <w:spacing w:after="40"/>
            </w:pPr>
            <w:r/>
            <w:r>
              <w:rPr>
                <w:rFonts w:ascii="Arial" w:hAnsi="Arial"/>
                <w:b/>
                <w:sz w:val="18"/>
              </w:rPr>
              <w:t>Example payload</w:t>
            </w:r>
          </w:p>
          <w:p>
            <w:pPr>
              <w:spacing w:after="0"/>
            </w:pPr>
            <w:r>
              <w:rPr>
                <w:rFonts w:ascii="Arial" w:hAnsi="Arial"/>
                <w:sz w:val="17"/>
              </w:rPr>
              <w:t>{</w:t>
              <w:br/>
              <w:t xml:space="preserve">  "assessment_id": "...",</w:t>
              <w:br/>
              <w:t xml:space="preserve">  "risk_state": "HIGH | LOW | ASSESSMENT_INCOMPLETE",</w:t>
              <w:br/>
              <w:t xml:space="preserve">  "escalation_level": "E0 | E1 | E2 | E3 | E4",</w:t>
              <w:br/>
              <w:t xml:space="preserve">  "reason_codes": ["..."],</w:t>
              <w:br/>
              <w:t xml:space="preserve">  "reason_text": ["..."],</w:t>
              <w:br/>
              <w:t xml:space="preserve">  "limitations": ["..."],</w:t>
              <w:br/>
              <w:t xml:space="preserve">  "recommendation_code": "...",</w:t>
              <w:br/>
              <w:t xml:space="preserve">  "staff_message": "...",</w:t>
              <w:br/>
              <w:t xml:space="preserve">  "patient_counseling_points": ["..."],</w:t>
              <w:br/>
              <w:t xml:space="preserve">  "scope_exceeded": true,</w:t>
              <w:br/>
              <w:t xml:space="preserve">  "human_review_status": "PENDING | REVIEWED",</w:t>
              <w:br/>
              <w:t xml:space="preserve">  "rules_version": "...",</w:t>
              <w:br/>
              <w:t xml:space="preserve">  "model_version": "...",</w:t>
              <w:br/>
              <w:t xml:space="preserve">  "template_version": "...",</w:t>
              <w:br/>
              <w:t xml:space="preserve">  "created_at": "..."</w:t>
              <w:br/>
              <w:t>}</w:t>
            </w:r>
          </w:p>
        </w:tc>
      </w:tr>
    </w:tbl>
    <w:p/>
    <w:p>
      <w:pPr>
        <w:pStyle w:val="Heading1"/>
      </w:pPr>
      <w:r>
        <w:t>13. Validation Scenarios</w:t>
      </w:r>
    </w:p>
    <w:tbl>
      <w:tblPr>
        <w:tblStyle w:val="TableGrid"/>
        <w:tblW w:type="auto" w:w="0"/>
        <w:jc w:val="center"/>
        <w:tblLayout w:type="autofit"/>
        <w:tblLook w:firstColumn="1" w:firstRow="1" w:lastColumn="0" w:lastRow="0" w:noHBand="0" w:noVBand="1" w:val="04A0"/>
      </w:tblPr>
      <w:tblGrid>
        <w:gridCol w:w="3427"/>
        <w:gridCol w:w="3427"/>
        <w:gridCol w:w="3427"/>
      </w:tblGrid>
      <w:tr>
        <w:tc>
          <w:tcPr>
            <w:tcW w:type="dxa" w:w="3427"/>
            <w:vAlign w:val="center"/>
            <w:shd w:fill="D9EAF7"/>
          </w:tcPr>
          <w:p>
            <w:pPr>
              <w:spacing w:after="0"/>
            </w:pPr>
            <w:r/>
            <w:r>
              <w:rPr>
                <w:rFonts w:ascii="Arial" w:hAnsi="Arial"/>
                <w:b/>
                <w:sz w:val="16"/>
              </w:rPr>
              <w:t>Test ID</w:t>
            </w:r>
          </w:p>
        </w:tc>
        <w:tc>
          <w:tcPr>
            <w:tcW w:type="dxa" w:w="3427"/>
            <w:vAlign w:val="center"/>
            <w:shd w:fill="D9EAF7"/>
          </w:tcPr>
          <w:p>
            <w:pPr>
              <w:spacing w:after="0"/>
            </w:pPr>
            <w:r/>
            <w:r>
              <w:rPr>
                <w:rFonts w:ascii="Arial" w:hAnsi="Arial"/>
                <w:b/>
                <w:sz w:val="16"/>
              </w:rPr>
              <w:t>Scenario</w:t>
            </w:r>
          </w:p>
        </w:tc>
        <w:tc>
          <w:tcPr>
            <w:tcW w:type="dxa" w:w="3427"/>
            <w:vAlign w:val="center"/>
            <w:shd w:fill="D9EAF7"/>
          </w:tcPr>
          <w:p>
            <w:pPr>
              <w:spacing w:after="0"/>
            </w:pPr>
            <w:r/>
            <w:r>
              <w:rPr>
                <w:rFonts w:ascii="Arial" w:hAnsi="Arial"/>
                <w:b/>
                <w:sz w:val="16"/>
              </w:rPr>
              <w:t>Expected result</w:t>
            </w:r>
          </w:p>
        </w:tc>
      </w:tr>
      <w:tr>
        <w:tc>
          <w:tcPr>
            <w:tcW w:type="dxa" w:w="3427"/>
            <w:vAlign w:val="center"/>
          </w:tcPr>
          <w:p>
            <w:pPr>
              <w:spacing w:after="0"/>
            </w:pPr>
            <w:r/>
            <w:r>
              <w:rPr>
                <w:rFonts w:ascii="Arial" w:hAnsi="Arial"/>
                <w:b w:val="0"/>
                <w:sz w:val="16"/>
              </w:rPr>
              <w:t>COM-01</w:t>
            </w:r>
          </w:p>
        </w:tc>
        <w:tc>
          <w:tcPr>
            <w:tcW w:type="dxa" w:w="3427"/>
            <w:vAlign w:val="center"/>
          </w:tcPr>
          <w:p>
            <w:pPr>
              <w:spacing w:after="0"/>
            </w:pPr>
            <w:r/>
            <w:r>
              <w:rPr>
                <w:rFonts w:ascii="Arial" w:hAnsi="Arial"/>
                <w:b w:val="0"/>
                <w:sz w:val="16"/>
              </w:rPr>
              <w:t>Complete LOW pathway</w:t>
            </w:r>
          </w:p>
        </w:tc>
        <w:tc>
          <w:tcPr>
            <w:tcW w:type="dxa" w:w="3427"/>
            <w:vAlign w:val="center"/>
          </w:tcPr>
          <w:p>
            <w:pPr>
              <w:spacing w:after="0"/>
            </w:pPr>
            <w:r/>
            <w:r>
              <w:rPr>
                <w:rFonts w:ascii="Arial" w:hAnsi="Arial"/>
                <w:b w:val="0"/>
                <w:sz w:val="16"/>
              </w:rPr>
              <w:t>LOW message includes complete-data basis, routine care, limitations, and return precautions.</w:t>
            </w:r>
          </w:p>
        </w:tc>
      </w:tr>
      <w:tr>
        <w:tc>
          <w:tcPr>
            <w:tcW w:type="dxa" w:w="3427"/>
            <w:vAlign w:val="center"/>
          </w:tcPr>
          <w:p>
            <w:pPr>
              <w:spacing w:after="0"/>
            </w:pPr>
            <w:r/>
            <w:r>
              <w:rPr>
                <w:rFonts w:ascii="Arial" w:hAnsi="Arial"/>
                <w:b w:val="0"/>
                <w:sz w:val="16"/>
              </w:rPr>
              <w:t>COM-02</w:t>
            </w:r>
          </w:p>
        </w:tc>
        <w:tc>
          <w:tcPr>
            <w:tcW w:type="dxa" w:w="3427"/>
            <w:vAlign w:val="center"/>
          </w:tcPr>
          <w:p>
            <w:pPr>
              <w:spacing w:after="0"/>
            </w:pPr>
            <w:r/>
            <w:r>
              <w:rPr>
                <w:rFonts w:ascii="Arial" w:hAnsi="Arial"/>
                <w:b w:val="0"/>
                <w:sz w:val="16"/>
              </w:rPr>
              <w:t>Missing ultrasound</w:t>
            </w:r>
          </w:p>
        </w:tc>
        <w:tc>
          <w:tcPr>
            <w:tcW w:type="dxa" w:w="3427"/>
            <w:vAlign w:val="center"/>
          </w:tcPr>
          <w:p>
            <w:pPr>
              <w:spacing w:after="0"/>
            </w:pPr>
            <w:r/>
            <w:r>
              <w:rPr>
                <w:rFonts w:ascii="Arial" w:hAnsi="Arial"/>
                <w:b w:val="0"/>
                <w:sz w:val="16"/>
              </w:rPr>
              <w:t>INCOMPLETE message names ultrasound as missing; no reassurance as LOW.</w:t>
            </w:r>
          </w:p>
        </w:tc>
      </w:tr>
      <w:tr>
        <w:tc>
          <w:tcPr>
            <w:tcW w:type="dxa" w:w="3427"/>
            <w:vAlign w:val="center"/>
          </w:tcPr>
          <w:p>
            <w:pPr>
              <w:spacing w:after="0"/>
            </w:pPr>
            <w:r/>
            <w:r>
              <w:rPr>
                <w:rFonts w:ascii="Arial" w:hAnsi="Arial"/>
                <w:b w:val="0"/>
                <w:sz w:val="16"/>
              </w:rPr>
              <w:t>COM-03</w:t>
            </w:r>
          </w:p>
        </w:tc>
        <w:tc>
          <w:tcPr>
            <w:tcW w:type="dxa" w:w="3427"/>
            <w:vAlign w:val="center"/>
          </w:tcPr>
          <w:p>
            <w:pPr>
              <w:spacing w:after="0"/>
            </w:pPr>
            <w:r/>
            <w:r>
              <w:rPr>
                <w:rFonts w:ascii="Arial" w:hAnsi="Arial"/>
                <w:b w:val="0"/>
                <w:sz w:val="16"/>
              </w:rPr>
              <w:t>Age 17 with missing birth plan</w:t>
            </w:r>
          </w:p>
        </w:tc>
        <w:tc>
          <w:tcPr>
            <w:tcW w:type="dxa" w:w="3427"/>
            <w:vAlign w:val="center"/>
          </w:tcPr>
          <w:p>
            <w:pPr>
              <w:spacing w:after="0"/>
            </w:pPr>
            <w:r/>
            <w:r>
              <w:rPr>
                <w:rFonts w:ascii="Arial" w:hAnsi="Arial"/>
                <w:b w:val="0"/>
                <w:sz w:val="16"/>
              </w:rPr>
              <w:t>HIGH reason remains visible; missing birth plan also disclosed.</w:t>
            </w:r>
          </w:p>
        </w:tc>
      </w:tr>
      <w:tr>
        <w:tc>
          <w:tcPr>
            <w:tcW w:type="dxa" w:w="3427"/>
            <w:vAlign w:val="center"/>
          </w:tcPr>
          <w:p>
            <w:pPr>
              <w:spacing w:after="0"/>
            </w:pPr>
            <w:r/>
            <w:r>
              <w:rPr>
                <w:rFonts w:ascii="Arial" w:hAnsi="Arial"/>
                <w:b w:val="0"/>
                <w:sz w:val="16"/>
              </w:rPr>
              <w:t>COM-04</w:t>
            </w:r>
          </w:p>
        </w:tc>
        <w:tc>
          <w:tcPr>
            <w:tcW w:type="dxa" w:w="3427"/>
            <w:vAlign w:val="center"/>
          </w:tcPr>
          <w:p>
            <w:pPr>
              <w:spacing w:after="0"/>
            </w:pPr>
            <w:r/>
            <w:r>
              <w:rPr>
                <w:rFonts w:ascii="Arial" w:hAnsi="Arial"/>
                <w:b w:val="0"/>
                <w:sz w:val="16"/>
              </w:rPr>
              <w:t>BP 160/110</w:t>
            </w:r>
          </w:p>
        </w:tc>
        <w:tc>
          <w:tcPr>
            <w:tcW w:type="dxa" w:w="3427"/>
            <w:vAlign w:val="center"/>
          </w:tcPr>
          <w:p>
            <w:pPr>
              <w:spacing w:after="0"/>
            </w:pPr>
            <w:r/>
            <w:r>
              <w:rPr>
                <w:rFonts w:ascii="Arial" w:hAnsi="Arial"/>
                <w:b w:val="0"/>
                <w:sz w:val="16"/>
              </w:rPr>
              <w:t>HIGH/E3 banner, exact BP, urgent action, and no routine workflow delay.</w:t>
            </w:r>
          </w:p>
        </w:tc>
      </w:tr>
      <w:tr>
        <w:tc>
          <w:tcPr>
            <w:tcW w:type="dxa" w:w="3427"/>
            <w:vAlign w:val="center"/>
          </w:tcPr>
          <w:p>
            <w:pPr>
              <w:spacing w:after="0"/>
            </w:pPr>
            <w:r/>
            <w:r>
              <w:rPr>
                <w:rFonts w:ascii="Arial" w:hAnsi="Arial"/>
                <w:b w:val="0"/>
                <w:sz w:val="16"/>
              </w:rPr>
              <w:t>COM-05</w:t>
            </w:r>
          </w:p>
        </w:tc>
        <w:tc>
          <w:tcPr>
            <w:tcW w:type="dxa" w:w="3427"/>
            <w:vAlign w:val="center"/>
          </w:tcPr>
          <w:p>
            <w:pPr>
              <w:spacing w:after="0"/>
            </w:pPr>
            <w:r/>
            <w:r>
              <w:rPr>
                <w:rFonts w:ascii="Arial" w:hAnsi="Arial"/>
                <w:b w:val="0"/>
                <w:sz w:val="16"/>
              </w:rPr>
              <w:t>Rule HIGH and ML LOW</w:t>
            </w:r>
          </w:p>
        </w:tc>
        <w:tc>
          <w:tcPr>
            <w:tcW w:type="dxa" w:w="3427"/>
            <w:vAlign w:val="center"/>
          </w:tcPr>
          <w:p>
            <w:pPr>
              <w:spacing w:after="0"/>
            </w:pPr>
            <w:r/>
            <w:r>
              <w:rPr>
                <w:rFonts w:ascii="Arial" w:hAnsi="Arial"/>
                <w:b w:val="0"/>
                <w:sz w:val="16"/>
              </w:rPr>
              <w:t>Rule precedence explained; both outputs preserved.</w:t>
            </w:r>
          </w:p>
        </w:tc>
      </w:tr>
      <w:tr>
        <w:tc>
          <w:tcPr>
            <w:tcW w:type="dxa" w:w="3427"/>
            <w:vAlign w:val="center"/>
          </w:tcPr>
          <w:p>
            <w:pPr>
              <w:spacing w:after="0"/>
            </w:pPr>
            <w:r/>
            <w:r>
              <w:rPr>
                <w:rFonts w:ascii="Arial" w:hAnsi="Arial"/>
                <w:b w:val="0"/>
                <w:sz w:val="16"/>
              </w:rPr>
              <w:t>COM-06</w:t>
            </w:r>
          </w:p>
        </w:tc>
        <w:tc>
          <w:tcPr>
            <w:tcW w:type="dxa" w:w="3427"/>
            <w:vAlign w:val="center"/>
          </w:tcPr>
          <w:p>
            <w:pPr>
              <w:spacing w:after="0"/>
            </w:pPr>
            <w:r/>
            <w:r>
              <w:rPr>
                <w:rFonts w:ascii="Arial" w:hAnsi="Arial"/>
                <w:b w:val="0"/>
                <w:sz w:val="16"/>
              </w:rPr>
              <w:t>Valid ML HIGH only</w:t>
            </w:r>
          </w:p>
        </w:tc>
        <w:tc>
          <w:tcPr>
            <w:tcW w:type="dxa" w:w="3427"/>
            <w:vAlign w:val="center"/>
          </w:tcPr>
          <w:p>
            <w:pPr>
              <w:spacing w:after="0"/>
            </w:pPr>
            <w:r/>
            <w:r>
              <w:rPr>
                <w:rFonts w:ascii="Arial" w:hAnsi="Arial"/>
                <w:b w:val="0"/>
                <w:sz w:val="16"/>
              </w:rPr>
              <w:t>Model-supported concern communicated with limitations and E2 referral.</w:t>
            </w:r>
          </w:p>
        </w:tc>
      </w:tr>
      <w:tr>
        <w:tc>
          <w:tcPr>
            <w:tcW w:type="dxa" w:w="3427"/>
            <w:vAlign w:val="center"/>
          </w:tcPr>
          <w:p>
            <w:pPr>
              <w:spacing w:after="0"/>
            </w:pPr>
            <w:r/>
            <w:r>
              <w:rPr>
                <w:rFonts w:ascii="Arial" w:hAnsi="Arial"/>
                <w:b w:val="0"/>
                <w:sz w:val="16"/>
              </w:rPr>
              <w:t>COM-07</w:t>
            </w:r>
          </w:p>
        </w:tc>
        <w:tc>
          <w:tcPr>
            <w:tcW w:type="dxa" w:w="3427"/>
            <w:vAlign w:val="center"/>
          </w:tcPr>
          <w:p>
            <w:pPr>
              <w:spacing w:after="0"/>
            </w:pPr>
            <w:r/>
            <w:r>
              <w:rPr>
                <w:rFonts w:ascii="Arial" w:hAnsi="Arial"/>
                <w:b w:val="0"/>
                <w:sz w:val="16"/>
              </w:rPr>
              <w:t>ML execution failure</w:t>
            </w:r>
          </w:p>
        </w:tc>
        <w:tc>
          <w:tcPr>
            <w:tcW w:type="dxa" w:w="3427"/>
            <w:vAlign w:val="center"/>
          </w:tcPr>
          <w:p>
            <w:pPr>
              <w:spacing w:after="0"/>
            </w:pPr>
            <w:r/>
            <w:r>
              <w:rPr>
                <w:rFonts w:ascii="Arial" w:hAnsi="Arial"/>
                <w:b w:val="0"/>
                <w:sz w:val="16"/>
              </w:rPr>
              <w:t>Failure visible; deterministic findings preserved; otherwise INCOMPLETE.</w:t>
            </w:r>
          </w:p>
        </w:tc>
      </w:tr>
      <w:tr>
        <w:tc>
          <w:tcPr>
            <w:tcW w:type="dxa" w:w="3427"/>
            <w:vAlign w:val="center"/>
          </w:tcPr>
          <w:p>
            <w:pPr>
              <w:spacing w:after="0"/>
            </w:pPr>
            <w:r/>
            <w:r>
              <w:rPr>
                <w:rFonts w:ascii="Arial" w:hAnsi="Arial"/>
                <w:b w:val="0"/>
                <w:sz w:val="16"/>
              </w:rPr>
              <w:t>COM-08</w:t>
            </w:r>
          </w:p>
        </w:tc>
        <w:tc>
          <w:tcPr>
            <w:tcW w:type="dxa" w:w="3427"/>
            <w:vAlign w:val="center"/>
          </w:tcPr>
          <w:p>
            <w:pPr>
              <w:spacing w:after="0"/>
            </w:pPr>
            <w:r/>
            <w:r>
              <w:rPr>
                <w:rFonts w:ascii="Arial" w:hAnsi="Arial"/>
                <w:b w:val="0"/>
                <w:sz w:val="16"/>
              </w:rPr>
              <w:t>Patient accepts referral</w:t>
            </w:r>
          </w:p>
        </w:tc>
        <w:tc>
          <w:tcPr>
            <w:tcW w:type="dxa" w:w="3427"/>
            <w:vAlign w:val="center"/>
          </w:tcPr>
          <w:p>
            <w:pPr>
              <w:spacing w:after="0"/>
            </w:pPr>
            <w:r/>
            <w:r>
              <w:rPr>
                <w:rFonts w:ascii="Arial" w:hAnsi="Arial"/>
                <w:b w:val="0"/>
                <w:sz w:val="16"/>
              </w:rPr>
              <w:t>Counseling and coordination details recorded.</w:t>
            </w:r>
          </w:p>
        </w:tc>
      </w:tr>
      <w:tr>
        <w:tc>
          <w:tcPr>
            <w:tcW w:type="dxa" w:w="3427"/>
            <w:vAlign w:val="center"/>
          </w:tcPr>
          <w:p>
            <w:pPr>
              <w:spacing w:after="0"/>
            </w:pPr>
            <w:r/>
            <w:r>
              <w:rPr>
                <w:rFonts w:ascii="Arial" w:hAnsi="Arial"/>
                <w:b w:val="0"/>
                <w:sz w:val="16"/>
              </w:rPr>
              <w:t>COM-09</w:t>
            </w:r>
          </w:p>
        </w:tc>
        <w:tc>
          <w:tcPr>
            <w:tcW w:type="dxa" w:w="3427"/>
            <w:vAlign w:val="center"/>
          </w:tcPr>
          <w:p>
            <w:pPr>
              <w:spacing w:after="0"/>
            </w:pPr>
            <w:r/>
            <w:r>
              <w:rPr>
                <w:rFonts w:ascii="Arial" w:hAnsi="Arial"/>
                <w:b w:val="0"/>
                <w:sz w:val="16"/>
              </w:rPr>
              <w:t>Patient refuses referral</w:t>
            </w:r>
          </w:p>
        </w:tc>
        <w:tc>
          <w:tcPr>
            <w:tcW w:type="dxa" w:w="3427"/>
            <w:vAlign w:val="center"/>
          </w:tcPr>
          <w:p>
            <w:pPr>
              <w:spacing w:after="0"/>
            </w:pPr>
            <w:r/>
            <w:r>
              <w:rPr>
                <w:rFonts w:ascii="Arial" w:hAnsi="Arial"/>
                <w:b w:val="0"/>
                <w:sz w:val="16"/>
              </w:rPr>
              <w:t>Risk unchanged; barriers, counseling, safety net, and follow-up documented.</w:t>
            </w:r>
          </w:p>
        </w:tc>
      </w:tr>
      <w:tr>
        <w:tc>
          <w:tcPr>
            <w:tcW w:type="dxa" w:w="3427"/>
            <w:vAlign w:val="center"/>
          </w:tcPr>
          <w:p>
            <w:pPr>
              <w:spacing w:after="0"/>
            </w:pPr>
            <w:r/>
            <w:r>
              <w:rPr>
                <w:rFonts w:ascii="Arial" w:hAnsi="Arial"/>
                <w:b w:val="0"/>
                <w:sz w:val="16"/>
              </w:rPr>
              <w:t>COM-10</w:t>
            </w:r>
          </w:p>
        </w:tc>
        <w:tc>
          <w:tcPr>
            <w:tcW w:type="dxa" w:w="3427"/>
            <w:vAlign w:val="center"/>
          </w:tcPr>
          <w:p>
            <w:pPr>
              <w:spacing w:after="0"/>
            </w:pPr>
            <w:r/>
            <w:r>
              <w:rPr>
                <w:rFonts w:ascii="Arial" w:hAnsi="Arial"/>
                <w:b w:val="0"/>
                <w:sz w:val="16"/>
              </w:rPr>
              <w:t>Waiver signed</w:t>
            </w:r>
          </w:p>
        </w:tc>
        <w:tc>
          <w:tcPr>
            <w:tcW w:type="dxa" w:w="3427"/>
            <w:vAlign w:val="center"/>
          </w:tcPr>
          <w:p>
            <w:pPr>
              <w:spacing w:after="0"/>
            </w:pPr>
            <w:r/>
            <w:r>
              <w:rPr>
                <w:rFonts w:ascii="Arial" w:hAnsi="Arial"/>
                <w:b w:val="0"/>
                <w:sz w:val="16"/>
              </w:rPr>
              <w:t>Not described as risk resolution or completed referral.</w:t>
            </w:r>
          </w:p>
        </w:tc>
      </w:tr>
      <w:tr>
        <w:tc>
          <w:tcPr>
            <w:tcW w:type="dxa" w:w="3427"/>
            <w:vAlign w:val="center"/>
          </w:tcPr>
          <w:p>
            <w:pPr>
              <w:spacing w:after="0"/>
            </w:pPr>
            <w:r/>
            <w:r>
              <w:rPr>
                <w:rFonts w:ascii="Arial" w:hAnsi="Arial"/>
                <w:b w:val="0"/>
                <w:sz w:val="16"/>
              </w:rPr>
              <w:t>COM-11</w:t>
            </w:r>
          </w:p>
        </w:tc>
        <w:tc>
          <w:tcPr>
            <w:tcW w:type="dxa" w:w="3427"/>
            <w:vAlign w:val="center"/>
          </w:tcPr>
          <w:p>
            <w:pPr>
              <w:spacing w:after="0"/>
            </w:pPr>
            <w:r/>
            <w:r>
              <w:rPr>
                <w:rFonts w:ascii="Arial" w:hAnsi="Arial"/>
                <w:b w:val="0"/>
                <w:sz w:val="16"/>
              </w:rPr>
              <w:t>Email fails</w:t>
            </w:r>
          </w:p>
        </w:tc>
        <w:tc>
          <w:tcPr>
            <w:tcW w:type="dxa" w:w="3427"/>
            <w:vAlign w:val="center"/>
          </w:tcPr>
          <w:p>
            <w:pPr>
              <w:spacing w:after="0"/>
            </w:pPr>
            <w:r/>
            <w:r>
              <w:rPr>
                <w:rFonts w:ascii="Arial" w:hAnsi="Arial"/>
                <w:b w:val="0"/>
                <w:sz w:val="16"/>
              </w:rPr>
              <w:t>Failure logged; active referral and urgency remain.</w:t>
            </w:r>
          </w:p>
        </w:tc>
      </w:tr>
      <w:tr>
        <w:tc>
          <w:tcPr>
            <w:tcW w:type="dxa" w:w="3427"/>
            <w:vAlign w:val="center"/>
          </w:tcPr>
          <w:p>
            <w:pPr>
              <w:spacing w:after="0"/>
            </w:pPr>
            <w:r/>
            <w:r>
              <w:rPr>
                <w:rFonts w:ascii="Arial" w:hAnsi="Arial"/>
                <w:b w:val="0"/>
                <w:sz w:val="16"/>
              </w:rPr>
              <w:t>COM-12</w:t>
            </w:r>
          </w:p>
        </w:tc>
        <w:tc>
          <w:tcPr>
            <w:tcW w:type="dxa" w:w="3427"/>
            <w:vAlign w:val="center"/>
          </w:tcPr>
          <w:p>
            <w:pPr>
              <w:spacing w:after="0"/>
            </w:pPr>
            <w:r/>
            <w:r>
              <w:rPr>
                <w:rFonts w:ascii="Arial" w:hAnsi="Arial"/>
                <w:b w:val="0"/>
                <w:sz w:val="16"/>
              </w:rPr>
              <w:t>Print differs from screen</w:t>
            </w:r>
          </w:p>
        </w:tc>
        <w:tc>
          <w:tcPr>
            <w:tcW w:type="dxa" w:w="3427"/>
            <w:vAlign w:val="center"/>
          </w:tcPr>
          <w:p>
            <w:pPr>
              <w:spacing w:after="0"/>
            </w:pPr>
            <w:r/>
            <w:r>
              <w:rPr>
                <w:rFonts w:ascii="Arial" w:hAnsi="Arial"/>
                <w:b w:val="0"/>
                <w:sz w:val="16"/>
              </w:rPr>
              <w:t>Validation fails.</w:t>
            </w:r>
          </w:p>
        </w:tc>
      </w:tr>
      <w:tr>
        <w:tc>
          <w:tcPr>
            <w:tcW w:type="dxa" w:w="3427"/>
            <w:vAlign w:val="center"/>
          </w:tcPr>
          <w:p>
            <w:pPr>
              <w:spacing w:after="0"/>
            </w:pPr>
            <w:r/>
            <w:r>
              <w:rPr>
                <w:rFonts w:ascii="Arial" w:hAnsi="Arial"/>
                <w:b w:val="0"/>
                <w:sz w:val="16"/>
              </w:rPr>
              <w:t>COM-13</w:t>
            </w:r>
          </w:p>
        </w:tc>
        <w:tc>
          <w:tcPr>
            <w:tcW w:type="dxa" w:w="3427"/>
            <w:vAlign w:val="center"/>
          </w:tcPr>
          <w:p>
            <w:pPr>
              <w:spacing w:after="0"/>
            </w:pPr>
            <w:r/>
            <w:r>
              <w:rPr>
                <w:rFonts w:ascii="Arial" w:hAnsi="Arial"/>
                <w:b w:val="0"/>
                <w:sz w:val="16"/>
              </w:rPr>
              <w:t>Old assessment printed after reassessment</w:t>
            </w:r>
          </w:p>
        </w:tc>
        <w:tc>
          <w:tcPr>
            <w:tcW w:type="dxa" w:w="3427"/>
            <w:vAlign w:val="center"/>
          </w:tcPr>
          <w:p>
            <w:pPr>
              <w:spacing w:after="0"/>
            </w:pPr>
            <w:r/>
            <w:r>
              <w:rPr>
                <w:rFonts w:ascii="Arial" w:hAnsi="Arial"/>
                <w:b w:val="0"/>
                <w:sz w:val="16"/>
              </w:rPr>
              <w:t>Version clearly identified; current status not misrepresented.</w:t>
            </w:r>
          </w:p>
        </w:tc>
      </w:tr>
      <w:tr>
        <w:tc>
          <w:tcPr>
            <w:tcW w:type="dxa" w:w="3427"/>
            <w:vAlign w:val="center"/>
          </w:tcPr>
          <w:p>
            <w:pPr>
              <w:spacing w:after="0"/>
            </w:pPr>
            <w:r/>
            <w:r>
              <w:rPr>
                <w:rFonts w:ascii="Arial" w:hAnsi="Arial"/>
                <w:b w:val="0"/>
                <w:sz w:val="16"/>
              </w:rPr>
              <w:t>COM-14</w:t>
            </w:r>
          </w:p>
        </w:tc>
        <w:tc>
          <w:tcPr>
            <w:tcW w:type="dxa" w:w="3427"/>
            <w:vAlign w:val="center"/>
          </w:tcPr>
          <w:p>
            <w:pPr>
              <w:spacing w:after="0"/>
            </w:pPr>
            <w:r/>
            <w:r>
              <w:rPr>
                <w:rFonts w:ascii="Arial" w:hAnsi="Arial"/>
                <w:b w:val="0"/>
                <w:sz w:val="16"/>
              </w:rPr>
              <w:t>Delivered patient record</w:t>
            </w:r>
          </w:p>
        </w:tc>
        <w:tc>
          <w:tcPr>
            <w:tcW w:type="dxa" w:w="3427"/>
            <w:vAlign w:val="center"/>
          </w:tcPr>
          <w:p>
            <w:pPr>
              <w:spacing w:after="0"/>
            </w:pPr>
            <w:r/>
            <w:r>
              <w:rPr>
                <w:rFonts w:ascii="Arial" w:hAnsi="Arial"/>
                <w:b w:val="0"/>
                <w:sz w:val="16"/>
              </w:rPr>
              <w:t>Historical message read-only.</w:t>
            </w:r>
          </w:p>
        </w:tc>
      </w:tr>
      <w:tr>
        <w:tc>
          <w:tcPr>
            <w:tcW w:type="dxa" w:w="3427"/>
            <w:vAlign w:val="center"/>
          </w:tcPr>
          <w:p>
            <w:pPr>
              <w:spacing w:after="0"/>
            </w:pPr>
            <w:r/>
            <w:r>
              <w:rPr>
                <w:rFonts w:ascii="Arial" w:hAnsi="Arial"/>
                <w:b w:val="0"/>
                <w:sz w:val="16"/>
              </w:rPr>
              <w:t>COM-15</w:t>
            </w:r>
          </w:p>
        </w:tc>
        <w:tc>
          <w:tcPr>
            <w:tcW w:type="dxa" w:w="3427"/>
            <w:vAlign w:val="center"/>
          </w:tcPr>
          <w:p>
            <w:pPr>
              <w:spacing w:after="0"/>
            </w:pPr>
            <w:r/>
            <w:r>
              <w:rPr>
                <w:rFonts w:ascii="Arial" w:hAnsi="Arial"/>
                <w:b w:val="0"/>
                <w:sz w:val="16"/>
              </w:rPr>
              <w:t>New pregnancy</w:t>
            </w:r>
          </w:p>
        </w:tc>
        <w:tc>
          <w:tcPr>
            <w:tcW w:type="dxa" w:w="3427"/>
            <w:vAlign w:val="center"/>
          </w:tcPr>
          <w:p>
            <w:pPr>
              <w:spacing w:after="0"/>
            </w:pPr>
            <w:r/>
            <w:r>
              <w:rPr>
                <w:rFonts w:ascii="Arial" w:hAnsi="Arial"/>
                <w:b w:val="0"/>
                <w:sz w:val="16"/>
              </w:rPr>
              <w:t>New communication chain; no silent carryover.</w:t>
            </w:r>
          </w:p>
        </w:tc>
      </w:tr>
      <w:tr>
        <w:tc>
          <w:tcPr>
            <w:tcW w:type="dxa" w:w="3427"/>
            <w:vAlign w:val="center"/>
          </w:tcPr>
          <w:p>
            <w:pPr>
              <w:spacing w:after="0"/>
            </w:pPr>
            <w:r/>
            <w:r>
              <w:rPr>
                <w:rFonts w:ascii="Arial" w:hAnsi="Arial"/>
                <w:b w:val="0"/>
                <w:sz w:val="16"/>
              </w:rPr>
              <w:t>COM-16</w:t>
            </w:r>
          </w:p>
        </w:tc>
        <w:tc>
          <w:tcPr>
            <w:tcW w:type="dxa" w:w="3427"/>
            <w:vAlign w:val="center"/>
          </w:tcPr>
          <w:p>
            <w:pPr>
              <w:spacing w:after="0"/>
            </w:pPr>
            <w:r/>
            <w:r>
              <w:rPr>
                <w:rFonts w:ascii="Arial" w:hAnsi="Arial"/>
                <w:b w:val="0"/>
                <w:sz w:val="16"/>
              </w:rPr>
              <w:t>Admin dashboard</w:t>
            </w:r>
          </w:p>
        </w:tc>
        <w:tc>
          <w:tcPr>
            <w:tcW w:type="dxa" w:w="3427"/>
            <w:vAlign w:val="center"/>
          </w:tcPr>
          <w:p>
            <w:pPr>
              <w:spacing w:after="0"/>
            </w:pPr>
            <w:r/>
            <w:r>
              <w:rPr>
                <w:rFonts w:ascii="Arial" w:hAnsi="Arial"/>
                <w:b w:val="0"/>
                <w:sz w:val="16"/>
              </w:rPr>
              <w:t>Shows operational indicators without unnecessary clinical detail.</w:t>
            </w:r>
          </w:p>
        </w:tc>
      </w:tr>
      <w:tr>
        <w:tc>
          <w:tcPr>
            <w:tcW w:type="dxa" w:w="3427"/>
            <w:vAlign w:val="center"/>
          </w:tcPr>
          <w:p>
            <w:pPr>
              <w:spacing w:after="0"/>
            </w:pPr>
            <w:r/>
            <w:r>
              <w:rPr>
                <w:rFonts w:ascii="Arial" w:hAnsi="Arial"/>
                <w:b w:val="0"/>
                <w:sz w:val="16"/>
              </w:rPr>
              <w:t>COM-17</w:t>
            </w:r>
          </w:p>
        </w:tc>
        <w:tc>
          <w:tcPr>
            <w:tcW w:type="dxa" w:w="3427"/>
            <w:vAlign w:val="center"/>
          </w:tcPr>
          <w:p>
            <w:pPr>
              <w:spacing w:after="0"/>
            </w:pPr>
            <w:r/>
            <w:r>
              <w:rPr>
                <w:rFonts w:ascii="Arial" w:hAnsi="Arial"/>
                <w:b w:val="0"/>
                <w:sz w:val="16"/>
              </w:rPr>
              <w:t>Patient asks whether LOW means safe</w:t>
            </w:r>
          </w:p>
        </w:tc>
        <w:tc>
          <w:tcPr>
            <w:tcW w:type="dxa" w:w="3427"/>
            <w:vAlign w:val="center"/>
          </w:tcPr>
          <w:p>
            <w:pPr>
              <w:spacing w:after="0"/>
            </w:pPr>
            <w:r/>
            <w:r>
              <w:rPr>
                <w:rFonts w:ascii="Arial" w:hAnsi="Arial"/>
                <w:b w:val="0"/>
                <w:sz w:val="16"/>
              </w:rPr>
              <w:t>Counseling clarifies snapshot and future-change limitation.</w:t>
            </w:r>
          </w:p>
        </w:tc>
      </w:tr>
      <w:tr>
        <w:tc>
          <w:tcPr>
            <w:tcW w:type="dxa" w:w="3427"/>
            <w:vAlign w:val="center"/>
          </w:tcPr>
          <w:p>
            <w:pPr>
              <w:spacing w:after="0"/>
            </w:pPr>
            <w:r/>
            <w:r>
              <w:rPr>
                <w:rFonts w:ascii="Arial" w:hAnsi="Arial"/>
                <w:b w:val="0"/>
                <w:sz w:val="16"/>
              </w:rPr>
              <w:t>COM-18</w:t>
            </w:r>
          </w:p>
        </w:tc>
        <w:tc>
          <w:tcPr>
            <w:tcW w:type="dxa" w:w="3427"/>
            <w:vAlign w:val="center"/>
          </w:tcPr>
          <w:p>
            <w:pPr>
              <w:spacing w:after="0"/>
            </w:pPr>
            <w:r/>
            <w:r>
              <w:rPr>
                <w:rFonts w:ascii="Arial" w:hAnsi="Arial"/>
                <w:b w:val="0"/>
                <w:sz w:val="16"/>
              </w:rPr>
              <w:t>Contradictory source records</w:t>
            </w:r>
          </w:p>
        </w:tc>
        <w:tc>
          <w:tcPr>
            <w:tcW w:type="dxa" w:w="3427"/>
            <w:vAlign w:val="center"/>
          </w:tcPr>
          <w:p>
            <w:pPr>
              <w:spacing w:after="0"/>
            </w:pPr>
            <w:r/>
            <w:r>
              <w:rPr>
                <w:rFonts w:ascii="Arial" w:hAnsi="Arial"/>
                <w:b w:val="0"/>
                <w:sz w:val="16"/>
              </w:rPr>
              <w:t>Conflict explicitly shown and review requested.</w:t>
            </w:r>
          </w:p>
        </w:tc>
      </w:tr>
      <w:tr>
        <w:tc>
          <w:tcPr>
            <w:tcW w:type="dxa" w:w="3427"/>
            <w:vAlign w:val="center"/>
          </w:tcPr>
          <w:p>
            <w:pPr>
              <w:spacing w:after="0"/>
            </w:pPr>
            <w:r/>
            <w:r>
              <w:rPr>
                <w:rFonts w:ascii="Arial" w:hAnsi="Arial"/>
                <w:b w:val="0"/>
                <w:sz w:val="16"/>
              </w:rPr>
              <w:t>COM-19</w:t>
            </w:r>
          </w:p>
        </w:tc>
        <w:tc>
          <w:tcPr>
            <w:tcW w:type="dxa" w:w="3427"/>
            <w:vAlign w:val="center"/>
          </w:tcPr>
          <w:p>
            <w:pPr>
              <w:spacing w:after="0"/>
            </w:pPr>
            <w:r/>
            <w:r>
              <w:rPr>
                <w:rFonts w:ascii="Arial" w:hAnsi="Arial"/>
                <w:b w:val="0"/>
                <w:sz w:val="16"/>
              </w:rPr>
              <w:t>Manual clinician escalation</w:t>
            </w:r>
          </w:p>
        </w:tc>
        <w:tc>
          <w:tcPr>
            <w:tcW w:type="dxa" w:w="3427"/>
            <w:vAlign w:val="center"/>
          </w:tcPr>
          <w:p>
            <w:pPr>
              <w:spacing w:after="0"/>
            </w:pPr>
            <w:r/>
            <w:r>
              <w:rPr>
                <w:rFonts w:ascii="Arial" w:hAnsi="Arial"/>
                <w:b w:val="0"/>
                <w:sz w:val="16"/>
              </w:rPr>
              <w:t>Clinician-authored reason attributed and preserved.</w:t>
            </w:r>
          </w:p>
        </w:tc>
      </w:tr>
      <w:tr>
        <w:tc>
          <w:tcPr>
            <w:tcW w:type="dxa" w:w="3427"/>
            <w:vAlign w:val="center"/>
          </w:tcPr>
          <w:p>
            <w:pPr>
              <w:spacing w:after="0"/>
            </w:pPr>
            <w:r/>
            <w:r>
              <w:rPr>
                <w:rFonts w:ascii="Arial" w:hAnsi="Arial"/>
                <w:b w:val="0"/>
                <w:sz w:val="16"/>
              </w:rPr>
              <w:t>COM-20</w:t>
            </w:r>
          </w:p>
        </w:tc>
        <w:tc>
          <w:tcPr>
            <w:tcW w:type="dxa" w:w="3427"/>
            <w:vAlign w:val="center"/>
          </w:tcPr>
          <w:p>
            <w:pPr>
              <w:spacing w:after="0"/>
            </w:pPr>
            <w:r/>
            <w:r>
              <w:rPr>
                <w:rFonts w:ascii="Arial" w:hAnsi="Arial"/>
                <w:b w:val="0"/>
                <w:sz w:val="16"/>
              </w:rPr>
              <w:t>Audit reconstruction</w:t>
            </w:r>
          </w:p>
        </w:tc>
        <w:tc>
          <w:tcPr>
            <w:tcW w:type="dxa" w:w="3427"/>
            <w:vAlign w:val="center"/>
          </w:tcPr>
          <w:p>
            <w:pPr>
              <w:spacing w:after="0"/>
            </w:pPr>
            <w:r/>
            <w:r>
              <w:rPr>
                <w:rFonts w:ascii="Arial" w:hAnsi="Arial"/>
                <w:b w:val="0"/>
                <w:sz w:val="16"/>
              </w:rPr>
              <w:t>Exact generated and communicated wording reproducible.</w:t>
            </w:r>
          </w:p>
        </w:tc>
      </w:tr>
    </w:tbl>
    <w:p>
      <w:pPr>
        <w:spacing w:after="0"/>
      </w:pPr>
    </w:p>
    <w:p>
      <w:pPr>
        <w:pStyle w:val="Heading1"/>
      </w:pPr>
      <w:r>
        <w:t>14. Monitoring Indicators</w:t>
      </w:r>
    </w:p>
    <w:tbl>
      <w:tblPr>
        <w:tblStyle w:val="TableGrid"/>
        <w:tblW w:type="auto" w:w="0"/>
        <w:jc w:val="center"/>
        <w:tblLayout w:type="autofit"/>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Indicator</w:t>
            </w:r>
          </w:p>
        </w:tc>
        <w:tc>
          <w:tcPr>
            <w:tcW w:type="dxa" w:w="5141"/>
            <w:vAlign w:val="center"/>
            <w:shd w:fill="D9EAF7"/>
          </w:tcPr>
          <w:p>
            <w:pPr>
              <w:spacing w:after="0"/>
            </w:pPr>
            <w:r/>
            <w:r>
              <w:rPr>
                <w:rFonts w:ascii="Arial" w:hAnsi="Arial"/>
                <w:b/>
                <w:sz w:val="16"/>
              </w:rPr>
              <w:t>Purpose</w:t>
            </w:r>
          </w:p>
        </w:tc>
      </w:tr>
      <w:tr>
        <w:tc>
          <w:tcPr>
            <w:tcW w:type="dxa" w:w="5141"/>
            <w:vAlign w:val="center"/>
          </w:tcPr>
          <w:p>
            <w:pPr>
              <w:spacing w:after="0"/>
            </w:pPr>
            <w:r/>
            <w:r>
              <w:rPr>
                <w:rFonts w:ascii="Arial" w:hAnsi="Arial"/>
                <w:b w:val="0"/>
                <w:sz w:val="16"/>
              </w:rPr>
              <w:t>Explanation completeness rate</w:t>
            </w:r>
          </w:p>
        </w:tc>
        <w:tc>
          <w:tcPr>
            <w:tcW w:type="dxa" w:w="5141"/>
            <w:vAlign w:val="center"/>
          </w:tcPr>
          <w:p>
            <w:pPr>
              <w:spacing w:after="0"/>
            </w:pPr>
            <w:r/>
            <w:r>
              <w:rPr>
                <w:rFonts w:ascii="Arial" w:hAnsi="Arial"/>
                <w:b w:val="0"/>
                <w:sz w:val="16"/>
              </w:rPr>
              <w:t>Confirm every state has reasons, action, limitations, and provenance.</w:t>
            </w:r>
          </w:p>
        </w:tc>
      </w:tr>
      <w:tr>
        <w:tc>
          <w:tcPr>
            <w:tcW w:type="dxa" w:w="5141"/>
            <w:vAlign w:val="center"/>
          </w:tcPr>
          <w:p>
            <w:pPr>
              <w:spacing w:after="0"/>
            </w:pPr>
            <w:r/>
            <w:r>
              <w:rPr>
                <w:rFonts w:ascii="Arial" w:hAnsi="Arial"/>
                <w:b w:val="0"/>
                <w:sz w:val="16"/>
              </w:rPr>
              <w:t>Screen/print/email consistency failures</w:t>
            </w:r>
          </w:p>
        </w:tc>
        <w:tc>
          <w:tcPr>
            <w:tcW w:type="dxa" w:w="5141"/>
            <w:vAlign w:val="center"/>
          </w:tcPr>
          <w:p>
            <w:pPr>
              <w:spacing w:after="0"/>
            </w:pPr>
            <w:r/>
            <w:r>
              <w:rPr>
                <w:rFonts w:ascii="Arial" w:hAnsi="Arial"/>
                <w:b w:val="0"/>
                <w:sz w:val="16"/>
              </w:rPr>
              <w:t>Detect message divergence.</w:t>
            </w:r>
          </w:p>
        </w:tc>
      </w:tr>
      <w:tr>
        <w:tc>
          <w:tcPr>
            <w:tcW w:type="dxa" w:w="5141"/>
            <w:vAlign w:val="center"/>
          </w:tcPr>
          <w:p>
            <w:pPr>
              <w:spacing w:after="0"/>
            </w:pPr>
            <w:r/>
            <w:r>
              <w:rPr>
                <w:rFonts w:ascii="Arial" w:hAnsi="Arial"/>
                <w:b w:val="0"/>
                <w:sz w:val="16"/>
              </w:rPr>
              <w:t>Patient counseling documentation rate</w:t>
            </w:r>
          </w:p>
        </w:tc>
        <w:tc>
          <w:tcPr>
            <w:tcW w:type="dxa" w:w="5141"/>
            <w:vAlign w:val="center"/>
          </w:tcPr>
          <w:p>
            <w:pPr>
              <w:spacing w:after="0"/>
            </w:pPr>
            <w:r/>
            <w:r>
              <w:rPr>
                <w:rFonts w:ascii="Arial" w:hAnsi="Arial"/>
                <w:b w:val="0"/>
                <w:sz w:val="16"/>
              </w:rPr>
              <w:t>Measure whether human communication occurred.</w:t>
            </w:r>
          </w:p>
        </w:tc>
      </w:tr>
      <w:tr>
        <w:tc>
          <w:tcPr>
            <w:tcW w:type="dxa" w:w="5141"/>
            <w:vAlign w:val="center"/>
          </w:tcPr>
          <w:p>
            <w:pPr>
              <w:spacing w:after="0"/>
            </w:pPr>
            <w:r/>
            <w:r>
              <w:rPr>
                <w:rFonts w:ascii="Arial" w:hAnsi="Arial"/>
                <w:b w:val="0"/>
                <w:sz w:val="16"/>
              </w:rPr>
              <w:t>Referral refusal with complete safety-net documentation</w:t>
            </w:r>
          </w:p>
        </w:tc>
        <w:tc>
          <w:tcPr>
            <w:tcW w:type="dxa" w:w="5141"/>
            <w:vAlign w:val="center"/>
          </w:tcPr>
          <w:p>
            <w:pPr>
              <w:spacing w:after="0"/>
            </w:pPr>
            <w:r/>
            <w:r>
              <w:rPr>
                <w:rFonts w:ascii="Arial" w:hAnsi="Arial"/>
                <w:b w:val="0"/>
                <w:sz w:val="16"/>
              </w:rPr>
              <w:t>Assess safe refusal handling.</w:t>
            </w:r>
          </w:p>
        </w:tc>
      </w:tr>
      <w:tr>
        <w:tc>
          <w:tcPr>
            <w:tcW w:type="dxa" w:w="5141"/>
            <w:vAlign w:val="center"/>
          </w:tcPr>
          <w:p>
            <w:pPr>
              <w:spacing w:after="0"/>
            </w:pPr>
            <w:r/>
            <w:r>
              <w:rPr>
                <w:rFonts w:ascii="Arial" w:hAnsi="Arial"/>
                <w:b w:val="0"/>
                <w:sz w:val="16"/>
              </w:rPr>
              <w:t>INCOMPLETE resolution time</w:t>
            </w:r>
          </w:p>
        </w:tc>
        <w:tc>
          <w:tcPr>
            <w:tcW w:type="dxa" w:w="5141"/>
            <w:vAlign w:val="center"/>
          </w:tcPr>
          <w:p>
            <w:pPr>
              <w:spacing w:after="0"/>
            </w:pPr>
            <w:r/>
            <w:r>
              <w:rPr>
                <w:rFonts w:ascii="Arial" w:hAnsi="Arial"/>
                <w:b w:val="0"/>
                <w:sz w:val="16"/>
              </w:rPr>
              <w:t>Identify data and workflow barriers.</w:t>
            </w:r>
          </w:p>
        </w:tc>
      </w:tr>
      <w:tr>
        <w:tc>
          <w:tcPr>
            <w:tcW w:type="dxa" w:w="5141"/>
            <w:vAlign w:val="center"/>
          </w:tcPr>
          <w:p>
            <w:pPr>
              <w:spacing w:after="0"/>
            </w:pPr>
            <w:r/>
            <w:r>
              <w:rPr>
                <w:rFonts w:ascii="Arial" w:hAnsi="Arial"/>
                <w:b w:val="0"/>
                <w:sz w:val="16"/>
              </w:rPr>
              <w:t>User override frequency and reason</w:t>
            </w:r>
          </w:p>
        </w:tc>
        <w:tc>
          <w:tcPr>
            <w:tcW w:type="dxa" w:w="5141"/>
            <w:vAlign w:val="center"/>
          </w:tcPr>
          <w:p>
            <w:pPr>
              <w:spacing w:after="0"/>
            </w:pPr>
            <w:r/>
            <w:r>
              <w:rPr>
                <w:rFonts w:ascii="Arial" w:hAnsi="Arial"/>
                <w:b w:val="0"/>
                <w:sz w:val="16"/>
              </w:rPr>
              <w:t>Detect missing rules or misunderstanding.</w:t>
            </w:r>
          </w:p>
        </w:tc>
      </w:tr>
      <w:tr>
        <w:tc>
          <w:tcPr>
            <w:tcW w:type="dxa" w:w="5141"/>
            <w:vAlign w:val="center"/>
          </w:tcPr>
          <w:p>
            <w:pPr>
              <w:spacing w:after="0"/>
            </w:pPr>
            <w:r/>
            <w:r>
              <w:rPr>
                <w:rFonts w:ascii="Arial" w:hAnsi="Arial"/>
                <w:b w:val="0"/>
                <w:sz w:val="16"/>
              </w:rPr>
              <w:t>Communication-related incidents or near misses</w:t>
            </w:r>
          </w:p>
        </w:tc>
        <w:tc>
          <w:tcPr>
            <w:tcW w:type="dxa" w:w="5141"/>
            <w:vAlign w:val="center"/>
          </w:tcPr>
          <w:p>
            <w:pPr>
              <w:spacing w:after="0"/>
            </w:pPr>
            <w:r/>
            <w:r>
              <w:rPr>
                <w:rFonts w:ascii="Arial" w:hAnsi="Arial"/>
                <w:b w:val="0"/>
                <w:sz w:val="16"/>
              </w:rPr>
              <w:t>Trigger review and CAPA.</w:t>
            </w:r>
          </w:p>
        </w:tc>
      </w:tr>
      <w:tr>
        <w:tc>
          <w:tcPr>
            <w:tcW w:type="dxa" w:w="5141"/>
            <w:vAlign w:val="center"/>
          </w:tcPr>
          <w:p>
            <w:pPr>
              <w:spacing w:after="0"/>
            </w:pPr>
            <w:r/>
            <w:r>
              <w:rPr>
                <w:rFonts w:ascii="Arial" w:hAnsi="Arial"/>
                <w:b w:val="0"/>
                <w:sz w:val="16"/>
              </w:rPr>
              <w:t>Subgroup differences in referral acceptance/completion</w:t>
            </w:r>
          </w:p>
        </w:tc>
        <w:tc>
          <w:tcPr>
            <w:tcW w:type="dxa" w:w="5141"/>
            <w:vAlign w:val="center"/>
          </w:tcPr>
          <w:p>
            <w:pPr>
              <w:spacing w:after="0"/>
            </w:pPr>
            <w:r/>
            <w:r>
              <w:rPr>
                <w:rFonts w:ascii="Arial" w:hAnsi="Arial"/>
                <w:b w:val="0"/>
                <w:sz w:val="16"/>
              </w:rPr>
              <w:t>Identify access and equity barriers.</w:t>
            </w:r>
          </w:p>
        </w:tc>
      </w:tr>
    </w:tbl>
    <w:p>
      <w:pPr>
        <w:spacing w:after="0"/>
      </w:pPr>
    </w:p>
    <w:p>
      <w:pPr>
        <w:pStyle w:val="Heading1"/>
      </w:pPr>
      <w:r>
        <w:t>15. Panel Defense Questions and Model Answers</w:t>
      </w:r>
    </w:p>
    <w:tbl>
      <w:tblPr>
        <w:tblStyle w:val="TableGrid"/>
        <w:tblW w:type="auto" w:w="0"/>
        <w:jc w:val="center"/>
        <w:tblLayout w:type="autofit"/>
        <w:tblLook w:firstColumn="1" w:firstRow="1" w:lastColumn="0" w:lastRow="0" w:noHBand="0" w:noVBand="1" w:val="04A0"/>
      </w:tblPr>
      <w:tblGrid>
        <w:gridCol w:w="5141"/>
        <w:gridCol w:w="5141"/>
      </w:tblGrid>
      <w:tr>
        <w:tc>
          <w:tcPr>
            <w:tcW w:type="dxa" w:w="5141"/>
            <w:vAlign w:val="center"/>
            <w:shd w:fill="D9EAF7"/>
          </w:tcPr>
          <w:p>
            <w:pPr>
              <w:spacing w:after="0"/>
            </w:pPr>
            <w:r/>
            <w:r>
              <w:rPr>
                <w:rFonts w:ascii="Arial" w:hAnsi="Arial"/>
                <w:b/>
                <w:sz w:val="16"/>
              </w:rPr>
              <w:t>Question</w:t>
            </w:r>
          </w:p>
        </w:tc>
        <w:tc>
          <w:tcPr>
            <w:tcW w:type="dxa" w:w="5141"/>
            <w:vAlign w:val="center"/>
            <w:shd w:fill="D9EAF7"/>
          </w:tcPr>
          <w:p>
            <w:pPr>
              <w:spacing w:after="0"/>
            </w:pPr>
            <w:r/>
            <w:r>
              <w:rPr>
                <w:rFonts w:ascii="Arial" w:hAnsi="Arial"/>
                <w:b/>
                <w:sz w:val="16"/>
              </w:rPr>
              <w:t>Model answer</w:t>
            </w:r>
          </w:p>
        </w:tc>
      </w:tr>
      <w:tr>
        <w:tc>
          <w:tcPr>
            <w:tcW w:type="dxa" w:w="5141"/>
            <w:vAlign w:val="center"/>
          </w:tcPr>
          <w:p>
            <w:pPr>
              <w:spacing w:after="0"/>
            </w:pPr>
            <w:r/>
            <w:r>
              <w:rPr>
                <w:rFonts w:ascii="Arial" w:hAnsi="Arial"/>
                <w:b w:val="0"/>
                <w:sz w:val="16"/>
              </w:rPr>
              <w:t>Why is communication part of the risk framework?</w:t>
            </w:r>
          </w:p>
        </w:tc>
        <w:tc>
          <w:tcPr>
            <w:tcW w:type="dxa" w:w="5141"/>
            <w:vAlign w:val="center"/>
          </w:tcPr>
          <w:p>
            <w:pPr>
              <w:spacing w:after="0"/>
            </w:pPr>
            <w:r/>
            <w:r>
              <w:rPr>
                <w:rFonts w:ascii="Arial" w:hAnsi="Arial"/>
                <w:b w:val="0"/>
                <w:sz w:val="16"/>
              </w:rPr>
              <w:t>Because a correct result can still be unsafe when misunderstood, falsely reassuring, or disconnected from action.</w:t>
            </w:r>
          </w:p>
        </w:tc>
      </w:tr>
      <w:tr>
        <w:tc>
          <w:tcPr>
            <w:tcW w:type="dxa" w:w="5141"/>
            <w:vAlign w:val="center"/>
          </w:tcPr>
          <w:p>
            <w:pPr>
              <w:spacing w:after="0"/>
            </w:pPr>
            <w:r/>
            <w:r>
              <w:rPr>
                <w:rFonts w:ascii="Arial" w:hAnsi="Arial"/>
                <w:b w:val="0"/>
                <w:sz w:val="16"/>
              </w:rPr>
              <w:t>Why does the system not directly diagnose the patient?</w:t>
            </w:r>
          </w:p>
        </w:tc>
        <w:tc>
          <w:tcPr>
            <w:tcW w:type="dxa" w:w="5141"/>
            <w:vAlign w:val="center"/>
          </w:tcPr>
          <w:p>
            <w:pPr>
              <w:spacing w:after="0"/>
            </w:pPr>
            <w:r/>
            <w:r>
              <w:rPr>
                <w:rFonts w:ascii="Arial" w:hAnsi="Arial"/>
                <w:b w:val="0"/>
                <w:sz w:val="16"/>
              </w:rPr>
              <w:t>Its intended use is professional decision support in a lying-in clinic, not autonomous diagnosis or treatment.</w:t>
            </w:r>
          </w:p>
        </w:tc>
      </w:tr>
      <w:tr>
        <w:tc>
          <w:tcPr>
            <w:tcW w:type="dxa" w:w="5141"/>
            <w:vAlign w:val="center"/>
          </w:tcPr>
          <w:p>
            <w:pPr>
              <w:spacing w:after="0"/>
            </w:pPr>
            <w:r/>
            <w:r>
              <w:rPr>
                <w:rFonts w:ascii="Arial" w:hAnsi="Arial"/>
                <w:b w:val="0"/>
                <w:sz w:val="16"/>
              </w:rPr>
              <w:t>Why separate risk state from urgency?</w:t>
            </w:r>
          </w:p>
        </w:tc>
        <w:tc>
          <w:tcPr>
            <w:tcW w:type="dxa" w:w="5141"/>
            <w:vAlign w:val="center"/>
          </w:tcPr>
          <w:p>
            <w:pPr>
              <w:spacing w:after="0"/>
            </w:pPr>
            <w:r/>
            <w:r>
              <w:rPr>
                <w:rFonts w:ascii="Arial" w:hAnsi="Arial"/>
                <w:b w:val="0"/>
                <w:sz w:val="16"/>
              </w:rPr>
              <w:t>HIGH includes stable referral-level concerns and urgent conditions; E0-E4 communicates time sensitivity.</w:t>
            </w:r>
          </w:p>
        </w:tc>
      </w:tr>
      <w:tr>
        <w:tc>
          <w:tcPr>
            <w:tcW w:type="dxa" w:w="5141"/>
            <w:vAlign w:val="center"/>
          </w:tcPr>
          <w:p>
            <w:pPr>
              <w:spacing w:after="0"/>
            </w:pPr>
            <w:r/>
            <w:r>
              <w:rPr>
                <w:rFonts w:ascii="Arial" w:hAnsi="Arial"/>
                <w:b w:val="0"/>
                <w:sz w:val="16"/>
              </w:rPr>
              <w:t>What does LOW mean?</w:t>
            </w:r>
          </w:p>
        </w:tc>
        <w:tc>
          <w:tcPr>
            <w:tcW w:type="dxa" w:w="5141"/>
            <w:vAlign w:val="center"/>
          </w:tcPr>
          <w:p>
            <w:pPr>
              <w:spacing w:after="0"/>
            </w:pPr>
            <w:r/>
            <w:r>
              <w:rPr>
                <w:rFonts w:ascii="Arial" w:hAnsi="Arial"/>
                <w:b w:val="0"/>
                <w:sz w:val="16"/>
              </w:rPr>
              <w:t>Only that the current required data are complete, no encoded deterministic HIGH is active, and the validated model output is LOW for that snapshot.</w:t>
            </w:r>
          </w:p>
        </w:tc>
      </w:tr>
      <w:tr>
        <w:tc>
          <w:tcPr>
            <w:tcW w:type="dxa" w:w="5141"/>
            <w:vAlign w:val="center"/>
          </w:tcPr>
          <w:p>
            <w:pPr>
              <w:spacing w:after="0"/>
            </w:pPr>
            <w:r/>
            <w:r>
              <w:rPr>
                <w:rFonts w:ascii="Arial" w:hAnsi="Arial"/>
                <w:b w:val="0"/>
                <w:sz w:val="16"/>
              </w:rPr>
              <w:t>How is uncertainty handled?</w:t>
            </w:r>
          </w:p>
        </w:tc>
        <w:tc>
          <w:tcPr>
            <w:tcW w:type="dxa" w:w="5141"/>
            <w:vAlign w:val="center"/>
          </w:tcPr>
          <w:p>
            <w:pPr>
              <w:spacing w:after="0"/>
            </w:pPr>
            <w:r/>
            <w:r>
              <w:rPr>
                <w:rFonts w:ascii="Arial" w:hAnsi="Arial"/>
                <w:b w:val="0"/>
                <w:sz w:val="16"/>
              </w:rPr>
              <w:t>Missing, stale, conflicting, unverified, and failed information is shown explicitly and can prevent LOW.</w:t>
            </w:r>
          </w:p>
        </w:tc>
      </w:tr>
      <w:tr>
        <w:tc>
          <w:tcPr>
            <w:tcW w:type="dxa" w:w="5141"/>
            <w:vAlign w:val="center"/>
          </w:tcPr>
          <w:p>
            <w:pPr>
              <w:spacing w:after="0"/>
            </w:pPr>
            <w:r/>
            <w:r>
              <w:rPr>
                <w:rFonts w:ascii="Arial" w:hAnsi="Arial"/>
                <w:b w:val="0"/>
                <w:sz w:val="16"/>
              </w:rPr>
              <w:t>Can a patient refusal change HIGH to LOW?</w:t>
            </w:r>
          </w:p>
        </w:tc>
        <w:tc>
          <w:tcPr>
            <w:tcW w:type="dxa" w:w="5141"/>
            <w:vAlign w:val="center"/>
          </w:tcPr>
          <w:p>
            <w:pPr>
              <w:spacing w:after="0"/>
            </w:pPr>
            <w:r/>
            <w:r>
              <w:rPr>
                <w:rFonts w:ascii="Arial" w:hAnsi="Arial"/>
                <w:b w:val="0"/>
                <w:sz w:val="16"/>
              </w:rPr>
              <w:t>No. Refusal changes the action status, not the clinical evidence.</w:t>
            </w:r>
          </w:p>
        </w:tc>
      </w:tr>
      <w:tr>
        <w:tc>
          <w:tcPr>
            <w:tcW w:type="dxa" w:w="5141"/>
            <w:vAlign w:val="center"/>
          </w:tcPr>
          <w:p>
            <w:pPr>
              <w:spacing w:after="0"/>
            </w:pPr>
            <w:r/>
            <w:r>
              <w:rPr>
                <w:rFonts w:ascii="Arial" w:hAnsi="Arial"/>
                <w:b w:val="0"/>
                <w:sz w:val="16"/>
              </w:rPr>
              <w:t>How do you prevent different messages in the screen and printout?</w:t>
            </w:r>
          </w:p>
        </w:tc>
        <w:tc>
          <w:tcPr>
            <w:tcW w:type="dxa" w:w="5141"/>
            <w:vAlign w:val="center"/>
          </w:tcPr>
          <w:p>
            <w:pPr>
              <w:spacing w:after="0"/>
            </w:pPr>
            <w:r/>
            <w:r>
              <w:rPr>
                <w:rFonts w:ascii="Arial" w:hAnsi="Arial"/>
                <w:b w:val="0"/>
                <w:sz w:val="16"/>
              </w:rPr>
              <w:t>All channels are generated from one stored, versioned assessment and communication object.</w:t>
            </w:r>
          </w:p>
        </w:tc>
      </w:tr>
      <w:tr>
        <w:tc>
          <w:tcPr>
            <w:tcW w:type="dxa" w:w="5141"/>
            <w:vAlign w:val="center"/>
          </w:tcPr>
          <w:p>
            <w:pPr>
              <w:spacing w:after="0"/>
            </w:pPr>
            <w:r/>
            <w:r>
              <w:rPr>
                <w:rFonts w:ascii="Arial" w:hAnsi="Arial"/>
                <w:b w:val="0"/>
                <w:sz w:val="16"/>
              </w:rPr>
              <w:t>What if the clinician disagrees?</w:t>
            </w:r>
          </w:p>
        </w:tc>
        <w:tc>
          <w:tcPr>
            <w:tcW w:type="dxa" w:w="5141"/>
            <w:vAlign w:val="center"/>
          </w:tcPr>
          <w:p>
            <w:pPr>
              <w:spacing w:after="0"/>
            </w:pPr>
            <w:r/>
            <w:r>
              <w:rPr>
                <w:rFonts w:ascii="Arial" w:hAnsi="Arial"/>
                <w:b w:val="0"/>
                <w:sz w:val="16"/>
              </w:rPr>
              <w:t>The clinician may escalate or document a justified override; the original system output remains preserved.</w:t>
            </w:r>
          </w:p>
        </w:tc>
      </w:tr>
    </w:tbl>
    <w:p>
      <w:pPr>
        <w:spacing w:after="0"/>
      </w:pPr>
    </w:p>
    <w:p>
      <w:pPr>
        <w:pStyle w:val="Heading1"/>
      </w:pPr>
      <w:r>
        <w:t>16. Authoritative Communication Rules</w:t>
      </w:r>
    </w:p>
    <w:p>
      <w:pPr>
        <w:pStyle w:val="ListNumber"/>
        <w:spacing w:after="40"/>
      </w:pPr>
      <w:r>
        <w:t>Every displayed result shall include state, urgency, reasons, limitations, next action, and human-review status.</w:t>
      </w:r>
    </w:p>
    <w:p>
      <w:pPr>
        <w:pStyle w:val="ListNumber"/>
        <w:spacing w:after="40"/>
      </w:pPr>
      <w:r>
        <w:t>LOW shall never be communicated as a guarantee of safety.</w:t>
      </w:r>
    </w:p>
    <w:p>
      <w:pPr>
        <w:pStyle w:val="ListNumber"/>
        <w:spacing w:after="40"/>
      </w:pPr>
      <w:r>
        <w:t>ASSESSMENT INCOMPLETE shall never be communicated as routine LOW.</w:t>
      </w:r>
    </w:p>
    <w:p>
      <w:pPr>
        <w:pStyle w:val="ListNumber"/>
        <w:spacing w:after="40"/>
      </w:pPr>
      <w:r>
        <w:t>A verified deterministic HIGH shall remain visible even when the ML output is LOW or invalid.</w:t>
      </w:r>
    </w:p>
    <w:p>
      <w:pPr>
        <w:pStyle w:val="ListNumber"/>
        <w:spacing w:after="40"/>
      </w:pPr>
      <w:r>
        <w:t>Referral refusal, waiver, administrative closure, or email delivery shall not change the risk state.</w:t>
      </w:r>
    </w:p>
    <w:p>
      <w:pPr>
        <w:pStyle w:val="ListNumber"/>
        <w:spacing w:after="40"/>
      </w:pPr>
      <w:r>
        <w:t>Patient counseling shall be respectful, plain-language, non-coercive, and documented by an authorized user.</w:t>
      </w:r>
    </w:p>
    <w:p>
      <w:pPr>
        <w:pStyle w:val="ListNumber"/>
        <w:spacing w:after="40"/>
      </w:pPr>
      <w:r>
        <w:t>All channels shall use the same assessment version and controlled template.</w:t>
      </w:r>
    </w:p>
    <w:p>
      <w:pPr>
        <w:pStyle w:val="ListNumber"/>
        <w:spacing w:after="40"/>
      </w:pPr>
      <w:r>
        <w:t>Historical communication shall remain immutable; reassessment creates a new version.</w:t>
      </w:r>
    </w:p>
    <w:p>
      <w:pPr>
        <w:pStyle w:val="Heading1"/>
      </w:pPr>
      <w:r>
        <w:t>17. References</w:t>
      </w:r>
    </w:p>
    <w:p>
      <w:pPr>
        <w:pStyle w:val="ListBullet"/>
        <w:spacing w:after="40"/>
      </w:pPr>
      <w:r>
        <w:t>World Health Organization. Ethics and governance of artificial intelligence for health. 2021.</w:t>
      </w:r>
    </w:p>
    <w:p>
      <w:pPr>
        <w:pStyle w:val="ListBullet"/>
        <w:spacing w:after="40"/>
      </w:pPr>
      <w:r>
        <w:t>World Health Organization. Regulatory considerations on artificial intelligence for health. 2023.</w:t>
      </w:r>
    </w:p>
    <w:p>
      <w:pPr>
        <w:pStyle w:val="ListBullet"/>
        <w:spacing w:after="40"/>
      </w:pPr>
      <w:r>
        <w:t>World Health Organization. SMART Guidelines and Digital Adaptation Kit for Antenatal Care.</w:t>
      </w:r>
    </w:p>
    <w:p>
      <w:pPr>
        <w:pStyle w:val="ListBullet"/>
        <w:spacing w:after="40"/>
      </w:pPr>
      <w:r>
        <w:t>National Institute for Health and Care Excellence. Evidence standards framework for digital health technologies.</w:t>
      </w:r>
    </w:p>
    <w:p>
      <w:pPr>
        <w:pStyle w:val="ListBullet"/>
        <w:spacing w:after="40"/>
      </w:pPr>
      <w:r>
        <w:t>U.S. Food and Drug Administration. Clinical Decision Support Software: Guidance for Industry and FDA Staff.</w:t>
      </w:r>
    </w:p>
    <w:p>
      <w:pPr>
        <w:pStyle w:val="ListBullet"/>
        <w:spacing w:after="40"/>
      </w:pPr>
      <w:r>
        <w:t>International Medical Device Regulators Forum. Software as a Medical Device: Clinical Evaluation.</w:t>
      </w:r>
    </w:p>
    <w:p>
      <w:pPr>
        <w:pStyle w:val="ListBullet"/>
        <w:spacing w:after="40"/>
      </w:pPr>
      <w:r>
        <w:t>National Privacy Commission, Philippines. Implementing Rules and Regulations of the Data Privacy Act of 2012.</w:t>
      </w:r>
    </w:p>
    <w:p>
      <w:pPr>
        <w:pStyle w:val="ListBullet"/>
        <w:spacing w:after="40"/>
      </w:pPr>
      <w:r>
        <w:t>Department of Health, Philippines. Administrative Order No. 2007-0039: Regulation of Birthing Homes.</w:t>
      </w:r>
    </w:p>
    <w:p>
      <w:pPr>
        <w:pStyle w:val="Heading1"/>
      </w:pPr>
      <w:r>
        <w:t>Appendix A. Communication Release Checklist</w:t>
      </w:r>
    </w:p>
    <w:p>
      <w:pPr>
        <w:pStyle w:val="ListBullet"/>
        <w:spacing w:after="40"/>
      </w:pPr>
      <w:r>
        <w:t>State terminology matches Parts 1-8.</w:t>
      </w:r>
    </w:p>
    <w:p>
      <w:pPr>
        <w:pStyle w:val="ListBullet"/>
        <w:spacing w:after="40"/>
      </w:pPr>
      <w:r>
        <w:t>All reasons and limitations are patient-specific and source-linked.</w:t>
      </w:r>
    </w:p>
    <w:p>
      <w:pPr>
        <w:pStyle w:val="ListBullet"/>
        <w:spacing w:after="40"/>
      </w:pPr>
      <w:r>
        <w:t>LOW wording includes snapshot and return-precaution limitations.</w:t>
      </w:r>
    </w:p>
    <w:p>
      <w:pPr>
        <w:pStyle w:val="ListBullet"/>
        <w:spacing w:after="40"/>
      </w:pPr>
      <w:r>
        <w:t>INCOMPLETE wording lists missing or invalid information.</w:t>
      </w:r>
    </w:p>
    <w:p>
      <w:pPr>
        <w:pStyle w:val="ListBullet"/>
        <w:spacing w:after="40"/>
      </w:pPr>
      <w:r>
        <w:t>HIGH wording includes escalation and referral action.</w:t>
      </w:r>
    </w:p>
    <w:p>
      <w:pPr>
        <w:pStyle w:val="ListBullet"/>
        <w:spacing w:after="40"/>
      </w:pPr>
      <w:r>
        <w:t>Screen, print, email, and audit outputs match.</w:t>
      </w:r>
    </w:p>
    <w:p>
      <w:pPr>
        <w:pStyle w:val="ListBullet"/>
        <w:spacing w:after="40"/>
      </w:pPr>
      <w:r>
        <w:t>Patient refusal workflow retains risk and recommendation.</w:t>
      </w:r>
    </w:p>
    <w:p>
      <w:pPr>
        <w:pStyle w:val="ListBullet"/>
        <w:spacing w:after="40"/>
      </w:pPr>
      <w:r>
        <w:t>Template version and reviewer are stored.</w:t>
      </w:r>
    </w:p>
    <w:p>
      <w:pPr>
        <w:pStyle w:val="ListBullet"/>
        <w:spacing w:after="40"/>
      </w:pPr>
      <w:r>
        <w:t>Accessibility and plain-language review completed.</w:t>
      </w:r>
    </w:p>
    <w:p>
      <w:pPr>
        <w:pStyle w:val="ListBullet"/>
        <w:spacing w:after="40"/>
      </w:pPr>
      <w:r>
        <w:t>Clinical and governance approval recorded.</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DOCUMENT 5 | PART 9 | July 2026</w:t>
    </w:r>
  </w:p>
  <w:p>
    <w:pP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sz w:val="16"/>
      </w:rPr>
      <w:t>DOCUMENT 5 | RISK INDEX FRAMEWORK</w:t>
    </w:r>
  </w:p>
  <w:p>
    <w:pPr>
      <w:jc w:val="center"/>
    </w:pPr>
    <w:r>
      <w:rPr>
        <w:rFonts w:ascii="Arial" w:hAnsi="Arial"/>
        <w:sz w:val="15"/>
      </w:rPr>
      <w:t>Part 9 - Risk Communication Framework | Explainable maternity CDSS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6" w:line="240" w:lineRule="auto"/>
    </w:pPr>
    <w:rPr>
      <w:rFonts w:ascii="Arial" w:hAnsi="Arial"/>
      <w:b w:val="0"/>
      <w:color w:val="1F1F1F"/>
      <w:sz w:val="18"/>
    </w:rPr>
  </w:style>
  <w:style w:type="paragraph" w:customStyle="1" w:styleId="TableText">
    <w:name w:val="Table Text"/>
    <w:pPr>
      <w:spacing w:after="26" w:line="240" w:lineRule="auto"/>
    </w:pPr>
    <w:rPr>
      <w:rFonts w:ascii="Arial" w:hAnsi="Arial"/>
      <w:b w:val="0"/>
      <w:color w:val="1F1F1F"/>
      <w:sz w:val="14"/>
    </w:rPr>
  </w:style>
  <w:style w:type="paragraph" w:customStyle="1" w:styleId="TableHeader">
    <w:name w:val="Table Header"/>
    <w:pPr>
      <w:spacing w:after="26" w:line="240" w:lineRule="auto"/>
    </w:pPr>
    <w:rPr>
      <w:rFonts w:ascii="Arial" w:hAnsi="Arial"/>
      <w:b/>
      <w:color w:val="FFFFFF"/>
      <w:sz w:val="14"/>
    </w:rPr>
  </w:style>
  <w:style w:type="paragraph" w:customStyle="1" w:styleId="Reference">
    <w:name w:val="Reference"/>
    <w:pPr>
      <w:spacing w:after="26" w:line="240" w:lineRule="auto"/>
    </w:pPr>
    <w:rPr>
      <w:rFonts w:ascii="Arial" w:hAnsi="Arial"/>
      <w:b w:val="0"/>
      <w:color w:val="1F1F1F"/>
      <w:sz w:val="15"/>
    </w:rPr>
  </w:style>
  <w:style w:type="paragraph" w:customStyle="1" w:styleId="Code">
    <w:name w:val="Code"/>
    <w:pPr>
      <w:spacing w:after="26" w:line="240" w:lineRule="auto"/>
    </w:pPr>
    <w:rPr>
      <w:rFonts w:ascii="Consolas" w:hAnsi="Consolas"/>
      <w:b w:val="0"/>
      <w:color w:val="1F1F1F"/>
      <w:sz w:val="15"/>
    </w:rPr>
  </w:style>
  <w:style w:type="paragraph" w:customStyle="1" w:styleId="Flow">
    <w:name w:val="Flow"/>
    <w:pPr>
      <w:spacing w:after="26"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publications/i/item/9789240029200" TargetMode="External"/><Relationship Id="rId12" Type="http://schemas.openxmlformats.org/officeDocument/2006/relationships/hyperlink" Target="https://www.who.int/publications/i/item/9789240078871" TargetMode="External"/><Relationship Id="rId13" Type="http://schemas.openxmlformats.org/officeDocument/2006/relationships/hyperlink" Target="https://smart.who.int/" TargetMode="External"/><Relationship Id="rId14" Type="http://schemas.openxmlformats.org/officeDocument/2006/relationships/hyperlink" Target="https://www.who.int/publications/i/item/9789240020306" TargetMode="External"/><Relationship Id="rId15" Type="http://schemas.openxmlformats.org/officeDocument/2006/relationships/hyperlink" Target="https://www.fda.gov/regulatory-information/search-fda-guidance-documents/clinical-decision-support-software" TargetMode="External"/><Relationship Id="rId16" Type="http://schemas.openxmlformats.org/officeDocument/2006/relationships/hyperlink" Target="https://www.nice.org.uk/corporate/ecd7" TargetMode="External"/><Relationship Id="rId17" Type="http://schemas.openxmlformats.org/officeDocument/2006/relationships/hyperlink" Target="https://www.imdrf.org/documents/software-medical-device-samd-clinical-evaluation" TargetMode="External"/><Relationship Id="rId18" Type="http://schemas.openxmlformats.org/officeDocument/2006/relationships/hyperlink" Target="https://www.iso.org/standard/72704.html" TargetMode="External"/><Relationship Id="rId19" Type="http://schemas.openxmlformats.org/officeDocument/2006/relationships/hyperlink" Target="https://www.iso.org/standard/59752.html" TargetMode="External"/><Relationship Id="rId20" Type="http://schemas.openxmlformats.org/officeDocument/2006/relationships/hyperlink" Target="https://privacy.gov.ph/implementing-rules-regulations-data-privacy-act-2012/" TargetMode="External"/><Relationship Id="rId21" Type="http://schemas.openxmlformats.org/officeDocument/2006/relationships/hyperlink" Target="https://elibrary.judiciary.gov.ph/thebookshelf/showdocs/10/521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5 Part 8 - Risk Governance and Continuous Improvement Framework</dc:title>
  <dc:subject>Governance and lifecycle specification for maternity CDSS</dc:subject>
  <dc:creator>Capstone Research Team</dc:creator>
  <cp:keywords>CDSS, maternity, governance, quality, AI, Random Forest, Laravel, risk management</cp:keywords>
  <dc:description>generated by python-docx</dc:description>
  <cp:lastModifiedBy/>
  <cp:revision>1</cp:revision>
  <dcterms:created xsi:type="dcterms:W3CDTF">2013-12-23T23:15:00Z</dcterms:created>
  <dcterms:modified xsi:type="dcterms:W3CDTF">2013-12-23T23:15:00Z</dcterms:modified>
  <cp:category/>
</cp:coreProperties>
</file>