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2F75B5"/>
          <w:sz w:val="26"/>
        </w:rPr>
        <w:t>DOCUMENT 6</w:t>
      </w:r>
    </w:p>
    <w:p>
      <w:pPr>
        <w:pStyle w:val="Title"/>
        <w:jc w:val="center"/>
      </w:pPr>
      <w:r>
        <w:t>Clinical Decision Support System Implementation Guide</w:t>
      </w:r>
    </w:p>
    <w:p>
      <w:pPr>
        <w:jc w:val="center"/>
      </w:pPr>
      <w:r>
        <w:rPr>
          <w:b/>
          <w:color w:val="17365D"/>
          <w:sz w:val="36"/>
        </w:rPr>
        <w:t>PART 11</w:t>
      </w:r>
    </w:p>
    <w:p>
      <w:pPr>
        <w:pStyle w:val="Title"/>
        <w:jc w:val="center"/>
      </w:pPr>
      <w:r>
        <w:t>Maintenance and Evolution Framework</w:t>
      </w:r>
    </w:p>
    <w:p>
      <w:pPr>
        <w:pStyle w:val="Subtitle"/>
        <w:jc w:val="center"/>
      </w:pPr>
      <w:r>
        <w:t>Controlled Change, Clinical Knowledge Maintenance, Software Support,</w:t>
        <w:br/>
        <w:t>Model Lifecycle Management, Monitoring, Incident Learning, and Safe Retirement</w:t>
      </w:r>
    </w:p>
    <w:p/>
    <w:tbl>
      <w:tblPr>
        <w:tblW w:type="auto" w:w="0"/>
        <w:tblLook w:firstColumn="1" w:firstRow="1" w:lastColumn="0" w:lastRow="0" w:noHBand="0" w:noVBand="1" w:val="04A0"/>
      </w:tblPr>
      <w:tblGrid>
        <w:gridCol w:w="10282"/>
      </w:tblGrid>
      <w:tr>
        <w:tc>
          <w:tcPr>
            <w:tcW w:type="dxa" w:w="10282"/>
            <w:shd w:fill="E4DFEC"/>
            <w:tcMar>
              <w:top w:w="90" w:type="dxa"/>
              <w:bottom w:w="90" w:type="dxa"/>
              <w:start w:w="100" w:type="dxa"/>
              <w:end w:w="100" w:type="dxa"/>
            </w:tcMar>
            <w:tcBorders>
              <w:top w:val="single" w:sz="8" w:color="7030A0"/>
              <w:left w:val="single" w:sz="8" w:color="7030A0"/>
              <w:bottom w:val="single" w:sz="8" w:color="7030A0"/>
              <w:right w:val="single" w:sz="8" w:color="7030A0"/>
            </w:tcBorders>
          </w:tcPr>
          <w:p>
            <w:pPr>
              <w:pStyle w:val="Callout"/>
            </w:pPr>
            <w:r/>
            <w:r>
              <w:rPr>
                <w:b/>
                <w:color w:val="7030A0"/>
              </w:rPr>
              <w:t>Purpose of this framework</w:t>
              <w:br/>
            </w:r>
            <w:r>
              <w:t>Part 11 defines how the deployed maternity CDSS shall be maintained, corrected, adapted, monitored, upgraded, revalidated, rolled back, and eventually retired without weakening clinical safety, explainability, auditability, historical integrity, or the scope-of-care boundaries established in Documents 0–5 and Document 6 Parts 9–10.</w:t>
            </w:r>
          </w:p>
        </w:tc>
      </w:tr>
    </w:tbl>
    <w:p>
      <w:pPr>
        <w:spacing w:after="20"/>
      </w:pPr>
    </w:p>
    <w:p>
      <w:pPr>
        <w:spacing w:before="32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Authoritative lifecycle maintenance and evolution specification | July 2026</w:t>
      </w:r>
    </w:p>
    <w:p>
      <w:r>
        <w:br w:type="page"/>
      </w:r>
    </w:p>
    <w:p>
      <w:pPr>
        <w:pStyle w:val="Heading1"/>
      </w:pPr>
      <w:r>
        <w:t>Clinical Safety Statement</w:t>
      </w:r>
    </w:p>
    <w:tbl>
      <w:tblPr>
        <w:tblW w:type="auto" w:w="0"/>
        <w:tblLook w:firstColumn="1" w:firstRow="1" w:lastColumn="0" w:lastRow="0" w:noHBand="0" w:noVBand="1" w:val="04A0"/>
      </w:tblPr>
      <w:tblGrid>
        <w:gridCol w:w="10282"/>
      </w:tblGrid>
      <w:tr>
        <w:tc>
          <w:tcPr>
            <w:tcW w:type="dxa" w:w="10282"/>
            <w:shd w:fill="FCE4D6"/>
            <w:tcMar>
              <w:top w:w="90" w:type="dxa"/>
              <w:bottom w:w="90" w:type="dxa"/>
              <w:start w:w="100" w:type="dxa"/>
              <w:end w:w="100" w:type="dxa"/>
            </w:tcMar>
            <w:tcBorders>
              <w:top w:val="single" w:sz="8" w:color="C00000"/>
              <w:left w:val="single" w:sz="8" w:color="C00000"/>
              <w:bottom w:val="single" w:sz="8" w:color="C00000"/>
              <w:right w:val="single" w:sz="8" w:color="C00000"/>
            </w:tcBorders>
          </w:tcPr>
          <w:p>
            <w:pPr>
              <w:pStyle w:val="Callout"/>
            </w:pPr>
            <w:r/>
            <w:r>
              <w:rPr>
                <w:b/>
                <w:color w:val="C00000"/>
              </w:rPr>
              <w:t>Maintenance is a clinical-safety activity</w:t>
              <w:br/>
            </w:r>
            <w:r>
              <w:t>A change that appears technical—such as a dependency upgrade, renamed field, altered model file, new validation rule, changed recommendation text, or database migration—can change clinical behavior. No safety-relevant change shall be deployed merely because it compiles or passes a narrow test. All changes require classification, impact analysis, controlled implementation, traceable verification, appropriate clinical review, approval, release evidence, monitoring, and a tested rollback path.</w:t>
            </w:r>
          </w:p>
        </w:tc>
      </w:tr>
    </w:tbl>
    <w:p>
      <w:pPr>
        <w:spacing w:after="20"/>
      </w:pPr>
    </w:p>
    <w:p>
      <w:pPr>
        <w:pStyle w:val="Heading1"/>
      </w:pPr>
      <w:r>
        <w:t>Executive Summary</w:t>
      </w:r>
    </w:p>
    <w:p>
      <w:r>
        <w:t>A clinical decision support system is not finished at deployment. Clinical evidence changes, local workflows evolve, software dependencies reach end of support, security vulnerabilities appear, data distributions shift, users discover usability problems, and defects may emerge only during routine use. Maintenance therefore forms part of the safety case of the system rather than an optional post-project activity.</w:t>
      </w:r>
    </w:p>
    <w:p>
      <w:r>
        <w:t>This framework establishes a conservative lifecycle for the Laravel application, MySQL database, Python Random Forest component, deterministic rule engine, explanation library, referral workflow, delivered-pregnancy protections, audit logs, and deployment environment. It preserves the current authoritative risk states—HIGH, LOW, and ASSESSMENT INCOMPLETE—and the precedence rule that deterministic HIGH factors override machine-learning LOW output. It also preserves the rule that LOW is allowed only when required records are complete and the ML result is valid LOW.</w:t>
      </w:r>
    </w:p>
    <w:p>
      <w:r>
        <w:t>The framework distinguishes corrective, adaptive, perfective, preventive, clinical-knowledge, model, security, infrastructure, and emergency maintenance. It requires immutable versions, controlled change requests, regression testing, revalidation proportional to risk, post-release observation, incident learning, and retirement planning. The objective is controlled improvement without silent clinical drift.</w:t>
      </w:r>
    </w:p>
    <w:p>
      <w:pPr>
        <w:pStyle w:val="Heading1"/>
      </w:pPr>
      <w:r>
        <w:t>1. Purpose, Scope, and Boundaries</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5184"/>
            <w:vAlign w:val="center"/>
            <w:tcMar>
              <w:top w:w="50" w:type="dxa"/>
              <w:bottom w:w="50" w:type="dxa"/>
              <w:start w:w="60" w:type="dxa"/>
              <w:end w:w="60" w:type="dxa"/>
            </w:tcMar>
            <w:shd w:fill="17365D"/>
          </w:tcPr>
          <w:p>
            <w:pPr>
              <w:pStyle w:val="TableHeader"/>
            </w:pPr>
            <w:r/>
            <w:r>
              <w:rPr>
                <w:b/>
                <w:color w:val="FFFFFF"/>
              </w:rPr>
              <w:t>In scope</w:t>
            </w:r>
          </w:p>
        </w:tc>
        <w:tc>
          <w:tcPr>
            <w:tcW w:type="dxa" w:w="5328"/>
            <w:vAlign w:val="center"/>
            <w:tcMar>
              <w:top w:w="50" w:type="dxa"/>
              <w:bottom w:w="50" w:type="dxa"/>
              <w:start w:w="60" w:type="dxa"/>
              <w:end w:w="60" w:type="dxa"/>
            </w:tcMar>
            <w:shd w:fill="17365D"/>
          </w:tcPr>
          <w:p>
            <w:pPr>
              <w:pStyle w:val="TableHeader"/>
            </w:pPr>
            <w:r/>
            <w:r>
              <w:rPr>
                <w:b/>
                <w:color w:val="FFFFFF"/>
              </w:rPr>
              <w:t>Out of scope / prohibited</w:t>
            </w:r>
          </w:p>
        </w:tc>
      </w:tr>
      <w:tr>
        <w:trPr>
          <w:cantSplit/>
        </w:trPr>
        <w:tc>
          <w:tcPr>
            <w:tcW w:type="dxa" w:w="5184"/>
            <w:vAlign w:val="center"/>
            <w:tcMar>
              <w:top w:w="50" w:type="dxa"/>
              <w:bottom w:w="50" w:type="dxa"/>
              <w:start w:w="60" w:type="dxa"/>
              <w:end w:w="60" w:type="dxa"/>
            </w:tcMar>
          </w:tcPr>
          <w:p>
            <w:pPr>
              <w:pStyle w:val="TableText"/>
            </w:pPr>
            <w:r/>
            <w:r>
              <w:rPr>
                <w:b w:val="0"/>
              </w:rPr>
              <w:t>Laravel source code, routes, controllers, models, traits, validation, policies, Blade views, queues, email, audit and configuration.</w:t>
            </w:r>
          </w:p>
        </w:tc>
        <w:tc>
          <w:tcPr>
            <w:tcW w:type="dxa" w:w="5328"/>
            <w:vAlign w:val="center"/>
            <w:tcMar>
              <w:top w:w="50" w:type="dxa"/>
              <w:bottom w:w="50" w:type="dxa"/>
              <w:start w:w="60" w:type="dxa"/>
              <w:end w:w="60" w:type="dxa"/>
            </w:tcMar>
          </w:tcPr>
          <w:p>
            <w:pPr>
              <w:pStyle w:val="TableText"/>
            </w:pPr>
            <w:r/>
            <w:r>
              <w:rPr>
                <w:b w:val="0"/>
              </w:rPr>
              <w:t>Unreviewed live editing of production code or database records.</w:t>
            </w:r>
          </w:p>
        </w:tc>
      </w:tr>
      <w:tr>
        <w:trPr>
          <w:cantSplit/>
        </w:trPr>
        <w:tc>
          <w:tcPr>
            <w:tcW w:type="dxa" w:w="5184"/>
            <w:vAlign w:val="center"/>
            <w:tcMar>
              <w:top w:w="50" w:type="dxa"/>
              <w:bottom w:w="50" w:type="dxa"/>
              <w:start w:w="60" w:type="dxa"/>
              <w:end w:w="60" w:type="dxa"/>
            </w:tcMar>
            <w:shd w:fill="EDF4FA"/>
          </w:tcPr>
          <w:p>
            <w:pPr>
              <w:pStyle w:val="TableText"/>
            </w:pPr>
            <w:r/>
            <w:r>
              <w:rPr>
                <w:b w:val="0"/>
              </w:rPr>
              <w:t>Python inference script, preprocessing, feature schema, Random Forest model file, package versions and error handling.</w:t>
            </w:r>
          </w:p>
        </w:tc>
        <w:tc>
          <w:tcPr>
            <w:tcW w:type="dxa" w:w="5328"/>
            <w:vAlign w:val="center"/>
            <w:tcMar>
              <w:top w:w="50" w:type="dxa"/>
              <w:bottom w:w="50" w:type="dxa"/>
              <w:start w:w="60" w:type="dxa"/>
              <w:end w:w="60" w:type="dxa"/>
            </w:tcMar>
            <w:shd w:fill="EDF4FA"/>
          </w:tcPr>
          <w:p>
            <w:pPr>
              <w:pStyle w:val="TableText"/>
            </w:pPr>
            <w:r/>
            <w:r>
              <w:rPr>
                <w:b w:val="0"/>
              </w:rPr>
              <w:t>Silent model replacement, online self-learning, or autonomous retraining.</w:t>
            </w:r>
          </w:p>
        </w:tc>
      </w:tr>
      <w:tr>
        <w:trPr>
          <w:cantSplit/>
        </w:trPr>
        <w:tc>
          <w:tcPr>
            <w:tcW w:type="dxa" w:w="5184"/>
            <w:vAlign w:val="center"/>
            <w:tcMar>
              <w:top w:w="50" w:type="dxa"/>
              <w:bottom w:w="50" w:type="dxa"/>
              <w:start w:w="60" w:type="dxa"/>
              <w:end w:w="60" w:type="dxa"/>
            </w:tcMar>
          </w:tcPr>
          <w:p>
            <w:pPr>
              <w:pStyle w:val="TableText"/>
            </w:pPr>
            <w:r/>
            <w:r>
              <w:rPr>
                <w:b w:val="0"/>
              </w:rPr>
              <w:t>Clinical rule definitions, thresholds, interactions, escalation wording, referral logic and explanation templates.</w:t>
            </w:r>
          </w:p>
        </w:tc>
        <w:tc>
          <w:tcPr>
            <w:tcW w:type="dxa" w:w="5328"/>
            <w:vAlign w:val="center"/>
            <w:tcMar>
              <w:top w:w="50" w:type="dxa"/>
              <w:bottom w:w="50" w:type="dxa"/>
              <w:start w:w="60" w:type="dxa"/>
              <w:end w:w="60" w:type="dxa"/>
            </w:tcMar>
          </w:tcPr>
          <w:p>
            <w:pPr>
              <w:pStyle w:val="TableText"/>
            </w:pPr>
            <w:r/>
            <w:r>
              <w:rPr>
                <w:b w:val="0"/>
              </w:rPr>
              <w:t>Changing clinical thresholds solely to improve apparent model metrics.</w:t>
            </w:r>
          </w:p>
        </w:tc>
      </w:tr>
      <w:tr>
        <w:trPr>
          <w:cantSplit/>
        </w:trPr>
        <w:tc>
          <w:tcPr>
            <w:tcW w:type="dxa" w:w="5184"/>
            <w:vAlign w:val="center"/>
            <w:tcMar>
              <w:top w:w="50" w:type="dxa"/>
              <w:bottom w:w="50" w:type="dxa"/>
              <w:start w:w="60" w:type="dxa"/>
              <w:end w:w="60" w:type="dxa"/>
            </w:tcMar>
            <w:shd w:fill="EDF4FA"/>
          </w:tcPr>
          <w:p>
            <w:pPr>
              <w:pStyle w:val="TableText"/>
            </w:pPr>
            <w:r/>
            <w:r>
              <w:rPr>
                <w:b w:val="0"/>
              </w:rPr>
              <w:t>Database schema, migrations, backups, restoration, data quality and historical pregnancy separation.</w:t>
            </w:r>
          </w:p>
        </w:tc>
        <w:tc>
          <w:tcPr>
            <w:tcW w:type="dxa" w:w="5328"/>
            <w:vAlign w:val="center"/>
            <w:tcMar>
              <w:top w:w="50" w:type="dxa"/>
              <w:bottom w:w="50" w:type="dxa"/>
              <w:start w:w="60" w:type="dxa"/>
              <w:end w:w="60" w:type="dxa"/>
            </w:tcMar>
            <w:shd w:fill="EDF4FA"/>
          </w:tcPr>
          <w:p>
            <w:pPr>
              <w:pStyle w:val="TableText"/>
            </w:pPr>
            <w:r/>
            <w:r>
              <w:rPr>
                <w:b w:val="0"/>
              </w:rPr>
              <w:t>Destructive migration without verified backup, restore test and rollback plan.</w:t>
            </w:r>
          </w:p>
        </w:tc>
      </w:tr>
      <w:tr>
        <w:trPr>
          <w:cantSplit/>
        </w:trPr>
        <w:tc>
          <w:tcPr>
            <w:tcW w:type="dxa" w:w="5184"/>
            <w:vAlign w:val="center"/>
            <w:tcMar>
              <w:top w:w="50" w:type="dxa"/>
              <w:bottom w:w="50" w:type="dxa"/>
              <w:start w:w="60" w:type="dxa"/>
              <w:end w:w="60" w:type="dxa"/>
            </w:tcMar>
          </w:tcPr>
          <w:p>
            <w:pPr>
              <w:pStyle w:val="TableText"/>
            </w:pPr>
            <w:r/>
            <w:r>
              <w:rPr>
                <w:b w:val="0"/>
              </w:rPr>
              <w:t>Security updates, dependency lifecycle, infrastructure, operating system and access controls.</w:t>
            </w:r>
          </w:p>
        </w:tc>
        <w:tc>
          <w:tcPr>
            <w:tcW w:type="dxa" w:w="5328"/>
            <w:vAlign w:val="center"/>
            <w:tcMar>
              <w:top w:w="50" w:type="dxa"/>
              <w:bottom w:w="50" w:type="dxa"/>
              <w:start w:w="60" w:type="dxa"/>
              <w:end w:w="60" w:type="dxa"/>
            </w:tcMar>
          </w:tcPr>
          <w:p>
            <w:pPr>
              <w:pStyle w:val="TableText"/>
            </w:pPr>
            <w:r/>
            <w:r>
              <w:rPr>
                <w:b w:val="0"/>
              </w:rPr>
              <w:t>Using unsupported components indefinitely because the prototype still runs.</w:t>
            </w:r>
          </w:p>
        </w:tc>
      </w:tr>
      <w:tr>
        <w:trPr>
          <w:cantSplit/>
        </w:trPr>
        <w:tc>
          <w:tcPr>
            <w:tcW w:type="dxa" w:w="5184"/>
            <w:vAlign w:val="center"/>
            <w:tcMar>
              <w:top w:w="50" w:type="dxa"/>
              <w:bottom w:w="50" w:type="dxa"/>
              <w:start w:w="60" w:type="dxa"/>
              <w:end w:w="60" w:type="dxa"/>
            </w:tcMar>
            <w:shd w:fill="EDF4FA"/>
          </w:tcPr>
          <w:p>
            <w:pPr>
              <w:pStyle w:val="TableText"/>
            </w:pPr>
            <w:r/>
            <w:r>
              <w:rPr>
                <w:b w:val="0"/>
              </w:rPr>
              <w:t>Planned retirement, data export, archival and continuity procedures.</w:t>
            </w:r>
          </w:p>
        </w:tc>
        <w:tc>
          <w:tcPr>
            <w:tcW w:type="dxa" w:w="5328"/>
            <w:vAlign w:val="center"/>
            <w:tcMar>
              <w:top w:w="50" w:type="dxa"/>
              <w:bottom w:w="50" w:type="dxa"/>
              <w:start w:w="60" w:type="dxa"/>
              <w:end w:w="60" w:type="dxa"/>
            </w:tcMar>
            <w:shd w:fill="EDF4FA"/>
          </w:tcPr>
          <w:p>
            <w:pPr>
              <w:pStyle w:val="TableText"/>
            </w:pPr>
            <w:r/>
            <w:r>
              <w:rPr>
                <w:b w:val="0"/>
              </w:rPr>
              <w:t>Deleting historical assessments or versions needed for audit reconstruction.</w:t>
            </w:r>
          </w:p>
        </w:tc>
      </w:tr>
    </w:tbl>
    <w:p>
      <w:pPr>
        <w:spacing w:after="20"/>
      </w:pPr>
    </w:p>
    <w:tbl>
      <w:tblPr>
        <w:tblW w:type="auto" w:w="0"/>
        <w:tblLook w:firstColumn="1" w:firstRow="1" w:lastColumn="0" w:lastRow="0" w:noHBand="0" w:noVBand="1" w:val="04A0"/>
      </w:tblPr>
      <w:tblGrid>
        <w:gridCol w:w="10282"/>
      </w:tblGrid>
      <w:tr>
        <w:tc>
          <w:tcPr>
            <w:tcW w:type="dxa" w:w="10282"/>
            <w:shd w:fill="FFF2CC"/>
            <w:tcMar>
              <w:top w:w="90" w:type="dxa"/>
              <w:bottom w:w="90" w:type="dxa"/>
              <w:start w:w="100" w:type="dxa"/>
              <w:end w:w="100" w:type="dxa"/>
            </w:tcMar>
            <w:tcBorders>
              <w:top w:val="single" w:sz="8" w:color="BF9000"/>
              <w:left w:val="single" w:sz="8" w:color="BF9000"/>
              <w:bottom w:val="single" w:sz="8" w:color="BF9000"/>
              <w:right w:val="single" w:sz="8" w:color="BF9000"/>
            </w:tcBorders>
          </w:tcPr>
          <w:p>
            <w:pPr>
              <w:pStyle w:val="Callout"/>
            </w:pPr>
            <w:r/>
            <w:r>
              <w:rPr>
                <w:b/>
                <w:color w:val="BF9000"/>
              </w:rPr>
              <w:t>Scope boundary</w:t>
              <w:br/>
            </w:r>
            <w:r>
              <w:t>This framework does not claim regulatory clearance, clinical effectiveness, or universal applicability. Before real routine clinical use, the clinic must obtain appropriate professional, institutional, privacy, legal, ethical, and regulatory review and must define who is accountable for ongoing clinical ownership.</w:t>
            </w:r>
          </w:p>
        </w:tc>
      </w:tr>
    </w:tbl>
    <w:p>
      <w:pPr>
        <w:spacing w:after="20"/>
      </w:pPr>
    </w:p>
    <w:p>
      <w:pPr>
        <w:pStyle w:val="Heading1"/>
      </w:pPr>
      <w:r>
        <w:t>2. Maintenance Philosophy and Non-Negotiable Principles</w:t>
      </w:r>
    </w:p>
    <w:p>
      <w:pPr>
        <w:pStyle w:val="ListBullet"/>
        <w:spacing w:after="30"/>
      </w:pPr>
      <w:r>
        <w:t>Patient safety and continuity of care take precedence over speed, convenience, feature count, or model performance.</w:t>
      </w:r>
    </w:p>
    <w:p>
      <w:pPr>
        <w:pStyle w:val="ListBullet"/>
        <w:spacing w:after="30"/>
      </w:pPr>
      <w:r>
        <w:t>No change may silently alter the meaning of HIGH, LOW, ASSESSMENT INCOMPLETE, urgent flags, referral status, or delivered-pregnancy protections.</w:t>
      </w:r>
    </w:p>
    <w:p>
      <w:pPr>
        <w:pStyle w:val="ListBullet"/>
        <w:spacing w:after="30"/>
      </w:pPr>
      <w:r>
        <w:t>Historical assessments must remain interpretable using the rule, model, feature, explanation, application, and schema versions active at the time.</w:t>
      </w:r>
    </w:p>
    <w:p>
      <w:pPr>
        <w:pStyle w:val="ListBullet"/>
        <w:spacing w:after="30"/>
      </w:pPr>
      <w:r>
        <w:t>Clinical knowledge, code, model artifacts, configuration, and recommendation wording shall be governed as separate but linked versioned assets.</w:t>
      </w:r>
    </w:p>
    <w:p>
      <w:pPr>
        <w:pStyle w:val="ListBullet"/>
        <w:spacing w:after="30"/>
      </w:pPr>
      <w:r>
        <w:t>A production defect shall be contained first, investigated second, corrected under control, and reviewed for systemic prevention.</w:t>
      </w:r>
    </w:p>
    <w:p>
      <w:pPr>
        <w:pStyle w:val="ListBullet"/>
        <w:spacing w:after="30"/>
      </w:pPr>
      <w:r>
        <w:t>Automatic fallback must fail safely: invalid ML output or missing required data must never become an assumed LOW.</w:t>
      </w:r>
    </w:p>
    <w:p>
      <w:pPr>
        <w:pStyle w:val="ListBullet"/>
        <w:spacing w:after="30"/>
      </w:pPr>
      <w:r>
        <w:t>Every release must have an owner, approved change set, test evidence, migration plan, monitoring plan, rollback criteria, and release record.</w:t>
      </w:r>
    </w:p>
    <w:p>
      <w:pPr>
        <w:pStyle w:val="ListBullet"/>
        <w:spacing w:after="30"/>
      </w:pPr>
      <w:r>
        <w:t>Users must receive understandable release information when a change affects workflow, interpretation, data entry, or responsibilities.</w:t>
      </w:r>
    </w:p>
    <w:p>
      <w:pPr>
        <w:pStyle w:val="Heading1"/>
      </w:pPr>
      <w:r>
        <w:t>3. Maintenance Taxonomy</w:t>
      </w:r>
    </w:p>
    <w:tbl>
      <w:tblPr>
        <w:tblStyle w:val="TableGrid"/>
        <w:tblW w:type="auto" w:w="0"/>
        <w:jc w:val="center"/>
        <w:tblLook w:firstColumn="1" w:firstRow="1" w:lastColumn="0" w:lastRow="0" w:noHBand="0" w:noVBand="1" w:val="04A0"/>
      </w:tblPr>
      <w:tblGrid>
        <w:gridCol w:w="2570"/>
        <w:gridCol w:w="2570"/>
        <w:gridCol w:w="2570"/>
        <w:gridCol w:w="2570"/>
      </w:tblGrid>
      <w:tr>
        <w:trPr>
          <w:tblHeader/>
          <w:cantSplit/>
        </w:trPr>
        <w:tc>
          <w:tcPr>
            <w:tcW w:type="dxa" w:w="1656"/>
            <w:vAlign w:val="center"/>
            <w:tcMar>
              <w:top w:w="50" w:type="dxa"/>
              <w:bottom w:w="50" w:type="dxa"/>
              <w:start w:w="60" w:type="dxa"/>
              <w:end w:w="60" w:type="dxa"/>
            </w:tcMar>
            <w:shd w:fill="17365D"/>
          </w:tcPr>
          <w:p>
            <w:pPr>
              <w:pStyle w:val="TableHeader"/>
            </w:pPr>
            <w:r/>
            <w:r>
              <w:rPr>
                <w:b/>
                <w:color w:val="FFFFFF"/>
              </w:rPr>
              <w:t>Class</w:t>
            </w:r>
          </w:p>
        </w:tc>
        <w:tc>
          <w:tcPr>
            <w:tcW w:type="dxa" w:w="2664"/>
            <w:vAlign w:val="center"/>
            <w:tcMar>
              <w:top w:w="50" w:type="dxa"/>
              <w:bottom w:w="50" w:type="dxa"/>
              <w:start w:w="60" w:type="dxa"/>
              <w:end w:w="60" w:type="dxa"/>
            </w:tcMar>
            <w:shd w:fill="17365D"/>
          </w:tcPr>
          <w:p>
            <w:pPr>
              <w:pStyle w:val="TableHeader"/>
            </w:pPr>
            <w:r/>
            <w:r>
              <w:rPr>
                <w:b/>
                <w:color w:val="FFFFFF"/>
              </w:rPr>
              <w:t>Definition</w:t>
            </w:r>
          </w:p>
        </w:tc>
        <w:tc>
          <w:tcPr>
            <w:tcW w:type="dxa" w:w="3528"/>
            <w:vAlign w:val="center"/>
            <w:tcMar>
              <w:top w:w="50" w:type="dxa"/>
              <w:bottom w:w="50" w:type="dxa"/>
              <w:start w:w="60" w:type="dxa"/>
              <w:end w:w="60" w:type="dxa"/>
            </w:tcMar>
            <w:shd w:fill="17365D"/>
          </w:tcPr>
          <w:p>
            <w:pPr>
              <w:pStyle w:val="TableHeader"/>
            </w:pPr>
            <w:r/>
            <w:r>
              <w:rPr>
                <w:b/>
                <w:color w:val="FFFFFF"/>
              </w:rPr>
              <w:t>Examples</w:t>
            </w:r>
          </w:p>
        </w:tc>
        <w:tc>
          <w:tcPr>
            <w:tcW w:type="dxa" w:w="2664"/>
            <w:vAlign w:val="center"/>
            <w:tcMar>
              <w:top w:w="50" w:type="dxa"/>
              <w:bottom w:w="50" w:type="dxa"/>
              <w:start w:w="60" w:type="dxa"/>
              <w:end w:w="60" w:type="dxa"/>
            </w:tcMar>
            <w:shd w:fill="17365D"/>
          </w:tcPr>
          <w:p>
            <w:pPr>
              <w:pStyle w:val="TableHeader"/>
            </w:pPr>
            <w:r/>
            <w:r>
              <w:rPr>
                <w:b/>
                <w:color w:val="FFFFFF"/>
              </w:rPr>
              <w:t>Minimum control</w:t>
            </w:r>
          </w:p>
        </w:tc>
      </w:tr>
      <w:tr>
        <w:trPr>
          <w:cantSplit/>
        </w:trPr>
        <w:tc>
          <w:tcPr>
            <w:tcW w:type="dxa" w:w="1656"/>
            <w:vAlign w:val="center"/>
            <w:tcMar>
              <w:top w:w="50" w:type="dxa"/>
              <w:bottom w:w="50" w:type="dxa"/>
              <w:start w:w="60" w:type="dxa"/>
              <w:end w:w="60" w:type="dxa"/>
            </w:tcMar>
          </w:tcPr>
          <w:p>
            <w:pPr>
              <w:pStyle w:val="TableText"/>
            </w:pPr>
            <w:r/>
            <w:r>
              <w:rPr>
                <w:b w:val="0"/>
              </w:rPr>
              <w:t>Corrective</w:t>
            </w:r>
          </w:p>
        </w:tc>
        <w:tc>
          <w:tcPr>
            <w:tcW w:type="dxa" w:w="2664"/>
            <w:vAlign w:val="center"/>
            <w:tcMar>
              <w:top w:w="50" w:type="dxa"/>
              <w:bottom w:w="50" w:type="dxa"/>
              <w:start w:w="60" w:type="dxa"/>
              <w:end w:w="60" w:type="dxa"/>
            </w:tcMar>
          </w:tcPr>
          <w:p>
            <w:pPr>
              <w:pStyle w:val="TableText"/>
            </w:pPr>
            <w:r/>
            <w:r>
              <w:rPr>
                <w:b w:val="0"/>
              </w:rPr>
              <w:t>Repairs a confirmed defect.</w:t>
            </w:r>
          </w:p>
        </w:tc>
        <w:tc>
          <w:tcPr>
            <w:tcW w:type="dxa" w:w="3528"/>
            <w:vAlign w:val="center"/>
            <w:tcMar>
              <w:top w:w="50" w:type="dxa"/>
              <w:bottom w:w="50" w:type="dxa"/>
              <w:start w:w="60" w:type="dxa"/>
              <w:end w:w="60" w:type="dxa"/>
            </w:tcMar>
          </w:tcPr>
          <w:p>
            <w:pPr>
              <w:pStyle w:val="TableText"/>
            </w:pPr>
            <w:r/>
            <w:r>
              <w:rPr>
                <w:b w:val="0"/>
              </w:rPr>
              <w:t>Wrong field mapping, stale explanation, referral date not saved.</w:t>
            </w:r>
          </w:p>
        </w:tc>
        <w:tc>
          <w:tcPr>
            <w:tcW w:type="dxa" w:w="2664"/>
            <w:vAlign w:val="center"/>
            <w:tcMar>
              <w:top w:w="50" w:type="dxa"/>
              <w:bottom w:w="50" w:type="dxa"/>
              <w:start w:w="60" w:type="dxa"/>
              <w:end w:w="60" w:type="dxa"/>
            </w:tcMar>
          </w:tcPr>
          <w:p>
            <w:pPr>
              <w:pStyle w:val="TableText"/>
            </w:pPr>
            <w:r/>
            <w:r>
              <w:rPr>
                <w:b w:val="0"/>
              </w:rPr>
              <w:t>Defect record, impact analysis, regression test, approval.</w:t>
            </w:r>
          </w:p>
        </w:tc>
      </w:tr>
      <w:tr>
        <w:trPr>
          <w:cantSplit/>
        </w:trPr>
        <w:tc>
          <w:tcPr>
            <w:tcW w:type="dxa" w:w="1656"/>
            <w:vAlign w:val="center"/>
            <w:tcMar>
              <w:top w:w="50" w:type="dxa"/>
              <w:bottom w:w="50" w:type="dxa"/>
              <w:start w:w="60" w:type="dxa"/>
              <w:end w:w="60" w:type="dxa"/>
            </w:tcMar>
            <w:shd w:fill="EDF4FA"/>
          </w:tcPr>
          <w:p>
            <w:pPr>
              <w:pStyle w:val="TableText"/>
            </w:pPr>
            <w:r/>
            <w:r>
              <w:rPr>
                <w:b w:val="0"/>
              </w:rPr>
              <w:t>Adaptive</w:t>
            </w:r>
          </w:p>
        </w:tc>
        <w:tc>
          <w:tcPr>
            <w:tcW w:type="dxa" w:w="2664"/>
            <w:vAlign w:val="center"/>
            <w:tcMar>
              <w:top w:w="50" w:type="dxa"/>
              <w:bottom w:w="50" w:type="dxa"/>
              <w:start w:w="60" w:type="dxa"/>
              <w:end w:w="60" w:type="dxa"/>
            </w:tcMar>
            <w:shd w:fill="EDF4FA"/>
          </w:tcPr>
          <w:p>
            <w:pPr>
              <w:pStyle w:val="TableText"/>
            </w:pPr>
            <w:r/>
            <w:r>
              <w:rPr>
                <w:b w:val="0"/>
              </w:rPr>
              <w:t>Responds to a changed environment.</w:t>
            </w:r>
          </w:p>
        </w:tc>
        <w:tc>
          <w:tcPr>
            <w:tcW w:type="dxa" w:w="3528"/>
            <w:vAlign w:val="center"/>
            <w:tcMar>
              <w:top w:w="50" w:type="dxa"/>
              <w:bottom w:w="50" w:type="dxa"/>
              <w:start w:w="60" w:type="dxa"/>
              <w:end w:w="60" w:type="dxa"/>
            </w:tcMar>
            <w:shd w:fill="EDF4FA"/>
          </w:tcPr>
          <w:p>
            <w:pPr>
              <w:pStyle w:val="TableText"/>
            </w:pPr>
            <w:r/>
            <w:r>
              <w:rPr>
                <w:b w:val="0"/>
              </w:rPr>
              <w:t>PHP/Python/OS/database upgrade, mail provider change.</w:t>
            </w:r>
          </w:p>
        </w:tc>
        <w:tc>
          <w:tcPr>
            <w:tcW w:type="dxa" w:w="2664"/>
            <w:vAlign w:val="center"/>
            <w:tcMar>
              <w:top w:w="50" w:type="dxa"/>
              <w:bottom w:w="50" w:type="dxa"/>
              <w:start w:w="60" w:type="dxa"/>
              <w:end w:w="60" w:type="dxa"/>
            </w:tcMar>
            <w:shd w:fill="EDF4FA"/>
          </w:tcPr>
          <w:p>
            <w:pPr>
              <w:pStyle w:val="TableText"/>
            </w:pPr>
            <w:r/>
            <w:r>
              <w:rPr>
                <w:b w:val="0"/>
              </w:rPr>
              <w:t>Compatibility test, security review, deployment rehearsal.</w:t>
            </w:r>
          </w:p>
        </w:tc>
      </w:tr>
      <w:tr>
        <w:trPr>
          <w:cantSplit/>
        </w:trPr>
        <w:tc>
          <w:tcPr>
            <w:tcW w:type="dxa" w:w="1656"/>
            <w:vAlign w:val="center"/>
            <w:tcMar>
              <w:top w:w="50" w:type="dxa"/>
              <w:bottom w:w="50" w:type="dxa"/>
              <w:start w:w="60" w:type="dxa"/>
              <w:end w:w="60" w:type="dxa"/>
            </w:tcMar>
          </w:tcPr>
          <w:p>
            <w:pPr>
              <w:pStyle w:val="TableText"/>
            </w:pPr>
            <w:r/>
            <w:r>
              <w:rPr>
                <w:b w:val="0"/>
              </w:rPr>
              <w:t>Perfective</w:t>
            </w:r>
          </w:p>
        </w:tc>
        <w:tc>
          <w:tcPr>
            <w:tcW w:type="dxa" w:w="2664"/>
            <w:vAlign w:val="center"/>
            <w:tcMar>
              <w:top w:w="50" w:type="dxa"/>
              <w:bottom w:w="50" w:type="dxa"/>
              <w:start w:w="60" w:type="dxa"/>
              <w:end w:w="60" w:type="dxa"/>
            </w:tcMar>
          </w:tcPr>
          <w:p>
            <w:pPr>
              <w:pStyle w:val="TableText"/>
            </w:pPr>
            <w:r/>
            <w:r>
              <w:rPr>
                <w:b w:val="0"/>
              </w:rPr>
              <w:t>Improves usability, maintainability, performance or reporting without intended clinical change.</w:t>
            </w:r>
          </w:p>
        </w:tc>
        <w:tc>
          <w:tcPr>
            <w:tcW w:type="dxa" w:w="3528"/>
            <w:vAlign w:val="center"/>
            <w:tcMar>
              <w:top w:w="50" w:type="dxa"/>
              <w:bottom w:w="50" w:type="dxa"/>
              <w:start w:w="60" w:type="dxa"/>
              <w:end w:w="60" w:type="dxa"/>
            </w:tcMar>
          </w:tcPr>
          <w:p>
            <w:pPr>
              <w:pStyle w:val="TableText"/>
            </w:pPr>
            <w:r/>
            <w:r>
              <w:rPr>
                <w:b w:val="0"/>
              </w:rPr>
              <w:t>Cleaner interface, faster query, clearer audit view.</w:t>
            </w:r>
          </w:p>
        </w:tc>
        <w:tc>
          <w:tcPr>
            <w:tcW w:type="dxa" w:w="2664"/>
            <w:vAlign w:val="center"/>
            <w:tcMar>
              <w:top w:w="50" w:type="dxa"/>
              <w:bottom w:w="50" w:type="dxa"/>
              <w:start w:w="60" w:type="dxa"/>
              <w:end w:w="60" w:type="dxa"/>
            </w:tcMar>
          </w:tcPr>
          <w:p>
            <w:pPr>
              <w:pStyle w:val="TableText"/>
            </w:pPr>
            <w:r/>
            <w:r>
              <w:rPr>
                <w:b w:val="0"/>
              </w:rPr>
              <w:t>No-clinical-change proof plus regression/UAT.</w:t>
            </w:r>
          </w:p>
        </w:tc>
      </w:tr>
      <w:tr>
        <w:trPr>
          <w:cantSplit/>
        </w:trPr>
        <w:tc>
          <w:tcPr>
            <w:tcW w:type="dxa" w:w="1656"/>
            <w:vAlign w:val="center"/>
            <w:tcMar>
              <w:top w:w="50" w:type="dxa"/>
              <w:bottom w:w="50" w:type="dxa"/>
              <w:start w:w="60" w:type="dxa"/>
              <w:end w:w="60" w:type="dxa"/>
            </w:tcMar>
            <w:shd w:fill="EDF4FA"/>
          </w:tcPr>
          <w:p>
            <w:pPr>
              <w:pStyle w:val="TableText"/>
            </w:pPr>
            <w:r/>
            <w:r>
              <w:rPr>
                <w:b w:val="0"/>
              </w:rPr>
              <w:t>Preventive</w:t>
            </w:r>
          </w:p>
        </w:tc>
        <w:tc>
          <w:tcPr>
            <w:tcW w:type="dxa" w:w="2664"/>
            <w:vAlign w:val="center"/>
            <w:tcMar>
              <w:top w:w="50" w:type="dxa"/>
              <w:bottom w:w="50" w:type="dxa"/>
              <w:start w:w="60" w:type="dxa"/>
              <w:end w:w="60" w:type="dxa"/>
            </w:tcMar>
            <w:shd w:fill="EDF4FA"/>
          </w:tcPr>
          <w:p>
            <w:pPr>
              <w:pStyle w:val="TableText"/>
            </w:pPr>
            <w:r/>
            <w:r>
              <w:rPr>
                <w:b w:val="0"/>
              </w:rPr>
              <w:t>Reduces future failure probability.</w:t>
            </w:r>
          </w:p>
        </w:tc>
        <w:tc>
          <w:tcPr>
            <w:tcW w:type="dxa" w:w="3528"/>
            <w:vAlign w:val="center"/>
            <w:tcMar>
              <w:top w:w="50" w:type="dxa"/>
              <w:bottom w:w="50" w:type="dxa"/>
              <w:start w:w="60" w:type="dxa"/>
              <w:end w:w="60" w:type="dxa"/>
            </w:tcMar>
            <w:shd w:fill="EDF4FA"/>
          </w:tcPr>
          <w:p>
            <w:pPr>
              <w:pStyle w:val="TableText"/>
            </w:pPr>
            <w:r/>
            <w:r>
              <w:rPr>
                <w:b w:val="0"/>
              </w:rPr>
              <w:t>Refactor duplicated rules, add constraint, improve monitoring.</w:t>
            </w:r>
          </w:p>
        </w:tc>
        <w:tc>
          <w:tcPr>
            <w:tcW w:type="dxa" w:w="2664"/>
            <w:vAlign w:val="center"/>
            <w:tcMar>
              <w:top w:w="50" w:type="dxa"/>
              <w:bottom w:w="50" w:type="dxa"/>
              <w:start w:w="60" w:type="dxa"/>
              <w:end w:w="60" w:type="dxa"/>
            </w:tcMar>
            <w:shd w:fill="EDF4FA"/>
          </w:tcPr>
          <w:p>
            <w:pPr>
              <w:pStyle w:val="TableText"/>
            </w:pPr>
            <w:r/>
            <w:r>
              <w:rPr>
                <w:b w:val="0"/>
              </w:rPr>
              <w:t>Architecture review, equivalence tests, rollback.</w:t>
            </w:r>
          </w:p>
        </w:tc>
      </w:tr>
      <w:tr>
        <w:trPr>
          <w:cantSplit/>
        </w:trPr>
        <w:tc>
          <w:tcPr>
            <w:tcW w:type="dxa" w:w="1656"/>
            <w:vAlign w:val="center"/>
            <w:tcMar>
              <w:top w:w="50" w:type="dxa"/>
              <w:bottom w:w="50" w:type="dxa"/>
              <w:start w:w="60" w:type="dxa"/>
              <w:end w:w="60" w:type="dxa"/>
            </w:tcMar>
          </w:tcPr>
          <w:p>
            <w:pPr>
              <w:pStyle w:val="TableText"/>
            </w:pPr>
            <w:r/>
            <w:r>
              <w:rPr>
                <w:b w:val="0"/>
              </w:rPr>
              <w:t>Clinical knowledge</w:t>
            </w:r>
          </w:p>
        </w:tc>
        <w:tc>
          <w:tcPr>
            <w:tcW w:type="dxa" w:w="2664"/>
            <w:vAlign w:val="center"/>
            <w:tcMar>
              <w:top w:w="50" w:type="dxa"/>
              <w:bottom w:w="50" w:type="dxa"/>
              <w:start w:w="60" w:type="dxa"/>
              <w:end w:w="60" w:type="dxa"/>
            </w:tcMar>
          </w:tcPr>
          <w:p>
            <w:pPr>
              <w:pStyle w:val="TableText"/>
            </w:pPr>
            <w:r/>
            <w:r>
              <w:rPr>
                <w:b w:val="0"/>
              </w:rPr>
              <w:t>Changes rule, threshold, interaction, recommendation or scope statement.</w:t>
            </w:r>
          </w:p>
        </w:tc>
        <w:tc>
          <w:tcPr>
            <w:tcW w:type="dxa" w:w="3528"/>
            <w:vAlign w:val="center"/>
            <w:tcMar>
              <w:top w:w="50" w:type="dxa"/>
              <w:bottom w:w="50" w:type="dxa"/>
              <w:start w:w="60" w:type="dxa"/>
              <w:end w:w="60" w:type="dxa"/>
            </w:tcMar>
          </w:tcPr>
          <w:p>
            <w:pPr>
              <w:pStyle w:val="TableText"/>
            </w:pPr>
            <w:r/>
            <w:r>
              <w:rPr>
                <w:b w:val="0"/>
              </w:rPr>
              <w:t>Updated BP rule wording or referral trigger.</w:t>
            </w:r>
          </w:p>
        </w:tc>
        <w:tc>
          <w:tcPr>
            <w:tcW w:type="dxa" w:w="2664"/>
            <w:vAlign w:val="center"/>
            <w:tcMar>
              <w:top w:w="50" w:type="dxa"/>
              <w:bottom w:w="50" w:type="dxa"/>
              <w:start w:w="60" w:type="dxa"/>
              <w:end w:w="60" w:type="dxa"/>
            </w:tcMar>
          </w:tcPr>
          <w:p>
            <w:pPr>
              <w:pStyle w:val="TableText"/>
            </w:pPr>
            <w:r/>
            <w:r>
              <w:rPr>
                <w:b w:val="0"/>
              </w:rPr>
              <w:t>Evidence review, clinical approval, full decision regression.</w:t>
            </w:r>
          </w:p>
        </w:tc>
      </w:tr>
      <w:tr>
        <w:trPr>
          <w:cantSplit/>
        </w:trPr>
        <w:tc>
          <w:tcPr>
            <w:tcW w:type="dxa" w:w="1656"/>
            <w:vAlign w:val="center"/>
            <w:tcMar>
              <w:top w:w="50" w:type="dxa"/>
              <w:bottom w:w="50" w:type="dxa"/>
              <w:start w:w="60" w:type="dxa"/>
              <w:end w:w="60" w:type="dxa"/>
            </w:tcMar>
            <w:shd w:fill="EDF4FA"/>
          </w:tcPr>
          <w:p>
            <w:pPr>
              <w:pStyle w:val="TableText"/>
            </w:pPr>
            <w:r/>
            <w:r>
              <w:rPr>
                <w:b w:val="0"/>
              </w:rPr>
              <w:t>ML/model</w:t>
            </w:r>
          </w:p>
        </w:tc>
        <w:tc>
          <w:tcPr>
            <w:tcW w:type="dxa" w:w="2664"/>
            <w:vAlign w:val="center"/>
            <w:tcMar>
              <w:top w:w="50" w:type="dxa"/>
              <w:bottom w:w="50" w:type="dxa"/>
              <w:start w:w="60" w:type="dxa"/>
              <w:end w:w="60" w:type="dxa"/>
            </w:tcMar>
            <w:shd w:fill="EDF4FA"/>
          </w:tcPr>
          <w:p>
            <w:pPr>
              <w:pStyle w:val="TableText"/>
            </w:pPr>
            <w:r/>
            <w:r>
              <w:rPr>
                <w:b w:val="0"/>
              </w:rPr>
              <w:t>Changes dataset, feature, preprocessing, algorithm, threshold or model file.</w:t>
            </w:r>
          </w:p>
        </w:tc>
        <w:tc>
          <w:tcPr>
            <w:tcW w:type="dxa" w:w="3528"/>
            <w:vAlign w:val="center"/>
            <w:tcMar>
              <w:top w:w="50" w:type="dxa"/>
              <w:bottom w:w="50" w:type="dxa"/>
              <w:start w:w="60" w:type="dxa"/>
              <w:end w:w="60" w:type="dxa"/>
            </w:tcMar>
            <w:shd w:fill="EDF4FA"/>
          </w:tcPr>
          <w:p>
            <w:pPr>
              <w:pStyle w:val="TableText"/>
            </w:pPr>
            <w:r/>
            <w:r>
              <w:rPr>
                <w:b w:val="0"/>
              </w:rPr>
              <w:t>Retrained Random Forest or revised encoding.</w:t>
            </w:r>
          </w:p>
        </w:tc>
        <w:tc>
          <w:tcPr>
            <w:tcW w:type="dxa" w:w="2664"/>
            <w:vAlign w:val="center"/>
            <w:tcMar>
              <w:top w:w="50" w:type="dxa"/>
              <w:bottom w:w="50" w:type="dxa"/>
              <w:start w:w="60" w:type="dxa"/>
              <w:end w:w="60" w:type="dxa"/>
            </w:tcMar>
            <w:shd w:fill="EDF4FA"/>
          </w:tcPr>
          <w:p>
            <w:pPr>
              <w:pStyle w:val="TableText"/>
            </w:pPr>
            <w:r/>
            <w:r>
              <w:rPr>
                <w:b w:val="0"/>
              </w:rPr>
              <w:t>Model governance package and full revalidation.</w:t>
            </w:r>
          </w:p>
        </w:tc>
      </w:tr>
      <w:tr>
        <w:trPr>
          <w:cantSplit/>
        </w:trPr>
        <w:tc>
          <w:tcPr>
            <w:tcW w:type="dxa" w:w="1656"/>
            <w:vAlign w:val="center"/>
            <w:tcMar>
              <w:top w:w="50" w:type="dxa"/>
              <w:bottom w:w="50" w:type="dxa"/>
              <w:start w:w="60" w:type="dxa"/>
              <w:end w:w="60" w:type="dxa"/>
            </w:tcMar>
          </w:tcPr>
          <w:p>
            <w:pPr>
              <w:pStyle w:val="TableText"/>
            </w:pPr>
            <w:r/>
            <w:r>
              <w:rPr>
                <w:b w:val="0"/>
              </w:rPr>
              <w:t>Security</w:t>
            </w:r>
          </w:p>
        </w:tc>
        <w:tc>
          <w:tcPr>
            <w:tcW w:type="dxa" w:w="2664"/>
            <w:vAlign w:val="center"/>
            <w:tcMar>
              <w:top w:w="50" w:type="dxa"/>
              <w:bottom w:w="50" w:type="dxa"/>
              <w:start w:w="60" w:type="dxa"/>
              <w:end w:w="60" w:type="dxa"/>
            </w:tcMar>
          </w:tcPr>
          <w:p>
            <w:pPr>
              <w:pStyle w:val="TableText"/>
            </w:pPr>
            <w:r/>
            <w:r>
              <w:rPr>
                <w:b w:val="0"/>
              </w:rPr>
              <w:t>Addresses vulnerability, access, secret or supply-chain risk.</w:t>
            </w:r>
          </w:p>
        </w:tc>
        <w:tc>
          <w:tcPr>
            <w:tcW w:type="dxa" w:w="3528"/>
            <w:vAlign w:val="center"/>
            <w:tcMar>
              <w:top w:w="50" w:type="dxa"/>
              <w:bottom w:w="50" w:type="dxa"/>
              <w:start w:w="60" w:type="dxa"/>
              <w:end w:w="60" w:type="dxa"/>
            </w:tcMar>
          </w:tcPr>
          <w:p>
            <w:pPr>
              <w:pStyle w:val="TableText"/>
            </w:pPr>
            <w:r/>
            <w:r>
              <w:rPr>
                <w:b w:val="0"/>
              </w:rPr>
              <w:t>Framework security patch, credential rotation.</w:t>
            </w:r>
          </w:p>
        </w:tc>
        <w:tc>
          <w:tcPr>
            <w:tcW w:type="dxa" w:w="2664"/>
            <w:vAlign w:val="center"/>
            <w:tcMar>
              <w:top w:w="50" w:type="dxa"/>
              <w:bottom w:w="50" w:type="dxa"/>
              <w:start w:w="60" w:type="dxa"/>
              <w:end w:w="60" w:type="dxa"/>
            </w:tcMar>
          </w:tcPr>
          <w:p>
            <w:pPr>
              <w:pStyle w:val="TableText"/>
            </w:pPr>
            <w:r/>
            <w:r>
              <w:rPr>
                <w:b w:val="0"/>
              </w:rPr>
              <w:t>Urgency-based process, security test, monitored release.</w:t>
            </w:r>
          </w:p>
        </w:tc>
      </w:tr>
      <w:tr>
        <w:trPr>
          <w:cantSplit/>
        </w:trPr>
        <w:tc>
          <w:tcPr>
            <w:tcW w:type="dxa" w:w="1656"/>
            <w:vAlign w:val="center"/>
            <w:tcMar>
              <w:top w:w="50" w:type="dxa"/>
              <w:bottom w:w="50" w:type="dxa"/>
              <w:start w:w="60" w:type="dxa"/>
              <w:end w:w="60" w:type="dxa"/>
            </w:tcMar>
            <w:shd w:fill="EDF4FA"/>
          </w:tcPr>
          <w:p>
            <w:pPr>
              <w:pStyle w:val="TableText"/>
            </w:pPr>
            <w:r/>
            <w:r>
              <w:rPr>
                <w:b w:val="0"/>
              </w:rPr>
              <w:t>Emergency</w:t>
            </w:r>
          </w:p>
        </w:tc>
        <w:tc>
          <w:tcPr>
            <w:tcW w:type="dxa" w:w="2664"/>
            <w:vAlign w:val="center"/>
            <w:tcMar>
              <w:top w:w="50" w:type="dxa"/>
              <w:bottom w:w="50" w:type="dxa"/>
              <w:start w:w="60" w:type="dxa"/>
              <w:end w:w="60" w:type="dxa"/>
            </w:tcMar>
            <w:shd w:fill="EDF4FA"/>
          </w:tcPr>
          <w:p>
            <w:pPr>
              <w:pStyle w:val="TableText"/>
            </w:pPr>
            <w:r/>
            <w:r>
              <w:rPr>
                <w:b w:val="0"/>
              </w:rPr>
              <w:t>Immediate containment of active serious harm or outage.</w:t>
            </w:r>
          </w:p>
        </w:tc>
        <w:tc>
          <w:tcPr>
            <w:tcW w:type="dxa" w:w="3528"/>
            <w:vAlign w:val="center"/>
            <w:tcMar>
              <w:top w:w="50" w:type="dxa"/>
              <w:bottom w:w="50" w:type="dxa"/>
              <w:start w:w="60" w:type="dxa"/>
              <w:end w:w="60" w:type="dxa"/>
            </w:tcMar>
            <w:shd w:fill="EDF4FA"/>
          </w:tcPr>
          <w:p>
            <w:pPr>
              <w:pStyle w:val="TableText"/>
            </w:pPr>
            <w:r/>
            <w:r>
              <w:rPr>
                <w:b w:val="0"/>
              </w:rPr>
              <w:t>Disable unsafe function, revoke exposed key.</w:t>
            </w:r>
          </w:p>
        </w:tc>
        <w:tc>
          <w:tcPr>
            <w:tcW w:type="dxa" w:w="2664"/>
            <w:vAlign w:val="center"/>
            <w:tcMar>
              <w:top w:w="50" w:type="dxa"/>
              <w:bottom w:w="50" w:type="dxa"/>
              <w:start w:w="60" w:type="dxa"/>
              <w:end w:w="60" w:type="dxa"/>
            </w:tcMar>
            <w:shd w:fill="EDF4FA"/>
          </w:tcPr>
          <w:p>
            <w:pPr>
              <w:pStyle w:val="TableText"/>
            </w:pPr>
            <w:r/>
            <w:r>
              <w:rPr>
                <w:b w:val="0"/>
              </w:rPr>
              <w:t>Emergency authority, documented containment, retrospective review.</w:t>
            </w:r>
          </w:p>
        </w:tc>
      </w:tr>
    </w:tbl>
    <w:p>
      <w:pPr>
        <w:spacing w:after="20"/>
      </w:pPr>
    </w:p>
    <w:p>
      <w:pPr>
        <w:pStyle w:val="Heading1"/>
      </w:pPr>
      <w:r>
        <w:t>4. Lifecycle Governance Roles</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232"/>
            <w:vAlign w:val="center"/>
            <w:tcMar>
              <w:top w:w="50" w:type="dxa"/>
              <w:bottom w:w="50" w:type="dxa"/>
              <w:start w:w="60" w:type="dxa"/>
              <w:end w:w="60" w:type="dxa"/>
            </w:tcMar>
            <w:shd w:fill="17365D"/>
          </w:tcPr>
          <w:p>
            <w:pPr>
              <w:pStyle w:val="TableHeader"/>
            </w:pPr>
            <w:r/>
            <w:r>
              <w:rPr>
                <w:b/>
                <w:color w:val="FFFFFF"/>
              </w:rPr>
              <w:t>Role</w:t>
            </w:r>
          </w:p>
        </w:tc>
        <w:tc>
          <w:tcPr>
            <w:tcW w:type="dxa" w:w="4392"/>
            <w:vAlign w:val="center"/>
            <w:tcMar>
              <w:top w:w="50" w:type="dxa"/>
              <w:bottom w:w="50" w:type="dxa"/>
              <w:start w:w="60" w:type="dxa"/>
              <w:end w:w="60" w:type="dxa"/>
            </w:tcMar>
            <w:shd w:fill="17365D"/>
          </w:tcPr>
          <w:p>
            <w:pPr>
              <w:pStyle w:val="TableHeader"/>
            </w:pPr>
            <w:r/>
            <w:r>
              <w:rPr>
                <w:b/>
                <w:color w:val="FFFFFF"/>
              </w:rPr>
              <w:t>Core responsibility</w:t>
            </w:r>
          </w:p>
        </w:tc>
        <w:tc>
          <w:tcPr>
            <w:tcW w:type="dxa" w:w="3960"/>
            <w:vAlign w:val="center"/>
            <w:tcMar>
              <w:top w:w="50" w:type="dxa"/>
              <w:bottom w:w="50" w:type="dxa"/>
              <w:start w:w="60" w:type="dxa"/>
              <w:end w:w="60" w:type="dxa"/>
            </w:tcMar>
            <w:shd w:fill="17365D"/>
          </w:tcPr>
          <w:p>
            <w:pPr>
              <w:pStyle w:val="TableHeader"/>
            </w:pPr>
            <w:r/>
            <w:r>
              <w:rPr>
                <w:b/>
                <w:color w:val="FFFFFF"/>
              </w:rPr>
              <w:t>Cannot do alone</w:t>
            </w:r>
          </w:p>
        </w:tc>
      </w:tr>
      <w:tr>
        <w:trPr>
          <w:cantSplit/>
        </w:trPr>
        <w:tc>
          <w:tcPr>
            <w:tcW w:type="dxa" w:w="2232"/>
            <w:vAlign w:val="center"/>
            <w:tcMar>
              <w:top w:w="50" w:type="dxa"/>
              <w:bottom w:w="50" w:type="dxa"/>
              <w:start w:w="60" w:type="dxa"/>
              <w:end w:w="60" w:type="dxa"/>
            </w:tcMar>
          </w:tcPr>
          <w:p>
            <w:pPr>
              <w:pStyle w:val="TableText"/>
            </w:pPr>
            <w:r/>
            <w:r>
              <w:rPr>
                <w:b w:val="0"/>
              </w:rPr>
              <w:t>Clinical owner / qualified reviewer</w:t>
            </w:r>
          </w:p>
        </w:tc>
        <w:tc>
          <w:tcPr>
            <w:tcW w:type="dxa" w:w="4392"/>
            <w:vAlign w:val="center"/>
            <w:tcMar>
              <w:top w:w="50" w:type="dxa"/>
              <w:bottom w:w="50" w:type="dxa"/>
              <w:start w:w="60" w:type="dxa"/>
              <w:end w:w="60" w:type="dxa"/>
            </w:tcMar>
          </w:tcPr>
          <w:p>
            <w:pPr>
              <w:pStyle w:val="TableText"/>
            </w:pPr>
            <w:r/>
            <w:r>
              <w:rPr>
                <w:b w:val="0"/>
              </w:rPr>
              <w:t>Own clinical meaning, scope, thresholds, referral wording and acceptability.</w:t>
            </w:r>
          </w:p>
        </w:tc>
        <w:tc>
          <w:tcPr>
            <w:tcW w:type="dxa" w:w="3960"/>
            <w:vAlign w:val="center"/>
            <w:tcMar>
              <w:top w:w="50" w:type="dxa"/>
              <w:bottom w:w="50" w:type="dxa"/>
              <w:start w:w="60" w:type="dxa"/>
              <w:end w:w="60" w:type="dxa"/>
            </w:tcMar>
          </w:tcPr>
          <w:p>
            <w:pPr>
              <w:pStyle w:val="TableText"/>
            </w:pPr>
            <w:r/>
            <w:r>
              <w:rPr>
                <w:b w:val="0"/>
              </w:rPr>
              <w:t>Approve code/model correctness without technical evidence.</w:t>
            </w:r>
          </w:p>
        </w:tc>
      </w:tr>
      <w:tr>
        <w:trPr>
          <w:cantSplit/>
        </w:trPr>
        <w:tc>
          <w:tcPr>
            <w:tcW w:type="dxa" w:w="2232"/>
            <w:vAlign w:val="center"/>
            <w:tcMar>
              <w:top w:w="50" w:type="dxa"/>
              <w:bottom w:w="50" w:type="dxa"/>
              <w:start w:w="60" w:type="dxa"/>
              <w:end w:w="60" w:type="dxa"/>
            </w:tcMar>
            <w:shd w:fill="EDF4FA"/>
          </w:tcPr>
          <w:p>
            <w:pPr>
              <w:pStyle w:val="TableText"/>
            </w:pPr>
            <w:r/>
            <w:r>
              <w:rPr>
                <w:b w:val="0"/>
              </w:rPr>
              <w:t>Product or clinic owner</w:t>
            </w:r>
          </w:p>
        </w:tc>
        <w:tc>
          <w:tcPr>
            <w:tcW w:type="dxa" w:w="4392"/>
            <w:vAlign w:val="center"/>
            <w:tcMar>
              <w:top w:w="50" w:type="dxa"/>
              <w:bottom w:w="50" w:type="dxa"/>
              <w:start w:w="60" w:type="dxa"/>
              <w:end w:w="60" w:type="dxa"/>
            </w:tcMar>
            <w:shd w:fill="EDF4FA"/>
          </w:tcPr>
          <w:p>
            <w:pPr>
              <w:pStyle w:val="TableText"/>
            </w:pPr>
            <w:r/>
            <w:r>
              <w:rPr>
                <w:b w:val="0"/>
              </w:rPr>
              <w:t>Prioritize operational need, downtime, training and acceptance.</w:t>
            </w:r>
          </w:p>
        </w:tc>
        <w:tc>
          <w:tcPr>
            <w:tcW w:type="dxa" w:w="3960"/>
            <w:vAlign w:val="center"/>
            <w:tcMar>
              <w:top w:w="50" w:type="dxa"/>
              <w:bottom w:w="50" w:type="dxa"/>
              <w:start w:w="60" w:type="dxa"/>
              <w:end w:w="60" w:type="dxa"/>
            </w:tcMar>
            <w:shd w:fill="EDF4FA"/>
          </w:tcPr>
          <w:p>
            <w:pPr>
              <w:pStyle w:val="TableText"/>
            </w:pPr>
            <w:r/>
            <w:r>
              <w:rPr>
                <w:b w:val="0"/>
              </w:rPr>
              <w:t>Override safety gate for convenience.</w:t>
            </w:r>
          </w:p>
        </w:tc>
      </w:tr>
      <w:tr>
        <w:trPr>
          <w:cantSplit/>
        </w:trPr>
        <w:tc>
          <w:tcPr>
            <w:tcW w:type="dxa" w:w="2232"/>
            <w:vAlign w:val="center"/>
            <w:tcMar>
              <w:top w:w="50" w:type="dxa"/>
              <w:bottom w:w="50" w:type="dxa"/>
              <w:start w:w="60" w:type="dxa"/>
              <w:end w:w="60" w:type="dxa"/>
            </w:tcMar>
          </w:tcPr>
          <w:p>
            <w:pPr>
              <w:pStyle w:val="TableText"/>
            </w:pPr>
            <w:r/>
            <w:r>
              <w:rPr>
                <w:b w:val="0"/>
              </w:rPr>
              <w:t>Technical maintainer</w:t>
            </w:r>
          </w:p>
        </w:tc>
        <w:tc>
          <w:tcPr>
            <w:tcW w:type="dxa" w:w="4392"/>
            <w:vAlign w:val="center"/>
            <w:tcMar>
              <w:top w:w="50" w:type="dxa"/>
              <w:bottom w:w="50" w:type="dxa"/>
              <w:start w:w="60" w:type="dxa"/>
              <w:end w:w="60" w:type="dxa"/>
            </w:tcMar>
          </w:tcPr>
          <w:p>
            <w:pPr>
              <w:pStyle w:val="TableText"/>
            </w:pPr>
            <w:r/>
            <w:r>
              <w:rPr>
                <w:b w:val="0"/>
              </w:rPr>
              <w:t>Implement, test, version, deploy, monitor and document software changes.</w:t>
            </w:r>
          </w:p>
        </w:tc>
        <w:tc>
          <w:tcPr>
            <w:tcW w:type="dxa" w:w="3960"/>
            <w:vAlign w:val="center"/>
            <w:tcMar>
              <w:top w:w="50" w:type="dxa"/>
              <w:bottom w:w="50" w:type="dxa"/>
              <w:start w:w="60" w:type="dxa"/>
              <w:end w:w="60" w:type="dxa"/>
            </w:tcMar>
          </w:tcPr>
          <w:p>
            <w:pPr>
              <w:pStyle w:val="TableText"/>
            </w:pPr>
            <w:r/>
            <w:r>
              <w:rPr>
                <w:b w:val="0"/>
              </w:rPr>
              <w:t>Approve clinical rule changes.</w:t>
            </w:r>
          </w:p>
        </w:tc>
      </w:tr>
      <w:tr>
        <w:trPr>
          <w:cantSplit/>
        </w:trPr>
        <w:tc>
          <w:tcPr>
            <w:tcW w:type="dxa" w:w="2232"/>
            <w:vAlign w:val="center"/>
            <w:tcMar>
              <w:top w:w="50" w:type="dxa"/>
              <w:bottom w:w="50" w:type="dxa"/>
              <w:start w:w="60" w:type="dxa"/>
              <w:end w:w="60" w:type="dxa"/>
            </w:tcMar>
            <w:shd w:fill="EDF4FA"/>
          </w:tcPr>
          <w:p>
            <w:pPr>
              <w:pStyle w:val="TableText"/>
            </w:pPr>
            <w:r/>
            <w:r>
              <w:rPr>
                <w:b w:val="0"/>
              </w:rPr>
              <w:t>ML custodian</w:t>
            </w:r>
          </w:p>
        </w:tc>
        <w:tc>
          <w:tcPr>
            <w:tcW w:type="dxa" w:w="4392"/>
            <w:vAlign w:val="center"/>
            <w:tcMar>
              <w:top w:w="50" w:type="dxa"/>
              <w:bottom w:w="50" w:type="dxa"/>
              <w:start w:w="60" w:type="dxa"/>
              <w:end w:w="60" w:type="dxa"/>
            </w:tcMar>
            <w:shd w:fill="EDF4FA"/>
          </w:tcPr>
          <w:p>
            <w:pPr>
              <w:pStyle w:val="TableText"/>
            </w:pPr>
            <w:r/>
            <w:r>
              <w:rPr>
                <w:b w:val="0"/>
              </w:rPr>
              <w:t>Control data, feature schema, training, evaluation, model registry and reproducibility.</w:t>
            </w:r>
          </w:p>
        </w:tc>
        <w:tc>
          <w:tcPr>
            <w:tcW w:type="dxa" w:w="3960"/>
            <w:vAlign w:val="center"/>
            <w:tcMar>
              <w:top w:w="50" w:type="dxa"/>
              <w:bottom w:w="50" w:type="dxa"/>
              <w:start w:w="60" w:type="dxa"/>
              <w:end w:w="60" w:type="dxa"/>
            </w:tcMar>
            <w:shd w:fill="EDF4FA"/>
          </w:tcPr>
          <w:p>
            <w:pPr>
              <w:pStyle w:val="TableText"/>
            </w:pPr>
            <w:r/>
            <w:r>
              <w:rPr>
                <w:b w:val="0"/>
              </w:rPr>
              <w:t>Deploy a new model without independent review.</w:t>
            </w:r>
          </w:p>
        </w:tc>
      </w:tr>
      <w:tr>
        <w:trPr>
          <w:cantSplit/>
        </w:trPr>
        <w:tc>
          <w:tcPr>
            <w:tcW w:type="dxa" w:w="2232"/>
            <w:vAlign w:val="center"/>
            <w:tcMar>
              <w:top w:w="50" w:type="dxa"/>
              <w:bottom w:w="50" w:type="dxa"/>
              <w:start w:w="60" w:type="dxa"/>
              <w:end w:w="60" w:type="dxa"/>
            </w:tcMar>
          </w:tcPr>
          <w:p>
            <w:pPr>
              <w:pStyle w:val="TableText"/>
            </w:pPr>
            <w:r/>
            <w:r>
              <w:rPr>
                <w:b w:val="0"/>
              </w:rPr>
              <w:t>Privacy/security reviewer</w:t>
            </w:r>
          </w:p>
        </w:tc>
        <w:tc>
          <w:tcPr>
            <w:tcW w:type="dxa" w:w="4392"/>
            <w:vAlign w:val="center"/>
            <w:tcMar>
              <w:top w:w="50" w:type="dxa"/>
              <w:bottom w:w="50" w:type="dxa"/>
              <w:start w:w="60" w:type="dxa"/>
              <w:end w:w="60" w:type="dxa"/>
            </w:tcMar>
          </w:tcPr>
          <w:p>
            <w:pPr>
              <w:pStyle w:val="TableText"/>
            </w:pPr>
            <w:r/>
            <w:r>
              <w:rPr>
                <w:b w:val="0"/>
              </w:rPr>
              <w:t>Review access, data minimization, incidents, backups, vulnerabilities and retention.</w:t>
            </w:r>
          </w:p>
        </w:tc>
        <w:tc>
          <w:tcPr>
            <w:tcW w:type="dxa" w:w="3960"/>
            <w:vAlign w:val="center"/>
            <w:tcMar>
              <w:top w:w="50" w:type="dxa"/>
              <w:bottom w:w="50" w:type="dxa"/>
              <w:start w:w="60" w:type="dxa"/>
              <w:end w:w="60" w:type="dxa"/>
            </w:tcMar>
          </w:tcPr>
          <w:p>
            <w:pPr>
              <w:pStyle w:val="TableText"/>
            </w:pPr>
            <w:r/>
            <w:r>
              <w:rPr>
                <w:b w:val="0"/>
              </w:rPr>
              <w:t>Change clinical logic without clinical ownership.</w:t>
            </w:r>
          </w:p>
        </w:tc>
      </w:tr>
      <w:tr>
        <w:trPr>
          <w:cantSplit/>
        </w:trPr>
        <w:tc>
          <w:tcPr>
            <w:tcW w:type="dxa" w:w="2232"/>
            <w:vAlign w:val="center"/>
            <w:tcMar>
              <w:top w:w="50" w:type="dxa"/>
              <w:bottom w:w="50" w:type="dxa"/>
              <w:start w:w="60" w:type="dxa"/>
              <w:end w:w="60" w:type="dxa"/>
            </w:tcMar>
            <w:shd w:fill="EDF4FA"/>
          </w:tcPr>
          <w:p>
            <w:pPr>
              <w:pStyle w:val="TableText"/>
            </w:pPr>
            <w:r/>
            <w:r>
              <w:rPr>
                <w:b w:val="0"/>
              </w:rPr>
              <w:t>Tester / independent reviewer</w:t>
            </w:r>
          </w:p>
        </w:tc>
        <w:tc>
          <w:tcPr>
            <w:tcW w:type="dxa" w:w="4392"/>
            <w:vAlign w:val="center"/>
            <w:tcMar>
              <w:top w:w="50" w:type="dxa"/>
              <w:bottom w:w="50" w:type="dxa"/>
              <w:start w:w="60" w:type="dxa"/>
              <w:end w:w="60" w:type="dxa"/>
            </w:tcMar>
            <w:shd w:fill="EDF4FA"/>
          </w:tcPr>
          <w:p>
            <w:pPr>
              <w:pStyle w:val="TableText"/>
            </w:pPr>
            <w:r/>
            <w:r>
              <w:rPr>
                <w:b w:val="0"/>
              </w:rPr>
              <w:t>Verify evidence, reproduce critical tests and challenge assumptions.</w:t>
            </w:r>
          </w:p>
        </w:tc>
        <w:tc>
          <w:tcPr>
            <w:tcW w:type="dxa" w:w="3960"/>
            <w:vAlign w:val="center"/>
            <w:tcMar>
              <w:top w:w="50" w:type="dxa"/>
              <w:bottom w:w="50" w:type="dxa"/>
              <w:start w:w="60" w:type="dxa"/>
              <w:end w:w="60" w:type="dxa"/>
            </w:tcMar>
            <w:shd w:fill="EDF4FA"/>
          </w:tcPr>
          <w:p>
            <w:pPr>
              <w:pStyle w:val="TableText"/>
            </w:pPr>
            <w:r/>
            <w:r>
              <w:rPr>
                <w:b w:val="0"/>
              </w:rPr>
              <w:t>Approve own unreviewed safety-critical implementation.</w:t>
            </w:r>
          </w:p>
        </w:tc>
      </w:tr>
      <w:tr>
        <w:trPr>
          <w:cantSplit/>
        </w:trPr>
        <w:tc>
          <w:tcPr>
            <w:tcW w:type="dxa" w:w="2232"/>
            <w:vAlign w:val="center"/>
            <w:tcMar>
              <w:top w:w="50" w:type="dxa"/>
              <w:bottom w:w="50" w:type="dxa"/>
              <w:start w:w="60" w:type="dxa"/>
              <w:end w:w="60" w:type="dxa"/>
            </w:tcMar>
          </w:tcPr>
          <w:p>
            <w:pPr>
              <w:pStyle w:val="TableText"/>
            </w:pPr>
            <w:r/>
            <w:r>
              <w:rPr>
                <w:b w:val="0"/>
              </w:rPr>
              <w:t>End-user representative</w:t>
            </w:r>
          </w:p>
        </w:tc>
        <w:tc>
          <w:tcPr>
            <w:tcW w:type="dxa" w:w="4392"/>
            <w:vAlign w:val="center"/>
            <w:tcMar>
              <w:top w:w="50" w:type="dxa"/>
              <w:bottom w:w="50" w:type="dxa"/>
              <w:start w:w="60" w:type="dxa"/>
              <w:end w:w="60" w:type="dxa"/>
            </w:tcMar>
          </w:tcPr>
          <w:p>
            <w:pPr>
              <w:pStyle w:val="TableText"/>
            </w:pPr>
            <w:r/>
            <w:r>
              <w:rPr>
                <w:b w:val="0"/>
              </w:rPr>
              <w:t>Assess workflow clarity, usability, alert burden and training needs.</w:t>
            </w:r>
          </w:p>
        </w:tc>
        <w:tc>
          <w:tcPr>
            <w:tcW w:type="dxa" w:w="3960"/>
            <w:vAlign w:val="center"/>
            <w:tcMar>
              <w:top w:w="50" w:type="dxa"/>
              <w:bottom w:w="50" w:type="dxa"/>
              <w:start w:w="60" w:type="dxa"/>
              <w:end w:w="60" w:type="dxa"/>
            </w:tcMar>
          </w:tcPr>
          <w:p>
            <w:pPr>
              <w:pStyle w:val="TableText"/>
            </w:pPr>
            <w:r/>
            <w:r>
              <w:rPr>
                <w:b w:val="0"/>
              </w:rPr>
              <w:t>Define clinical evidence alone.</w:t>
            </w:r>
          </w:p>
        </w:tc>
      </w:tr>
      <w:tr>
        <w:trPr>
          <w:cantSplit/>
        </w:trPr>
        <w:tc>
          <w:tcPr>
            <w:tcW w:type="dxa" w:w="2232"/>
            <w:vAlign w:val="center"/>
            <w:tcMar>
              <w:top w:w="50" w:type="dxa"/>
              <w:bottom w:w="50" w:type="dxa"/>
              <w:start w:w="60" w:type="dxa"/>
              <w:end w:w="60" w:type="dxa"/>
            </w:tcMar>
            <w:shd w:fill="EDF4FA"/>
          </w:tcPr>
          <w:p>
            <w:pPr>
              <w:pStyle w:val="TableText"/>
            </w:pPr>
            <w:r/>
            <w:r>
              <w:rPr>
                <w:b w:val="0"/>
              </w:rPr>
              <w:t>Release authority</w:t>
            </w:r>
          </w:p>
        </w:tc>
        <w:tc>
          <w:tcPr>
            <w:tcW w:type="dxa" w:w="4392"/>
            <w:vAlign w:val="center"/>
            <w:tcMar>
              <w:top w:w="50" w:type="dxa"/>
              <w:bottom w:w="50" w:type="dxa"/>
              <w:start w:w="60" w:type="dxa"/>
              <w:end w:w="60" w:type="dxa"/>
            </w:tcMar>
            <w:shd w:fill="EDF4FA"/>
          </w:tcPr>
          <w:p>
            <w:pPr>
              <w:pStyle w:val="TableText"/>
            </w:pPr>
            <w:r/>
            <w:r>
              <w:rPr>
                <w:b w:val="0"/>
              </w:rPr>
              <w:t>Confirm gates, risks, approvals, rollback and readiness.</w:t>
            </w:r>
          </w:p>
        </w:tc>
        <w:tc>
          <w:tcPr>
            <w:tcW w:type="dxa" w:w="3960"/>
            <w:vAlign w:val="center"/>
            <w:tcMar>
              <w:top w:w="50" w:type="dxa"/>
              <w:bottom w:w="50" w:type="dxa"/>
              <w:start w:w="60" w:type="dxa"/>
              <w:end w:w="60" w:type="dxa"/>
            </w:tcMar>
            <w:shd w:fill="EDF4FA"/>
          </w:tcPr>
          <w:p>
            <w:pPr>
              <w:pStyle w:val="TableText"/>
            </w:pPr>
            <w:r/>
            <w:r>
              <w:rPr>
                <w:b w:val="0"/>
              </w:rPr>
              <w:t>Accept unresolved release-blocking defects.</w:t>
            </w:r>
          </w:p>
        </w:tc>
      </w:tr>
    </w:tbl>
    <w:p>
      <w:pPr>
        <w:spacing w:after="20"/>
      </w:pPr>
    </w:p>
    <w:tbl>
      <w:tblPr>
        <w:tblW w:type="auto" w:w="0"/>
        <w:tblLook w:firstColumn="1" w:firstRow="1" w:lastColumn="0" w:lastRow="0" w:noHBand="0" w:noVBand="1" w:val="04A0"/>
      </w:tblPr>
      <w:tblGrid>
        <w:gridCol w:w="10282"/>
      </w:tblGrid>
      <w:tr>
        <w:tc>
          <w:tcPr>
            <w:tcW w:type="dxa" w:w="10282"/>
            <w:shd w:fill="EDF4FA"/>
            <w:tcMar>
              <w:top w:w="90" w:type="dxa"/>
              <w:bottom w:w="90" w:type="dxa"/>
              <w:start w:w="100" w:type="dxa"/>
              <w:end w:w="100" w:type="dxa"/>
            </w:tcMar>
            <w:tcBorders>
              <w:top w:val="single" w:sz="8" w:color="2F75B5"/>
              <w:left w:val="single" w:sz="8" w:color="2F75B5"/>
              <w:bottom w:val="single" w:sz="8" w:color="2F75B5"/>
              <w:right w:val="single" w:sz="8" w:color="2F75B5"/>
            </w:tcBorders>
          </w:tcPr>
          <w:p>
            <w:pPr>
              <w:pStyle w:val="Callout"/>
            </w:pPr>
            <w:r/>
            <w:r>
              <w:rPr>
                <w:b/>
                <w:color w:val="2F75B5"/>
              </w:rPr>
              <w:t>Separation of duties</w:t>
              <w:br/>
            </w:r>
            <w:r>
              <w:t>For a student prototype, one person may perform several roles, but the document must still record which role was being performed and which decisions require future independent clinical or institutional approval.</w:t>
            </w:r>
          </w:p>
        </w:tc>
      </w:tr>
    </w:tbl>
    <w:p>
      <w:pPr>
        <w:spacing w:after="20"/>
      </w:pPr>
    </w:p>
    <w:p>
      <w:pPr>
        <w:pStyle w:val="Heading1"/>
      </w:pPr>
      <w:r>
        <w:t>5. Controlled Change Lifecycle</w:t>
      </w:r>
    </w:p>
    <w:tbl>
      <w:tblPr>
        <w:tblW w:type="auto" w:w="0"/>
        <w:tblLook w:firstColumn="1" w:firstRow="1" w:lastColumn="0" w:lastRow="0" w:noHBand="0" w:noVBand="1" w:val="04A0"/>
      </w:tblPr>
      <w:tblGrid>
        <w:gridCol w:w="10282"/>
      </w:tblGrid>
      <w:tr>
        <w:tc>
          <w:tcPr>
            <w:tcW w:type="dxa" w:w="10282"/>
            <w:shd w:fill="EDF4FA"/>
            <w:tcMar>
              <w:top w:w="75" w:type="dxa"/>
              <w:bottom w:w="75" w:type="dxa"/>
              <w:start w:w="75" w:type="dxa"/>
              <w:end w:w="75" w:type="dxa"/>
            </w:tcMar>
            <w:tcBorders>
              <w:top w:val="single" w:sz="10" w:color="2F75B5"/>
              <w:left w:val="single" w:sz="10" w:color="2F75B5"/>
              <w:bottom w:val="single" w:sz="10" w:color="2F75B5"/>
              <w:right w:val="single" w:sz="10" w:color="2F75B5"/>
            </w:tcBorders>
          </w:tcPr>
          <w:p>
            <w:pPr>
              <w:pStyle w:val="Flow"/>
              <w:jc w:val="center"/>
            </w:pPr>
            <w:r/>
            <w:r>
              <w:t>1. Detect need: incident, user feedback, evidence update, vulnerability, drift, dependency lifecycle, performance or planned improvement.</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DF4FA"/>
            <w:tcMar>
              <w:top w:w="75" w:type="dxa"/>
              <w:bottom w:w="75" w:type="dxa"/>
              <w:start w:w="75" w:type="dxa"/>
              <w:end w:w="75" w:type="dxa"/>
            </w:tcMar>
            <w:tcBorders>
              <w:top w:val="single" w:sz="10" w:color="2F75B5"/>
              <w:left w:val="single" w:sz="10" w:color="2F75B5"/>
              <w:bottom w:val="single" w:sz="10" w:color="2F75B5"/>
              <w:right w:val="single" w:sz="10" w:color="2F75B5"/>
            </w:tcBorders>
          </w:tcPr>
          <w:p>
            <w:pPr>
              <w:pStyle w:val="Flow"/>
              <w:jc w:val="center"/>
            </w:pPr>
            <w:r/>
            <w:r>
              <w:t>2. Register change: unique ID, requester, rationale, affected assets, urgency, proposed benefit, foreseeable harms and owner.</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FFF2CC"/>
            <w:tcMar>
              <w:top w:w="75" w:type="dxa"/>
              <w:bottom w:w="75" w:type="dxa"/>
              <w:start w:w="75" w:type="dxa"/>
              <w:end w:w="75" w:type="dxa"/>
            </w:tcMar>
            <w:tcBorders>
              <w:top w:val="single" w:sz="10" w:color="BF9000"/>
              <w:left w:val="single" w:sz="10" w:color="BF9000"/>
              <w:bottom w:val="single" w:sz="10" w:color="BF9000"/>
              <w:right w:val="single" w:sz="10" w:color="BF9000"/>
            </w:tcBorders>
          </w:tcPr>
          <w:p>
            <w:pPr>
              <w:pStyle w:val="Flow"/>
              <w:jc w:val="center"/>
            </w:pPr>
            <w:r/>
            <w:r>
              <w:t>3. Classify and assess impact: clinical, ML, data, security, workflow, privacy, deployment, training and historical interpretation.</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4DFEC"/>
            <w:tcMar>
              <w:top w:w="75" w:type="dxa"/>
              <w:bottom w:w="75" w:type="dxa"/>
              <w:start w:w="75" w:type="dxa"/>
              <w:end w:w="75" w:type="dxa"/>
            </w:tcMar>
            <w:tcBorders>
              <w:top w:val="single" w:sz="10" w:color="7030A0"/>
              <w:left w:val="single" w:sz="10" w:color="7030A0"/>
              <w:bottom w:val="single" w:sz="10" w:color="7030A0"/>
              <w:right w:val="single" w:sz="10" w:color="7030A0"/>
            </w:tcBorders>
          </w:tcPr>
          <w:p>
            <w:pPr>
              <w:pStyle w:val="Flow"/>
              <w:jc w:val="center"/>
            </w:pPr>
            <w:r/>
            <w:r>
              <w:t>4. Approve plan: evidence, acceptance criteria, implementation branch, test plan, migration, communication, monitoring and rollback.</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DF4FA"/>
            <w:tcMar>
              <w:top w:w="75" w:type="dxa"/>
              <w:bottom w:w="75" w:type="dxa"/>
              <w:start w:w="75" w:type="dxa"/>
              <w:end w:w="75" w:type="dxa"/>
            </w:tcMar>
            <w:tcBorders>
              <w:top w:val="single" w:sz="10" w:color="2F75B5"/>
              <w:left w:val="single" w:sz="10" w:color="2F75B5"/>
              <w:bottom w:val="single" w:sz="10" w:color="2F75B5"/>
              <w:right w:val="single" w:sz="10" w:color="2F75B5"/>
            </w:tcBorders>
          </w:tcPr>
          <w:p>
            <w:pPr>
              <w:pStyle w:val="Flow"/>
              <w:jc w:val="center"/>
            </w:pPr>
            <w:r/>
            <w:r>
              <w:t>5. Implement under version control: peer review, no direct production edits, reproducible artifacts and immutable release candidate.</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2F0D9"/>
            <w:tcMar>
              <w:top w:w="75" w:type="dxa"/>
              <w:bottom w:w="75" w:type="dxa"/>
              <w:start w:w="75" w:type="dxa"/>
              <w:end w:w="75" w:type="dxa"/>
            </w:tcMar>
            <w:tcBorders>
              <w:top w:val="single" w:sz="10" w:color="548235"/>
              <w:left w:val="single" w:sz="10" w:color="548235"/>
              <w:bottom w:val="single" w:sz="10" w:color="548235"/>
              <w:right w:val="single" w:sz="10" w:color="548235"/>
            </w:tcBorders>
          </w:tcPr>
          <w:p>
            <w:pPr>
              <w:pStyle w:val="Flow"/>
              <w:jc w:val="center"/>
            </w:pPr>
            <w:r/>
            <w:r>
              <w:t>6. Verify and validate: execute Part 10 evidence proportional to risk; resolve defects; preserve signed results.</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2F0D9"/>
            <w:tcMar>
              <w:top w:w="75" w:type="dxa"/>
              <w:bottom w:w="75" w:type="dxa"/>
              <w:start w:w="75" w:type="dxa"/>
              <w:end w:w="75" w:type="dxa"/>
            </w:tcMar>
            <w:tcBorders>
              <w:top w:val="single" w:sz="10" w:color="548235"/>
              <w:left w:val="single" w:sz="10" w:color="548235"/>
              <w:bottom w:val="single" w:sz="10" w:color="548235"/>
              <w:right w:val="single" w:sz="10" w:color="548235"/>
            </w:tcBorders>
          </w:tcPr>
          <w:p>
            <w:pPr>
              <w:pStyle w:val="Flow"/>
              <w:jc w:val="center"/>
            </w:pPr>
            <w:r/>
            <w:r>
              <w:t>7. Deploy through Part 9 controls: backup, migration rehearsal, smoke tests, release note, monitoring window and rollback readiness.</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DF4FA"/>
            <w:tcMar>
              <w:top w:w="75" w:type="dxa"/>
              <w:bottom w:w="75" w:type="dxa"/>
              <w:start w:w="75" w:type="dxa"/>
              <w:end w:w="75" w:type="dxa"/>
            </w:tcMar>
            <w:tcBorders>
              <w:top w:val="single" w:sz="10" w:color="2F75B5"/>
              <w:left w:val="single" w:sz="10" w:color="2F75B5"/>
              <w:bottom w:val="single" w:sz="10" w:color="2F75B5"/>
              <w:right w:val="single" w:sz="10" w:color="2F75B5"/>
            </w:tcBorders>
          </w:tcPr>
          <w:p>
            <w:pPr>
              <w:pStyle w:val="Flow"/>
              <w:jc w:val="center"/>
            </w:pPr>
            <w:r/>
            <w:r>
              <w:t>8. Review post-release: compare expected/actual behavior, incidents, data quality, user feedback and residual risk; close or reopen change.</w:t>
            </w:r>
          </w:p>
        </w:tc>
      </w:tr>
    </w:tbl>
    <w:p>
      <w:pPr>
        <w:pStyle w:val="Heading1"/>
      </w:pPr>
      <w:r>
        <w:t>6. Change Classification and Revalidation Depth</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088"/>
            <w:vAlign w:val="center"/>
            <w:tcMar>
              <w:top w:w="50" w:type="dxa"/>
              <w:bottom w:w="50" w:type="dxa"/>
              <w:start w:w="60" w:type="dxa"/>
              <w:end w:w="60" w:type="dxa"/>
            </w:tcMar>
            <w:shd w:fill="17365D"/>
          </w:tcPr>
          <w:p>
            <w:pPr>
              <w:pStyle w:val="TableHeader"/>
            </w:pPr>
            <w:r/>
            <w:r>
              <w:rPr>
                <w:b/>
                <w:color w:val="FFFFFF"/>
              </w:rPr>
              <w:t>Change level</w:t>
            </w:r>
          </w:p>
        </w:tc>
        <w:tc>
          <w:tcPr>
            <w:tcW w:type="dxa" w:w="3600"/>
            <w:vAlign w:val="center"/>
            <w:tcMar>
              <w:top w:w="50" w:type="dxa"/>
              <w:bottom w:w="50" w:type="dxa"/>
              <w:start w:w="60" w:type="dxa"/>
              <w:end w:w="60" w:type="dxa"/>
            </w:tcMar>
            <w:shd w:fill="17365D"/>
          </w:tcPr>
          <w:p>
            <w:pPr>
              <w:pStyle w:val="TableHeader"/>
            </w:pPr>
            <w:r/>
            <w:r>
              <w:rPr>
                <w:b/>
                <w:color w:val="FFFFFF"/>
              </w:rPr>
              <w:t>Examples</w:t>
            </w:r>
          </w:p>
        </w:tc>
        <w:tc>
          <w:tcPr>
            <w:tcW w:type="dxa" w:w="4896"/>
            <w:vAlign w:val="center"/>
            <w:tcMar>
              <w:top w:w="50" w:type="dxa"/>
              <w:bottom w:w="50" w:type="dxa"/>
              <w:start w:w="60" w:type="dxa"/>
              <w:end w:w="60" w:type="dxa"/>
            </w:tcMar>
            <w:shd w:fill="17365D"/>
          </w:tcPr>
          <w:p>
            <w:pPr>
              <w:pStyle w:val="TableHeader"/>
            </w:pPr>
            <w:r/>
            <w:r>
              <w:rPr>
                <w:b/>
                <w:color w:val="FFFFFF"/>
              </w:rPr>
              <w:t>Required revalidation</w:t>
            </w:r>
          </w:p>
        </w:tc>
      </w:tr>
      <w:tr>
        <w:trPr>
          <w:cantSplit/>
        </w:trPr>
        <w:tc>
          <w:tcPr>
            <w:tcW w:type="dxa" w:w="2088"/>
            <w:vAlign w:val="center"/>
            <w:tcMar>
              <w:top w:w="50" w:type="dxa"/>
              <w:bottom w:w="50" w:type="dxa"/>
              <w:start w:w="60" w:type="dxa"/>
              <w:end w:w="60" w:type="dxa"/>
            </w:tcMar>
          </w:tcPr>
          <w:p>
            <w:pPr>
              <w:pStyle w:val="TableText"/>
            </w:pPr>
            <w:r/>
            <w:r>
              <w:rPr>
                <w:b w:val="0"/>
              </w:rPr>
              <w:t>L0 — Documentation only</w:t>
            </w:r>
          </w:p>
        </w:tc>
        <w:tc>
          <w:tcPr>
            <w:tcW w:type="dxa" w:w="3600"/>
            <w:vAlign w:val="center"/>
            <w:tcMar>
              <w:top w:w="50" w:type="dxa"/>
              <w:bottom w:w="50" w:type="dxa"/>
              <w:start w:w="60" w:type="dxa"/>
              <w:end w:w="60" w:type="dxa"/>
            </w:tcMar>
          </w:tcPr>
          <w:p>
            <w:pPr>
              <w:pStyle w:val="TableText"/>
            </w:pPr>
            <w:r/>
            <w:r>
              <w:rPr>
                <w:b w:val="0"/>
              </w:rPr>
              <w:t>Spelling or formatting with no operational text change.</w:t>
            </w:r>
          </w:p>
        </w:tc>
        <w:tc>
          <w:tcPr>
            <w:tcW w:type="dxa" w:w="4896"/>
            <w:vAlign w:val="center"/>
            <w:tcMar>
              <w:top w:w="50" w:type="dxa"/>
              <w:bottom w:w="50" w:type="dxa"/>
              <w:start w:w="60" w:type="dxa"/>
              <w:end w:w="60" w:type="dxa"/>
            </w:tcMar>
          </w:tcPr>
          <w:p>
            <w:pPr>
              <w:pStyle w:val="TableText"/>
            </w:pPr>
            <w:r/>
            <w:r>
              <w:rPr>
                <w:b w:val="0"/>
              </w:rPr>
              <w:t>Review and document comparison.</w:t>
            </w:r>
          </w:p>
        </w:tc>
      </w:tr>
      <w:tr>
        <w:trPr>
          <w:cantSplit/>
        </w:trPr>
        <w:tc>
          <w:tcPr>
            <w:tcW w:type="dxa" w:w="2088"/>
            <w:vAlign w:val="center"/>
            <w:tcMar>
              <w:top w:w="50" w:type="dxa"/>
              <w:bottom w:w="50" w:type="dxa"/>
              <w:start w:w="60" w:type="dxa"/>
              <w:end w:w="60" w:type="dxa"/>
            </w:tcMar>
            <w:shd w:fill="EDF4FA"/>
          </w:tcPr>
          <w:p>
            <w:pPr>
              <w:pStyle w:val="TableText"/>
            </w:pPr>
            <w:r/>
            <w:r>
              <w:rPr>
                <w:b w:val="0"/>
              </w:rPr>
              <w:t>L1 — Low technical</w:t>
            </w:r>
          </w:p>
        </w:tc>
        <w:tc>
          <w:tcPr>
            <w:tcW w:type="dxa" w:w="3600"/>
            <w:vAlign w:val="center"/>
            <w:tcMar>
              <w:top w:w="50" w:type="dxa"/>
              <w:bottom w:w="50" w:type="dxa"/>
              <w:start w:w="60" w:type="dxa"/>
              <w:end w:w="60" w:type="dxa"/>
            </w:tcMar>
            <w:shd w:fill="EDF4FA"/>
          </w:tcPr>
          <w:p>
            <w:pPr>
              <w:pStyle w:val="TableText"/>
            </w:pPr>
            <w:r/>
            <w:r>
              <w:rPr>
                <w:b w:val="0"/>
              </w:rPr>
              <w:t>Nonclinical UI spacing, internal logging improvement.</w:t>
            </w:r>
          </w:p>
        </w:tc>
        <w:tc>
          <w:tcPr>
            <w:tcW w:type="dxa" w:w="4896"/>
            <w:vAlign w:val="center"/>
            <w:tcMar>
              <w:top w:w="50" w:type="dxa"/>
              <w:bottom w:w="50" w:type="dxa"/>
              <w:start w:w="60" w:type="dxa"/>
              <w:end w:w="60" w:type="dxa"/>
            </w:tcMar>
            <w:shd w:fill="EDF4FA"/>
          </w:tcPr>
          <w:p>
            <w:pPr>
              <w:pStyle w:val="TableText"/>
            </w:pPr>
            <w:r/>
            <w:r>
              <w:rPr>
                <w:b w:val="0"/>
              </w:rPr>
              <w:t>Targeted unit/integration tests and smoke test.</w:t>
            </w:r>
          </w:p>
        </w:tc>
      </w:tr>
      <w:tr>
        <w:trPr>
          <w:cantSplit/>
        </w:trPr>
        <w:tc>
          <w:tcPr>
            <w:tcW w:type="dxa" w:w="2088"/>
            <w:vAlign w:val="center"/>
            <w:tcMar>
              <w:top w:w="50" w:type="dxa"/>
              <w:bottom w:w="50" w:type="dxa"/>
              <w:start w:w="60" w:type="dxa"/>
              <w:end w:w="60" w:type="dxa"/>
            </w:tcMar>
          </w:tcPr>
          <w:p>
            <w:pPr>
              <w:pStyle w:val="TableText"/>
            </w:pPr>
            <w:r/>
            <w:r>
              <w:rPr>
                <w:b w:val="0"/>
              </w:rPr>
              <w:t>L2 — Moderate operational</w:t>
            </w:r>
          </w:p>
        </w:tc>
        <w:tc>
          <w:tcPr>
            <w:tcW w:type="dxa" w:w="3600"/>
            <w:vAlign w:val="center"/>
            <w:tcMar>
              <w:top w:w="50" w:type="dxa"/>
              <w:bottom w:w="50" w:type="dxa"/>
              <w:start w:w="60" w:type="dxa"/>
              <w:end w:w="60" w:type="dxa"/>
            </w:tcMar>
          </w:tcPr>
          <w:p>
            <w:pPr>
              <w:pStyle w:val="TableText"/>
            </w:pPr>
            <w:r/>
            <w:r>
              <w:rPr>
                <w:b w:val="0"/>
              </w:rPr>
              <w:t>Workflow screen, email template, query, dependency patch.</w:t>
            </w:r>
          </w:p>
        </w:tc>
        <w:tc>
          <w:tcPr>
            <w:tcW w:type="dxa" w:w="4896"/>
            <w:vAlign w:val="center"/>
            <w:tcMar>
              <w:top w:w="50" w:type="dxa"/>
              <w:bottom w:w="50" w:type="dxa"/>
              <w:start w:w="60" w:type="dxa"/>
              <w:end w:w="60" w:type="dxa"/>
            </w:tcMar>
          </w:tcPr>
          <w:p>
            <w:pPr>
              <w:pStyle w:val="TableText"/>
            </w:pPr>
            <w:r/>
            <w:r>
              <w:rPr>
                <w:b w:val="0"/>
              </w:rPr>
              <w:t>Impact-based regression, UAT, security/performance tests as applicable.</w:t>
            </w:r>
          </w:p>
        </w:tc>
      </w:tr>
      <w:tr>
        <w:trPr>
          <w:cantSplit/>
        </w:trPr>
        <w:tc>
          <w:tcPr>
            <w:tcW w:type="dxa" w:w="2088"/>
            <w:vAlign w:val="center"/>
            <w:tcMar>
              <w:top w:w="50" w:type="dxa"/>
              <w:bottom w:w="50" w:type="dxa"/>
              <w:start w:w="60" w:type="dxa"/>
              <w:end w:w="60" w:type="dxa"/>
            </w:tcMar>
            <w:shd w:fill="EDF4FA"/>
          </w:tcPr>
          <w:p>
            <w:pPr>
              <w:pStyle w:val="TableText"/>
            </w:pPr>
            <w:r/>
            <w:r>
              <w:rPr>
                <w:b w:val="0"/>
              </w:rPr>
              <w:t>L3 — High clinical or data</w:t>
            </w:r>
          </w:p>
        </w:tc>
        <w:tc>
          <w:tcPr>
            <w:tcW w:type="dxa" w:w="3600"/>
            <w:vAlign w:val="center"/>
            <w:tcMar>
              <w:top w:w="50" w:type="dxa"/>
              <w:bottom w:w="50" w:type="dxa"/>
              <w:start w:w="60" w:type="dxa"/>
              <w:end w:w="60" w:type="dxa"/>
            </w:tcMar>
            <w:shd w:fill="EDF4FA"/>
          </w:tcPr>
          <w:p>
            <w:pPr>
              <w:pStyle w:val="TableText"/>
            </w:pPr>
            <w:r/>
            <w:r>
              <w:rPr>
                <w:b w:val="0"/>
              </w:rPr>
              <w:t>Rule, threshold, explanation meaning, referral, schema, migration, authorization.</w:t>
            </w:r>
          </w:p>
        </w:tc>
        <w:tc>
          <w:tcPr>
            <w:tcW w:type="dxa" w:w="4896"/>
            <w:vAlign w:val="center"/>
            <w:tcMar>
              <w:top w:w="50" w:type="dxa"/>
              <w:bottom w:w="50" w:type="dxa"/>
              <w:start w:w="60" w:type="dxa"/>
              <w:end w:w="60" w:type="dxa"/>
            </w:tcMar>
            <w:shd w:fill="EDF4FA"/>
          </w:tcPr>
          <w:p>
            <w:pPr>
              <w:pStyle w:val="TableText"/>
            </w:pPr>
            <w:r/>
            <w:r>
              <w:rPr>
                <w:b w:val="0"/>
              </w:rPr>
              <w:t>Full traceability, clinical review, broad regression, UAT, deployment rehearsal and enhanced monitoring.</w:t>
            </w:r>
          </w:p>
        </w:tc>
      </w:tr>
      <w:tr>
        <w:trPr>
          <w:cantSplit/>
        </w:trPr>
        <w:tc>
          <w:tcPr>
            <w:tcW w:type="dxa" w:w="2088"/>
            <w:vAlign w:val="center"/>
            <w:tcMar>
              <w:top w:w="50" w:type="dxa"/>
              <w:bottom w:w="50" w:type="dxa"/>
              <w:start w:w="60" w:type="dxa"/>
              <w:end w:w="60" w:type="dxa"/>
            </w:tcMar>
          </w:tcPr>
          <w:p>
            <w:pPr>
              <w:pStyle w:val="TableText"/>
            </w:pPr>
            <w:r/>
            <w:r>
              <w:rPr>
                <w:b w:val="0"/>
              </w:rPr>
              <w:t>L4 — Model or fundamental architecture</w:t>
            </w:r>
          </w:p>
        </w:tc>
        <w:tc>
          <w:tcPr>
            <w:tcW w:type="dxa" w:w="3600"/>
            <w:vAlign w:val="center"/>
            <w:tcMar>
              <w:top w:w="50" w:type="dxa"/>
              <w:bottom w:w="50" w:type="dxa"/>
              <w:start w:w="60" w:type="dxa"/>
              <w:end w:w="60" w:type="dxa"/>
            </w:tcMar>
          </w:tcPr>
          <w:p>
            <w:pPr>
              <w:pStyle w:val="TableText"/>
            </w:pPr>
            <w:r/>
            <w:r>
              <w:rPr>
                <w:b w:val="0"/>
              </w:rPr>
              <w:t>New dataset, feature schema, model, integration method, risk category or decision precedence.</w:t>
            </w:r>
          </w:p>
        </w:tc>
        <w:tc>
          <w:tcPr>
            <w:tcW w:type="dxa" w:w="4896"/>
            <w:vAlign w:val="center"/>
            <w:tcMar>
              <w:top w:w="50" w:type="dxa"/>
              <w:bottom w:w="50" w:type="dxa"/>
              <w:start w:w="60" w:type="dxa"/>
              <w:end w:w="60" w:type="dxa"/>
            </w:tcMar>
          </w:tcPr>
          <w:p>
            <w:pPr>
              <w:pStyle w:val="TableText"/>
            </w:pPr>
            <w:r/>
            <w:r>
              <w:rPr>
                <w:b w:val="0"/>
              </w:rPr>
              <w:t>Full model and system revalidation, independent review, renewed safety case and controlled pilot before routine use.</w:t>
            </w:r>
          </w:p>
        </w:tc>
      </w:tr>
      <w:tr>
        <w:trPr>
          <w:cantSplit/>
        </w:trPr>
        <w:tc>
          <w:tcPr>
            <w:tcW w:type="dxa" w:w="2088"/>
            <w:vAlign w:val="center"/>
            <w:tcMar>
              <w:top w:w="50" w:type="dxa"/>
              <w:bottom w:w="50" w:type="dxa"/>
              <w:start w:w="60" w:type="dxa"/>
              <w:end w:w="60" w:type="dxa"/>
            </w:tcMar>
            <w:shd w:fill="EDF4FA"/>
          </w:tcPr>
          <w:p>
            <w:pPr>
              <w:pStyle w:val="TableText"/>
            </w:pPr>
            <w:r/>
            <w:r>
              <w:rPr>
                <w:b w:val="0"/>
              </w:rPr>
              <w:t>Emergency containment</w:t>
            </w:r>
          </w:p>
        </w:tc>
        <w:tc>
          <w:tcPr>
            <w:tcW w:type="dxa" w:w="3600"/>
            <w:vAlign w:val="center"/>
            <w:tcMar>
              <w:top w:w="50" w:type="dxa"/>
              <w:bottom w:w="50" w:type="dxa"/>
              <w:start w:w="60" w:type="dxa"/>
              <w:end w:w="60" w:type="dxa"/>
            </w:tcMar>
            <w:shd w:fill="EDF4FA"/>
          </w:tcPr>
          <w:p>
            <w:pPr>
              <w:pStyle w:val="TableText"/>
            </w:pPr>
            <w:r/>
            <w:r>
              <w:rPr>
                <w:b w:val="0"/>
              </w:rPr>
              <w:t>Temporary disablement or rollback to prevent harm.</w:t>
            </w:r>
          </w:p>
        </w:tc>
        <w:tc>
          <w:tcPr>
            <w:tcW w:type="dxa" w:w="4896"/>
            <w:vAlign w:val="center"/>
            <w:tcMar>
              <w:top w:w="50" w:type="dxa"/>
              <w:bottom w:w="50" w:type="dxa"/>
              <w:start w:w="60" w:type="dxa"/>
              <w:end w:w="60" w:type="dxa"/>
            </w:tcMar>
            <w:shd w:fill="EDF4FA"/>
          </w:tcPr>
          <w:p>
            <w:pPr>
              <w:pStyle w:val="TableText"/>
            </w:pPr>
            <w:r/>
            <w:r>
              <w:rPr>
                <w:b w:val="0"/>
              </w:rPr>
              <w:t>Immediate targeted verification followed by full retrospective L3/L4 review.</w:t>
            </w:r>
          </w:p>
        </w:tc>
      </w:tr>
    </w:tbl>
    <w:p>
      <w:pPr>
        <w:spacing w:after="20"/>
      </w:pPr>
    </w:p>
    <w:p>
      <w:pPr>
        <w:pStyle w:val="Heading1"/>
      </w:pPr>
      <w:r>
        <w:t>7. Clinical Knowledge Maintenance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376"/>
            <w:vAlign w:val="center"/>
            <w:tcMar>
              <w:top w:w="50" w:type="dxa"/>
              <w:bottom w:w="50" w:type="dxa"/>
              <w:start w:w="60" w:type="dxa"/>
              <w:end w:w="60" w:type="dxa"/>
            </w:tcMar>
            <w:shd w:fill="17365D"/>
          </w:tcPr>
          <w:p>
            <w:pPr>
              <w:pStyle w:val="TableHeader"/>
            </w:pPr>
            <w:r/>
            <w:r>
              <w:rPr>
                <w:b/>
                <w:color w:val="FFFFFF"/>
              </w:rPr>
              <w:t>Control</w:t>
            </w:r>
          </w:p>
        </w:tc>
        <w:tc>
          <w:tcPr>
            <w:tcW w:type="dxa" w:w="8136"/>
            <w:vAlign w:val="center"/>
            <w:tcMar>
              <w:top w:w="50" w:type="dxa"/>
              <w:bottom w:w="50" w:type="dxa"/>
              <w:start w:w="60" w:type="dxa"/>
              <w:end w:w="60" w:type="dxa"/>
            </w:tcMar>
            <w:shd w:fill="17365D"/>
          </w:tcPr>
          <w:p>
            <w:pPr>
              <w:pStyle w:val="TableHeader"/>
            </w:pPr>
            <w:r/>
            <w:r>
              <w:rPr>
                <w:b/>
                <w:color w:val="FFFFFF"/>
              </w:rPr>
              <w:t>Authoritative requirement</w:t>
            </w:r>
          </w:p>
        </w:tc>
      </w:tr>
      <w:tr>
        <w:trPr>
          <w:cantSplit/>
        </w:trPr>
        <w:tc>
          <w:tcPr>
            <w:tcW w:type="dxa" w:w="2376"/>
            <w:vAlign w:val="center"/>
            <w:tcMar>
              <w:top w:w="50" w:type="dxa"/>
              <w:bottom w:w="50" w:type="dxa"/>
              <w:start w:w="60" w:type="dxa"/>
              <w:end w:w="60" w:type="dxa"/>
            </w:tcMar>
          </w:tcPr>
          <w:p>
            <w:pPr>
              <w:pStyle w:val="TableText"/>
            </w:pPr>
            <w:r/>
            <w:r>
              <w:rPr>
                <w:b w:val="0"/>
              </w:rPr>
              <w:t>Evidence surveillance</w:t>
            </w:r>
          </w:p>
        </w:tc>
        <w:tc>
          <w:tcPr>
            <w:tcW w:type="dxa" w:w="8136"/>
            <w:vAlign w:val="center"/>
            <w:tcMar>
              <w:top w:w="50" w:type="dxa"/>
              <w:bottom w:w="50" w:type="dxa"/>
              <w:start w:w="60" w:type="dxa"/>
              <w:end w:w="60" w:type="dxa"/>
            </w:tcMar>
          </w:tcPr>
          <w:p>
            <w:pPr>
              <w:pStyle w:val="TableText"/>
            </w:pPr>
            <w:r/>
            <w:r>
              <w:rPr>
                <w:b w:val="0"/>
              </w:rPr>
              <w:t>Define responsible reviewer, approved sources, review interval, and triggers such as new WHO/DOH guidance or observed harm.</w:t>
            </w:r>
          </w:p>
        </w:tc>
      </w:tr>
      <w:tr>
        <w:trPr>
          <w:cantSplit/>
        </w:trPr>
        <w:tc>
          <w:tcPr>
            <w:tcW w:type="dxa" w:w="2376"/>
            <w:vAlign w:val="center"/>
            <w:tcMar>
              <w:top w:w="50" w:type="dxa"/>
              <w:bottom w:w="50" w:type="dxa"/>
              <w:start w:w="60" w:type="dxa"/>
              <w:end w:w="60" w:type="dxa"/>
            </w:tcMar>
            <w:shd w:fill="EDF4FA"/>
          </w:tcPr>
          <w:p>
            <w:pPr>
              <w:pStyle w:val="TableText"/>
            </w:pPr>
            <w:r/>
            <w:r>
              <w:rPr>
                <w:b w:val="0"/>
              </w:rPr>
              <w:t>Rule proposal</w:t>
            </w:r>
          </w:p>
        </w:tc>
        <w:tc>
          <w:tcPr>
            <w:tcW w:type="dxa" w:w="8136"/>
            <w:vAlign w:val="center"/>
            <w:tcMar>
              <w:top w:w="50" w:type="dxa"/>
              <w:bottom w:w="50" w:type="dxa"/>
              <w:start w:w="60" w:type="dxa"/>
              <w:end w:w="60" w:type="dxa"/>
            </w:tcMar>
            <w:shd w:fill="EDF4FA"/>
          </w:tcPr>
          <w:p>
            <w:pPr>
              <w:pStyle w:val="TableText"/>
            </w:pPr>
            <w:r/>
            <w:r>
              <w:rPr>
                <w:b w:val="0"/>
              </w:rPr>
              <w:t>State current rule, proposed rule, evidence, target population, scope, expected workflow effect and uncertainty.</w:t>
            </w:r>
          </w:p>
        </w:tc>
      </w:tr>
      <w:tr>
        <w:trPr>
          <w:cantSplit/>
        </w:trPr>
        <w:tc>
          <w:tcPr>
            <w:tcW w:type="dxa" w:w="2376"/>
            <w:vAlign w:val="center"/>
            <w:tcMar>
              <w:top w:w="50" w:type="dxa"/>
              <w:bottom w:w="50" w:type="dxa"/>
              <w:start w:w="60" w:type="dxa"/>
              <w:end w:w="60" w:type="dxa"/>
            </w:tcMar>
          </w:tcPr>
          <w:p>
            <w:pPr>
              <w:pStyle w:val="TableText"/>
            </w:pPr>
            <w:r/>
            <w:r>
              <w:rPr>
                <w:b w:val="0"/>
              </w:rPr>
              <w:t>Conflict review</w:t>
            </w:r>
          </w:p>
        </w:tc>
        <w:tc>
          <w:tcPr>
            <w:tcW w:type="dxa" w:w="8136"/>
            <w:vAlign w:val="center"/>
            <w:tcMar>
              <w:top w:w="50" w:type="dxa"/>
              <w:bottom w:w="50" w:type="dxa"/>
              <w:start w:w="60" w:type="dxa"/>
              <w:end w:w="60" w:type="dxa"/>
            </w:tcMar>
          </w:tcPr>
          <w:p>
            <w:pPr>
              <w:pStyle w:val="TableText"/>
            </w:pPr>
            <w:r/>
            <w:r>
              <w:rPr>
                <w:b w:val="0"/>
              </w:rPr>
              <w:t>Reassess interaction with every existing HIGH rule, ML contribution, completeness gate, urgent wording and referral path.</w:t>
            </w:r>
          </w:p>
        </w:tc>
      </w:tr>
      <w:tr>
        <w:trPr>
          <w:cantSplit/>
        </w:trPr>
        <w:tc>
          <w:tcPr>
            <w:tcW w:type="dxa" w:w="2376"/>
            <w:vAlign w:val="center"/>
            <w:tcMar>
              <w:top w:w="50" w:type="dxa"/>
              <w:bottom w:w="50" w:type="dxa"/>
              <w:start w:w="60" w:type="dxa"/>
              <w:end w:w="60" w:type="dxa"/>
            </w:tcMar>
            <w:shd w:fill="EDF4FA"/>
          </w:tcPr>
          <w:p>
            <w:pPr>
              <w:pStyle w:val="TableText"/>
            </w:pPr>
            <w:r/>
            <w:r>
              <w:rPr>
                <w:b w:val="0"/>
              </w:rPr>
              <w:t>Versioning</w:t>
            </w:r>
          </w:p>
        </w:tc>
        <w:tc>
          <w:tcPr>
            <w:tcW w:type="dxa" w:w="8136"/>
            <w:vAlign w:val="center"/>
            <w:tcMar>
              <w:top w:w="50" w:type="dxa"/>
              <w:bottom w:w="50" w:type="dxa"/>
              <w:start w:w="60" w:type="dxa"/>
              <w:end w:w="60" w:type="dxa"/>
            </w:tcMar>
            <w:shd w:fill="EDF4FA"/>
          </w:tcPr>
          <w:p>
            <w:pPr>
              <w:pStyle w:val="TableText"/>
            </w:pPr>
            <w:r/>
            <w:r>
              <w:rPr>
                <w:b w:val="0"/>
              </w:rPr>
              <w:t>Assign a new rule-set version; never overwrite the rule identity attached to historical assessments.</w:t>
            </w:r>
          </w:p>
        </w:tc>
      </w:tr>
      <w:tr>
        <w:trPr>
          <w:cantSplit/>
        </w:trPr>
        <w:tc>
          <w:tcPr>
            <w:tcW w:type="dxa" w:w="2376"/>
            <w:vAlign w:val="center"/>
            <w:tcMar>
              <w:top w:w="50" w:type="dxa"/>
              <w:bottom w:w="50" w:type="dxa"/>
              <w:start w:w="60" w:type="dxa"/>
              <w:end w:w="60" w:type="dxa"/>
            </w:tcMar>
          </w:tcPr>
          <w:p>
            <w:pPr>
              <w:pStyle w:val="TableText"/>
            </w:pPr>
            <w:r/>
            <w:r>
              <w:rPr>
                <w:b w:val="0"/>
              </w:rPr>
              <w:t>Explanation alignment</w:t>
            </w:r>
          </w:p>
        </w:tc>
        <w:tc>
          <w:tcPr>
            <w:tcW w:type="dxa" w:w="8136"/>
            <w:vAlign w:val="center"/>
            <w:tcMar>
              <w:top w:w="50" w:type="dxa"/>
              <w:bottom w:w="50" w:type="dxa"/>
              <w:start w:w="60" w:type="dxa"/>
              <w:end w:w="60" w:type="dxa"/>
            </w:tcMar>
          </w:tcPr>
          <w:p>
            <w:pPr>
              <w:pStyle w:val="TableText"/>
            </w:pPr>
            <w:r/>
            <w:r>
              <w:rPr>
                <w:b w:val="0"/>
              </w:rPr>
              <w:t>Update explanation and recommendation library together with the rule; prohibit stale or contradictory text.</w:t>
            </w:r>
          </w:p>
        </w:tc>
      </w:tr>
      <w:tr>
        <w:trPr>
          <w:cantSplit/>
        </w:trPr>
        <w:tc>
          <w:tcPr>
            <w:tcW w:type="dxa" w:w="2376"/>
            <w:vAlign w:val="center"/>
            <w:tcMar>
              <w:top w:w="50" w:type="dxa"/>
              <w:bottom w:w="50" w:type="dxa"/>
              <w:start w:w="60" w:type="dxa"/>
              <w:end w:w="60" w:type="dxa"/>
            </w:tcMar>
            <w:shd w:fill="EDF4FA"/>
          </w:tcPr>
          <w:p>
            <w:pPr>
              <w:pStyle w:val="TableText"/>
            </w:pPr>
            <w:r/>
            <w:r>
              <w:rPr>
                <w:b w:val="0"/>
              </w:rPr>
              <w:t>Clinical acceptance</w:t>
            </w:r>
          </w:p>
        </w:tc>
        <w:tc>
          <w:tcPr>
            <w:tcW w:type="dxa" w:w="8136"/>
            <w:vAlign w:val="center"/>
            <w:tcMar>
              <w:top w:w="50" w:type="dxa"/>
              <w:bottom w:w="50" w:type="dxa"/>
              <w:start w:w="60" w:type="dxa"/>
              <w:end w:w="60" w:type="dxa"/>
            </w:tcMar>
            <w:shd w:fill="EDF4FA"/>
          </w:tcPr>
          <w:p>
            <w:pPr>
              <w:pStyle w:val="TableText"/>
            </w:pPr>
            <w:r/>
            <w:r>
              <w:rPr>
                <w:b w:val="0"/>
              </w:rPr>
              <w:t>Require qualified review before any threshold or clinical interpretation enters production.</w:t>
            </w:r>
          </w:p>
        </w:tc>
      </w:tr>
      <w:tr>
        <w:trPr>
          <w:cantSplit/>
        </w:trPr>
        <w:tc>
          <w:tcPr>
            <w:tcW w:type="dxa" w:w="2376"/>
            <w:vAlign w:val="center"/>
            <w:tcMar>
              <w:top w:w="50" w:type="dxa"/>
              <w:bottom w:w="50" w:type="dxa"/>
              <w:start w:w="60" w:type="dxa"/>
              <w:end w:w="60" w:type="dxa"/>
            </w:tcMar>
          </w:tcPr>
          <w:p>
            <w:pPr>
              <w:pStyle w:val="TableText"/>
            </w:pPr>
            <w:r/>
            <w:r>
              <w:rPr>
                <w:b w:val="0"/>
              </w:rPr>
              <w:t>Sunset</w:t>
            </w:r>
          </w:p>
        </w:tc>
        <w:tc>
          <w:tcPr>
            <w:tcW w:type="dxa" w:w="8136"/>
            <w:vAlign w:val="center"/>
            <w:tcMar>
              <w:top w:w="50" w:type="dxa"/>
              <w:bottom w:w="50" w:type="dxa"/>
              <w:start w:w="60" w:type="dxa"/>
              <w:end w:w="60" w:type="dxa"/>
            </w:tcMar>
          </w:tcPr>
          <w:p>
            <w:pPr>
              <w:pStyle w:val="TableText"/>
            </w:pPr>
            <w:r/>
            <w:r>
              <w:rPr>
                <w:b w:val="0"/>
              </w:rPr>
              <w:t>Retire superseded rules explicitly, preserve effective dates and document migration/non-migration of historical records.</w:t>
            </w:r>
          </w:p>
        </w:tc>
      </w:tr>
      <w:tr>
        <w:trPr>
          <w:cantSplit/>
        </w:trPr>
        <w:tc>
          <w:tcPr>
            <w:tcW w:type="dxa" w:w="2376"/>
            <w:vAlign w:val="center"/>
            <w:tcMar>
              <w:top w:w="50" w:type="dxa"/>
              <w:bottom w:w="50" w:type="dxa"/>
              <w:start w:w="60" w:type="dxa"/>
              <w:end w:w="60" w:type="dxa"/>
            </w:tcMar>
            <w:shd w:fill="EDF4FA"/>
          </w:tcPr>
          <w:p>
            <w:pPr>
              <w:pStyle w:val="TableText"/>
            </w:pPr>
            <w:r/>
            <w:r>
              <w:rPr>
                <w:b w:val="0"/>
              </w:rPr>
              <w:t>Local applicability</w:t>
            </w:r>
          </w:p>
        </w:tc>
        <w:tc>
          <w:tcPr>
            <w:tcW w:type="dxa" w:w="8136"/>
            <w:vAlign w:val="center"/>
            <w:tcMar>
              <w:top w:w="50" w:type="dxa"/>
              <w:bottom w:w="50" w:type="dxa"/>
              <w:start w:w="60" w:type="dxa"/>
              <w:end w:w="60" w:type="dxa"/>
            </w:tcMar>
            <w:shd w:fill="EDF4FA"/>
          </w:tcPr>
          <w:p>
            <w:pPr>
              <w:pStyle w:val="TableText"/>
            </w:pPr>
            <w:r/>
            <w:r>
              <w:rPr>
                <w:b w:val="0"/>
              </w:rPr>
              <w:t>Document whether evidence applies to a lying-in clinic, and avoid extending the system beyond facility capability.</w:t>
            </w:r>
          </w:p>
        </w:tc>
      </w:tr>
    </w:tbl>
    <w:p>
      <w:pPr>
        <w:spacing w:after="20"/>
      </w:pPr>
    </w:p>
    <w:tbl>
      <w:tblPr>
        <w:tblW w:type="auto" w:w="0"/>
        <w:tblLook w:firstColumn="1" w:firstRow="1" w:lastColumn="0" w:lastRow="0" w:noHBand="0" w:noVBand="1" w:val="04A0"/>
      </w:tblPr>
      <w:tblGrid>
        <w:gridCol w:w="10282"/>
      </w:tblGrid>
      <w:tr>
        <w:tc>
          <w:tcPr>
            <w:tcW w:type="dxa" w:w="10282"/>
            <w:shd w:fill="FCE4D6"/>
            <w:tcMar>
              <w:top w:w="90" w:type="dxa"/>
              <w:bottom w:w="90" w:type="dxa"/>
              <w:start w:w="100" w:type="dxa"/>
              <w:end w:w="100" w:type="dxa"/>
            </w:tcMar>
            <w:tcBorders>
              <w:top w:val="single" w:sz="8" w:color="C00000"/>
              <w:left w:val="single" w:sz="8" w:color="C00000"/>
              <w:bottom w:val="single" w:sz="8" w:color="C00000"/>
              <w:right w:val="single" w:sz="8" w:color="C00000"/>
            </w:tcBorders>
          </w:tcPr>
          <w:p>
            <w:pPr>
              <w:pStyle w:val="Callout"/>
            </w:pPr>
            <w:r/>
            <w:r>
              <w:rPr>
                <w:b/>
                <w:color w:val="C00000"/>
              </w:rPr>
              <w:t>No silent normalization</w:t>
              <w:br/>
            </w:r>
            <w:r>
              <w:t>Changing labels such as “Abnormal” to “Weak,” adjusting capitalization, or mapping null to “Normal” can change the rule engine. Vocabulary changes therefore require explicit mapping tests and historical compatibility review.</w:t>
            </w:r>
          </w:p>
        </w:tc>
      </w:tr>
    </w:tbl>
    <w:p>
      <w:pPr>
        <w:spacing w:after="20"/>
      </w:pPr>
    </w:p>
    <w:p>
      <w:pPr>
        <w:pStyle w:val="Heading1"/>
      </w:pPr>
      <w:r>
        <w:t>8. Machine Learning Model Lifecycle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1944"/>
            <w:vAlign w:val="center"/>
            <w:tcMar>
              <w:top w:w="50" w:type="dxa"/>
              <w:bottom w:w="50" w:type="dxa"/>
              <w:start w:w="60" w:type="dxa"/>
              <w:end w:w="60" w:type="dxa"/>
            </w:tcMar>
            <w:shd w:fill="17365D"/>
          </w:tcPr>
          <w:p>
            <w:pPr>
              <w:pStyle w:val="TableHeader"/>
            </w:pPr>
            <w:r/>
            <w:r>
              <w:rPr>
                <w:b/>
                <w:color w:val="FFFFFF"/>
              </w:rPr>
              <w:t>Stage</w:t>
            </w:r>
          </w:p>
        </w:tc>
        <w:tc>
          <w:tcPr>
            <w:tcW w:type="dxa" w:w="8568"/>
            <w:vAlign w:val="center"/>
            <w:tcMar>
              <w:top w:w="50" w:type="dxa"/>
              <w:bottom w:w="50" w:type="dxa"/>
              <w:start w:w="60" w:type="dxa"/>
              <w:end w:w="60" w:type="dxa"/>
            </w:tcMar>
            <w:shd w:fill="17365D"/>
          </w:tcPr>
          <w:p>
            <w:pPr>
              <w:pStyle w:val="TableHeader"/>
            </w:pPr>
            <w:r/>
            <w:r>
              <w:rPr>
                <w:b/>
                <w:color w:val="FFFFFF"/>
              </w:rPr>
              <w:t>Required controls</w:t>
            </w:r>
          </w:p>
        </w:tc>
      </w:tr>
      <w:tr>
        <w:trPr>
          <w:cantSplit/>
        </w:trPr>
        <w:tc>
          <w:tcPr>
            <w:tcW w:type="dxa" w:w="1944"/>
            <w:vAlign w:val="center"/>
            <w:tcMar>
              <w:top w:w="50" w:type="dxa"/>
              <w:bottom w:w="50" w:type="dxa"/>
              <w:start w:w="60" w:type="dxa"/>
              <w:end w:w="60" w:type="dxa"/>
            </w:tcMar>
          </w:tcPr>
          <w:p>
            <w:pPr>
              <w:pStyle w:val="TableText"/>
            </w:pPr>
            <w:r/>
            <w:r>
              <w:rPr>
                <w:b w:val="0"/>
              </w:rPr>
              <w:t>Monitor</w:t>
            </w:r>
          </w:p>
        </w:tc>
        <w:tc>
          <w:tcPr>
            <w:tcW w:type="dxa" w:w="8568"/>
            <w:vAlign w:val="center"/>
            <w:tcMar>
              <w:top w:w="50" w:type="dxa"/>
              <w:bottom w:w="50" w:type="dxa"/>
              <w:start w:w="60" w:type="dxa"/>
              <w:end w:w="60" w:type="dxa"/>
            </w:tcMar>
          </w:tcPr>
          <w:p>
            <w:pPr>
              <w:pStyle w:val="TableText"/>
            </w:pPr>
            <w:r/>
            <w:r>
              <w:rPr>
                <w:b w:val="0"/>
              </w:rPr>
              <w:t>Track execution failures, invalid outputs, feature missingness, category frequency, input-range shifts, HIGH/LOW distribution and discrepancy with rules.</w:t>
            </w:r>
          </w:p>
        </w:tc>
      </w:tr>
      <w:tr>
        <w:trPr>
          <w:cantSplit/>
        </w:trPr>
        <w:tc>
          <w:tcPr>
            <w:tcW w:type="dxa" w:w="1944"/>
            <w:vAlign w:val="center"/>
            <w:tcMar>
              <w:top w:w="50" w:type="dxa"/>
              <w:bottom w:w="50" w:type="dxa"/>
              <w:start w:w="60" w:type="dxa"/>
              <w:end w:w="60" w:type="dxa"/>
            </w:tcMar>
            <w:shd w:fill="EDF4FA"/>
          </w:tcPr>
          <w:p>
            <w:pPr>
              <w:pStyle w:val="TableText"/>
            </w:pPr>
            <w:r/>
            <w:r>
              <w:rPr>
                <w:b w:val="0"/>
              </w:rPr>
              <w:t>Trigger review</w:t>
            </w:r>
          </w:p>
        </w:tc>
        <w:tc>
          <w:tcPr>
            <w:tcW w:type="dxa" w:w="8568"/>
            <w:vAlign w:val="center"/>
            <w:tcMar>
              <w:top w:w="50" w:type="dxa"/>
              <w:bottom w:w="50" w:type="dxa"/>
              <w:start w:w="60" w:type="dxa"/>
              <w:end w:w="60" w:type="dxa"/>
            </w:tcMar>
            <w:shd w:fill="EDF4FA"/>
          </w:tcPr>
          <w:p>
            <w:pPr>
              <w:pStyle w:val="TableText"/>
            </w:pPr>
            <w:r/>
            <w:r>
              <w:rPr>
                <w:b w:val="0"/>
              </w:rPr>
              <w:t>Predetermined drift threshold, new population, revised labels, feature contract change, repeated incidents, poor subgroup behavior or dependency change.</w:t>
            </w:r>
          </w:p>
        </w:tc>
      </w:tr>
      <w:tr>
        <w:trPr>
          <w:cantSplit/>
        </w:trPr>
        <w:tc>
          <w:tcPr>
            <w:tcW w:type="dxa" w:w="1944"/>
            <w:vAlign w:val="center"/>
            <w:tcMar>
              <w:top w:w="50" w:type="dxa"/>
              <w:bottom w:w="50" w:type="dxa"/>
              <w:start w:w="60" w:type="dxa"/>
              <w:end w:w="60" w:type="dxa"/>
            </w:tcMar>
          </w:tcPr>
          <w:p>
            <w:pPr>
              <w:pStyle w:val="TableText"/>
            </w:pPr>
            <w:r/>
            <w:r>
              <w:rPr>
                <w:b w:val="0"/>
              </w:rPr>
              <w:t>Prepare data</w:t>
            </w:r>
          </w:p>
        </w:tc>
        <w:tc>
          <w:tcPr>
            <w:tcW w:type="dxa" w:w="8568"/>
            <w:vAlign w:val="center"/>
            <w:tcMar>
              <w:top w:w="50" w:type="dxa"/>
              <w:bottom w:w="50" w:type="dxa"/>
              <w:start w:w="60" w:type="dxa"/>
              <w:end w:w="60" w:type="dxa"/>
            </w:tcMar>
          </w:tcPr>
          <w:p>
            <w:pPr>
              <w:pStyle w:val="TableText"/>
            </w:pPr>
            <w:r/>
            <w:r>
              <w:rPr>
                <w:b w:val="0"/>
              </w:rPr>
              <w:t>Preserve provenance, episode/patient separation, label definition, inclusion/exclusion, missingness, duplicates, class balance and privacy authority.</w:t>
            </w:r>
          </w:p>
        </w:tc>
      </w:tr>
      <w:tr>
        <w:trPr>
          <w:cantSplit/>
        </w:trPr>
        <w:tc>
          <w:tcPr>
            <w:tcW w:type="dxa" w:w="1944"/>
            <w:vAlign w:val="center"/>
            <w:tcMar>
              <w:top w:w="50" w:type="dxa"/>
              <w:bottom w:w="50" w:type="dxa"/>
              <w:start w:w="60" w:type="dxa"/>
              <w:end w:w="60" w:type="dxa"/>
            </w:tcMar>
            <w:shd w:fill="EDF4FA"/>
          </w:tcPr>
          <w:p>
            <w:pPr>
              <w:pStyle w:val="TableText"/>
            </w:pPr>
            <w:r/>
            <w:r>
              <w:rPr>
                <w:b w:val="0"/>
              </w:rPr>
              <w:t>Develop candidate</w:t>
            </w:r>
          </w:p>
        </w:tc>
        <w:tc>
          <w:tcPr>
            <w:tcW w:type="dxa" w:w="8568"/>
            <w:vAlign w:val="center"/>
            <w:tcMar>
              <w:top w:w="50" w:type="dxa"/>
              <w:bottom w:w="50" w:type="dxa"/>
              <w:start w:w="60" w:type="dxa"/>
              <w:end w:w="60" w:type="dxa"/>
            </w:tcMar>
            <w:shd w:fill="EDF4FA"/>
          </w:tcPr>
          <w:p>
            <w:pPr>
              <w:pStyle w:val="TableText"/>
            </w:pPr>
            <w:r/>
            <w:r>
              <w:rPr>
                <w:b w:val="0"/>
              </w:rPr>
              <w:t>Version code, data snapshot, seed, package lock, preprocessing, feature order, model parameters and model hash.</w:t>
            </w:r>
          </w:p>
        </w:tc>
      </w:tr>
      <w:tr>
        <w:trPr>
          <w:cantSplit/>
        </w:trPr>
        <w:tc>
          <w:tcPr>
            <w:tcW w:type="dxa" w:w="1944"/>
            <w:vAlign w:val="center"/>
            <w:tcMar>
              <w:top w:w="50" w:type="dxa"/>
              <w:bottom w:w="50" w:type="dxa"/>
              <w:start w:w="60" w:type="dxa"/>
              <w:end w:w="60" w:type="dxa"/>
            </w:tcMar>
          </w:tcPr>
          <w:p>
            <w:pPr>
              <w:pStyle w:val="TableText"/>
            </w:pPr>
            <w:r/>
            <w:r>
              <w:rPr>
                <w:b w:val="0"/>
              </w:rPr>
              <w:t>Evaluate</w:t>
            </w:r>
          </w:p>
        </w:tc>
        <w:tc>
          <w:tcPr>
            <w:tcW w:type="dxa" w:w="8568"/>
            <w:vAlign w:val="center"/>
            <w:tcMar>
              <w:top w:w="50" w:type="dxa"/>
              <w:bottom w:w="50" w:type="dxa"/>
              <w:start w:w="60" w:type="dxa"/>
              <w:end w:w="60" w:type="dxa"/>
            </w:tcMar>
          </w:tcPr>
          <w:p>
            <w:pPr>
              <w:pStyle w:val="TableText"/>
            </w:pPr>
            <w:r/>
            <w:r>
              <w:rPr>
                <w:b w:val="0"/>
              </w:rPr>
              <w:t>Use held-out evidence, clinically relevant error analysis, sensitivity for HIGH, subgroup review, robustness and comparison with current model.</w:t>
            </w:r>
          </w:p>
        </w:tc>
      </w:tr>
      <w:tr>
        <w:trPr>
          <w:cantSplit/>
        </w:trPr>
        <w:tc>
          <w:tcPr>
            <w:tcW w:type="dxa" w:w="1944"/>
            <w:vAlign w:val="center"/>
            <w:tcMar>
              <w:top w:w="50" w:type="dxa"/>
              <w:bottom w:w="50" w:type="dxa"/>
              <w:start w:w="60" w:type="dxa"/>
              <w:end w:w="60" w:type="dxa"/>
            </w:tcMar>
            <w:shd w:fill="EDF4FA"/>
          </w:tcPr>
          <w:p>
            <w:pPr>
              <w:pStyle w:val="TableText"/>
            </w:pPr>
            <w:r/>
            <w:r>
              <w:rPr>
                <w:b w:val="0"/>
              </w:rPr>
              <w:t>Approve</w:t>
            </w:r>
          </w:p>
        </w:tc>
        <w:tc>
          <w:tcPr>
            <w:tcW w:type="dxa" w:w="8568"/>
            <w:vAlign w:val="center"/>
            <w:tcMar>
              <w:top w:w="50" w:type="dxa"/>
              <w:bottom w:w="50" w:type="dxa"/>
              <w:start w:w="60" w:type="dxa"/>
              <w:end w:w="60" w:type="dxa"/>
            </w:tcMar>
            <w:shd w:fill="EDF4FA"/>
          </w:tcPr>
          <w:p>
            <w:pPr>
              <w:pStyle w:val="TableText"/>
            </w:pPr>
            <w:r/>
            <w:r>
              <w:rPr>
                <w:b w:val="0"/>
              </w:rPr>
              <w:t>Document benefit, residual risk, clinical and technical review, compatibility with deterministic precedence and explainability.</w:t>
            </w:r>
          </w:p>
        </w:tc>
      </w:tr>
      <w:tr>
        <w:trPr>
          <w:cantSplit/>
        </w:trPr>
        <w:tc>
          <w:tcPr>
            <w:tcW w:type="dxa" w:w="1944"/>
            <w:vAlign w:val="center"/>
            <w:tcMar>
              <w:top w:w="50" w:type="dxa"/>
              <w:bottom w:w="50" w:type="dxa"/>
              <w:start w:w="60" w:type="dxa"/>
              <w:end w:w="60" w:type="dxa"/>
            </w:tcMar>
          </w:tcPr>
          <w:p>
            <w:pPr>
              <w:pStyle w:val="TableText"/>
            </w:pPr>
            <w:r/>
            <w:r>
              <w:rPr>
                <w:b w:val="0"/>
              </w:rPr>
              <w:t>Deploy</w:t>
            </w:r>
          </w:p>
        </w:tc>
        <w:tc>
          <w:tcPr>
            <w:tcW w:type="dxa" w:w="8568"/>
            <w:vAlign w:val="center"/>
            <w:tcMar>
              <w:top w:w="50" w:type="dxa"/>
              <w:bottom w:w="50" w:type="dxa"/>
              <w:start w:w="60" w:type="dxa"/>
              <w:end w:w="60" w:type="dxa"/>
            </w:tcMar>
          </w:tcPr>
          <w:p>
            <w:pPr>
              <w:pStyle w:val="TableText"/>
            </w:pPr>
            <w:r/>
            <w:r>
              <w:rPr>
                <w:b w:val="0"/>
              </w:rPr>
              <w:t>Use immutable artifact, checksum verification, staged release, parallel/shadow evaluation where feasible and rollback to prior model.</w:t>
            </w:r>
          </w:p>
        </w:tc>
      </w:tr>
      <w:tr>
        <w:trPr>
          <w:cantSplit/>
        </w:trPr>
        <w:tc>
          <w:tcPr>
            <w:tcW w:type="dxa" w:w="1944"/>
            <w:vAlign w:val="center"/>
            <w:tcMar>
              <w:top w:w="50" w:type="dxa"/>
              <w:bottom w:w="50" w:type="dxa"/>
              <w:start w:w="60" w:type="dxa"/>
              <w:end w:w="60" w:type="dxa"/>
            </w:tcMar>
            <w:shd w:fill="EDF4FA"/>
          </w:tcPr>
          <w:p>
            <w:pPr>
              <w:pStyle w:val="TableText"/>
            </w:pPr>
            <w:r/>
            <w:r>
              <w:rPr>
                <w:b w:val="0"/>
              </w:rPr>
              <w:t>Retire</w:t>
            </w:r>
          </w:p>
        </w:tc>
        <w:tc>
          <w:tcPr>
            <w:tcW w:type="dxa" w:w="8568"/>
            <w:vAlign w:val="center"/>
            <w:tcMar>
              <w:top w:w="50" w:type="dxa"/>
              <w:bottom w:w="50" w:type="dxa"/>
              <w:start w:w="60" w:type="dxa"/>
              <w:end w:w="60" w:type="dxa"/>
            </w:tcMar>
            <w:shd w:fill="EDF4FA"/>
          </w:tcPr>
          <w:p>
            <w:pPr>
              <w:pStyle w:val="TableText"/>
            </w:pPr>
            <w:r/>
            <w:r>
              <w:rPr>
                <w:b w:val="0"/>
              </w:rPr>
              <w:t>Stop new use, preserve artifact and metadata for historical reconstruction, document reason and effective time.</w:t>
            </w:r>
          </w:p>
        </w:tc>
      </w:tr>
    </w:tbl>
    <w:p>
      <w:pPr>
        <w:spacing w:after="20"/>
      </w:pPr>
    </w:p>
    <w:p>
      <w:pPr>
        <w:pStyle w:val="ListBullet"/>
        <w:spacing w:after="30"/>
      </w:pPr>
      <w:r>
        <w:t>The system shall not learn automatically from live patient records.</w:t>
      </w:r>
    </w:p>
    <w:p>
      <w:pPr>
        <w:pStyle w:val="ListBullet"/>
        <w:spacing w:after="30"/>
      </w:pPr>
      <w:r>
        <w:t>Retraining shall not be scheduled merely because time passed; it must be justified by evidence and approved triggers.</w:t>
      </w:r>
    </w:p>
    <w:p>
      <w:pPr>
        <w:pStyle w:val="ListBullet"/>
        <w:spacing w:after="30"/>
      </w:pPr>
      <w:r>
        <w:t>A higher accuracy value alone is insufficient if the candidate increases clinically important false negatives, worsens equity, or weakens explainability.</w:t>
      </w:r>
    </w:p>
    <w:p>
      <w:pPr>
        <w:pStyle w:val="ListBullet"/>
        <w:spacing w:after="30"/>
      </w:pPr>
      <w:r>
        <w:t>A feature-schema change is an interface change between Laravel and Python and must be tested end to end.</w:t>
      </w:r>
    </w:p>
    <w:p>
      <w:pPr>
        <w:pStyle w:val="ListBullet"/>
        <w:spacing w:after="30"/>
      </w:pPr>
      <w:r>
        <w:t>If the model is unavailable or invalid, the application shall record the failure and preserve the safe incomplete/high precedence behavior.</w:t>
      </w:r>
    </w:p>
    <w:p>
      <w:pPr>
        <w:pStyle w:val="Heading1"/>
      </w:pPr>
      <w:r>
        <w:t>9. Software, Dependency, and Infrastructure Maintenance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448"/>
            <w:vAlign w:val="center"/>
            <w:tcMar>
              <w:top w:w="50" w:type="dxa"/>
              <w:bottom w:w="50" w:type="dxa"/>
              <w:start w:w="60" w:type="dxa"/>
              <w:end w:w="60" w:type="dxa"/>
            </w:tcMar>
            <w:shd w:fill="17365D"/>
          </w:tcPr>
          <w:p>
            <w:pPr>
              <w:pStyle w:val="TableHeader"/>
            </w:pPr>
            <w:r/>
            <w:r>
              <w:rPr>
                <w:b/>
                <w:color w:val="FFFFFF"/>
              </w:rPr>
              <w:t>Asset</w:t>
            </w:r>
          </w:p>
        </w:tc>
        <w:tc>
          <w:tcPr>
            <w:tcW w:type="dxa" w:w="8064"/>
            <w:vAlign w:val="center"/>
            <w:tcMar>
              <w:top w:w="50" w:type="dxa"/>
              <w:bottom w:w="50" w:type="dxa"/>
              <w:start w:w="60" w:type="dxa"/>
              <w:end w:w="60" w:type="dxa"/>
            </w:tcMar>
            <w:shd w:fill="17365D"/>
          </w:tcPr>
          <w:p>
            <w:pPr>
              <w:pStyle w:val="TableHeader"/>
            </w:pPr>
            <w:r/>
            <w:r>
              <w:rPr>
                <w:b/>
                <w:color w:val="FFFFFF"/>
              </w:rPr>
              <w:t>Maintenance approach</w:t>
            </w:r>
          </w:p>
        </w:tc>
      </w:tr>
      <w:tr>
        <w:trPr>
          <w:cantSplit/>
        </w:trPr>
        <w:tc>
          <w:tcPr>
            <w:tcW w:type="dxa" w:w="2448"/>
            <w:vAlign w:val="center"/>
            <w:tcMar>
              <w:top w:w="50" w:type="dxa"/>
              <w:bottom w:w="50" w:type="dxa"/>
              <w:start w:w="60" w:type="dxa"/>
              <w:end w:w="60" w:type="dxa"/>
            </w:tcMar>
          </w:tcPr>
          <w:p>
            <w:pPr>
              <w:pStyle w:val="TableText"/>
            </w:pPr>
            <w:r/>
            <w:r>
              <w:rPr>
                <w:b w:val="0"/>
              </w:rPr>
              <w:t>Laravel/PHP</w:t>
            </w:r>
          </w:p>
        </w:tc>
        <w:tc>
          <w:tcPr>
            <w:tcW w:type="dxa" w:w="8064"/>
            <w:vAlign w:val="center"/>
            <w:tcMar>
              <w:top w:w="50" w:type="dxa"/>
              <w:bottom w:w="50" w:type="dxa"/>
              <w:start w:w="60" w:type="dxa"/>
              <w:end w:w="60" w:type="dxa"/>
            </w:tcMar>
          </w:tcPr>
          <w:p>
            <w:pPr>
              <w:pStyle w:val="TableText"/>
            </w:pPr>
            <w:r/>
            <w:r>
              <w:rPr>
                <w:b w:val="0"/>
              </w:rPr>
              <w:t>Track supported versions, framework advisories, composer.lock, deprecations, tests, configuration cache and rollback compatibility.</w:t>
            </w:r>
          </w:p>
        </w:tc>
      </w:tr>
      <w:tr>
        <w:trPr>
          <w:cantSplit/>
        </w:trPr>
        <w:tc>
          <w:tcPr>
            <w:tcW w:type="dxa" w:w="2448"/>
            <w:vAlign w:val="center"/>
            <w:tcMar>
              <w:top w:w="50" w:type="dxa"/>
              <w:bottom w:w="50" w:type="dxa"/>
              <w:start w:w="60" w:type="dxa"/>
              <w:end w:w="60" w:type="dxa"/>
            </w:tcMar>
            <w:shd w:fill="EDF4FA"/>
          </w:tcPr>
          <w:p>
            <w:pPr>
              <w:pStyle w:val="TableText"/>
            </w:pPr>
            <w:r/>
            <w:r>
              <w:rPr>
                <w:b w:val="0"/>
              </w:rPr>
              <w:t>Python</w:t>
            </w:r>
          </w:p>
        </w:tc>
        <w:tc>
          <w:tcPr>
            <w:tcW w:type="dxa" w:w="8064"/>
            <w:vAlign w:val="center"/>
            <w:tcMar>
              <w:top w:w="50" w:type="dxa"/>
              <w:bottom w:w="50" w:type="dxa"/>
              <w:start w:w="60" w:type="dxa"/>
              <w:end w:w="60" w:type="dxa"/>
            </w:tcMar>
            <w:shd w:fill="EDF4FA"/>
          </w:tcPr>
          <w:p>
            <w:pPr>
              <w:pStyle w:val="TableText"/>
            </w:pPr>
            <w:r/>
            <w:r>
              <w:rPr>
                <w:b w:val="0"/>
              </w:rPr>
              <w:t>Pin interpreter and package versions; use isolated environment; test serialization compatibility and numerical behavior.</w:t>
            </w:r>
          </w:p>
        </w:tc>
      </w:tr>
      <w:tr>
        <w:trPr>
          <w:cantSplit/>
        </w:trPr>
        <w:tc>
          <w:tcPr>
            <w:tcW w:type="dxa" w:w="2448"/>
            <w:vAlign w:val="center"/>
            <w:tcMar>
              <w:top w:w="50" w:type="dxa"/>
              <w:bottom w:w="50" w:type="dxa"/>
              <w:start w:w="60" w:type="dxa"/>
              <w:end w:w="60" w:type="dxa"/>
            </w:tcMar>
          </w:tcPr>
          <w:p>
            <w:pPr>
              <w:pStyle w:val="TableText"/>
            </w:pPr>
            <w:r/>
            <w:r>
              <w:rPr>
                <w:b w:val="0"/>
              </w:rPr>
              <w:t>MySQL/database</w:t>
            </w:r>
          </w:p>
        </w:tc>
        <w:tc>
          <w:tcPr>
            <w:tcW w:type="dxa" w:w="8064"/>
            <w:vAlign w:val="center"/>
            <w:tcMar>
              <w:top w:w="50" w:type="dxa"/>
              <w:bottom w:w="50" w:type="dxa"/>
              <w:start w:w="60" w:type="dxa"/>
              <w:end w:w="60" w:type="dxa"/>
            </w:tcMar>
          </w:tcPr>
          <w:p>
            <w:pPr>
              <w:pStyle w:val="TableText"/>
            </w:pPr>
            <w:r/>
            <w:r>
              <w:rPr>
                <w:b w:val="0"/>
              </w:rPr>
              <w:t>Review support lifecycle, backups, indexes, constraints, migration reversibility, charset/timezone and restore tests.</w:t>
            </w:r>
          </w:p>
        </w:tc>
      </w:tr>
      <w:tr>
        <w:trPr>
          <w:cantSplit/>
        </w:trPr>
        <w:tc>
          <w:tcPr>
            <w:tcW w:type="dxa" w:w="2448"/>
            <w:vAlign w:val="center"/>
            <w:tcMar>
              <w:top w:w="50" w:type="dxa"/>
              <w:bottom w:w="50" w:type="dxa"/>
              <w:start w:w="60" w:type="dxa"/>
              <w:end w:w="60" w:type="dxa"/>
            </w:tcMar>
            <w:shd w:fill="EDF4FA"/>
          </w:tcPr>
          <w:p>
            <w:pPr>
              <w:pStyle w:val="TableText"/>
            </w:pPr>
            <w:r/>
            <w:r>
              <w:rPr>
                <w:b w:val="0"/>
              </w:rPr>
              <w:t>JavaScript/CSS/build tools</w:t>
            </w:r>
          </w:p>
        </w:tc>
        <w:tc>
          <w:tcPr>
            <w:tcW w:type="dxa" w:w="8064"/>
            <w:vAlign w:val="center"/>
            <w:tcMar>
              <w:top w:w="50" w:type="dxa"/>
              <w:bottom w:w="50" w:type="dxa"/>
              <w:start w:w="60" w:type="dxa"/>
              <w:end w:w="60" w:type="dxa"/>
            </w:tcMar>
            <w:shd w:fill="EDF4FA"/>
          </w:tcPr>
          <w:p>
            <w:pPr>
              <w:pStyle w:val="TableText"/>
            </w:pPr>
            <w:r/>
            <w:r>
              <w:rPr>
                <w:b w:val="0"/>
              </w:rPr>
              <w:t>Remove unused dependencies, audit advisories, lock versions and verify no UI behavior obscures risk state or alerts.</w:t>
            </w:r>
          </w:p>
        </w:tc>
      </w:tr>
      <w:tr>
        <w:trPr>
          <w:cantSplit/>
        </w:trPr>
        <w:tc>
          <w:tcPr>
            <w:tcW w:type="dxa" w:w="2448"/>
            <w:vAlign w:val="center"/>
            <w:tcMar>
              <w:top w:w="50" w:type="dxa"/>
              <w:bottom w:w="50" w:type="dxa"/>
              <w:start w:w="60" w:type="dxa"/>
              <w:end w:w="60" w:type="dxa"/>
            </w:tcMar>
          </w:tcPr>
          <w:p>
            <w:pPr>
              <w:pStyle w:val="TableText"/>
            </w:pPr>
            <w:r/>
            <w:r>
              <w:rPr>
                <w:b w:val="0"/>
              </w:rPr>
              <w:t>Operating system/web server</w:t>
            </w:r>
          </w:p>
        </w:tc>
        <w:tc>
          <w:tcPr>
            <w:tcW w:type="dxa" w:w="8064"/>
            <w:vAlign w:val="center"/>
            <w:tcMar>
              <w:top w:w="50" w:type="dxa"/>
              <w:bottom w:w="50" w:type="dxa"/>
              <w:start w:w="60" w:type="dxa"/>
              <w:end w:w="60" w:type="dxa"/>
            </w:tcMar>
          </w:tcPr>
          <w:p>
            <w:pPr>
              <w:pStyle w:val="TableText"/>
            </w:pPr>
            <w:r/>
            <w:r>
              <w:rPr>
                <w:b w:val="0"/>
              </w:rPr>
              <w:t>Apply controlled security patches, least privilege, time synchronization, logging, TLS and resource monitoring.</w:t>
            </w:r>
          </w:p>
        </w:tc>
      </w:tr>
      <w:tr>
        <w:trPr>
          <w:cantSplit/>
        </w:trPr>
        <w:tc>
          <w:tcPr>
            <w:tcW w:type="dxa" w:w="2448"/>
            <w:vAlign w:val="center"/>
            <w:tcMar>
              <w:top w:w="50" w:type="dxa"/>
              <w:bottom w:w="50" w:type="dxa"/>
              <w:start w:w="60" w:type="dxa"/>
              <w:end w:w="60" w:type="dxa"/>
            </w:tcMar>
            <w:shd w:fill="EDF4FA"/>
          </w:tcPr>
          <w:p>
            <w:pPr>
              <w:pStyle w:val="TableText"/>
            </w:pPr>
            <w:r/>
            <w:r>
              <w:rPr>
                <w:b w:val="0"/>
              </w:rPr>
              <w:t>Email/queue</w:t>
            </w:r>
          </w:p>
        </w:tc>
        <w:tc>
          <w:tcPr>
            <w:tcW w:type="dxa" w:w="8064"/>
            <w:vAlign w:val="center"/>
            <w:tcMar>
              <w:top w:w="50" w:type="dxa"/>
              <w:bottom w:w="50" w:type="dxa"/>
              <w:start w:w="60" w:type="dxa"/>
              <w:end w:w="60" w:type="dxa"/>
            </w:tcMar>
            <w:shd w:fill="EDF4FA"/>
          </w:tcPr>
          <w:p>
            <w:pPr>
              <w:pStyle w:val="TableText"/>
            </w:pPr>
            <w:r/>
            <w:r>
              <w:rPr>
                <w:b w:val="0"/>
              </w:rPr>
              <w:t>Monitor failed jobs, provider changes, credential expiry, retry policy and prevent email failure from changing clinical state.</w:t>
            </w:r>
          </w:p>
        </w:tc>
      </w:tr>
      <w:tr>
        <w:trPr>
          <w:cantSplit/>
        </w:trPr>
        <w:tc>
          <w:tcPr>
            <w:tcW w:type="dxa" w:w="2448"/>
            <w:vAlign w:val="center"/>
            <w:tcMar>
              <w:top w:w="50" w:type="dxa"/>
              <w:bottom w:w="50" w:type="dxa"/>
              <w:start w:w="60" w:type="dxa"/>
              <w:end w:w="60" w:type="dxa"/>
            </w:tcMar>
          </w:tcPr>
          <w:p>
            <w:pPr>
              <w:pStyle w:val="TableText"/>
            </w:pPr>
            <w:r/>
            <w:r>
              <w:rPr>
                <w:b w:val="0"/>
              </w:rPr>
              <w:t>Secrets and credentials</w:t>
            </w:r>
          </w:p>
        </w:tc>
        <w:tc>
          <w:tcPr>
            <w:tcW w:type="dxa" w:w="8064"/>
            <w:vAlign w:val="center"/>
            <w:tcMar>
              <w:top w:w="50" w:type="dxa"/>
              <w:bottom w:w="50" w:type="dxa"/>
              <w:start w:w="60" w:type="dxa"/>
              <w:end w:w="60" w:type="dxa"/>
            </w:tcMar>
          </w:tcPr>
          <w:p>
            <w:pPr>
              <w:pStyle w:val="TableText"/>
            </w:pPr>
            <w:r/>
            <w:r>
              <w:rPr>
                <w:b w:val="0"/>
              </w:rPr>
              <w:t>Store outside source control, rotate on schedule/incident, revoke departed-user access and audit privileged use.</w:t>
            </w:r>
          </w:p>
        </w:tc>
      </w:tr>
      <w:tr>
        <w:trPr>
          <w:cantSplit/>
        </w:trPr>
        <w:tc>
          <w:tcPr>
            <w:tcW w:type="dxa" w:w="2448"/>
            <w:vAlign w:val="center"/>
            <w:tcMar>
              <w:top w:w="50" w:type="dxa"/>
              <w:bottom w:w="50" w:type="dxa"/>
              <w:start w:w="60" w:type="dxa"/>
              <w:end w:w="60" w:type="dxa"/>
            </w:tcMar>
            <w:shd w:fill="EDF4FA"/>
          </w:tcPr>
          <w:p>
            <w:pPr>
              <w:pStyle w:val="TableText"/>
            </w:pPr>
            <w:r/>
            <w:r>
              <w:rPr>
                <w:b w:val="0"/>
              </w:rPr>
              <w:t>Third-party lifecycle</w:t>
            </w:r>
          </w:p>
        </w:tc>
        <w:tc>
          <w:tcPr>
            <w:tcW w:type="dxa" w:w="8064"/>
            <w:vAlign w:val="center"/>
            <w:tcMar>
              <w:top w:w="50" w:type="dxa"/>
              <w:bottom w:w="50" w:type="dxa"/>
              <w:start w:w="60" w:type="dxa"/>
              <w:end w:w="60" w:type="dxa"/>
            </w:tcMar>
            <w:shd w:fill="EDF4FA"/>
          </w:tcPr>
          <w:p>
            <w:pPr>
              <w:pStyle w:val="TableText"/>
            </w:pPr>
            <w:r/>
            <w:r>
              <w:rPr>
                <w:b w:val="0"/>
              </w:rPr>
              <w:t>Maintain inventory, license, owner, version, support status, vulnerability source, replacement plan and end-of-life date.</w:t>
            </w:r>
          </w:p>
        </w:tc>
      </w:tr>
    </w:tbl>
    <w:p>
      <w:pPr>
        <w:spacing w:after="20"/>
      </w:pPr>
    </w:p>
    <w:p>
      <w:pPr>
        <w:pStyle w:val="Heading1"/>
      </w:pPr>
      <w:r>
        <w:t>10. Database Evolution and Historical Integrity</w:t>
      </w:r>
    </w:p>
    <w:p>
      <w:pPr>
        <w:pStyle w:val="ListBullet"/>
        <w:spacing w:after="30"/>
      </w:pPr>
      <w:r>
        <w:t>Every migration shall state preconditions, expected row impact, backup, verification query, rollback or forward-fix strategy, and downtime expectation.</w:t>
      </w:r>
    </w:p>
    <w:p>
      <w:pPr>
        <w:pStyle w:val="ListBullet"/>
        <w:spacing w:after="30"/>
      </w:pPr>
      <w:r>
        <w:t>Clinical fields shall not be dropped or repurposed while historical records depend on their original meaning.</w:t>
      </w:r>
    </w:p>
    <w:p>
      <w:pPr>
        <w:pStyle w:val="ListBullet"/>
        <w:spacing w:after="30"/>
      </w:pPr>
      <w:r>
        <w:t>New pregnancy episodes must remain separated from delivered historical pregnancies; migration shall never merge episodes based only on patient identity.</w:t>
      </w:r>
    </w:p>
    <w:p>
      <w:pPr>
        <w:pStyle w:val="ListBullet"/>
        <w:spacing w:after="30"/>
      </w:pPr>
      <w:r>
        <w:t>Risk outcomes shall be stored with reasons and version identifiers where feasible; recalculation must not silently overwrite the historical result that was shown and acted upon.</w:t>
      </w:r>
    </w:p>
    <w:p>
      <w:pPr>
        <w:pStyle w:val="ListBullet"/>
        <w:spacing w:after="30"/>
      </w:pPr>
      <w:r>
        <w:t>Backfill scripts require the same review as application code and must produce counts, exceptions, reconciliation and an audit record.</w:t>
      </w:r>
    </w:p>
    <w:p>
      <w:pPr>
        <w:pStyle w:val="ListBullet"/>
        <w:spacing w:after="30"/>
      </w:pPr>
      <w:r>
        <w:t>Soft-deleted or archived records shall follow defined retention and access policy; deletion must not destroy required clinical or audit evidence.</w:t>
      </w:r>
    </w:p>
    <w:p>
      <w:pPr>
        <w:pStyle w:val="ListBullet"/>
        <w:spacing w:after="30"/>
      </w:pPr>
      <w:r>
        <w:t>Restore testing shall verify relationships among patient, pregnancy, prenatal visits, medical history, ultrasound, birth plan, referral, baby and audit records.</w:t>
      </w:r>
    </w:p>
    <w:p>
      <w:pPr>
        <w:pStyle w:val="Code"/>
        <w:ind w:left="259" w:right="173"/>
      </w:pPr>
      <w:r>
        <w:t>assessment_snapshot = {</w:t>
        <w:br/>
        <w:t xml:space="preserve">  final_state, rule_factors, urgent_flags, missing_requirements,</w:t>
        <w:br/>
        <w:t xml:space="preserve">  ml_output, ml_validity, rule_version, model_version, feature_schema_version,</w:t>
        <w:br/>
        <w:t xml:space="preserve">  explanation_version, application_release, assessed_at, assessed_by</w:t>
        <w:br/>
        <w:t>}</w:t>
      </w:r>
    </w:p>
    <w:p>
      <w:pPr>
        <w:pStyle w:val="Heading1"/>
      </w:pPr>
      <w:r>
        <w:t>11. Configuration and Environment Control</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304"/>
            <w:vAlign w:val="center"/>
            <w:tcMar>
              <w:top w:w="50" w:type="dxa"/>
              <w:bottom w:w="50" w:type="dxa"/>
              <w:start w:w="60" w:type="dxa"/>
              <w:end w:w="60" w:type="dxa"/>
            </w:tcMar>
            <w:shd w:fill="17365D"/>
          </w:tcPr>
          <w:p>
            <w:pPr>
              <w:pStyle w:val="TableHeader"/>
            </w:pPr>
            <w:r/>
            <w:r>
              <w:rPr>
                <w:b/>
                <w:color w:val="FFFFFF"/>
              </w:rPr>
              <w:t>Configuration domain</w:t>
            </w:r>
          </w:p>
        </w:tc>
        <w:tc>
          <w:tcPr>
            <w:tcW w:type="dxa" w:w="8208"/>
            <w:vAlign w:val="center"/>
            <w:tcMar>
              <w:top w:w="50" w:type="dxa"/>
              <w:bottom w:w="50" w:type="dxa"/>
              <w:start w:w="60" w:type="dxa"/>
              <w:end w:w="60" w:type="dxa"/>
            </w:tcMar>
            <w:shd w:fill="17365D"/>
          </w:tcPr>
          <w:p>
            <w:pPr>
              <w:pStyle w:val="TableHeader"/>
            </w:pPr>
            <w:r/>
            <w:r>
              <w:rPr>
                <w:b/>
                <w:color w:val="FFFFFF"/>
              </w:rPr>
              <w:t>Required protection</w:t>
            </w:r>
          </w:p>
        </w:tc>
      </w:tr>
      <w:tr>
        <w:trPr>
          <w:cantSplit/>
        </w:trPr>
        <w:tc>
          <w:tcPr>
            <w:tcW w:type="dxa" w:w="2304"/>
            <w:vAlign w:val="center"/>
            <w:tcMar>
              <w:top w:w="50" w:type="dxa"/>
              <w:bottom w:w="50" w:type="dxa"/>
              <w:start w:w="60" w:type="dxa"/>
              <w:end w:w="60" w:type="dxa"/>
            </w:tcMar>
          </w:tcPr>
          <w:p>
            <w:pPr>
              <w:pStyle w:val="TableText"/>
            </w:pPr>
            <w:r/>
            <w:r>
              <w:rPr>
                <w:b w:val="0"/>
              </w:rPr>
              <w:t>Environment variables</w:t>
            </w:r>
          </w:p>
        </w:tc>
        <w:tc>
          <w:tcPr>
            <w:tcW w:type="dxa" w:w="8208"/>
            <w:vAlign w:val="center"/>
            <w:tcMar>
              <w:top w:w="50" w:type="dxa"/>
              <w:bottom w:w="50" w:type="dxa"/>
              <w:start w:w="60" w:type="dxa"/>
              <w:end w:w="60" w:type="dxa"/>
            </w:tcMar>
          </w:tcPr>
          <w:p>
            <w:pPr>
              <w:pStyle w:val="TableText"/>
            </w:pPr>
            <w:r/>
            <w:r>
              <w:rPr>
                <w:b w:val="0"/>
              </w:rPr>
              <w:t>Use documented names and validation; never store real secrets in documentation or source control.</w:t>
            </w:r>
          </w:p>
        </w:tc>
      </w:tr>
      <w:tr>
        <w:trPr>
          <w:cantSplit/>
        </w:trPr>
        <w:tc>
          <w:tcPr>
            <w:tcW w:type="dxa" w:w="2304"/>
            <w:vAlign w:val="center"/>
            <w:tcMar>
              <w:top w:w="50" w:type="dxa"/>
              <w:bottom w:w="50" w:type="dxa"/>
              <w:start w:w="60" w:type="dxa"/>
              <w:end w:w="60" w:type="dxa"/>
            </w:tcMar>
            <w:shd w:fill="EDF4FA"/>
          </w:tcPr>
          <w:p>
            <w:pPr>
              <w:pStyle w:val="TableText"/>
            </w:pPr>
            <w:r/>
            <w:r>
              <w:rPr>
                <w:b w:val="0"/>
              </w:rPr>
              <w:t>Python path/model path</w:t>
            </w:r>
          </w:p>
        </w:tc>
        <w:tc>
          <w:tcPr>
            <w:tcW w:type="dxa" w:w="8208"/>
            <w:vAlign w:val="center"/>
            <w:tcMar>
              <w:top w:w="50" w:type="dxa"/>
              <w:bottom w:w="50" w:type="dxa"/>
              <w:start w:w="60" w:type="dxa"/>
              <w:end w:w="60" w:type="dxa"/>
            </w:tcMar>
            <w:shd w:fill="EDF4FA"/>
          </w:tcPr>
          <w:p>
            <w:pPr>
              <w:pStyle w:val="TableText"/>
            </w:pPr>
            <w:r/>
            <w:r>
              <w:rPr>
                <w:b w:val="0"/>
              </w:rPr>
              <w:t>Validate at startup or health check; log safe identifiers, not sensitive paths or command output.</w:t>
            </w:r>
          </w:p>
        </w:tc>
      </w:tr>
      <w:tr>
        <w:trPr>
          <w:cantSplit/>
        </w:trPr>
        <w:tc>
          <w:tcPr>
            <w:tcW w:type="dxa" w:w="2304"/>
            <w:vAlign w:val="center"/>
            <w:tcMar>
              <w:top w:w="50" w:type="dxa"/>
              <w:bottom w:w="50" w:type="dxa"/>
              <w:start w:w="60" w:type="dxa"/>
              <w:end w:w="60" w:type="dxa"/>
            </w:tcMar>
          </w:tcPr>
          <w:p>
            <w:pPr>
              <w:pStyle w:val="TableText"/>
            </w:pPr>
            <w:r/>
            <w:r>
              <w:rPr>
                <w:b w:val="0"/>
              </w:rPr>
              <w:t>Feature flags</w:t>
            </w:r>
          </w:p>
        </w:tc>
        <w:tc>
          <w:tcPr>
            <w:tcW w:type="dxa" w:w="8208"/>
            <w:vAlign w:val="center"/>
            <w:tcMar>
              <w:top w:w="50" w:type="dxa"/>
              <w:bottom w:w="50" w:type="dxa"/>
              <w:start w:w="60" w:type="dxa"/>
              <w:end w:w="60" w:type="dxa"/>
            </w:tcMar>
          </w:tcPr>
          <w:p>
            <w:pPr>
              <w:pStyle w:val="TableText"/>
            </w:pPr>
            <w:r/>
            <w:r>
              <w:rPr>
                <w:b w:val="0"/>
              </w:rPr>
              <w:t>Default to safe state; record enablement by environment, approver, date and rollback.</w:t>
            </w:r>
          </w:p>
        </w:tc>
      </w:tr>
      <w:tr>
        <w:trPr>
          <w:cantSplit/>
        </w:trPr>
        <w:tc>
          <w:tcPr>
            <w:tcW w:type="dxa" w:w="2304"/>
            <w:vAlign w:val="center"/>
            <w:tcMar>
              <w:top w:w="50" w:type="dxa"/>
              <w:bottom w:w="50" w:type="dxa"/>
              <w:start w:w="60" w:type="dxa"/>
              <w:end w:w="60" w:type="dxa"/>
            </w:tcMar>
            <w:shd w:fill="EDF4FA"/>
          </w:tcPr>
          <w:p>
            <w:pPr>
              <w:pStyle w:val="TableText"/>
            </w:pPr>
            <w:r/>
            <w:r>
              <w:rPr>
                <w:b w:val="0"/>
              </w:rPr>
              <w:t>Risk thresholds</w:t>
            </w:r>
          </w:p>
        </w:tc>
        <w:tc>
          <w:tcPr>
            <w:tcW w:type="dxa" w:w="8208"/>
            <w:vAlign w:val="center"/>
            <w:tcMar>
              <w:top w:w="50" w:type="dxa"/>
              <w:bottom w:w="50" w:type="dxa"/>
              <w:start w:w="60" w:type="dxa"/>
              <w:end w:w="60" w:type="dxa"/>
            </w:tcMar>
            <w:shd w:fill="EDF4FA"/>
          </w:tcPr>
          <w:p>
            <w:pPr>
              <w:pStyle w:val="TableText"/>
            </w:pPr>
            <w:r/>
            <w:r>
              <w:rPr>
                <w:b w:val="0"/>
              </w:rPr>
              <w:t>Do not place ungoverned clinical thresholds in editable production settings.</w:t>
            </w:r>
          </w:p>
        </w:tc>
      </w:tr>
      <w:tr>
        <w:trPr>
          <w:cantSplit/>
        </w:trPr>
        <w:tc>
          <w:tcPr>
            <w:tcW w:type="dxa" w:w="2304"/>
            <w:vAlign w:val="center"/>
            <w:tcMar>
              <w:top w:w="50" w:type="dxa"/>
              <w:bottom w:w="50" w:type="dxa"/>
              <w:start w:w="60" w:type="dxa"/>
              <w:end w:w="60" w:type="dxa"/>
            </w:tcMar>
          </w:tcPr>
          <w:p>
            <w:pPr>
              <w:pStyle w:val="TableText"/>
            </w:pPr>
            <w:r/>
            <w:r>
              <w:rPr>
                <w:b w:val="0"/>
              </w:rPr>
              <w:t>Timezone/date</w:t>
            </w:r>
          </w:p>
        </w:tc>
        <w:tc>
          <w:tcPr>
            <w:tcW w:type="dxa" w:w="8208"/>
            <w:vAlign w:val="center"/>
            <w:tcMar>
              <w:top w:w="50" w:type="dxa"/>
              <w:bottom w:w="50" w:type="dxa"/>
              <w:start w:w="60" w:type="dxa"/>
              <w:end w:w="60" w:type="dxa"/>
            </w:tcMar>
          </w:tcPr>
          <w:p>
            <w:pPr>
              <w:pStyle w:val="TableText"/>
            </w:pPr>
            <w:r/>
            <w:r>
              <w:rPr>
                <w:b w:val="0"/>
              </w:rPr>
              <w:t>Use defined clinic timezone; test LMP/EDD, visit date, delivery date and audit timestamp consistency.</w:t>
            </w:r>
          </w:p>
        </w:tc>
      </w:tr>
      <w:tr>
        <w:trPr>
          <w:cantSplit/>
        </w:trPr>
        <w:tc>
          <w:tcPr>
            <w:tcW w:type="dxa" w:w="2304"/>
            <w:vAlign w:val="center"/>
            <w:tcMar>
              <w:top w:w="50" w:type="dxa"/>
              <w:bottom w:w="50" w:type="dxa"/>
              <w:start w:w="60" w:type="dxa"/>
              <w:end w:w="60" w:type="dxa"/>
            </w:tcMar>
            <w:shd w:fill="EDF4FA"/>
          </w:tcPr>
          <w:p>
            <w:pPr>
              <w:pStyle w:val="TableText"/>
            </w:pPr>
            <w:r/>
            <w:r>
              <w:rPr>
                <w:b w:val="0"/>
              </w:rPr>
              <w:t>Logging</w:t>
            </w:r>
          </w:p>
        </w:tc>
        <w:tc>
          <w:tcPr>
            <w:tcW w:type="dxa" w:w="8208"/>
            <w:vAlign w:val="center"/>
            <w:tcMar>
              <w:top w:w="50" w:type="dxa"/>
              <w:bottom w:w="50" w:type="dxa"/>
              <w:start w:w="60" w:type="dxa"/>
              <w:end w:w="60" w:type="dxa"/>
            </w:tcMar>
            <w:shd w:fill="EDF4FA"/>
          </w:tcPr>
          <w:p>
            <w:pPr>
              <w:pStyle w:val="TableText"/>
            </w:pPr>
            <w:r/>
            <w:r>
              <w:rPr>
                <w:b w:val="0"/>
              </w:rPr>
              <w:t>Set retention and access; exclude passwords, session tokens and unnecessary clinical details.</w:t>
            </w:r>
          </w:p>
        </w:tc>
      </w:tr>
      <w:tr>
        <w:trPr>
          <w:cantSplit/>
        </w:trPr>
        <w:tc>
          <w:tcPr>
            <w:tcW w:type="dxa" w:w="2304"/>
            <w:vAlign w:val="center"/>
            <w:tcMar>
              <w:top w:w="50" w:type="dxa"/>
              <w:bottom w:w="50" w:type="dxa"/>
              <w:start w:w="60" w:type="dxa"/>
              <w:end w:w="60" w:type="dxa"/>
            </w:tcMar>
          </w:tcPr>
          <w:p>
            <w:pPr>
              <w:pStyle w:val="TableText"/>
            </w:pPr>
            <w:r/>
            <w:r>
              <w:rPr>
                <w:b w:val="0"/>
              </w:rPr>
              <w:t>Environment parity</w:t>
            </w:r>
          </w:p>
        </w:tc>
        <w:tc>
          <w:tcPr>
            <w:tcW w:type="dxa" w:w="8208"/>
            <w:vAlign w:val="center"/>
            <w:tcMar>
              <w:top w:w="50" w:type="dxa"/>
              <w:bottom w:w="50" w:type="dxa"/>
              <w:start w:w="60" w:type="dxa"/>
              <w:end w:w="60" w:type="dxa"/>
            </w:tcMar>
          </w:tcPr>
          <w:p>
            <w:pPr>
              <w:pStyle w:val="TableText"/>
            </w:pPr>
            <w:r/>
            <w:r>
              <w:rPr>
                <w:b w:val="0"/>
              </w:rPr>
              <w:t>Document intentional differences among development, test, staging and production; never test against production patient data without authority.</w:t>
            </w:r>
          </w:p>
        </w:tc>
      </w:tr>
    </w:tbl>
    <w:p>
      <w:pPr>
        <w:spacing w:after="20"/>
      </w:pPr>
    </w:p>
    <w:p>
      <w:pPr>
        <w:pStyle w:val="Heading1"/>
      </w:pPr>
      <w:r>
        <w:t>12. Monitoring, Drift, and Service Review</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376"/>
            <w:vAlign w:val="center"/>
            <w:tcMar>
              <w:top w:w="50" w:type="dxa"/>
              <w:bottom w:w="50" w:type="dxa"/>
              <w:start w:w="60" w:type="dxa"/>
              <w:end w:w="60" w:type="dxa"/>
            </w:tcMar>
            <w:shd w:fill="17365D"/>
          </w:tcPr>
          <w:p>
            <w:pPr>
              <w:pStyle w:val="TableHeader"/>
            </w:pPr>
            <w:r/>
            <w:r>
              <w:rPr>
                <w:b/>
                <w:color w:val="FFFFFF"/>
              </w:rPr>
              <w:t>Indicator</w:t>
            </w:r>
          </w:p>
        </w:tc>
        <w:tc>
          <w:tcPr>
            <w:tcW w:type="dxa" w:w="3744"/>
            <w:vAlign w:val="center"/>
            <w:tcMar>
              <w:top w:w="50" w:type="dxa"/>
              <w:bottom w:w="50" w:type="dxa"/>
              <w:start w:w="60" w:type="dxa"/>
              <w:end w:w="60" w:type="dxa"/>
            </w:tcMar>
            <w:shd w:fill="17365D"/>
          </w:tcPr>
          <w:p>
            <w:pPr>
              <w:pStyle w:val="TableHeader"/>
            </w:pPr>
            <w:r/>
            <w:r>
              <w:rPr>
                <w:b/>
                <w:color w:val="FFFFFF"/>
              </w:rPr>
              <w:t>Potential signal</w:t>
            </w:r>
          </w:p>
        </w:tc>
        <w:tc>
          <w:tcPr>
            <w:tcW w:type="dxa" w:w="4392"/>
            <w:vAlign w:val="center"/>
            <w:tcMar>
              <w:top w:w="50" w:type="dxa"/>
              <w:bottom w:w="50" w:type="dxa"/>
              <w:start w:w="60" w:type="dxa"/>
              <w:end w:w="60" w:type="dxa"/>
            </w:tcMar>
            <w:shd w:fill="17365D"/>
          </w:tcPr>
          <w:p>
            <w:pPr>
              <w:pStyle w:val="TableHeader"/>
            </w:pPr>
            <w:r/>
            <w:r>
              <w:rPr>
                <w:b/>
                <w:color w:val="FFFFFF"/>
              </w:rPr>
              <w:t>Required response</w:t>
            </w:r>
          </w:p>
        </w:tc>
      </w:tr>
      <w:tr>
        <w:trPr>
          <w:cantSplit/>
        </w:trPr>
        <w:tc>
          <w:tcPr>
            <w:tcW w:type="dxa" w:w="2376"/>
            <w:vAlign w:val="center"/>
            <w:tcMar>
              <w:top w:w="50" w:type="dxa"/>
              <w:bottom w:w="50" w:type="dxa"/>
              <w:start w:w="60" w:type="dxa"/>
              <w:end w:w="60" w:type="dxa"/>
            </w:tcMar>
          </w:tcPr>
          <w:p>
            <w:pPr>
              <w:pStyle w:val="TableText"/>
            </w:pPr>
            <w:r/>
            <w:r>
              <w:rPr>
                <w:b w:val="0"/>
              </w:rPr>
              <w:t>ML invalid/failure rate</w:t>
            </w:r>
          </w:p>
        </w:tc>
        <w:tc>
          <w:tcPr>
            <w:tcW w:type="dxa" w:w="3744"/>
            <w:vAlign w:val="center"/>
            <w:tcMar>
              <w:top w:w="50" w:type="dxa"/>
              <w:bottom w:w="50" w:type="dxa"/>
              <w:start w:w="60" w:type="dxa"/>
              <w:end w:w="60" w:type="dxa"/>
            </w:tcMar>
          </w:tcPr>
          <w:p>
            <w:pPr>
              <w:pStyle w:val="TableText"/>
            </w:pPr>
            <w:r/>
            <w:r>
              <w:rPr>
                <w:b w:val="0"/>
              </w:rPr>
              <w:t>Path, package, schema or corrupt model problem.</w:t>
            </w:r>
          </w:p>
        </w:tc>
        <w:tc>
          <w:tcPr>
            <w:tcW w:type="dxa" w:w="4392"/>
            <w:vAlign w:val="center"/>
            <w:tcMar>
              <w:top w:w="50" w:type="dxa"/>
              <w:bottom w:w="50" w:type="dxa"/>
              <w:start w:w="60" w:type="dxa"/>
              <w:end w:w="60" w:type="dxa"/>
            </w:tcMar>
          </w:tcPr>
          <w:p>
            <w:pPr>
              <w:pStyle w:val="TableText"/>
            </w:pPr>
            <w:r/>
            <w:r>
              <w:rPr>
                <w:b w:val="0"/>
              </w:rPr>
              <w:t>Investigate immediately; preserve safe fallback; consider rollback.</w:t>
            </w:r>
          </w:p>
        </w:tc>
      </w:tr>
      <w:tr>
        <w:trPr>
          <w:cantSplit/>
        </w:trPr>
        <w:tc>
          <w:tcPr>
            <w:tcW w:type="dxa" w:w="2376"/>
            <w:vAlign w:val="center"/>
            <w:tcMar>
              <w:top w:w="50" w:type="dxa"/>
              <w:bottom w:w="50" w:type="dxa"/>
              <w:start w:w="60" w:type="dxa"/>
              <w:end w:w="60" w:type="dxa"/>
            </w:tcMar>
            <w:shd w:fill="EDF4FA"/>
          </w:tcPr>
          <w:p>
            <w:pPr>
              <w:pStyle w:val="TableText"/>
            </w:pPr>
            <w:r/>
            <w:r>
              <w:rPr>
                <w:b w:val="0"/>
              </w:rPr>
              <w:t>ASSESSMENT INCOMPLETE rate</w:t>
            </w:r>
          </w:p>
        </w:tc>
        <w:tc>
          <w:tcPr>
            <w:tcW w:type="dxa" w:w="3744"/>
            <w:vAlign w:val="center"/>
            <w:tcMar>
              <w:top w:w="50" w:type="dxa"/>
              <w:bottom w:w="50" w:type="dxa"/>
              <w:start w:w="60" w:type="dxa"/>
              <w:end w:w="60" w:type="dxa"/>
            </w:tcMar>
            <w:shd w:fill="EDF4FA"/>
          </w:tcPr>
          <w:p>
            <w:pPr>
              <w:pStyle w:val="TableText"/>
            </w:pPr>
            <w:r/>
            <w:r>
              <w:rPr>
                <w:b w:val="0"/>
              </w:rPr>
              <w:t>Workflow/data-capture problem or dependency failure.</w:t>
            </w:r>
          </w:p>
        </w:tc>
        <w:tc>
          <w:tcPr>
            <w:tcW w:type="dxa" w:w="4392"/>
            <w:vAlign w:val="center"/>
            <w:tcMar>
              <w:top w:w="50" w:type="dxa"/>
              <w:bottom w:w="50" w:type="dxa"/>
              <w:start w:w="60" w:type="dxa"/>
              <w:end w:w="60" w:type="dxa"/>
            </w:tcMar>
            <w:shd w:fill="EDF4FA"/>
          </w:tcPr>
          <w:p>
            <w:pPr>
              <w:pStyle w:val="TableText"/>
            </w:pPr>
            <w:r/>
            <w:r>
              <w:rPr>
                <w:b w:val="0"/>
              </w:rPr>
              <w:t>Review missing component by type and clinic process.</w:t>
            </w:r>
          </w:p>
        </w:tc>
      </w:tr>
      <w:tr>
        <w:trPr>
          <w:cantSplit/>
        </w:trPr>
        <w:tc>
          <w:tcPr>
            <w:tcW w:type="dxa" w:w="2376"/>
            <w:vAlign w:val="center"/>
            <w:tcMar>
              <w:top w:w="50" w:type="dxa"/>
              <w:bottom w:w="50" w:type="dxa"/>
              <w:start w:w="60" w:type="dxa"/>
              <w:end w:w="60" w:type="dxa"/>
            </w:tcMar>
          </w:tcPr>
          <w:p>
            <w:pPr>
              <w:pStyle w:val="TableText"/>
            </w:pPr>
            <w:r/>
            <w:r>
              <w:rPr>
                <w:b w:val="0"/>
              </w:rPr>
              <w:t>HIGH rate and factor mix</w:t>
            </w:r>
          </w:p>
        </w:tc>
        <w:tc>
          <w:tcPr>
            <w:tcW w:type="dxa" w:w="3744"/>
            <w:vAlign w:val="center"/>
            <w:tcMar>
              <w:top w:w="50" w:type="dxa"/>
              <w:bottom w:w="50" w:type="dxa"/>
              <w:start w:w="60" w:type="dxa"/>
              <w:end w:w="60" w:type="dxa"/>
            </w:tcMar>
          </w:tcPr>
          <w:p>
            <w:pPr>
              <w:pStyle w:val="TableText"/>
            </w:pPr>
            <w:r/>
            <w:r>
              <w:rPr>
                <w:b w:val="0"/>
              </w:rPr>
              <w:t>Population, coding, rule or model distribution change.</w:t>
            </w:r>
          </w:p>
        </w:tc>
        <w:tc>
          <w:tcPr>
            <w:tcW w:type="dxa" w:w="4392"/>
            <w:vAlign w:val="center"/>
            <w:tcMar>
              <w:top w:w="50" w:type="dxa"/>
              <w:bottom w:w="50" w:type="dxa"/>
              <w:start w:w="60" w:type="dxa"/>
              <w:end w:w="60" w:type="dxa"/>
            </w:tcMar>
          </w:tcPr>
          <w:p>
            <w:pPr>
              <w:pStyle w:val="TableText"/>
            </w:pPr>
            <w:r/>
            <w:r>
              <w:rPr>
                <w:b w:val="0"/>
              </w:rPr>
              <w:t>Compare with baseline; investigate before changing thresholds.</w:t>
            </w:r>
          </w:p>
        </w:tc>
      </w:tr>
      <w:tr>
        <w:trPr>
          <w:cantSplit/>
        </w:trPr>
        <w:tc>
          <w:tcPr>
            <w:tcW w:type="dxa" w:w="2376"/>
            <w:vAlign w:val="center"/>
            <w:tcMar>
              <w:top w:w="50" w:type="dxa"/>
              <w:bottom w:w="50" w:type="dxa"/>
              <w:start w:w="60" w:type="dxa"/>
              <w:end w:w="60" w:type="dxa"/>
            </w:tcMar>
            <w:shd w:fill="EDF4FA"/>
          </w:tcPr>
          <w:p>
            <w:pPr>
              <w:pStyle w:val="TableText"/>
            </w:pPr>
            <w:r/>
            <w:r>
              <w:rPr>
                <w:b w:val="0"/>
              </w:rPr>
              <w:t>Rule–ML disagreement</w:t>
            </w:r>
          </w:p>
        </w:tc>
        <w:tc>
          <w:tcPr>
            <w:tcW w:type="dxa" w:w="3744"/>
            <w:vAlign w:val="center"/>
            <w:tcMar>
              <w:top w:w="50" w:type="dxa"/>
              <w:bottom w:w="50" w:type="dxa"/>
              <w:start w:w="60" w:type="dxa"/>
              <w:end w:w="60" w:type="dxa"/>
            </w:tcMar>
            <w:shd w:fill="EDF4FA"/>
          </w:tcPr>
          <w:p>
            <w:pPr>
              <w:pStyle w:val="TableText"/>
            </w:pPr>
            <w:r/>
            <w:r>
              <w:rPr>
                <w:b w:val="0"/>
              </w:rPr>
              <w:t>Model drift, feature defect or expected complementary behavior.</w:t>
            </w:r>
          </w:p>
        </w:tc>
        <w:tc>
          <w:tcPr>
            <w:tcW w:type="dxa" w:w="4392"/>
            <w:vAlign w:val="center"/>
            <w:tcMar>
              <w:top w:w="50" w:type="dxa"/>
              <w:bottom w:w="50" w:type="dxa"/>
              <w:start w:w="60" w:type="dxa"/>
              <w:end w:w="60" w:type="dxa"/>
            </w:tcMar>
            <w:shd w:fill="EDF4FA"/>
          </w:tcPr>
          <w:p>
            <w:pPr>
              <w:pStyle w:val="TableText"/>
            </w:pPr>
            <w:r/>
            <w:r>
              <w:rPr>
                <w:b w:val="0"/>
              </w:rPr>
              <w:t>Trend by factor and review clinically important patterns.</w:t>
            </w:r>
          </w:p>
        </w:tc>
      </w:tr>
      <w:tr>
        <w:trPr>
          <w:cantSplit/>
        </w:trPr>
        <w:tc>
          <w:tcPr>
            <w:tcW w:type="dxa" w:w="2376"/>
            <w:vAlign w:val="center"/>
            <w:tcMar>
              <w:top w:w="50" w:type="dxa"/>
              <w:bottom w:w="50" w:type="dxa"/>
              <w:start w:w="60" w:type="dxa"/>
              <w:end w:w="60" w:type="dxa"/>
            </w:tcMar>
          </w:tcPr>
          <w:p>
            <w:pPr>
              <w:pStyle w:val="TableText"/>
            </w:pPr>
            <w:r/>
            <w:r>
              <w:rPr>
                <w:b w:val="0"/>
              </w:rPr>
              <w:t>Referral completion/time</w:t>
            </w:r>
          </w:p>
        </w:tc>
        <w:tc>
          <w:tcPr>
            <w:tcW w:type="dxa" w:w="3744"/>
            <w:vAlign w:val="center"/>
            <w:tcMar>
              <w:top w:w="50" w:type="dxa"/>
              <w:bottom w:w="50" w:type="dxa"/>
              <w:start w:w="60" w:type="dxa"/>
              <w:end w:w="60" w:type="dxa"/>
            </w:tcMar>
          </w:tcPr>
          <w:p>
            <w:pPr>
              <w:pStyle w:val="TableText"/>
            </w:pPr>
            <w:r/>
            <w:r>
              <w:rPr>
                <w:b w:val="0"/>
              </w:rPr>
              <w:t>Workflow capacity or follow-through problem.</w:t>
            </w:r>
          </w:p>
        </w:tc>
        <w:tc>
          <w:tcPr>
            <w:tcW w:type="dxa" w:w="4392"/>
            <w:vAlign w:val="center"/>
            <w:tcMar>
              <w:top w:w="50" w:type="dxa"/>
              <w:bottom w:w="50" w:type="dxa"/>
              <w:start w:w="60" w:type="dxa"/>
              <w:end w:w="60" w:type="dxa"/>
            </w:tcMar>
          </w:tcPr>
          <w:p>
            <w:pPr>
              <w:pStyle w:val="TableText"/>
            </w:pPr>
            <w:r/>
            <w:r>
              <w:rPr>
                <w:b w:val="0"/>
              </w:rPr>
              <w:t>Operational review; do not interpret as model accuracy alone.</w:t>
            </w:r>
          </w:p>
        </w:tc>
      </w:tr>
      <w:tr>
        <w:trPr>
          <w:cantSplit/>
        </w:trPr>
        <w:tc>
          <w:tcPr>
            <w:tcW w:type="dxa" w:w="2376"/>
            <w:vAlign w:val="center"/>
            <w:tcMar>
              <w:top w:w="50" w:type="dxa"/>
              <w:bottom w:w="50" w:type="dxa"/>
              <w:start w:w="60" w:type="dxa"/>
              <w:end w:w="60" w:type="dxa"/>
            </w:tcMar>
            <w:shd w:fill="EDF4FA"/>
          </w:tcPr>
          <w:p>
            <w:pPr>
              <w:pStyle w:val="TableText"/>
            </w:pPr>
            <w:r/>
            <w:r>
              <w:rPr>
                <w:b w:val="0"/>
              </w:rPr>
              <w:t>Override/refusal/waiver</w:t>
            </w:r>
          </w:p>
        </w:tc>
        <w:tc>
          <w:tcPr>
            <w:tcW w:type="dxa" w:w="3744"/>
            <w:vAlign w:val="center"/>
            <w:tcMar>
              <w:top w:w="50" w:type="dxa"/>
              <w:bottom w:w="50" w:type="dxa"/>
              <w:start w:w="60" w:type="dxa"/>
              <w:end w:w="60" w:type="dxa"/>
            </w:tcMar>
            <w:shd w:fill="EDF4FA"/>
          </w:tcPr>
          <w:p>
            <w:pPr>
              <w:pStyle w:val="TableText"/>
            </w:pPr>
            <w:r/>
            <w:r>
              <w:rPr>
                <w:b w:val="0"/>
              </w:rPr>
              <w:t>Alert burden, communication, access barrier or patient preference.</w:t>
            </w:r>
          </w:p>
        </w:tc>
        <w:tc>
          <w:tcPr>
            <w:tcW w:type="dxa" w:w="4392"/>
            <w:vAlign w:val="center"/>
            <w:tcMar>
              <w:top w:w="50" w:type="dxa"/>
              <w:bottom w:w="50" w:type="dxa"/>
              <w:start w:w="60" w:type="dxa"/>
              <w:end w:w="60" w:type="dxa"/>
            </w:tcMar>
            <w:shd w:fill="EDF4FA"/>
          </w:tcPr>
          <w:p>
            <w:pPr>
              <w:pStyle w:val="TableText"/>
            </w:pPr>
            <w:r/>
            <w:r>
              <w:rPr>
                <w:b w:val="0"/>
              </w:rPr>
              <w:t>Clinical and workflow review with privacy-safe documentation.</w:t>
            </w:r>
          </w:p>
        </w:tc>
      </w:tr>
      <w:tr>
        <w:trPr>
          <w:cantSplit/>
        </w:trPr>
        <w:tc>
          <w:tcPr>
            <w:tcW w:type="dxa" w:w="2376"/>
            <w:vAlign w:val="center"/>
            <w:tcMar>
              <w:top w:w="50" w:type="dxa"/>
              <w:bottom w:w="50" w:type="dxa"/>
              <w:start w:w="60" w:type="dxa"/>
              <w:end w:w="60" w:type="dxa"/>
            </w:tcMar>
          </w:tcPr>
          <w:p>
            <w:pPr>
              <w:pStyle w:val="TableText"/>
            </w:pPr>
            <w:r/>
            <w:r>
              <w:rPr>
                <w:b w:val="0"/>
              </w:rPr>
              <w:t>Latency/error/queue failure</w:t>
            </w:r>
          </w:p>
        </w:tc>
        <w:tc>
          <w:tcPr>
            <w:tcW w:type="dxa" w:w="3744"/>
            <w:vAlign w:val="center"/>
            <w:tcMar>
              <w:top w:w="50" w:type="dxa"/>
              <w:bottom w:w="50" w:type="dxa"/>
              <w:start w:w="60" w:type="dxa"/>
              <w:end w:w="60" w:type="dxa"/>
            </w:tcMar>
          </w:tcPr>
          <w:p>
            <w:pPr>
              <w:pStyle w:val="TableText"/>
            </w:pPr>
            <w:r/>
            <w:r>
              <w:rPr>
                <w:b w:val="0"/>
              </w:rPr>
              <w:t>Resource or integration degradation.</w:t>
            </w:r>
          </w:p>
        </w:tc>
        <w:tc>
          <w:tcPr>
            <w:tcW w:type="dxa" w:w="4392"/>
            <w:vAlign w:val="center"/>
            <w:tcMar>
              <w:top w:w="50" w:type="dxa"/>
              <w:bottom w:w="50" w:type="dxa"/>
              <w:start w:w="60" w:type="dxa"/>
              <w:end w:w="60" w:type="dxa"/>
            </w:tcMar>
          </w:tcPr>
          <w:p>
            <w:pPr>
              <w:pStyle w:val="TableText"/>
            </w:pPr>
            <w:r/>
            <w:r>
              <w:rPr>
                <w:b w:val="0"/>
              </w:rPr>
              <w:t>Technical incident response and user communication.</w:t>
            </w:r>
          </w:p>
        </w:tc>
      </w:tr>
      <w:tr>
        <w:trPr>
          <w:cantSplit/>
        </w:trPr>
        <w:tc>
          <w:tcPr>
            <w:tcW w:type="dxa" w:w="2376"/>
            <w:vAlign w:val="center"/>
            <w:tcMar>
              <w:top w:w="50" w:type="dxa"/>
              <w:bottom w:w="50" w:type="dxa"/>
              <w:start w:w="60" w:type="dxa"/>
              <w:end w:w="60" w:type="dxa"/>
            </w:tcMar>
            <w:shd w:fill="EDF4FA"/>
          </w:tcPr>
          <w:p>
            <w:pPr>
              <w:pStyle w:val="TableText"/>
            </w:pPr>
            <w:r/>
            <w:r>
              <w:rPr>
                <w:b w:val="0"/>
              </w:rPr>
              <w:t>Security events</w:t>
            </w:r>
          </w:p>
        </w:tc>
        <w:tc>
          <w:tcPr>
            <w:tcW w:type="dxa" w:w="3744"/>
            <w:vAlign w:val="center"/>
            <w:tcMar>
              <w:top w:w="50" w:type="dxa"/>
              <w:bottom w:w="50" w:type="dxa"/>
              <w:start w:w="60" w:type="dxa"/>
              <w:end w:w="60" w:type="dxa"/>
            </w:tcMar>
            <w:shd w:fill="EDF4FA"/>
          </w:tcPr>
          <w:p>
            <w:pPr>
              <w:pStyle w:val="TableText"/>
            </w:pPr>
            <w:r/>
            <w:r>
              <w:rPr>
                <w:b w:val="0"/>
              </w:rPr>
              <w:t>Unauthorized access, unusual export, failed logins or secret exposure.</w:t>
            </w:r>
          </w:p>
        </w:tc>
        <w:tc>
          <w:tcPr>
            <w:tcW w:type="dxa" w:w="4392"/>
            <w:vAlign w:val="center"/>
            <w:tcMar>
              <w:top w:w="50" w:type="dxa"/>
              <w:bottom w:w="50" w:type="dxa"/>
              <w:start w:w="60" w:type="dxa"/>
              <w:end w:w="60" w:type="dxa"/>
            </w:tcMar>
            <w:shd w:fill="EDF4FA"/>
          </w:tcPr>
          <w:p>
            <w:pPr>
              <w:pStyle w:val="TableText"/>
            </w:pPr>
            <w:r/>
            <w:r>
              <w:rPr>
                <w:b w:val="0"/>
              </w:rPr>
              <w:t>Security incident process, containment and notification assessment.</w:t>
            </w:r>
          </w:p>
        </w:tc>
      </w:tr>
      <w:tr>
        <w:trPr>
          <w:cantSplit/>
        </w:trPr>
        <w:tc>
          <w:tcPr>
            <w:tcW w:type="dxa" w:w="2376"/>
            <w:vAlign w:val="center"/>
            <w:tcMar>
              <w:top w:w="50" w:type="dxa"/>
              <w:bottom w:w="50" w:type="dxa"/>
              <w:start w:w="60" w:type="dxa"/>
              <w:end w:w="60" w:type="dxa"/>
            </w:tcMar>
          </w:tcPr>
          <w:p>
            <w:pPr>
              <w:pStyle w:val="TableText"/>
            </w:pPr>
            <w:r/>
            <w:r>
              <w:rPr>
                <w:b w:val="0"/>
              </w:rPr>
              <w:t>User feedback</w:t>
            </w:r>
          </w:p>
        </w:tc>
        <w:tc>
          <w:tcPr>
            <w:tcW w:type="dxa" w:w="3744"/>
            <w:vAlign w:val="center"/>
            <w:tcMar>
              <w:top w:w="50" w:type="dxa"/>
              <w:bottom w:w="50" w:type="dxa"/>
              <w:start w:w="60" w:type="dxa"/>
              <w:end w:w="60" w:type="dxa"/>
            </w:tcMar>
          </w:tcPr>
          <w:p>
            <w:pPr>
              <w:pStyle w:val="TableText"/>
            </w:pPr>
            <w:r/>
            <w:r>
              <w:rPr>
                <w:b w:val="0"/>
              </w:rPr>
              <w:t>Confusion, workarounds, missing data, alert fatigue.</w:t>
            </w:r>
          </w:p>
        </w:tc>
        <w:tc>
          <w:tcPr>
            <w:tcW w:type="dxa" w:w="4392"/>
            <w:vAlign w:val="center"/>
            <w:tcMar>
              <w:top w:w="50" w:type="dxa"/>
              <w:bottom w:w="50" w:type="dxa"/>
              <w:start w:w="60" w:type="dxa"/>
              <w:end w:w="60" w:type="dxa"/>
            </w:tcMar>
          </w:tcPr>
          <w:p>
            <w:pPr>
              <w:pStyle w:val="TableText"/>
            </w:pPr>
            <w:r/>
            <w:r>
              <w:rPr>
                <w:b w:val="0"/>
              </w:rPr>
              <w:t>Usability triage and risk-based change request.</w:t>
            </w:r>
          </w:p>
        </w:tc>
      </w:tr>
    </w:tbl>
    <w:p>
      <w:pPr>
        <w:spacing w:after="20"/>
      </w:pPr>
    </w:p>
    <w:tbl>
      <w:tblPr>
        <w:tblW w:type="auto" w:w="0"/>
        <w:tblLook w:firstColumn="1" w:firstRow="1" w:lastColumn="0" w:lastRow="0" w:noHBand="0" w:noVBand="1" w:val="04A0"/>
      </w:tblPr>
      <w:tblGrid>
        <w:gridCol w:w="10282"/>
      </w:tblGrid>
      <w:tr>
        <w:tc>
          <w:tcPr>
            <w:tcW w:type="dxa" w:w="10282"/>
            <w:shd w:fill="FFF2CC"/>
            <w:tcMar>
              <w:top w:w="90" w:type="dxa"/>
              <w:bottom w:w="90" w:type="dxa"/>
              <w:start w:w="100" w:type="dxa"/>
              <w:end w:w="100" w:type="dxa"/>
            </w:tcMar>
            <w:tcBorders>
              <w:top w:val="single" w:sz="8" w:color="BF9000"/>
              <w:left w:val="single" w:sz="8" w:color="BF9000"/>
              <w:bottom w:val="single" w:sz="8" w:color="BF9000"/>
              <w:right w:val="single" w:sz="8" w:color="BF9000"/>
            </w:tcBorders>
          </w:tcPr>
          <w:p>
            <w:pPr>
              <w:pStyle w:val="Callout"/>
            </w:pPr>
            <w:r/>
            <w:r>
              <w:rPr>
                <w:b/>
                <w:color w:val="BF9000"/>
              </w:rPr>
              <w:t>Monitoring limitation</w:t>
              <w:br/>
            </w:r>
            <w:r>
              <w:t>Operational indicators are signals for investigation, not proof of clinical benefit or harm. Outcome evaluation requires appropriate definitions, reliable follow-up data, qualified analysis, privacy protection, and recognition of confounding factors.</w:t>
            </w:r>
          </w:p>
        </w:tc>
      </w:tr>
    </w:tbl>
    <w:p>
      <w:pPr>
        <w:spacing w:after="20"/>
      </w:pPr>
    </w:p>
    <w:p>
      <w:pPr>
        <w:pStyle w:val="Heading1"/>
      </w:pPr>
      <w:r>
        <w:t>13. Incident, Problem, and CAPA Workflow</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088"/>
            <w:vAlign w:val="center"/>
            <w:tcMar>
              <w:top w:w="50" w:type="dxa"/>
              <w:bottom w:w="50" w:type="dxa"/>
              <w:start w:w="60" w:type="dxa"/>
              <w:end w:w="60" w:type="dxa"/>
            </w:tcMar>
            <w:shd w:fill="17365D"/>
          </w:tcPr>
          <w:p>
            <w:pPr>
              <w:pStyle w:val="TableHeader"/>
            </w:pPr>
            <w:r/>
            <w:r>
              <w:rPr>
                <w:b/>
                <w:color w:val="FFFFFF"/>
              </w:rPr>
              <w:t>Phase</w:t>
            </w:r>
          </w:p>
        </w:tc>
        <w:tc>
          <w:tcPr>
            <w:tcW w:type="dxa" w:w="8424"/>
            <w:vAlign w:val="center"/>
            <w:tcMar>
              <w:top w:w="50" w:type="dxa"/>
              <w:bottom w:w="50" w:type="dxa"/>
              <w:start w:w="60" w:type="dxa"/>
              <w:end w:w="60" w:type="dxa"/>
            </w:tcMar>
            <w:shd w:fill="17365D"/>
          </w:tcPr>
          <w:p>
            <w:pPr>
              <w:pStyle w:val="TableHeader"/>
            </w:pPr>
            <w:r/>
            <w:r>
              <w:rPr>
                <w:b/>
                <w:color w:val="FFFFFF"/>
              </w:rPr>
              <w:t>Required actions</w:t>
            </w:r>
          </w:p>
        </w:tc>
      </w:tr>
      <w:tr>
        <w:trPr>
          <w:cantSplit/>
        </w:trPr>
        <w:tc>
          <w:tcPr>
            <w:tcW w:type="dxa" w:w="2088"/>
            <w:vAlign w:val="center"/>
            <w:tcMar>
              <w:top w:w="50" w:type="dxa"/>
              <w:bottom w:w="50" w:type="dxa"/>
              <w:start w:w="60" w:type="dxa"/>
              <w:end w:w="60" w:type="dxa"/>
            </w:tcMar>
          </w:tcPr>
          <w:p>
            <w:pPr>
              <w:pStyle w:val="TableText"/>
            </w:pPr>
            <w:r/>
            <w:r>
              <w:rPr>
                <w:b w:val="0"/>
              </w:rPr>
              <w:t>Detect and triage</w:t>
            </w:r>
          </w:p>
        </w:tc>
        <w:tc>
          <w:tcPr>
            <w:tcW w:type="dxa" w:w="8424"/>
            <w:vAlign w:val="center"/>
            <w:tcMar>
              <w:top w:w="50" w:type="dxa"/>
              <w:bottom w:w="50" w:type="dxa"/>
              <w:start w:w="60" w:type="dxa"/>
              <w:end w:w="60" w:type="dxa"/>
            </w:tcMar>
          </w:tcPr>
          <w:p>
            <w:pPr>
              <w:pStyle w:val="TableText"/>
            </w:pPr>
            <w:r/>
            <w:r>
              <w:rPr>
                <w:b w:val="0"/>
              </w:rPr>
              <w:t>Record time, reporter, affected version, patient safety relevance, data exposure, service impact and severity.</w:t>
            </w:r>
          </w:p>
        </w:tc>
      </w:tr>
      <w:tr>
        <w:trPr>
          <w:cantSplit/>
        </w:trPr>
        <w:tc>
          <w:tcPr>
            <w:tcW w:type="dxa" w:w="2088"/>
            <w:vAlign w:val="center"/>
            <w:tcMar>
              <w:top w:w="50" w:type="dxa"/>
              <w:bottom w:w="50" w:type="dxa"/>
              <w:start w:w="60" w:type="dxa"/>
              <w:end w:w="60" w:type="dxa"/>
            </w:tcMar>
            <w:shd w:fill="EDF4FA"/>
          </w:tcPr>
          <w:p>
            <w:pPr>
              <w:pStyle w:val="TableText"/>
            </w:pPr>
            <w:r/>
            <w:r>
              <w:rPr>
                <w:b w:val="0"/>
              </w:rPr>
              <w:t>Contain</w:t>
            </w:r>
          </w:p>
        </w:tc>
        <w:tc>
          <w:tcPr>
            <w:tcW w:type="dxa" w:w="8424"/>
            <w:vAlign w:val="center"/>
            <w:tcMar>
              <w:top w:w="50" w:type="dxa"/>
              <w:bottom w:w="50" w:type="dxa"/>
              <w:start w:w="60" w:type="dxa"/>
              <w:end w:w="60" w:type="dxa"/>
            </w:tcMar>
            <w:shd w:fill="EDF4FA"/>
          </w:tcPr>
          <w:p>
            <w:pPr>
              <w:pStyle w:val="TableText"/>
            </w:pPr>
            <w:r/>
            <w:r>
              <w:rPr>
                <w:b w:val="0"/>
              </w:rPr>
              <w:t>Disable affected function, revert release, restrict access, correct misleading display, preserve evidence and communicate safe workaround.</w:t>
            </w:r>
          </w:p>
        </w:tc>
      </w:tr>
      <w:tr>
        <w:trPr>
          <w:cantSplit/>
        </w:trPr>
        <w:tc>
          <w:tcPr>
            <w:tcW w:type="dxa" w:w="2088"/>
            <w:vAlign w:val="center"/>
            <w:tcMar>
              <w:top w:w="50" w:type="dxa"/>
              <w:bottom w:w="50" w:type="dxa"/>
              <w:start w:w="60" w:type="dxa"/>
              <w:end w:w="60" w:type="dxa"/>
            </w:tcMar>
          </w:tcPr>
          <w:p>
            <w:pPr>
              <w:pStyle w:val="TableText"/>
            </w:pPr>
            <w:r/>
            <w:r>
              <w:rPr>
                <w:b w:val="0"/>
              </w:rPr>
              <w:t>Assess patients/records</w:t>
            </w:r>
          </w:p>
        </w:tc>
        <w:tc>
          <w:tcPr>
            <w:tcW w:type="dxa" w:w="8424"/>
            <w:vAlign w:val="center"/>
            <w:tcMar>
              <w:top w:w="50" w:type="dxa"/>
              <w:bottom w:w="50" w:type="dxa"/>
              <w:start w:w="60" w:type="dxa"/>
              <w:end w:w="60" w:type="dxa"/>
            </w:tcMar>
          </w:tcPr>
          <w:p>
            <w:pPr>
              <w:pStyle w:val="TableText"/>
            </w:pPr>
            <w:r/>
            <w:r>
              <w:rPr>
                <w:b w:val="0"/>
              </w:rPr>
              <w:t>Identify potentially affected assessments and referrals without mass-changing history; route review to qualified personnel.</w:t>
            </w:r>
          </w:p>
        </w:tc>
      </w:tr>
      <w:tr>
        <w:trPr>
          <w:cantSplit/>
        </w:trPr>
        <w:tc>
          <w:tcPr>
            <w:tcW w:type="dxa" w:w="2088"/>
            <w:vAlign w:val="center"/>
            <w:tcMar>
              <w:top w:w="50" w:type="dxa"/>
              <w:bottom w:w="50" w:type="dxa"/>
              <w:start w:w="60" w:type="dxa"/>
              <w:end w:w="60" w:type="dxa"/>
            </w:tcMar>
            <w:shd w:fill="EDF4FA"/>
          </w:tcPr>
          <w:p>
            <w:pPr>
              <w:pStyle w:val="TableText"/>
            </w:pPr>
            <w:r/>
            <w:r>
              <w:rPr>
                <w:b w:val="0"/>
              </w:rPr>
              <w:t>Investigate</w:t>
            </w:r>
          </w:p>
        </w:tc>
        <w:tc>
          <w:tcPr>
            <w:tcW w:type="dxa" w:w="8424"/>
            <w:vAlign w:val="center"/>
            <w:tcMar>
              <w:top w:w="50" w:type="dxa"/>
              <w:bottom w:w="50" w:type="dxa"/>
              <w:start w:w="60" w:type="dxa"/>
              <w:end w:w="60" w:type="dxa"/>
            </w:tcMar>
            <w:shd w:fill="EDF4FA"/>
          </w:tcPr>
          <w:p>
            <w:pPr>
              <w:pStyle w:val="TableText"/>
            </w:pPr>
            <w:r/>
            <w:r>
              <w:rPr>
                <w:b w:val="0"/>
              </w:rPr>
              <w:t>Reconstruct inputs, rule/model/explanation versions, logs, code, deployment, user actions and environmental conditions.</w:t>
            </w:r>
          </w:p>
        </w:tc>
      </w:tr>
      <w:tr>
        <w:trPr>
          <w:cantSplit/>
        </w:trPr>
        <w:tc>
          <w:tcPr>
            <w:tcW w:type="dxa" w:w="2088"/>
            <w:vAlign w:val="center"/>
            <w:tcMar>
              <w:top w:w="50" w:type="dxa"/>
              <w:bottom w:w="50" w:type="dxa"/>
              <w:start w:w="60" w:type="dxa"/>
              <w:end w:w="60" w:type="dxa"/>
            </w:tcMar>
          </w:tcPr>
          <w:p>
            <w:pPr>
              <w:pStyle w:val="TableText"/>
            </w:pPr>
            <w:r/>
            <w:r>
              <w:rPr>
                <w:b w:val="0"/>
              </w:rPr>
              <w:t>Correct</w:t>
            </w:r>
          </w:p>
        </w:tc>
        <w:tc>
          <w:tcPr>
            <w:tcW w:type="dxa" w:w="8424"/>
            <w:vAlign w:val="center"/>
            <w:tcMar>
              <w:top w:w="50" w:type="dxa"/>
              <w:bottom w:w="50" w:type="dxa"/>
              <w:start w:w="60" w:type="dxa"/>
              <w:end w:w="60" w:type="dxa"/>
            </w:tcMar>
          </w:tcPr>
          <w:p>
            <w:pPr>
              <w:pStyle w:val="TableText"/>
            </w:pPr>
            <w:r/>
            <w:r>
              <w:rPr>
                <w:b w:val="0"/>
              </w:rPr>
              <w:t>Implement controlled corrective action; test both defect and neighboring failure modes.</w:t>
            </w:r>
          </w:p>
        </w:tc>
      </w:tr>
      <w:tr>
        <w:trPr>
          <w:cantSplit/>
        </w:trPr>
        <w:tc>
          <w:tcPr>
            <w:tcW w:type="dxa" w:w="2088"/>
            <w:vAlign w:val="center"/>
            <w:tcMar>
              <w:top w:w="50" w:type="dxa"/>
              <w:bottom w:w="50" w:type="dxa"/>
              <w:start w:w="60" w:type="dxa"/>
              <w:end w:w="60" w:type="dxa"/>
            </w:tcMar>
            <w:shd w:fill="EDF4FA"/>
          </w:tcPr>
          <w:p>
            <w:pPr>
              <w:pStyle w:val="TableText"/>
            </w:pPr>
            <w:r/>
            <w:r>
              <w:rPr>
                <w:b w:val="0"/>
              </w:rPr>
              <w:t>Prevent</w:t>
            </w:r>
          </w:p>
        </w:tc>
        <w:tc>
          <w:tcPr>
            <w:tcW w:type="dxa" w:w="8424"/>
            <w:vAlign w:val="center"/>
            <w:tcMar>
              <w:top w:w="50" w:type="dxa"/>
              <w:bottom w:w="50" w:type="dxa"/>
              <w:start w:w="60" w:type="dxa"/>
              <w:end w:w="60" w:type="dxa"/>
            </w:tcMar>
            <w:shd w:fill="EDF4FA"/>
          </w:tcPr>
          <w:p>
            <w:pPr>
              <w:pStyle w:val="TableText"/>
            </w:pPr>
            <w:r/>
            <w:r>
              <w:rPr>
                <w:b w:val="0"/>
              </w:rPr>
              <w:t>Address root/system cause through process, monitor, test, architecture, training or governance improvement.</w:t>
            </w:r>
          </w:p>
        </w:tc>
      </w:tr>
      <w:tr>
        <w:trPr>
          <w:cantSplit/>
        </w:trPr>
        <w:tc>
          <w:tcPr>
            <w:tcW w:type="dxa" w:w="2088"/>
            <w:vAlign w:val="center"/>
            <w:tcMar>
              <w:top w:w="50" w:type="dxa"/>
              <w:bottom w:w="50" w:type="dxa"/>
              <w:start w:w="60" w:type="dxa"/>
              <w:end w:w="60" w:type="dxa"/>
            </w:tcMar>
          </w:tcPr>
          <w:p>
            <w:pPr>
              <w:pStyle w:val="TableText"/>
            </w:pPr>
            <w:r/>
            <w:r>
              <w:rPr>
                <w:b w:val="0"/>
              </w:rPr>
              <w:t>Verify effectiveness</w:t>
            </w:r>
          </w:p>
        </w:tc>
        <w:tc>
          <w:tcPr>
            <w:tcW w:type="dxa" w:w="8424"/>
            <w:vAlign w:val="center"/>
            <w:tcMar>
              <w:top w:w="50" w:type="dxa"/>
              <w:bottom w:w="50" w:type="dxa"/>
              <w:start w:w="60" w:type="dxa"/>
              <w:end w:w="60" w:type="dxa"/>
            </w:tcMar>
          </w:tcPr>
          <w:p>
            <w:pPr>
              <w:pStyle w:val="TableText"/>
            </w:pPr>
            <w:r/>
            <w:r>
              <w:rPr>
                <w:b w:val="0"/>
              </w:rPr>
              <w:t>Confirm recurrence risk reduced and no new harm introduced; monitor defined period.</w:t>
            </w:r>
          </w:p>
        </w:tc>
      </w:tr>
      <w:tr>
        <w:trPr>
          <w:cantSplit/>
        </w:trPr>
        <w:tc>
          <w:tcPr>
            <w:tcW w:type="dxa" w:w="2088"/>
            <w:vAlign w:val="center"/>
            <w:tcMar>
              <w:top w:w="50" w:type="dxa"/>
              <w:bottom w:w="50" w:type="dxa"/>
              <w:start w:w="60" w:type="dxa"/>
              <w:end w:w="60" w:type="dxa"/>
            </w:tcMar>
            <w:shd w:fill="EDF4FA"/>
          </w:tcPr>
          <w:p>
            <w:pPr>
              <w:pStyle w:val="TableText"/>
            </w:pPr>
            <w:r/>
            <w:r>
              <w:rPr>
                <w:b w:val="0"/>
              </w:rPr>
              <w:t>Close and learn</w:t>
            </w:r>
          </w:p>
        </w:tc>
        <w:tc>
          <w:tcPr>
            <w:tcW w:type="dxa" w:w="8424"/>
            <w:vAlign w:val="center"/>
            <w:tcMar>
              <w:top w:w="50" w:type="dxa"/>
              <w:bottom w:w="50" w:type="dxa"/>
              <w:start w:w="60" w:type="dxa"/>
              <w:end w:w="60" w:type="dxa"/>
            </w:tcMar>
            <w:shd w:fill="EDF4FA"/>
          </w:tcPr>
          <w:p>
            <w:pPr>
              <w:pStyle w:val="TableText"/>
            </w:pPr>
            <w:r/>
            <w:r>
              <w:rPr>
                <w:b w:val="0"/>
              </w:rPr>
              <w:t>Approve closure, preserve evidence, update risk register, test suite, training and maintenance knowledge base.</w:t>
            </w:r>
          </w:p>
        </w:tc>
      </w:tr>
    </w:tbl>
    <w:p>
      <w:pPr>
        <w:spacing w:after="20"/>
      </w:pP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1800"/>
            <w:vAlign w:val="center"/>
            <w:tcMar>
              <w:top w:w="50" w:type="dxa"/>
              <w:bottom w:w="50" w:type="dxa"/>
              <w:start w:w="60" w:type="dxa"/>
              <w:end w:w="60" w:type="dxa"/>
            </w:tcMar>
            <w:shd w:fill="17365D"/>
          </w:tcPr>
          <w:p>
            <w:pPr>
              <w:pStyle w:val="TableHeader"/>
            </w:pPr>
            <w:r/>
            <w:r>
              <w:rPr>
                <w:b/>
                <w:color w:val="FFFFFF"/>
              </w:rPr>
              <w:t>Severity</w:t>
            </w:r>
          </w:p>
        </w:tc>
        <w:tc>
          <w:tcPr>
            <w:tcW w:type="dxa" w:w="5472"/>
            <w:vAlign w:val="center"/>
            <w:tcMar>
              <w:top w:w="50" w:type="dxa"/>
              <w:bottom w:w="50" w:type="dxa"/>
              <w:start w:w="60" w:type="dxa"/>
              <w:end w:w="60" w:type="dxa"/>
            </w:tcMar>
            <w:shd w:fill="17365D"/>
          </w:tcPr>
          <w:p>
            <w:pPr>
              <w:pStyle w:val="TableHeader"/>
            </w:pPr>
            <w:r/>
            <w:r>
              <w:rPr>
                <w:b/>
                <w:color w:val="FFFFFF"/>
              </w:rPr>
              <w:t>Illustrative definition</w:t>
            </w:r>
          </w:p>
        </w:tc>
        <w:tc>
          <w:tcPr>
            <w:tcW w:type="dxa" w:w="3240"/>
            <w:vAlign w:val="center"/>
            <w:tcMar>
              <w:top w:w="50" w:type="dxa"/>
              <w:bottom w:w="50" w:type="dxa"/>
              <w:start w:w="60" w:type="dxa"/>
              <w:end w:w="60" w:type="dxa"/>
            </w:tcMar>
            <w:shd w:fill="17365D"/>
          </w:tcPr>
          <w:p>
            <w:pPr>
              <w:pStyle w:val="TableHeader"/>
            </w:pPr>
            <w:r/>
            <w:r>
              <w:rPr>
                <w:b/>
                <w:color w:val="FFFFFF"/>
              </w:rPr>
              <w:t>Response expectation</w:t>
            </w:r>
          </w:p>
        </w:tc>
      </w:tr>
      <w:tr>
        <w:trPr>
          <w:cantSplit/>
        </w:trPr>
        <w:tc>
          <w:tcPr>
            <w:tcW w:type="dxa" w:w="1800"/>
            <w:vAlign w:val="center"/>
            <w:tcMar>
              <w:top w:w="50" w:type="dxa"/>
              <w:bottom w:w="50" w:type="dxa"/>
              <w:start w:w="60" w:type="dxa"/>
              <w:end w:w="60" w:type="dxa"/>
            </w:tcMar>
          </w:tcPr>
          <w:p>
            <w:pPr>
              <w:pStyle w:val="TableText"/>
            </w:pPr>
            <w:r/>
            <w:r>
              <w:rPr>
                <w:b w:val="0"/>
              </w:rPr>
              <w:t>Critical</w:t>
            </w:r>
          </w:p>
        </w:tc>
        <w:tc>
          <w:tcPr>
            <w:tcW w:type="dxa" w:w="5472"/>
            <w:vAlign w:val="center"/>
            <w:tcMar>
              <w:top w:w="50" w:type="dxa"/>
              <w:bottom w:w="50" w:type="dxa"/>
              <w:start w:w="60" w:type="dxa"/>
              <w:end w:w="60" w:type="dxa"/>
            </w:tcMar>
          </w:tcPr>
          <w:p>
            <w:pPr>
              <w:pStyle w:val="TableText"/>
            </w:pPr>
            <w:r/>
            <w:r>
              <w:rPr>
                <w:b w:val="0"/>
              </w:rPr>
              <w:t>Could cause or contribute to missed urgent referral, wrong patient action, major privacy breach, unrecoverable data loss, or unsafe LOW.</w:t>
            </w:r>
          </w:p>
        </w:tc>
        <w:tc>
          <w:tcPr>
            <w:tcW w:type="dxa" w:w="3240"/>
            <w:vAlign w:val="center"/>
            <w:tcMar>
              <w:top w:w="50" w:type="dxa"/>
              <w:bottom w:w="50" w:type="dxa"/>
              <w:start w:w="60" w:type="dxa"/>
              <w:end w:w="60" w:type="dxa"/>
            </w:tcMar>
          </w:tcPr>
          <w:p>
            <w:pPr>
              <w:pStyle w:val="TableText"/>
            </w:pPr>
            <w:r/>
            <w:r>
              <w:rPr>
                <w:b w:val="0"/>
              </w:rPr>
              <w:t>Immediate containment; suspend affected function/release; leadership and qualified clinical review.</w:t>
            </w:r>
          </w:p>
        </w:tc>
      </w:tr>
      <w:tr>
        <w:trPr>
          <w:cantSplit/>
        </w:trPr>
        <w:tc>
          <w:tcPr>
            <w:tcW w:type="dxa" w:w="1800"/>
            <w:vAlign w:val="center"/>
            <w:tcMar>
              <w:top w:w="50" w:type="dxa"/>
              <w:bottom w:w="50" w:type="dxa"/>
              <w:start w:w="60" w:type="dxa"/>
              <w:end w:w="60" w:type="dxa"/>
            </w:tcMar>
            <w:shd w:fill="EDF4FA"/>
          </w:tcPr>
          <w:p>
            <w:pPr>
              <w:pStyle w:val="TableText"/>
            </w:pPr>
            <w:r/>
            <w:r>
              <w:rPr>
                <w:b w:val="0"/>
              </w:rPr>
              <w:t>Major</w:t>
            </w:r>
          </w:p>
        </w:tc>
        <w:tc>
          <w:tcPr>
            <w:tcW w:type="dxa" w:w="5472"/>
            <w:vAlign w:val="center"/>
            <w:tcMar>
              <w:top w:w="50" w:type="dxa"/>
              <w:bottom w:w="50" w:type="dxa"/>
              <w:start w:w="60" w:type="dxa"/>
              <w:end w:w="60" w:type="dxa"/>
            </w:tcMar>
            <w:shd w:fill="EDF4FA"/>
          </w:tcPr>
          <w:p>
            <w:pPr>
              <w:pStyle w:val="TableText"/>
            </w:pPr>
            <w:r/>
            <w:r>
              <w:rPr>
                <w:b w:val="0"/>
              </w:rPr>
              <w:t>Clinically or operationally significant error with workaround and no known immediate severe harm.</w:t>
            </w:r>
          </w:p>
        </w:tc>
        <w:tc>
          <w:tcPr>
            <w:tcW w:type="dxa" w:w="3240"/>
            <w:vAlign w:val="center"/>
            <w:tcMar>
              <w:top w:w="50" w:type="dxa"/>
              <w:bottom w:w="50" w:type="dxa"/>
              <w:start w:w="60" w:type="dxa"/>
              <w:end w:w="60" w:type="dxa"/>
            </w:tcMar>
            <w:shd w:fill="EDF4FA"/>
          </w:tcPr>
          <w:p>
            <w:pPr>
              <w:pStyle w:val="TableText"/>
            </w:pPr>
            <w:r/>
            <w:r>
              <w:rPr>
                <w:b w:val="0"/>
              </w:rPr>
              <w:t>Prompt correction; controlled review; heightened monitoring.</w:t>
            </w:r>
          </w:p>
        </w:tc>
      </w:tr>
      <w:tr>
        <w:trPr>
          <w:cantSplit/>
        </w:trPr>
        <w:tc>
          <w:tcPr>
            <w:tcW w:type="dxa" w:w="1800"/>
            <w:vAlign w:val="center"/>
            <w:tcMar>
              <w:top w:w="50" w:type="dxa"/>
              <w:bottom w:w="50" w:type="dxa"/>
              <w:start w:w="60" w:type="dxa"/>
              <w:end w:w="60" w:type="dxa"/>
            </w:tcMar>
          </w:tcPr>
          <w:p>
            <w:pPr>
              <w:pStyle w:val="TableText"/>
            </w:pPr>
            <w:r/>
            <w:r>
              <w:rPr>
                <w:b w:val="0"/>
              </w:rPr>
              <w:t>Moderate</w:t>
            </w:r>
          </w:p>
        </w:tc>
        <w:tc>
          <w:tcPr>
            <w:tcW w:type="dxa" w:w="5472"/>
            <w:vAlign w:val="center"/>
            <w:tcMar>
              <w:top w:w="50" w:type="dxa"/>
              <w:bottom w:w="50" w:type="dxa"/>
              <w:start w:w="60" w:type="dxa"/>
              <w:end w:w="60" w:type="dxa"/>
            </w:tcMar>
          </w:tcPr>
          <w:p>
            <w:pPr>
              <w:pStyle w:val="TableText"/>
            </w:pPr>
            <w:r/>
            <w:r>
              <w:rPr>
                <w:b w:val="0"/>
              </w:rPr>
              <w:t>Limited workflow, data quality or explanation defect unlikely to directly cause serious harm.</w:t>
            </w:r>
          </w:p>
        </w:tc>
        <w:tc>
          <w:tcPr>
            <w:tcW w:type="dxa" w:w="3240"/>
            <w:vAlign w:val="center"/>
            <w:tcMar>
              <w:top w:w="50" w:type="dxa"/>
              <w:bottom w:w="50" w:type="dxa"/>
              <w:start w:w="60" w:type="dxa"/>
              <w:end w:w="60" w:type="dxa"/>
            </w:tcMar>
          </w:tcPr>
          <w:p>
            <w:pPr>
              <w:pStyle w:val="TableText"/>
            </w:pPr>
            <w:r/>
            <w:r>
              <w:rPr>
                <w:b w:val="0"/>
              </w:rPr>
              <w:t>Scheduled risk-based correction.</w:t>
            </w:r>
          </w:p>
        </w:tc>
      </w:tr>
      <w:tr>
        <w:trPr>
          <w:cantSplit/>
        </w:trPr>
        <w:tc>
          <w:tcPr>
            <w:tcW w:type="dxa" w:w="1800"/>
            <w:vAlign w:val="center"/>
            <w:tcMar>
              <w:top w:w="50" w:type="dxa"/>
              <w:bottom w:w="50" w:type="dxa"/>
              <w:start w:w="60" w:type="dxa"/>
              <w:end w:w="60" w:type="dxa"/>
            </w:tcMar>
            <w:shd w:fill="EDF4FA"/>
          </w:tcPr>
          <w:p>
            <w:pPr>
              <w:pStyle w:val="TableText"/>
            </w:pPr>
            <w:r/>
            <w:r>
              <w:rPr>
                <w:b w:val="0"/>
              </w:rPr>
              <w:t>Minor</w:t>
            </w:r>
          </w:p>
        </w:tc>
        <w:tc>
          <w:tcPr>
            <w:tcW w:type="dxa" w:w="5472"/>
            <w:vAlign w:val="center"/>
            <w:tcMar>
              <w:top w:w="50" w:type="dxa"/>
              <w:bottom w:w="50" w:type="dxa"/>
              <w:start w:w="60" w:type="dxa"/>
              <w:end w:w="60" w:type="dxa"/>
            </w:tcMar>
            <w:shd w:fill="EDF4FA"/>
          </w:tcPr>
          <w:p>
            <w:pPr>
              <w:pStyle w:val="TableText"/>
            </w:pPr>
            <w:r/>
            <w:r>
              <w:rPr>
                <w:b w:val="0"/>
              </w:rPr>
              <w:t>Cosmetic/documentation issue with no material interpretation or workflow effect.</w:t>
            </w:r>
          </w:p>
        </w:tc>
        <w:tc>
          <w:tcPr>
            <w:tcW w:type="dxa" w:w="3240"/>
            <w:vAlign w:val="center"/>
            <w:tcMar>
              <w:top w:w="50" w:type="dxa"/>
              <w:bottom w:w="50" w:type="dxa"/>
              <w:start w:w="60" w:type="dxa"/>
              <w:end w:w="60" w:type="dxa"/>
            </w:tcMar>
            <w:shd w:fill="EDF4FA"/>
          </w:tcPr>
          <w:p>
            <w:pPr>
              <w:pStyle w:val="TableText"/>
            </w:pPr>
            <w:r/>
            <w:r>
              <w:rPr>
                <w:b w:val="0"/>
              </w:rPr>
              <w:t>Routine backlog, verify no hidden clinical impact.</w:t>
            </w:r>
          </w:p>
        </w:tc>
      </w:tr>
    </w:tbl>
    <w:p>
      <w:pPr>
        <w:spacing w:after="20"/>
      </w:pPr>
    </w:p>
    <w:p>
      <w:pPr>
        <w:pStyle w:val="Heading1"/>
      </w:pPr>
      <w:r>
        <w:t>14. Release, Rollback, and Hotfix Policy</w:t>
      </w:r>
    </w:p>
    <w:p>
      <w:pPr>
        <w:pStyle w:val="ListBullet"/>
        <w:spacing w:after="30"/>
      </w:pPr>
      <w:r>
        <w:t>A release candidate shall be immutable and identifiable by application, rule, model, feature schema, explanation, database migration and dependency versions.</w:t>
      </w:r>
    </w:p>
    <w:p>
      <w:pPr>
        <w:pStyle w:val="ListBullet"/>
        <w:spacing w:after="30"/>
      </w:pPr>
      <w:r>
        <w:t>Production deployment shall use the Part 9 checklist and the Part 10 acceptance evidence; unfinished tests shall not be described as passed.</w:t>
      </w:r>
    </w:p>
    <w:p>
      <w:pPr>
        <w:pStyle w:val="ListBullet"/>
        <w:spacing w:after="30"/>
      </w:pPr>
      <w:r>
        <w:t>A rollback decision shall be based on predefined patient-safety, data-integrity, security, error-rate, latency or workflow thresholds.</w:t>
      </w:r>
    </w:p>
    <w:p>
      <w:pPr>
        <w:pStyle w:val="ListBullet"/>
        <w:spacing w:after="30"/>
      </w:pPr>
      <w:r>
        <w:t>Rollback must account for database compatibility. If a migration cannot be reversed safely, an approved forward-fix or restore strategy is required.</w:t>
      </w:r>
    </w:p>
    <w:p>
      <w:pPr>
        <w:pStyle w:val="ListBullet"/>
        <w:spacing w:after="30"/>
      </w:pPr>
      <w:r>
        <w:t>An emergency hotfix may shorten pre-deployment review only to contain a serious active risk. It must be narrowly scoped, independently checked where possible, monitored, and subjected to full retrospective validation.</w:t>
      </w:r>
    </w:p>
    <w:p>
      <w:pPr>
        <w:pStyle w:val="ListBullet"/>
        <w:spacing w:after="30"/>
      </w:pPr>
      <w:r>
        <w:t>After rollback, investigate the failed change rather than repeatedly redeploying without evidence.</w:t>
      </w:r>
    </w:p>
    <w:p>
      <w:pPr>
        <w:pStyle w:val="Heading1"/>
      </w:pPr>
      <w:r>
        <w:t>15. User Communication, Training, and Adoption</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592"/>
            <w:vAlign w:val="center"/>
            <w:tcMar>
              <w:top w:w="50" w:type="dxa"/>
              <w:bottom w:w="50" w:type="dxa"/>
              <w:start w:w="60" w:type="dxa"/>
              <w:end w:w="60" w:type="dxa"/>
            </w:tcMar>
            <w:shd w:fill="17365D"/>
          </w:tcPr>
          <w:p>
            <w:pPr>
              <w:pStyle w:val="TableHeader"/>
            </w:pPr>
            <w:r/>
            <w:r>
              <w:rPr>
                <w:b/>
                <w:color w:val="FFFFFF"/>
              </w:rPr>
              <w:t>Change impact</w:t>
            </w:r>
          </w:p>
        </w:tc>
        <w:tc>
          <w:tcPr>
            <w:tcW w:type="dxa" w:w="7920"/>
            <w:vAlign w:val="center"/>
            <w:tcMar>
              <w:top w:w="50" w:type="dxa"/>
              <w:bottom w:w="50" w:type="dxa"/>
              <w:start w:w="60" w:type="dxa"/>
              <w:end w:w="60" w:type="dxa"/>
            </w:tcMar>
            <w:shd w:fill="17365D"/>
          </w:tcPr>
          <w:p>
            <w:pPr>
              <w:pStyle w:val="TableHeader"/>
            </w:pPr>
            <w:r/>
            <w:r>
              <w:rPr>
                <w:b/>
                <w:color w:val="FFFFFF"/>
              </w:rPr>
              <w:t>Communication requirement</w:t>
            </w:r>
          </w:p>
        </w:tc>
      </w:tr>
      <w:tr>
        <w:trPr>
          <w:cantSplit/>
        </w:trPr>
        <w:tc>
          <w:tcPr>
            <w:tcW w:type="dxa" w:w="2592"/>
            <w:vAlign w:val="center"/>
            <w:tcMar>
              <w:top w:w="50" w:type="dxa"/>
              <w:bottom w:w="50" w:type="dxa"/>
              <w:start w:w="60" w:type="dxa"/>
              <w:end w:w="60" w:type="dxa"/>
            </w:tcMar>
          </w:tcPr>
          <w:p>
            <w:pPr>
              <w:pStyle w:val="TableText"/>
            </w:pPr>
            <w:r/>
            <w:r>
              <w:rPr>
                <w:b w:val="0"/>
              </w:rPr>
              <w:t>No visible/no behavior change</w:t>
            </w:r>
          </w:p>
        </w:tc>
        <w:tc>
          <w:tcPr>
            <w:tcW w:type="dxa" w:w="7920"/>
            <w:vAlign w:val="center"/>
            <w:tcMar>
              <w:top w:w="50" w:type="dxa"/>
              <w:bottom w:w="50" w:type="dxa"/>
              <w:start w:w="60" w:type="dxa"/>
              <w:end w:w="60" w:type="dxa"/>
            </w:tcMar>
          </w:tcPr>
          <w:p>
            <w:pPr>
              <w:pStyle w:val="TableText"/>
            </w:pPr>
            <w:r/>
            <w:r>
              <w:rPr>
                <w:b w:val="0"/>
              </w:rPr>
              <w:t>Technical release record; notify support owner if operational monitoring changes.</w:t>
            </w:r>
          </w:p>
        </w:tc>
      </w:tr>
      <w:tr>
        <w:trPr>
          <w:cantSplit/>
        </w:trPr>
        <w:tc>
          <w:tcPr>
            <w:tcW w:type="dxa" w:w="2592"/>
            <w:vAlign w:val="center"/>
            <w:tcMar>
              <w:top w:w="50" w:type="dxa"/>
              <w:bottom w:w="50" w:type="dxa"/>
              <w:start w:w="60" w:type="dxa"/>
              <w:end w:w="60" w:type="dxa"/>
            </w:tcMar>
            <w:shd w:fill="EDF4FA"/>
          </w:tcPr>
          <w:p>
            <w:pPr>
              <w:pStyle w:val="TableText"/>
            </w:pPr>
            <w:r/>
            <w:r>
              <w:rPr>
                <w:b w:val="0"/>
              </w:rPr>
              <w:t>UI or workflow change</w:t>
            </w:r>
          </w:p>
        </w:tc>
        <w:tc>
          <w:tcPr>
            <w:tcW w:type="dxa" w:w="7920"/>
            <w:vAlign w:val="center"/>
            <w:tcMar>
              <w:top w:w="50" w:type="dxa"/>
              <w:bottom w:w="50" w:type="dxa"/>
              <w:start w:w="60" w:type="dxa"/>
              <w:end w:w="60" w:type="dxa"/>
            </w:tcMar>
            <w:shd w:fill="EDF4FA"/>
          </w:tcPr>
          <w:p>
            <w:pPr>
              <w:pStyle w:val="TableText"/>
            </w:pPr>
            <w:r/>
            <w:r>
              <w:rPr>
                <w:b w:val="0"/>
              </w:rPr>
              <w:t>Release note, updated quick guide, screenshots or demonstration, and confirmation that users understand the new path.</w:t>
            </w:r>
          </w:p>
        </w:tc>
      </w:tr>
      <w:tr>
        <w:trPr>
          <w:cantSplit/>
        </w:trPr>
        <w:tc>
          <w:tcPr>
            <w:tcW w:type="dxa" w:w="2592"/>
            <w:vAlign w:val="center"/>
            <w:tcMar>
              <w:top w:w="50" w:type="dxa"/>
              <w:bottom w:w="50" w:type="dxa"/>
              <w:start w:w="60" w:type="dxa"/>
              <w:end w:w="60" w:type="dxa"/>
            </w:tcMar>
          </w:tcPr>
          <w:p>
            <w:pPr>
              <w:pStyle w:val="TableText"/>
            </w:pPr>
            <w:r/>
            <w:r>
              <w:rPr>
                <w:b w:val="0"/>
              </w:rPr>
              <w:t>Clinical wording or rule change</w:t>
            </w:r>
          </w:p>
        </w:tc>
        <w:tc>
          <w:tcPr>
            <w:tcW w:type="dxa" w:w="7920"/>
            <w:vAlign w:val="center"/>
            <w:tcMar>
              <w:top w:w="50" w:type="dxa"/>
              <w:bottom w:w="50" w:type="dxa"/>
              <w:start w:w="60" w:type="dxa"/>
              <w:end w:w="60" w:type="dxa"/>
            </w:tcMar>
          </w:tcPr>
          <w:p>
            <w:pPr>
              <w:pStyle w:val="TableText"/>
            </w:pPr>
            <w:r/>
            <w:r>
              <w:rPr>
                <w:b w:val="0"/>
              </w:rPr>
              <w:t>Qualified explanation of what changed, why, effective date, limitations, and required action.</w:t>
            </w:r>
          </w:p>
        </w:tc>
      </w:tr>
      <w:tr>
        <w:trPr>
          <w:cantSplit/>
        </w:trPr>
        <w:tc>
          <w:tcPr>
            <w:tcW w:type="dxa" w:w="2592"/>
            <w:vAlign w:val="center"/>
            <w:tcMar>
              <w:top w:w="50" w:type="dxa"/>
              <w:bottom w:w="50" w:type="dxa"/>
              <w:start w:w="60" w:type="dxa"/>
              <w:end w:w="60" w:type="dxa"/>
            </w:tcMar>
            <w:shd w:fill="EDF4FA"/>
          </w:tcPr>
          <w:p>
            <w:pPr>
              <w:pStyle w:val="TableText"/>
            </w:pPr>
            <w:r/>
            <w:r>
              <w:rPr>
                <w:b w:val="0"/>
              </w:rPr>
              <w:t>Model change</w:t>
            </w:r>
          </w:p>
        </w:tc>
        <w:tc>
          <w:tcPr>
            <w:tcW w:type="dxa" w:w="7920"/>
            <w:vAlign w:val="center"/>
            <w:tcMar>
              <w:top w:w="50" w:type="dxa"/>
              <w:bottom w:w="50" w:type="dxa"/>
              <w:start w:w="60" w:type="dxa"/>
              <w:end w:w="60" w:type="dxa"/>
            </w:tcMar>
            <w:shd w:fill="EDF4FA"/>
          </w:tcPr>
          <w:p>
            <w:pPr>
              <w:pStyle w:val="TableText"/>
            </w:pPr>
            <w:r/>
            <w:r>
              <w:rPr>
                <w:b w:val="0"/>
              </w:rPr>
              <w:t>Do not communicate as “more accurate” without defined evidence; explain role, unchanged rule precedence and limitations.</w:t>
            </w:r>
          </w:p>
        </w:tc>
      </w:tr>
      <w:tr>
        <w:trPr>
          <w:cantSplit/>
        </w:trPr>
        <w:tc>
          <w:tcPr>
            <w:tcW w:type="dxa" w:w="2592"/>
            <w:vAlign w:val="center"/>
            <w:tcMar>
              <w:top w:w="50" w:type="dxa"/>
              <w:bottom w:w="50" w:type="dxa"/>
              <w:start w:w="60" w:type="dxa"/>
              <w:end w:w="60" w:type="dxa"/>
            </w:tcMar>
          </w:tcPr>
          <w:p>
            <w:pPr>
              <w:pStyle w:val="TableText"/>
            </w:pPr>
            <w:r/>
            <w:r>
              <w:rPr>
                <w:b w:val="0"/>
              </w:rPr>
              <w:t>Downtime/workaround</w:t>
            </w:r>
          </w:p>
        </w:tc>
        <w:tc>
          <w:tcPr>
            <w:tcW w:type="dxa" w:w="7920"/>
            <w:vAlign w:val="center"/>
            <w:tcMar>
              <w:top w:w="50" w:type="dxa"/>
              <w:bottom w:w="50" w:type="dxa"/>
              <w:start w:w="60" w:type="dxa"/>
              <w:end w:w="60" w:type="dxa"/>
            </w:tcMar>
          </w:tcPr>
          <w:p>
            <w:pPr>
              <w:pStyle w:val="TableText"/>
            </w:pPr>
            <w:r/>
            <w:r>
              <w:rPr>
                <w:b w:val="0"/>
              </w:rPr>
              <w:t>State start, expected duration, paper/manual process, data-entry reconciliation and contact person.</w:t>
            </w:r>
          </w:p>
        </w:tc>
      </w:tr>
      <w:tr>
        <w:trPr>
          <w:cantSplit/>
        </w:trPr>
        <w:tc>
          <w:tcPr>
            <w:tcW w:type="dxa" w:w="2592"/>
            <w:vAlign w:val="center"/>
            <w:tcMar>
              <w:top w:w="50" w:type="dxa"/>
              <w:bottom w:w="50" w:type="dxa"/>
              <w:start w:w="60" w:type="dxa"/>
              <w:end w:w="60" w:type="dxa"/>
            </w:tcMar>
            <w:shd w:fill="EDF4FA"/>
          </w:tcPr>
          <w:p>
            <w:pPr>
              <w:pStyle w:val="TableText"/>
            </w:pPr>
            <w:r/>
            <w:r>
              <w:rPr>
                <w:b w:val="0"/>
              </w:rPr>
              <w:t>Incident correction</w:t>
            </w:r>
          </w:p>
        </w:tc>
        <w:tc>
          <w:tcPr>
            <w:tcW w:type="dxa" w:w="7920"/>
            <w:vAlign w:val="center"/>
            <w:tcMar>
              <w:top w:w="50" w:type="dxa"/>
              <w:bottom w:w="50" w:type="dxa"/>
              <w:start w:w="60" w:type="dxa"/>
              <w:end w:w="60" w:type="dxa"/>
            </w:tcMar>
            <w:shd w:fill="EDF4FA"/>
          </w:tcPr>
          <w:p>
            <w:pPr>
              <w:pStyle w:val="TableText"/>
            </w:pPr>
            <w:r/>
            <w:r>
              <w:rPr>
                <w:b w:val="0"/>
              </w:rPr>
              <w:t>Provide proportionate factual notice, affected period/function, safe action, and avoid unsupported reassurance or blame.</w:t>
            </w:r>
          </w:p>
        </w:tc>
      </w:tr>
    </w:tbl>
    <w:p>
      <w:pPr>
        <w:spacing w:after="20"/>
      </w:pPr>
    </w:p>
    <w:p>
      <w:pPr>
        <w:pStyle w:val="Heading1"/>
      </w:pPr>
      <w:r>
        <w:t>16. Technical Implementation Mapping</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592"/>
            <w:vAlign w:val="center"/>
            <w:tcMar>
              <w:top w:w="50" w:type="dxa"/>
              <w:bottom w:w="50" w:type="dxa"/>
              <w:start w:w="60" w:type="dxa"/>
              <w:end w:w="60" w:type="dxa"/>
            </w:tcMar>
            <w:shd w:fill="17365D"/>
          </w:tcPr>
          <w:p>
            <w:pPr>
              <w:pStyle w:val="TableHeader"/>
            </w:pPr>
            <w:r/>
            <w:r>
              <w:rPr>
                <w:b/>
                <w:color w:val="FFFFFF"/>
              </w:rPr>
              <w:t>Framework concept</w:t>
            </w:r>
          </w:p>
        </w:tc>
        <w:tc>
          <w:tcPr>
            <w:tcW w:type="dxa" w:w="7920"/>
            <w:vAlign w:val="center"/>
            <w:tcMar>
              <w:top w:w="50" w:type="dxa"/>
              <w:bottom w:w="50" w:type="dxa"/>
              <w:start w:w="60" w:type="dxa"/>
              <w:end w:w="60" w:type="dxa"/>
            </w:tcMar>
            <w:shd w:fill="17365D"/>
          </w:tcPr>
          <w:p>
            <w:pPr>
              <w:pStyle w:val="TableHeader"/>
            </w:pPr>
            <w:r/>
            <w:r>
              <w:rPr>
                <w:b/>
                <w:color w:val="FFFFFF"/>
              </w:rPr>
              <w:t>Suggested implementation artifact</w:t>
            </w:r>
          </w:p>
        </w:tc>
      </w:tr>
      <w:tr>
        <w:trPr>
          <w:cantSplit/>
        </w:trPr>
        <w:tc>
          <w:tcPr>
            <w:tcW w:type="dxa" w:w="2592"/>
            <w:vAlign w:val="center"/>
            <w:tcMar>
              <w:top w:w="50" w:type="dxa"/>
              <w:bottom w:w="50" w:type="dxa"/>
              <w:start w:w="60" w:type="dxa"/>
              <w:end w:w="60" w:type="dxa"/>
            </w:tcMar>
          </w:tcPr>
          <w:p>
            <w:pPr>
              <w:pStyle w:val="TableText"/>
            </w:pPr>
            <w:r/>
            <w:r>
              <w:rPr>
                <w:b w:val="0"/>
              </w:rPr>
              <w:t>Change request</w:t>
            </w:r>
          </w:p>
        </w:tc>
        <w:tc>
          <w:tcPr>
            <w:tcW w:type="dxa" w:w="7920"/>
            <w:vAlign w:val="center"/>
            <w:tcMar>
              <w:top w:w="50" w:type="dxa"/>
              <w:bottom w:w="50" w:type="dxa"/>
              <w:start w:w="60" w:type="dxa"/>
              <w:end w:w="60" w:type="dxa"/>
            </w:tcMar>
          </w:tcPr>
          <w:p>
            <w:pPr>
              <w:pStyle w:val="TableText"/>
            </w:pPr>
            <w:r/>
            <w:r>
              <w:rPr>
                <w:b w:val="0"/>
              </w:rPr>
              <w:t>change_requests table or controlled repository issue with type, risk, owner, status and approvals.</w:t>
            </w:r>
          </w:p>
        </w:tc>
      </w:tr>
      <w:tr>
        <w:trPr>
          <w:cantSplit/>
        </w:trPr>
        <w:tc>
          <w:tcPr>
            <w:tcW w:type="dxa" w:w="2592"/>
            <w:vAlign w:val="center"/>
            <w:tcMar>
              <w:top w:w="50" w:type="dxa"/>
              <w:bottom w:w="50" w:type="dxa"/>
              <w:start w:w="60" w:type="dxa"/>
              <w:end w:w="60" w:type="dxa"/>
            </w:tcMar>
            <w:shd w:fill="EDF4FA"/>
          </w:tcPr>
          <w:p>
            <w:pPr>
              <w:pStyle w:val="TableText"/>
            </w:pPr>
            <w:r/>
            <w:r>
              <w:rPr>
                <w:b w:val="0"/>
              </w:rPr>
              <w:t>Release registry</w:t>
            </w:r>
          </w:p>
        </w:tc>
        <w:tc>
          <w:tcPr>
            <w:tcW w:type="dxa" w:w="7920"/>
            <w:vAlign w:val="center"/>
            <w:tcMar>
              <w:top w:w="50" w:type="dxa"/>
              <w:bottom w:w="50" w:type="dxa"/>
              <w:start w:w="60" w:type="dxa"/>
              <w:end w:w="60" w:type="dxa"/>
            </w:tcMar>
            <w:shd w:fill="EDF4FA"/>
          </w:tcPr>
          <w:p>
            <w:pPr>
              <w:pStyle w:val="TableText"/>
            </w:pPr>
            <w:r/>
            <w:r>
              <w:rPr>
                <w:b w:val="0"/>
              </w:rPr>
              <w:t>releases table: application_version, commit, deployed_at, environment, approver, rollback target.</w:t>
            </w:r>
          </w:p>
        </w:tc>
      </w:tr>
      <w:tr>
        <w:trPr>
          <w:cantSplit/>
        </w:trPr>
        <w:tc>
          <w:tcPr>
            <w:tcW w:type="dxa" w:w="2592"/>
            <w:vAlign w:val="center"/>
            <w:tcMar>
              <w:top w:w="50" w:type="dxa"/>
              <w:bottom w:w="50" w:type="dxa"/>
              <w:start w:w="60" w:type="dxa"/>
              <w:end w:w="60" w:type="dxa"/>
            </w:tcMar>
          </w:tcPr>
          <w:p>
            <w:pPr>
              <w:pStyle w:val="TableText"/>
            </w:pPr>
            <w:r/>
            <w:r>
              <w:rPr>
                <w:b w:val="0"/>
              </w:rPr>
              <w:t>Clinical knowledge registry</w:t>
            </w:r>
          </w:p>
        </w:tc>
        <w:tc>
          <w:tcPr>
            <w:tcW w:type="dxa" w:w="7920"/>
            <w:vAlign w:val="center"/>
            <w:tcMar>
              <w:top w:w="50" w:type="dxa"/>
              <w:bottom w:w="50" w:type="dxa"/>
              <w:start w:w="60" w:type="dxa"/>
              <w:end w:w="60" w:type="dxa"/>
            </w:tcMar>
          </w:tcPr>
          <w:p>
            <w:pPr>
              <w:pStyle w:val="TableText"/>
            </w:pPr>
            <w:r/>
            <w:r>
              <w:rPr>
                <w:b w:val="0"/>
              </w:rPr>
              <w:t>rule_sets and rule_definitions with version, effective dates, evidence and approval metadata.</w:t>
            </w:r>
          </w:p>
        </w:tc>
      </w:tr>
      <w:tr>
        <w:trPr>
          <w:cantSplit/>
        </w:trPr>
        <w:tc>
          <w:tcPr>
            <w:tcW w:type="dxa" w:w="2592"/>
            <w:vAlign w:val="center"/>
            <w:tcMar>
              <w:top w:w="50" w:type="dxa"/>
              <w:bottom w:w="50" w:type="dxa"/>
              <w:start w:w="60" w:type="dxa"/>
              <w:end w:w="60" w:type="dxa"/>
            </w:tcMar>
            <w:shd w:fill="EDF4FA"/>
          </w:tcPr>
          <w:p>
            <w:pPr>
              <w:pStyle w:val="TableText"/>
            </w:pPr>
            <w:r/>
            <w:r>
              <w:rPr>
                <w:b w:val="0"/>
              </w:rPr>
              <w:t>Model registry</w:t>
            </w:r>
          </w:p>
        </w:tc>
        <w:tc>
          <w:tcPr>
            <w:tcW w:type="dxa" w:w="7920"/>
            <w:vAlign w:val="center"/>
            <w:tcMar>
              <w:top w:w="50" w:type="dxa"/>
              <w:bottom w:w="50" w:type="dxa"/>
              <w:start w:w="60" w:type="dxa"/>
              <w:end w:w="60" w:type="dxa"/>
            </w:tcMar>
            <w:shd w:fill="EDF4FA"/>
          </w:tcPr>
          <w:p>
            <w:pPr>
              <w:pStyle w:val="TableText"/>
            </w:pPr>
            <w:r/>
            <w:r>
              <w:rPr>
                <w:b w:val="0"/>
              </w:rPr>
              <w:t>model_versions with hash, feature_schema_version, evaluation summary, status and artifact location.</w:t>
            </w:r>
          </w:p>
        </w:tc>
      </w:tr>
      <w:tr>
        <w:trPr>
          <w:cantSplit/>
        </w:trPr>
        <w:tc>
          <w:tcPr>
            <w:tcW w:type="dxa" w:w="2592"/>
            <w:vAlign w:val="center"/>
            <w:tcMar>
              <w:top w:w="50" w:type="dxa"/>
              <w:bottom w:w="50" w:type="dxa"/>
              <w:start w:w="60" w:type="dxa"/>
              <w:end w:w="60" w:type="dxa"/>
            </w:tcMar>
          </w:tcPr>
          <w:p>
            <w:pPr>
              <w:pStyle w:val="TableText"/>
            </w:pPr>
            <w:r/>
            <w:r>
              <w:rPr>
                <w:b w:val="0"/>
              </w:rPr>
              <w:t>Assessment provenance</w:t>
            </w:r>
          </w:p>
        </w:tc>
        <w:tc>
          <w:tcPr>
            <w:tcW w:type="dxa" w:w="7920"/>
            <w:vAlign w:val="center"/>
            <w:tcMar>
              <w:top w:w="50" w:type="dxa"/>
              <w:bottom w:w="50" w:type="dxa"/>
              <w:start w:w="60" w:type="dxa"/>
              <w:end w:w="60" w:type="dxa"/>
            </w:tcMar>
          </w:tcPr>
          <w:p>
            <w:pPr>
              <w:pStyle w:val="TableText"/>
            </w:pPr>
            <w:r/>
            <w:r>
              <w:rPr>
                <w:b w:val="0"/>
              </w:rPr>
              <w:t>Persist version identifiers and patient-specific factors with each assessment snapshot.</w:t>
            </w:r>
          </w:p>
        </w:tc>
      </w:tr>
      <w:tr>
        <w:trPr>
          <w:cantSplit/>
        </w:trPr>
        <w:tc>
          <w:tcPr>
            <w:tcW w:type="dxa" w:w="2592"/>
            <w:vAlign w:val="center"/>
            <w:tcMar>
              <w:top w:w="50" w:type="dxa"/>
              <w:bottom w:w="50" w:type="dxa"/>
              <w:start w:w="60" w:type="dxa"/>
              <w:end w:w="60" w:type="dxa"/>
            </w:tcMar>
            <w:shd w:fill="EDF4FA"/>
          </w:tcPr>
          <w:p>
            <w:pPr>
              <w:pStyle w:val="TableText"/>
            </w:pPr>
            <w:r/>
            <w:r>
              <w:rPr>
                <w:b w:val="0"/>
              </w:rPr>
              <w:t>Deployment evidence</w:t>
            </w:r>
          </w:p>
        </w:tc>
        <w:tc>
          <w:tcPr>
            <w:tcW w:type="dxa" w:w="7920"/>
            <w:vAlign w:val="center"/>
            <w:tcMar>
              <w:top w:w="50" w:type="dxa"/>
              <w:bottom w:w="50" w:type="dxa"/>
              <w:start w:w="60" w:type="dxa"/>
              <w:end w:w="60" w:type="dxa"/>
            </w:tcMar>
            <w:shd w:fill="EDF4FA"/>
          </w:tcPr>
          <w:p>
            <w:pPr>
              <w:pStyle w:val="TableText"/>
            </w:pPr>
            <w:r/>
            <w:r>
              <w:rPr>
                <w:b w:val="0"/>
              </w:rPr>
              <w:t>Release checklist, migration logs, smoke-test results, backup/restore evidence and monitoring window.</w:t>
            </w:r>
          </w:p>
        </w:tc>
      </w:tr>
      <w:tr>
        <w:trPr>
          <w:cantSplit/>
        </w:trPr>
        <w:tc>
          <w:tcPr>
            <w:tcW w:type="dxa" w:w="2592"/>
            <w:vAlign w:val="center"/>
            <w:tcMar>
              <w:top w:w="50" w:type="dxa"/>
              <w:bottom w:w="50" w:type="dxa"/>
              <w:start w:w="60" w:type="dxa"/>
              <w:end w:w="60" w:type="dxa"/>
            </w:tcMar>
          </w:tcPr>
          <w:p>
            <w:pPr>
              <w:pStyle w:val="TableText"/>
            </w:pPr>
            <w:r/>
            <w:r>
              <w:rPr>
                <w:b w:val="0"/>
              </w:rPr>
              <w:t>Incident management</w:t>
            </w:r>
          </w:p>
        </w:tc>
        <w:tc>
          <w:tcPr>
            <w:tcW w:type="dxa" w:w="7920"/>
            <w:vAlign w:val="center"/>
            <w:tcMar>
              <w:top w:w="50" w:type="dxa"/>
              <w:bottom w:w="50" w:type="dxa"/>
              <w:start w:w="60" w:type="dxa"/>
              <w:end w:w="60" w:type="dxa"/>
            </w:tcMar>
          </w:tcPr>
          <w:p>
            <w:pPr>
              <w:pStyle w:val="TableText"/>
            </w:pPr>
            <w:r/>
            <w:r>
              <w:rPr>
                <w:b w:val="0"/>
              </w:rPr>
              <w:t>incidents, affected_records, containment, root cause, CAPA, effectiveness check and closure.</w:t>
            </w:r>
          </w:p>
        </w:tc>
      </w:tr>
      <w:tr>
        <w:trPr>
          <w:cantSplit/>
        </w:trPr>
        <w:tc>
          <w:tcPr>
            <w:tcW w:type="dxa" w:w="2592"/>
            <w:vAlign w:val="center"/>
            <w:tcMar>
              <w:top w:w="50" w:type="dxa"/>
              <w:bottom w:w="50" w:type="dxa"/>
              <w:start w:w="60" w:type="dxa"/>
              <w:end w:w="60" w:type="dxa"/>
            </w:tcMar>
            <w:shd w:fill="EDF4FA"/>
          </w:tcPr>
          <w:p>
            <w:pPr>
              <w:pStyle w:val="TableText"/>
            </w:pPr>
            <w:r/>
            <w:r>
              <w:rPr>
                <w:b w:val="0"/>
              </w:rPr>
              <w:t>Monitoring</w:t>
            </w:r>
          </w:p>
        </w:tc>
        <w:tc>
          <w:tcPr>
            <w:tcW w:type="dxa" w:w="7920"/>
            <w:vAlign w:val="center"/>
            <w:tcMar>
              <w:top w:w="50" w:type="dxa"/>
              <w:bottom w:w="50" w:type="dxa"/>
              <w:start w:w="60" w:type="dxa"/>
              <w:end w:w="60" w:type="dxa"/>
            </w:tcMar>
            <w:shd w:fill="EDF4FA"/>
          </w:tcPr>
          <w:p>
            <w:pPr>
              <w:pStyle w:val="TableText"/>
            </w:pPr>
            <w:r/>
            <w:r>
              <w:rPr>
                <w:b w:val="0"/>
              </w:rPr>
              <w:t>Scheduled aggregate jobs/dashboard with privacy-minimized metrics and alert thresholds.</w:t>
            </w:r>
          </w:p>
        </w:tc>
      </w:tr>
      <w:tr>
        <w:trPr>
          <w:cantSplit/>
        </w:trPr>
        <w:tc>
          <w:tcPr>
            <w:tcW w:type="dxa" w:w="2592"/>
            <w:vAlign w:val="center"/>
            <w:tcMar>
              <w:top w:w="50" w:type="dxa"/>
              <w:bottom w:w="50" w:type="dxa"/>
              <w:start w:w="60" w:type="dxa"/>
              <w:end w:w="60" w:type="dxa"/>
            </w:tcMar>
          </w:tcPr>
          <w:p>
            <w:pPr>
              <w:pStyle w:val="TableText"/>
            </w:pPr>
            <w:r/>
            <w:r>
              <w:rPr>
                <w:b w:val="0"/>
              </w:rPr>
              <w:t>Feature flags</w:t>
            </w:r>
          </w:p>
        </w:tc>
        <w:tc>
          <w:tcPr>
            <w:tcW w:type="dxa" w:w="7920"/>
            <w:vAlign w:val="center"/>
            <w:tcMar>
              <w:top w:w="50" w:type="dxa"/>
              <w:bottom w:w="50" w:type="dxa"/>
              <w:start w:w="60" w:type="dxa"/>
              <w:end w:w="60" w:type="dxa"/>
            </w:tcMar>
          </w:tcPr>
          <w:p>
            <w:pPr>
              <w:pStyle w:val="TableText"/>
            </w:pPr>
            <w:r/>
            <w:r>
              <w:rPr>
                <w:b w:val="0"/>
              </w:rPr>
              <w:t>Server-side controlled flags with audit, expiry and environment scope.</w:t>
            </w:r>
          </w:p>
        </w:tc>
      </w:tr>
      <w:tr>
        <w:trPr>
          <w:cantSplit/>
        </w:trPr>
        <w:tc>
          <w:tcPr>
            <w:tcW w:type="dxa" w:w="2592"/>
            <w:vAlign w:val="center"/>
            <w:tcMar>
              <w:top w:w="50" w:type="dxa"/>
              <w:bottom w:w="50" w:type="dxa"/>
              <w:start w:w="60" w:type="dxa"/>
              <w:end w:w="60" w:type="dxa"/>
            </w:tcMar>
            <w:shd w:fill="EDF4FA"/>
          </w:tcPr>
          <w:p>
            <w:pPr>
              <w:pStyle w:val="TableText"/>
            </w:pPr>
            <w:r/>
            <w:r>
              <w:rPr>
                <w:b w:val="0"/>
              </w:rPr>
              <w:t>Retirement</w:t>
            </w:r>
          </w:p>
        </w:tc>
        <w:tc>
          <w:tcPr>
            <w:tcW w:type="dxa" w:w="7920"/>
            <w:vAlign w:val="center"/>
            <w:tcMar>
              <w:top w:w="50" w:type="dxa"/>
              <w:bottom w:w="50" w:type="dxa"/>
              <w:start w:w="60" w:type="dxa"/>
              <w:end w:w="60" w:type="dxa"/>
            </w:tcMar>
            <w:shd w:fill="EDF4FA"/>
          </w:tcPr>
          <w:p>
            <w:pPr>
              <w:pStyle w:val="TableText"/>
            </w:pPr>
            <w:r/>
            <w:r>
              <w:rPr>
                <w:b w:val="0"/>
              </w:rPr>
              <w:t>system_retirement_plan, export manifest, archive verification and access/retention decisions.</w:t>
            </w:r>
          </w:p>
        </w:tc>
      </w:tr>
    </w:tbl>
    <w:p>
      <w:pPr>
        <w:spacing w:after="20"/>
      </w:pPr>
    </w:p>
    <w:p>
      <w:pPr>
        <w:pStyle w:val="Code"/>
        <w:ind w:left="259" w:right="173"/>
      </w:pPr>
      <w:r>
        <w:t>// Conceptual release manifest</w:t>
        <w:br/>
        <w:t>{</w:t>
        <w:br/>
        <w:t xml:space="preserve">  "application": "6.11.0",</w:t>
        <w:br/>
        <w:t xml:space="preserve">  "rule_set": "RF-2026-01",</w:t>
        <w:br/>
        <w:t xml:space="preserve">  "model": "RF-MAT-003",</w:t>
        <w:br/>
        <w:t xml:space="preserve">  "feature_schema": "FS-002",</w:t>
        <w:br/>
        <w:t xml:space="preserve">  "explanation_library": "EXP-004",</w:t>
        <w:br/>
        <w:t xml:space="preserve">  "database_schema": "DB-019",</w:t>
        <w:br/>
        <w:t xml:space="preserve">  "commit": "&lt;immutable hash&gt;",</w:t>
        <w:br/>
        <w:t xml:space="preserve">  "rollback_release": "6.10.2"</w:t>
        <w:br/>
        <w:t>}</w:t>
      </w:r>
    </w:p>
    <w:p>
      <w:pPr>
        <w:pStyle w:val="Heading1"/>
      </w:pPr>
      <w:r>
        <w:t>17. Maintenance Validation Scenarios</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792"/>
            <w:vAlign w:val="center"/>
            <w:tcMar>
              <w:top w:w="50" w:type="dxa"/>
              <w:bottom w:w="50" w:type="dxa"/>
              <w:start w:w="60" w:type="dxa"/>
              <w:end w:w="60" w:type="dxa"/>
            </w:tcMar>
            <w:shd w:fill="17365D"/>
          </w:tcPr>
          <w:p>
            <w:pPr>
              <w:pStyle w:val="TableHeader"/>
            </w:pPr>
            <w:r/>
            <w:r>
              <w:rPr>
                <w:b/>
                <w:color w:val="FFFFFF"/>
              </w:rPr>
              <w:t>ID</w:t>
            </w:r>
          </w:p>
        </w:tc>
        <w:tc>
          <w:tcPr>
            <w:tcW w:type="dxa" w:w="3384"/>
            <w:vAlign w:val="center"/>
            <w:tcMar>
              <w:top w:w="50" w:type="dxa"/>
              <w:bottom w:w="50" w:type="dxa"/>
              <w:start w:w="60" w:type="dxa"/>
              <w:end w:w="60" w:type="dxa"/>
            </w:tcMar>
            <w:shd w:fill="17365D"/>
          </w:tcPr>
          <w:p>
            <w:pPr>
              <w:pStyle w:val="TableHeader"/>
            </w:pPr>
            <w:r/>
            <w:r>
              <w:rPr>
                <w:b/>
                <w:color w:val="FFFFFF"/>
              </w:rPr>
              <w:t>Scenario</w:t>
            </w:r>
          </w:p>
        </w:tc>
        <w:tc>
          <w:tcPr>
            <w:tcW w:type="dxa" w:w="5832"/>
            <w:vAlign w:val="center"/>
            <w:tcMar>
              <w:top w:w="50" w:type="dxa"/>
              <w:bottom w:w="50" w:type="dxa"/>
              <w:start w:w="60" w:type="dxa"/>
              <w:end w:w="60" w:type="dxa"/>
            </w:tcMar>
            <w:shd w:fill="17365D"/>
          </w:tcPr>
          <w:p>
            <w:pPr>
              <w:pStyle w:val="TableHeader"/>
            </w:pPr>
            <w:r/>
            <w:r>
              <w:rPr>
                <w:b/>
                <w:color w:val="FFFFFF"/>
              </w:rPr>
              <w:t>Expected maintenance behavior</w:t>
            </w:r>
          </w:p>
        </w:tc>
      </w:tr>
      <w:tr>
        <w:trPr>
          <w:cantSplit/>
        </w:trPr>
        <w:tc>
          <w:tcPr>
            <w:tcW w:type="dxa" w:w="792"/>
            <w:vAlign w:val="center"/>
            <w:tcMar>
              <w:top w:w="50" w:type="dxa"/>
              <w:bottom w:w="50" w:type="dxa"/>
              <w:start w:w="60" w:type="dxa"/>
              <w:end w:w="60" w:type="dxa"/>
            </w:tcMar>
          </w:tcPr>
          <w:p>
            <w:pPr>
              <w:pStyle w:val="TableText"/>
            </w:pPr>
            <w:r/>
            <w:r>
              <w:rPr>
                <w:b w:val="0"/>
              </w:rPr>
              <w:t>M01</w:t>
            </w:r>
          </w:p>
        </w:tc>
        <w:tc>
          <w:tcPr>
            <w:tcW w:type="dxa" w:w="3384"/>
            <w:vAlign w:val="center"/>
            <w:tcMar>
              <w:top w:w="50" w:type="dxa"/>
              <w:bottom w:w="50" w:type="dxa"/>
              <w:start w:w="60" w:type="dxa"/>
              <w:end w:w="60" w:type="dxa"/>
            </w:tcMar>
          </w:tcPr>
          <w:p>
            <w:pPr>
              <w:pStyle w:val="TableText"/>
            </w:pPr>
            <w:r/>
            <w:r>
              <w:rPr>
                <w:b w:val="0"/>
              </w:rPr>
              <w:t>Framework security patch</w:t>
            </w:r>
          </w:p>
        </w:tc>
        <w:tc>
          <w:tcPr>
            <w:tcW w:type="dxa" w:w="5832"/>
            <w:vAlign w:val="center"/>
            <w:tcMar>
              <w:top w:w="50" w:type="dxa"/>
              <w:bottom w:w="50" w:type="dxa"/>
              <w:start w:w="60" w:type="dxa"/>
              <w:end w:w="60" w:type="dxa"/>
            </w:tcMar>
          </w:tcPr>
          <w:p>
            <w:pPr>
              <w:pStyle w:val="TableText"/>
            </w:pPr>
            <w:r/>
            <w:r>
              <w:rPr>
                <w:b w:val="0"/>
              </w:rPr>
              <w:t>All risk-state and workflow regression tests remain unchanged.</w:t>
            </w:r>
          </w:p>
        </w:tc>
      </w:tr>
      <w:tr>
        <w:trPr>
          <w:cantSplit/>
        </w:trPr>
        <w:tc>
          <w:tcPr>
            <w:tcW w:type="dxa" w:w="792"/>
            <w:vAlign w:val="center"/>
            <w:tcMar>
              <w:top w:w="50" w:type="dxa"/>
              <w:bottom w:w="50" w:type="dxa"/>
              <w:start w:w="60" w:type="dxa"/>
              <w:end w:w="60" w:type="dxa"/>
            </w:tcMar>
            <w:shd w:fill="EDF4FA"/>
          </w:tcPr>
          <w:p>
            <w:pPr>
              <w:pStyle w:val="TableText"/>
            </w:pPr>
            <w:r/>
            <w:r>
              <w:rPr>
                <w:b w:val="0"/>
              </w:rPr>
              <w:t>M02</w:t>
            </w:r>
          </w:p>
        </w:tc>
        <w:tc>
          <w:tcPr>
            <w:tcW w:type="dxa" w:w="3384"/>
            <w:vAlign w:val="center"/>
            <w:tcMar>
              <w:top w:w="50" w:type="dxa"/>
              <w:bottom w:w="50" w:type="dxa"/>
              <w:start w:w="60" w:type="dxa"/>
              <w:end w:w="60" w:type="dxa"/>
            </w:tcMar>
            <w:shd w:fill="EDF4FA"/>
          </w:tcPr>
          <w:p>
            <w:pPr>
              <w:pStyle w:val="TableText"/>
            </w:pPr>
            <w:r/>
            <w:r>
              <w:rPr>
                <w:b w:val="0"/>
              </w:rPr>
              <w:t>Python minor-version upgrade</w:t>
            </w:r>
          </w:p>
        </w:tc>
        <w:tc>
          <w:tcPr>
            <w:tcW w:type="dxa" w:w="5832"/>
            <w:vAlign w:val="center"/>
            <w:tcMar>
              <w:top w:w="50" w:type="dxa"/>
              <w:bottom w:w="50" w:type="dxa"/>
              <w:start w:w="60" w:type="dxa"/>
              <w:end w:w="60" w:type="dxa"/>
            </w:tcMar>
            <w:shd w:fill="EDF4FA"/>
          </w:tcPr>
          <w:p>
            <w:pPr>
              <w:pStyle w:val="TableText"/>
            </w:pPr>
            <w:r/>
            <w:r>
              <w:rPr>
                <w:b w:val="0"/>
              </w:rPr>
              <w:t>Model loads; feature order and outputs remain within approved equivalence evidence.</w:t>
            </w:r>
          </w:p>
        </w:tc>
      </w:tr>
      <w:tr>
        <w:trPr>
          <w:cantSplit/>
        </w:trPr>
        <w:tc>
          <w:tcPr>
            <w:tcW w:type="dxa" w:w="792"/>
            <w:vAlign w:val="center"/>
            <w:tcMar>
              <w:top w:w="50" w:type="dxa"/>
              <w:bottom w:w="50" w:type="dxa"/>
              <w:start w:w="60" w:type="dxa"/>
              <w:end w:w="60" w:type="dxa"/>
            </w:tcMar>
          </w:tcPr>
          <w:p>
            <w:pPr>
              <w:pStyle w:val="TableText"/>
            </w:pPr>
            <w:r/>
            <w:r>
              <w:rPr>
                <w:b w:val="0"/>
              </w:rPr>
              <w:t>M03</w:t>
            </w:r>
          </w:p>
        </w:tc>
        <w:tc>
          <w:tcPr>
            <w:tcW w:type="dxa" w:w="3384"/>
            <w:vAlign w:val="center"/>
            <w:tcMar>
              <w:top w:w="50" w:type="dxa"/>
              <w:bottom w:w="50" w:type="dxa"/>
              <w:start w:w="60" w:type="dxa"/>
              <w:end w:w="60" w:type="dxa"/>
            </w:tcMar>
          </w:tcPr>
          <w:p>
            <w:pPr>
              <w:pStyle w:val="TableText"/>
            </w:pPr>
            <w:r/>
            <w:r>
              <w:rPr>
                <w:b w:val="0"/>
              </w:rPr>
              <w:t>Model file missing</w:t>
            </w:r>
          </w:p>
        </w:tc>
        <w:tc>
          <w:tcPr>
            <w:tcW w:type="dxa" w:w="5832"/>
            <w:vAlign w:val="center"/>
            <w:tcMar>
              <w:top w:w="50" w:type="dxa"/>
              <w:bottom w:w="50" w:type="dxa"/>
              <w:start w:w="60" w:type="dxa"/>
              <w:end w:w="60" w:type="dxa"/>
            </w:tcMar>
          </w:tcPr>
          <w:p>
            <w:pPr>
              <w:pStyle w:val="TableText"/>
            </w:pPr>
            <w:r/>
            <w:r>
              <w:rPr>
                <w:b w:val="0"/>
              </w:rPr>
              <w:t>ML is invalid; no assumed LOW; failure is logged and visible.</w:t>
            </w:r>
          </w:p>
        </w:tc>
      </w:tr>
      <w:tr>
        <w:trPr>
          <w:cantSplit/>
        </w:trPr>
        <w:tc>
          <w:tcPr>
            <w:tcW w:type="dxa" w:w="792"/>
            <w:vAlign w:val="center"/>
            <w:tcMar>
              <w:top w:w="50" w:type="dxa"/>
              <w:bottom w:w="50" w:type="dxa"/>
              <w:start w:w="60" w:type="dxa"/>
              <w:end w:w="60" w:type="dxa"/>
            </w:tcMar>
            <w:shd w:fill="EDF4FA"/>
          </w:tcPr>
          <w:p>
            <w:pPr>
              <w:pStyle w:val="TableText"/>
            </w:pPr>
            <w:r/>
            <w:r>
              <w:rPr>
                <w:b w:val="0"/>
              </w:rPr>
              <w:t>M04</w:t>
            </w:r>
          </w:p>
        </w:tc>
        <w:tc>
          <w:tcPr>
            <w:tcW w:type="dxa" w:w="3384"/>
            <w:vAlign w:val="center"/>
            <w:tcMar>
              <w:top w:w="50" w:type="dxa"/>
              <w:bottom w:w="50" w:type="dxa"/>
              <w:start w:w="60" w:type="dxa"/>
              <w:end w:w="60" w:type="dxa"/>
            </w:tcMar>
            <w:shd w:fill="EDF4FA"/>
          </w:tcPr>
          <w:p>
            <w:pPr>
              <w:pStyle w:val="TableText"/>
            </w:pPr>
            <w:r/>
            <w:r>
              <w:rPr>
                <w:b w:val="0"/>
              </w:rPr>
              <w:t>Model checksum mismatch</w:t>
            </w:r>
          </w:p>
        </w:tc>
        <w:tc>
          <w:tcPr>
            <w:tcW w:type="dxa" w:w="5832"/>
            <w:vAlign w:val="center"/>
            <w:tcMar>
              <w:top w:w="50" w:type="dxa"/>
              <w:bottom w:w="50" w:type="dxa"/>
              <w:start w:w="60" w:type="dxa"/>
              <w:end w:w="60" w:type="dxa"/>
            </w:tcMar>
            <w:shd w:fill="EDF4FA"/>
          </w:tcPr>
          <w:p>
            <w:pPr>
              <w:pStyle w:val="TableText"/>
            </w:pPr>
            <w:r/>
            <w:r>
              <w:rPr>
                <w:b w:val="0"/>
              </w:rPr>
              <w:t>Deployment/health check rejects the unapproved artifact.</w:t>
            </w:r>
          </w:p>
        </w:tc>
      </w:tr>
      <w:tr>
        <w:trPr>
          <w:cantSplit/>
        </w:trPr>
        <w:tc>
          <w:tcPr>
            <w:tcW w:type="dxa" w:w="792"/>
            <w:vAlign w:val="center"/>
            <w:tcMar>
              <w:top w:w="50" w:type="dxa"/>
              <w:bottom w:w="50" w:type="dxa"/>
              <w:start w:w="60" w:type="dxa"/>
              <w:end w:w="60" w:type="dxa"/>
            </w:tcMar>
          </w:tcPr>
          <w:p>
            <w:pPr>
              <w:pStyle w:val="TableText"/>
            </w:pPr>
            <w:r/>
            <w:r>
              <w:rPr>
                <w:b w:val="0"/>
              </w:rPr>
              <w:t>M05</w:t>
            </w:r>
          </w:p>
        </w:tc>
        <w:tc>
          <w:tcPr>
            <w:tcW w:type="dxa" w:w="3384"/>
            <w:vAlign w:val="center"/>
            <w:tcMar>
              <w:top w:w="50" w:type="dxa"/>
              <w:bottom w:w="50" w:type="dxa"/>
              <w:start w:w="60" w:type="dxa"/>
              <w:end w:w="60" w:type="dxa"/>
            </w:tcMar>
          </w:tcPr>
          <w:p>
            <w:pPr>
              <w:pStyle w:val="TableText"/>
            </w:pPr>
            <w:r/>
            <w:r>
              <w:rPr>
                <w:b w:val="0"/>
              </w:rPr>
              <w:t>Feature renamed in Laravel only</w:t>
            </w:r>
          </w:p>
        </w:tc>
        <w:tc>
          <w:tcPr>
            <w:tcW w:type="dxa" w:w="5832"/>
            <w:vAlign w:val="center"/>
            <w:tcMar>
              <w:top w:w="50" w:type="dxa"/>
              <w:bottom w:w="50" w:type="dxa"/>
              <w:start w:w="60" w:type="dxa"/>
              <w:end w:w="60" w:type="dxa"/>
            </w:tcMar>
          </w:tcPr>
          <w:p>
            <w:pPr>
              <w:pStyle w:val="TableText"/>
            </w:pPr>
            <w:r/>
            <w:r>
              <w:rPr>
                <w:b w:val="0"/>
              </w:rPr>
              <w:t>Contract test fails before production.</w:t>
            </w:r>
          </w:p>
        </w:tc>
      </w:tr>
      <w:tr>
        <w:trPr>
          <w:cantSplit/>
        </w:trPr>
        <w:tc>
          <w:tcPr>
            <w:tcW w:type="dxa" w:w="792"/>
            <w:vAlign w:val="center"/>
            <w:tcMar>
              <w:top w:w="50" w:type="dxa"/>
              <w:bottom w:w="50" w:type="dxa"/>
              <w:start w:w="60" w:type="dxa"/>
              <w:end w:w="60" w:type="dxa"/>
            </w:tcMar>
            <w:shd w:fill="EDF4FA"/>
          </w:tcPr>
          <w:p>
            <w:pPr>
              <w:pStyle w:val="TableText"/>
            </w:pPr>
            <w:r/>
            <w:r>
              <w:rPr>
                <w:b w:val="0"/>
              </w:rPr>
              <w:t>M06</w:t>
            </w:r>
          </w:p>
        </w:tc>
        <w:tc>
          <w:tcPr>
            <w:tcW w:type="dxa" w:w="3384"/>
            <w:vAlign w:val="center"/>
            <w:tcMar>
              <w:top w:w="50" w:type="dxa"/>
              <w:bottom w:w="50" w:type="dxa"/>
              <w:start w:w="60" w:type="dxa"/>
              <w:end w:w="60" w:type="dxa"/>
            </w:tcMar>
            <w:shd w:fill="EDF4FA"/>
          </w:tcPr>
          <w:p>
            <w:pPr>
              <w:pStyle w:val="TableText"/>
            </w:pPr>
            <w:r/>
            <w:r>
              <w:rPr>
                <w:b w:val="0"/>
              </w:rPr>
              <w:t>Category capitalization changes</w:t>
            </w:r>
          </w:p>
        </w:tc>
        <w:tc>
          <w:tcPr>
            <w:tcW w:type="dxa" w:w="5832"/>
            <w:vAlign w:val="center"/>
            <w:tcMar>
              <w:top w:w="50" w:type="dxa"/>
              <w:bottom w:w="50" w:type="dxa"/>
              <w:start w:w="60" w:type="dxa"/>
              <w:end w:w="60" w:type="dxa"/>
            </w:tcMar>
            <w:shd w:fill="EDF4FA"/>
          </w:tcPr>
          <w:p>
            <w:pPr>
              <w:pStyle w:val="TableText"/>
            </w:pPr>
            <w:r/>
            <w:r>
              <w:rPr>
                <w:b w:val="0"/>
              </w:rPr>
              <w:t>Explicit mapping test prevents silent rule/model change.</w:t>
            </w:r>
          </w:p>
        </w:tc>
      </w:tr>
      <w:tr>
        <w:trPr>
          <w:cantSplit/>
        </w:trPr>
        <w:tc>
          <w:tcPr>
            <w:tcW w:type="dxa" w:w="792"/>
            <w:vAlign w:val="center"/>
            <w:tcMar>
              <w:top w:w="50" w:type="dxa"/>
              <w:bottom w:w="50" w:type="dxa"/>
              <w:start w:w="60" w:type="dxa"/>
              <w:end w:w="60" w:type="dxa"/>
            </w:tcMar>
          </w:tcPr>
          <w:p>
            <w:pPr>
              <w:pStyle w:val="TableText"/>
            </w:pPr>
            <w:r/>
            <w:r>
              <w:rPr>
                <w:b w:val="0"/>
              </w:rPr>
              <w:t>M07</w:t>
            </w:r>
          </w:p>
        </w:tc>
        <w:tc>
          <w:tcPr>
            <w:tcW w:type="dxa" w:w="3384"/>
            <w:vAlign w:val="center"/>
            <w:tcMar>
              <w:top w:w="50" w:type="dxa"/>
              <w:bottom w:w="50" w:type="dxa"/>
              <w:start w:w="60" w:type="dxa"/>
              <w:end w:w="60" w:type="dxa"/>
            </w:tcMar>
          </w:tcPr>
          <w:p>
            <w:pPr>
              <w:pStyle w:val="TableText"/>
            </w:pPr>
            <w:r/>
            <w:r>
              <w:rPr>
                <w:b w:val="0"/>
              </w:rPr>
              <w:t>Rule HIGH + ML LOW after upgrade</w:t>
            </w:r>
          </w:p>
        </w:tc>
        <w:tc>
          <w:tcPr>
            <w:tcW w:type="dxa" w:w="5832"/>
            <w:vAlign w:val="center"/>
            <w:tcMar>
              <w:top w:w="50" w:type="dxa"/>
              <w:bottom w:w="50" w:type="dxa"/>
              <w:start w:w="60" w:type="dxa"/>
              <w:end w:w="60" w:type="dxa"/>
            </w:tcMar>
          </w:tcPr>
          <w:p>
            <w:pPr>
              <w:pStyle w:val="TableText"/>
            </w:pPr>
            <w:r/>
            <w:r>
              <w:rPr>
                <w:b w:val="0"/>
              </w:rPr>
              <w:t>Final state remains HIGH.</w:t>
            </w:r>
          </w:p>
        </w:tc>
      </w:tr>
      <w:tr>
        <w:trPr>
          <w:cantSplit/>
        </w:trPr>
        <w:tc>
          <w:tcPr>
            <w:tcW w:type="dxa" w:w="792"/>
            <w:vAlign w:val="center"/>
            <w:tcMar>
              <w:top w:w="50" w:type="dxa"/>
              <w:bottom w:w="50" w:type="dxa"/>
              <w:start w:w="60" w:type="dxa"/>
              <w:end w:w="60" w:type="dxa"/>
            </w:tcMar>
            <w:shd w:fill="EDF4FA"/>
          </w:tcPr>
          <w:p>
            <w:pPr>
              <w:pStyle w:val="TableText"/>
            </w:pPr>
            <w:r/>
            <w:r>
              <w:rPr>
                <w:b w:val="0"/>
              </w:rPr>
              <w:t>M08</w:t>
            </w:r>
          </w:p>
        </w:tc>
        <w:tc>
          <w:tcPr>
            <w:tcW w:type="dxa" w:w="3384"/>
            <w:vAlign w:val="center"/>
            <w:tcMar>
              <w:top w:w="50" w:type="dxa"/>
              <w:bottom w:w="50" w:type="dxa"/>
              <w:start w:w="60" w:type="dxa"/>
              <w:end w:w="60" w:type="dxa"/>
            </w:tcMar>
            <w:shd w:fill="EDF4FA"/>
          </w:tcPr>
          <w:p>
            <w:pPr>
              <w:pStyle w:val="TableText"/>
            </w:pPr>
            <w:r/>
            <w:r>
              <w:rPr>
                <w:b w:val="0"/>
              </w:rPr>
              <w:t>Missing ultrasound + ML LOW</w:t>
            </w:r>
          </w:p>
        </w:tc>
        <w:tc>
          <w:tcPr>
            <w:tcW w:type="dxa" w:w="5832"/>
            <w:vAlign w:val="center"/>
            <w:tcMar>
              <w:top w:w="50" w:type="dxa"/>
              <w:bottom w:w="50" w:type="dxa"/>
              <w:start w:w="60" w:type="dxa"/>
              <w:end w:w="60" w:type="dxa"/>
            </w:tcMar>
            <w:shd w:fill="EDF4FA"/>
          </w:tcPr>
          <w:p>
            <w:pPr>
              <w:pStyle w:val="TableText"/>
            </w:pPr>
            <w:r/>
            <w:r>
              <w:rPr>
                <w:b w:val="0"/>
              </w:rPr>
              <w:t>Final state remains ASSESSMENT INCOMPLETE.</w:t>
            </w:r>
          </w:p>
        </w:tc>
      </w:tr>
      <w:tr>
        <w:trPr>
          <w:cantSplit/>
        </w:trPr>
        <w:tc>
          <w:tcPr>
            <w:tcW w:type="dxa" w:w="792"/>
            <w:vAlign w:val="center"/>
            <w:tcMar>
              <w:top w:w="50" w:type="dxa"/>
              <w:bottom w:w="50" w:type="dxa"/>
              <w:start w:w="60" w:type="dxa"/>
              <w:end w:w="60" w:type="dxa"/>
            </w:tcMar>
          </w:tcPr>
          <w:p>
            <w:pPr>
              <w:pStyle w:val="TableText"/>
            </w:pPr>
            <w:r/>
            <w:r>
              <w:rPr>
                <w:b w:val="0"/>
              </w:rPr>
              <w:t>M09</w:t>
            </w:r>
          </w:p>
        </w:tc>
        <w:tc>
          <w:tcPr>
            <w:tcW w:type="dxa" w:w="3384"/>
            <w:vAlign w:val="center"/>
            <w:tcMar>
              <w:top w:w="50" w:type="dxa"/>
              <w:bottom w:w="50" w:type="dxa"/>
              <w:start w:w="60" w:type="dxa"/>
              <w:end w:w="60" w:type="dxa"/>
            </w:tcMar>
          </w:tcPr>
          <w:p>
            <w:pPr>
              <w:pStyle w:val="TableText"/>
            </w:pPr>
            <w:r/>
            <w:r>
              <w:rPr>
                <w:b w:val="0"/>
              </w:rPr>
              <w:t>Clinical threshold proposal</w:t>
            </w:r>
          </w:p>
        </w:tc>
        <w:tc>
          <w:tcPr>
            <w:tcW w:type="dxa" w:w="5832"/>
            <w:vAlign w:val="center"/>
            <w:tcMar>
              <w:top w:w="50" w:type="dxa"/>
              <w:bottom w:w="50" w:type="dxa"/>
              <w:start w:w="60" w:type="dxa"/>
              <w:end w:w="60" w:type="dxa"/>
            </w:tcMar>
          </w:tcPr>
          <w:p>
            <w:pPr>
              <w:pStyle w:val="TableText"/>
            </w:pPr>
            <w:r/>
            <w:r>
              <w:rPr>
                <w:b w:val="0"/>
              </w:rPr>
              <w:t>Cannot deploy without evidence and clinical approval.</w:t>
            </w:r>
          </w:p>
        </w:tc>
      </w:tr>
      <w:tr>
        <w:trPr>
          <w:cantSplit/>
        </w:trPr>
        <w:tc>
          <w:tcPr>
            <w:tcW w:type="dxa" w:w="792"/>
            <w:vAlign w:val="center"/>
            <w:tcMar>
              <w:top w:w="50" w:type="dxa"/>
              <w:bottom w:w="50" w:type="dxa"/>
              <w:start w:w="60" w:type="dxa"/>
              <w:end w:w="60" w:type="dxa"/>
            </w:tcMar>
            <w:shd w:fill="EDF4FA"/>
          </w:tcPr>
          <w:p>
            <w:pPr>
              <w:pStyle w:val="TableText"/>
            </w:pPr>
            <w:r/>
            <w:r>
              <w:rPr>
                <w:b w:val="0"/>
              </w:rPr>
              <w:t>M10</w:t>
            </w:r>
          </w:p>
        </w:tc>
        <w:tc>
          <w:tcPr>
            <w:tcW w:type="dxa" w:w="3384"/>
            <w:vAlign w:val="center"/>
            <w:tcMar>
              <w:top w:w="50" w:type="dxa"/>
              <w:bottom w:w="50" w:type="dxa"/>
              <w:start w:w="60" w:type="dxa"/>
              <w:end w:w="60" w:type="dxa"/>
            </w:tcMar>
            <w:shd w:fill="EDF4FA"/>
          </w:tcPr>
          <w:p>
            <w:pPr>
              <w:pStyle w:val="TableText"/>
            </w:pPr>
            <w:r/>
            <w:r>
              <w:rPr>
                <w:b w:val="0"/>
              </w:rPr>
              <w:t>Explanation not updated with rule</w:t>
            </w:r>
          </w:p>
        </w:tc>
        <w:tc>
          <w:tcPr>
            <w:tcW w:type="dxa" w:w="5832"/>
            <w:vAlign w:val="center"/>
            <w:tcMar>
              <w:top w:w="50" w:type="dxa"/>
              <w:bottom w:w="50" w:type="dxa"/>
              <w:start w:w="60" w:type="dxa"/>
              <w:end w:w="60" w:type="dxa"/>
            </w:tcMar>
            <w:shd w:fill="EDF4FA"/>
          </w:tcPr>
          <w:p>
            <w:pPr>
              <w:pStyle w:val="TableText"/>
            </w:pPr>
            <w:r/>
            <w:r>
              <w:rPr>
                <w:b w:val="0"/>
              </w:rPr>
              <w:t>Release gate detects mismatch and blocks deployment.</w:t>
            </w:r>
          </w:p>
        </w:tc>
      </w:tr>
      <w:tr>
        <w:trPr>
          <w:cantSplit/>
        </w:trPr>
        <w:tc>
          <w:tcPr>
            <w:tcW w:type="dxa" w:w="792"/>
            <w:vAlign w:val="center"/>
            <w:tcMar>
              <w:top w:w="50" w:type="dxa"/>
              <w:bottom w:w="50" w:type="dxa"/>
              <w:start w:w="60" w:type="dxa"/>
              <w:end w:w="60" w:type="dxa"/>
            </w:tcMar>
          </w:tcPr>
          <w:p>
            <w:pPr>
              <w:pStyle w:val="TableText"/>
            </w:pPr>
            <w:r/>
            <w:r>
              <w:rPr>
                <w:b w:val="0"/>
              </w:rPr>
              <w:t>M11</w:t>
            </w:r>
          </w:p>
        </w:tc>
        <w:tc>
          <w:tcPr>
            <w:tcW w:type="dxa" w:w="3384"/>
            <w:vAlign w:val="center"/>
            <w:tcMar>
              <w:top w:w="50" w:type="dxa"/>
              <w:bottom w:w="50" w:type="dxa"/>
              <w:start w:w="60" w:type="dxa"/>
              <w:end w:w="60" w:type="dxa"/>
            </w:tcMar>
          </w:tcPr>
          <w:p>
            <w:pPr>
              <w:pStyle w:val="TableText"/>
            </w:pPr>
            <w:r/>
            <w:r>
              <w:rPr>
                <w:b w:val="0"/>
              </w:rPr>
              <w:t>Database field repurposed</w:t>
            </w:r>
          </w:p>
        </w:tc>
        <w:tc>
          <w:tcPr>
            <w:tcW w:type="dxa" w:w="5832"/>
            <w:vAlign w:val="center"/>
            <w:tcMar>
              <w:top w:w="50" w:type="dxa"/>
              <w:bottom w:w="50" w:type="dxa"/>
              <w:start w:w="60" w:type="dxa"/>
              <w:end w:w="60" w:type="dxa"/>
            </w:tcMar>
          </w:tcPr>
          <w:p>
            <w:pPr>
              <w:pStyle w:val="TableText"/>
            </w:pPr>
            <w:r/>
            <w:r>
              <w:rPr>
                <w:b w:val="0"/>
              </w:rPr>
              <w:t>Impact review rejects loss of historical meaning.</w:t>
            </w:r>
          </w:p>
        </w:tc>
      </w:tr>
      <w:tr>
        <w:trPr>
          <w:cantSplit/>
        </w:trPr>
        <w:tc>
          <w:tcPr>
            <w:tcW w:type="dxa" w:w="792"/>
            <w:vAlign w:val="center"/>
            <w:tcMar>
              <w:top w:w="50" w:type="dxa"/>
              <w:bottom w:w="50" w:type="dxa"/>
              <w:start w:w="60" w:type="dxa"/>
              <w:end w:w="60" w:type="dxa"/>
            </w:tcMar>
            <w:shd w:fill="EDF4FA"/>
          </w:tcPr>
          <w:p>
            <w:pPr>
              <w:pStyle w:val="TableText"/>
            </w:pPr>
            <w:r/>
            <w:r>
              <w:rPr>
                <w:b w:val="0"/>
              </w:rPr>
              <w:t>M12</w:t>
            </w:r>
          </w:p>
        </w:tc>
        <w:tc>
          <w:tcPr>
            <w:tcW w:type="dxa" w:w="3384"/>
            <w:vAlign w:val="center"/>
            <w:tcMar>
              <w:top w:w="50" w:type="dxa"/>
              <w:bottom w:w="50" w:type="dxa"/>
              <w:start w:w="60" w:type="dxa"/>
              <w:end w:w="60" w:type="dxa"/>
            </w:tcMar>
            <w:shd w:fill="EDF4FA"/>
          </w:tcPr>
          <w:p>
            <w:pPr>
              <w:pStyle w:val="TableText"/>
            </w:pPr>
            <w:r/>
            <w:r>
              <w:rPr>
                <w:b w:val="0"/>
              </w:rPr>
              <w:t>Migration interrupted</w:t>
            </w:r>
          </w:p>
        </w:tc>
        <w:tc>
          <w:tcPr>
            <w:tcW w:type="dxa" w:w="5832"/>
            <w:vAlign w:val="center"/>
            <w:tcMar>
              <w:top w:w="50" w:type="dxa"/>
              <w:bottom w:w="50" w:type="dxa"/>
              <w:start w:w="60" w:type="dxa"/>
              <w:end w:w="60" w:type="dxa"/>
            </w:tcMar>
            <w:shd w:fill="EDF4FA"/>
          </w:tcPr>
          <w:p>
            <w:pPr>
              <w:pStyle w:val="TableText"/>
            </w:pPr>
            <w:r/>
            <w:r>
              <w:rPr>
                <w:b w:val="0"/>
              </w:rPr>
              <w:t>Recovery/forward-fix preserves integrity and produces reconciliation.</w:t>
            </w:r>
          </w:p>
        </w:tc>
      </w:tr>
      <w:tr>
        <w:trPr>
          <w:cantSplit/>
        </w:trPr>
        <w:tc>
          <w:tcPr>
            <w:tcW w:type="dxa" w:w="792"/>
            <w:vAlign w:val="center"/>
            <w:tcMar>
              <w:top w:w="50" w:type="dxa"/>
              <w:bottom w:w="50" w:type="dxa"/>
              <w:start w:w="60" w:type="dxa"/>
              <w:end w:w="60" w:type="dxa"/>
            </w:tcMar>
          </w:tcPr>
          <w:p>
            <w:pPr>
              <w:pStyle w:val="TableText"/>
            </w:pPr>
            <w:r/>
            <w:r>
              <w:rPr>
                <w:b w:val="0"/>
              </w:rPr>
              <w:t>M13</w:t>
            </w:r>
          </w:p>
        </w:tc>
        <w:tc>
          <w:tcPr>
            <w:tcW w:type="dxa" w:w="3384"/>
            <w:vAlign w:val="center"/>
            <w:tcMar>
              <w:top w:w="50" w:type="dxa"/>
              <w:bottom w:w="50" w:type="dxa"/>
              <w:start w:w="60" w:type="dxa"/>
              <w:end w:w="60" w:type="dxa"/>
            </w:tcMar>
          </w:tcPr>
          <w:p>
            <w:pPr>
              <w:pStyle w:val="TableText"/>
            </w:pPr>
            <w:r/>
            <w:r>
              <w:rPr>
                <w:b w:val="0"/>
              </w:rPr>
              <w:t>Restore from backup</w:t>
            </w:r>
          </w:p>
        </w:tc>
        <w:tc>
          <w:tcPr>
            <w:tcW w:type="dxa" w:w="5832"/>
            <w:vAlign w:val="center"/>
            <w:tcMar>
              <w:top w:w="50" w:type="dxa"/>
              <w:bottom w:w="50" w:type="dxa"/>
              <w:start w:w="60" w:type="dxa"/>
              <w:end w:w="60" w:type="dxa"/>
            </w:tcMar>
          </w:tcPr>
          <w:p>
            <w:pPr>
              <w:pStyle w:val="TableText"/>
            </w:pPr>
            <w:r/>
            <w:r>
              <w:rPr>
                <w:b w:val="0"/>
              </w:rPr>
              <w:t>Patient, pregnancy, visits, referral, baby and audit relationships reconcile.</w:t>
            </w:r>
          </w:p>
        </w:tc>
      </w:tr>
      <w:tr>
        <w:trPr>
          <w:cantSplit/>
        </w:trPr>
        <w:tc>
          <w:tcPr>
            <w:tcW w:type="dxa" w:w="792"/>
            <w:vAlign w:val="center"/>
            <w:tcMar>
              <w:top w:w="50" w:type="dxa"/>
              <w:bottom w:w="50" w:type="dxa"/>
              <w:start w:w="60" w:type="dxa"/>
              <w:end w:w="60" w:type="dxa"/>
            </w:tcMar>
            <w:shd w:fill="EDF4FA"/>
          </w:tcPr>
          <w:p>
            <w:pPr>
              <w:pStyle w:val="TableText"/>
            </w:pPr>
            <w:r/>
            <w:r>
              <w:rPr>
                <w:b w:val="0"/>
              </w:rPr>
              <w:t>M14</w:t>
            </w:r>
          </w:p>
        </w:tc>
        <w:tc>
          <w:tcPr>
            <w:tcW w:type="dxa" w:w="3384"/>
            <w:vAlign w:val="center"/>
            <w:tcMar>
              <w:top w:w="50" w:type="dxa"/>
              <w:bottom w:w="50" w:type="dxa"/>
              <w:start w:w="60" w:type="dxa"/>
              <w:end w:w="60" w:type="dxa"/>
            </w:tcMar>
            <w:shd w:fill="EDF4FA"/>
          </w:tcPr>
          <w:p>
            <w:pPr>
              <w:pStyle w:val="TableText"/>
            </w:pPr>
            <w:r/>
            <w:r>
              <w:rPr>
                <w:b w:val="0"/>
              </w:rPr>
              <w:t>Delivered patient after release</w:t>
            </w:r>
          </w:p>
        </w:tc>
        <w:tc>
          <w:tcPr>
            <w:tcW w:type="dxa" w:w="5832"/>
            <w:vAlign w:val="center"/>
            <w:tcMar>
              <w:top w:w="50" w:type="dxa"/>
              <w:bottom w:w="50" w:type="dxa"/>
              <w:start w:w="60" w:type="dxa"/>
              <w:end w:w="60" w:type="dxa"/>
            </w:tcMar>
            <w:shd w:fill="EDF4FA"/>
          </w:tcPr>
          <w:p>
            <w:pPr>
              <w:pStyle w:val="TableText"/>
            </w:pPr>
            <w:r/>
            <w:r>
              <w:rPr>
                <w:b w:val="0"/>
              </w:rPr>
              <w:t>Clinical records remain read-only.</w:t>
            </w:r>
          </w:p>
        </w:tc>
      </w:tr>
      <w:tr>
        <w:trPr>
          <w:cantSplit/>
        </w:trPr>
        <w:tc>
          <w:tcPr>
            <w:tcW w:type="dxa" w:w="792"/>
            <w:vAlign w:val="center"/>
            <w:tcMar>
              <w:top w:w="50" w:type="dxa"/>
              <w:bottom w:w="50" w:type="dxa"/>
              <w:start w:w="60" w:type="dxa"/>
              <w:end w:w="60" w:type="dxa"/>
            </w:tcMar>
          </w:tcPr>
          <w:p>
            <w:pPr>
              <w:pStyle w:val="TableText"/>
            </w:pPr>
            <w:r/>
            <w:r>
              <w:rPr>
                <w:b w:val="0"/>
              </w:rPr>
              <w:t>M15</w:t>
            </w:r>
          </w:p>
        </w:tc>
        <w:tc>
          <w:tcPr>
            <w:tcW w:type="dxa" w:w="3384"/>
            <w:vAlign w:val="center"/>
            <w:tcMar>
              <w:top w:w="50" w:type="dxa"/>
              <w:bottom w:w="50" w:type="dxa"/>
              <w:start w:w="60" w:type="dxa"/>
              <w:end w:w="60" w:type="dxa"/>
            </w:tcMar>
          </w:tcPr>
          <w:p>
            <w:pPr>
              <w:pStyle w:val="TableText"/>
            </w:pPr>
            <w:r/>
            <w:r>
              <w:rPr>
                <w:b w:val="0"/>
              </w:rPr>
              <w:t>New pregnancy after release</w:t>
            </w:r>
          </w:p>
        </w:tc>
        <w:tc>
          <w:tcPr>
            <w:tcW w:type="dxa" w:w="5832"/>
            <w:vAlign w:val="center"/>
            <w:tcMar>
              <w:top w:w="50" w:type="dxa"/>
              <w:bottom w:w="50" w:type="dxa"/>
              <w:start w:w="60" w:type="dxa"/>
              <w:end w:w="60" w:type="dxa"/>
            </w:tcMar>
          </w:tcPr>
          <w:p>
            <w:pPr>
              <w:pStyle w:val="TableText"/>
            </w:pPr>
            <w:r/>
            <w:r>
              <w:rPr>
                <w:b w:val="0"/>
              </w:rPr>
              <w:t>Historical pregnancy remains separate and unchanged.</w:t>
            </w:r>
          </w:p>
        </w:tc>
      </w:tr>
      <w:tr>
        <w:trPr>
          <w:cantSplit/>
        </w:trPr>
        <w:tc>
          <w:tcPr>
            <w:tcW w:type="dxa" w:w="792"/>
            <w:vAlign w:val="center"/>
            <w:tcMar>
              <w:top w:w="50" w:type="dxa"/>
              <w:bottom w:w="50" w:type="dxa"/>
              <w:start w:w="60" w:type="dxa"/>
              <w:end w:w="60" w:type="dxa"/>
            </w:tcMar>
            <w:shd w:fill="EDF4FA"/>
          </w:tcPr>
          <w:p>
            <w:pPr>
              <w:pStyle w:val="TableText"/>
            </w:pPr>
            <w:r/>
            <w:r>
              <w:rPr>
                <w:b w:val="0"/>
              </w:rPr>
              <w:t>M16</w:t>
            </w:r>
          </w:p>
        </w:tc>
        <w:tc>
          <w:tcPr>
            <w:tcW w:type="dxa" w:w="3384"/>
            <w:vAlign w:val="center"/>
            <w:tcMar>
              <w:top w:w="50" w:type="dxa"/>
              <w:bottom w:w="50" w:type="dxa"/>
              <w:start w:w="60" w:type="dxa"/>
              <w:end w:w="60" w:type="dxa"/>
            </w:tcMar>
            <w:shd w:fill="EDF4FA"/>
          </w:tcPr>
          <w:p>
            <w:pPr>
              <w:pStyle w:val="TableText"/>
            </w:pPr>
            <w:r/>
            <w:r>
              <w:rPr>
                <w:b w:val="0"/>
              </w:rPr>
              <w:t>Duplicate delivery submit</w:t>
            </w:r>
          </w:p>
        </w:tc>
        <w:tc>
          <w:tcPr>
            <w:tcW w:type="dxa" w:w="5832"/>
            <w:vAlign w:val="center"/>
            <w:tcMar>
              <w:top w:w="50" w:type="dxa"/>
              <w:bottom w:w="50" w:type="dxa"/>
              <w:start w:w="60" w:type="dxa"/>
              <w:end w:w="60" w:type="dxa"/>
            </w:tcMar>
            <w:shd w:fill="EDF4FA"/>
          </w:tcPr>
          <w:p>
            <w:pPr>
              <w:pStyle w:val="TableText"/>
            </w:pPr>
            <w:r/>
            <w:r>
              <w:rPr>
                <w:b w:val="0"/>
              </w:rPr>
              <w:t>Still blocked and auditable.</w:t>
            </w:r>
          </w:p>
        </w:tc>
      </w:tr>
      <w:tr>
        <w:trPr>
          <w:cantSplit/>
        </w:trPr>
        <w:tc>
          <w:tcPr>
            <w:tcW w:type="dxa" w:w="792"/>
            <w:vAlign w:val="center"/>
            <w:tcMar>
              <w:top w:w="50" w:type="dxa"/>
              <w:bottom w:w="50" w:type="dxa"/>
              <w:start w:w="60" w:type="dxa"/>
              <w:end w:w="60" w:type="dxa"/>
            </w:tcMar>
          </w:tcPr>
          <w:p>
            <w:pPr>
              <w:pStyle w:val="TableText"/>
            </w:pPr>
            <w:r/>
            <w:r>
              <w:rPr>
                <w:b w:val="0"/>
              </w:rPr>
              <w:t>M17</w:t>
            </w:r>
          </w:p>
        </w:tc>
        <w:tc>
          <w:tcPr>
            <w:tcW w:type="dxa" w:w="3384"/>
            <w:vAlign w:val="center"/>
            <w:tcMar>
              <w:top w:w="50" w:type="dxa"/>
              <w:bottom w:w="50" w:type="dxa"/>
              <w:start w:w="60" w:type="dxa"/>
              <w:end w:w="60" w:type="dxa"/>
            </w:tcMar>
          </w:tcPr>
          <w:p>
            <w:pPr>
              <w:pStyle w:val="TableText"/>
            </w:pPr>
            <w:r/>
            <w:r>
              <w:rPr>
                <w:b w:val="0"/>
              </w:rPr>
              <w:t>Email provider outage</w:t>
            </w:r>
          </w:p>
        </w:tc>
        <w:tc>
          <w:tcPr>
            <w:tcW w:type="dxa" w:w="5832"/>
            <w:vAlign w:val="center"/>
            <w:tcMar>
              <w:top w:w="50" w:type="dxa"/>
              <w:bottom w:w="50" w:type="dxa"/>
              <w:start w:w="60" w:type="dxa"/>
              <w:end w:w="60" w:type="dxa"/>
            </w:tcMar>
          </w:tcPr>
          <w:p>
            <w:pPr>
              <w:pStyle w:val="TableText"/>
            </w:pPr>
            <w:r/>
            <w:r>
              <w:rPr>
                <w:b w:val="0"/>
              </w:rPr>
              <w:t>Clinical state persists; notification failure is queued/logged separately.</w:t>
            </w:r>
          </w:p>
        </w:tc>
      </w:tr>
      <w:tr>
        <w:trPr>
          <w:cantSplit/>
        </w:trPr>
        <w:tc>
          <w:tcPr>
            <w:tcW w:type="dxa" w:w="792"/>
            <w:vAlign w:val="center"/>
            <w:tcMar>
              <w:top w:w="50" w:type="dxa"/>
              <w:bottom w:w="50" w:type="dxa"/>
              <w:start w:w="60" w:type="dxa"/>
              <w:end w:w="60" w:type="dxa"/>
            </w:tcMar>
            <w:shd w:fill="EDF4FA"/>
          </w:tcPr>
          <w:p>
            <w:pPr>
              <w:pStyle w:val="TableText"/>
            </w:pPr>
            <w:r/>
            <w:r>
              <w:rPr>
                <w:b w:val="0"/>
              </w:rPr>
              <w:t>M18</w:t>
            </w:r>
          </w:p>
        </w:tc>
        <w:tc>
          <w:tcPr>
            <w:tcW w:type="dxa" w:w="3384"/>
            <w:vAlign w:val="center"/>
            <w:tcMar>
              <w:top w:w="50" w:type="dxa"/>
              <w:bottom w:w="50" w:type="dxa"/>
              <w:start w:w="60" w:type="dxa"/>
              <w:end w:w="60" w:type="dxa"/>
            </w:tcMar>
            <w:shd w:fill="EDF4FA"/>
          </w:tcPr>
          <w:p>
            <w:pPr>
              <w:pStyle w:val="TableText"/>
            </w:pPr>
            <w:r/>
            <w:r>
              <w:rPr>
                <w:b w:val="0"/>
              </w:rPr>
              <w:t>Queue worker stopped</w:t>
            </w:r>
          </w:p>
        </w:tc>
        <w:tc>
          <w:tcPr>
            <w:tcW w:type="dxa" w:w="5832"/>
            <w:vAlign w:val="center"/>
            <w:tcMar>
              <w:top w:w="50" w:type="dxa"/>
              <w:bottom w:w="50" w:type="dxa"/>
              <w:start w:w="60" w:type="dxa"/>
              <w:end w:w="60" w:type="dxa"/>
            </w:tcMar>
            <w:shd w:fill="EDF4FA"/>
          </w:tcPr>
          <w:p>
            <w:pPr>
              <w:pStyle w:val="TableText"/>
            </w:pPr>
            <w:r/>
            <w:r>
              <w:rPr>
                <w:b w:val="0"/>
              </w:rPr>
              <w:t>Monitoring alerts; no silent loss of required operational task.</w:t>
            </w:r>
          </w:p>
        </w:tc>
      </w:tr>
      <w:tr>
        <w:trPr>
          <w:cantSplit/>
        </w:trPr>
        <w:tc>
          <w:tcPr>
            <w:tcW w:type="dxa" w:w="792"/>
            <w:vAlign w:val="center"/>
            <w:tcMar>
              <w:top w:w="50" w:type="dxa"/>
              <w:bottom w:w="50" w:type="dxa"/>
              <w:start w:w="60" w:type="dxa"/>
              <w:end w:w="60" w:type="dxa"/>
            </w:tcMar>
          </w:tcPr>
          <w:p>
            <w:pPr>
              <w:pStyle w:val="TableText"/>
            </w:pPr>
            <w:r/>
            <w:r>
              <w:rPr>
                <w:b w:val="0"/>
              </w:rPr>
              <w:t>M19</w:t>
            </w:r>
          </w:p>
        </w:tc>
        <w:tc>
          <w:tcPr>
            <w:tcW w:type="dxa" w:w="3384"/>
            <w:vAlign w:val="center"/>
            <w:tcMar>
              <w:top w:w="50" w:type="dxa"/>
              <w:bottom w:w="50" w:type="dxa"/>
              <w:start w:w="60" w:type="dxa"/>
              <w:end w:w="60" w:type="dxa"/>
            </w:tcMar>
          </w:tcPr>
          <w:p>
            <w:pPr>
              <w:pStyle w:val="TableText"/>
            </w:pPr>
            <w:r/>
            <w:r>
              <w:rPr>
                <w:b w:val="0"/>
              </w:rPr>
              <w:t>Expired credential</w:t>
            </w:r>
          </w:p>
        </w:tc>
        <w:tc>
          <w:tcPr>
            <w:tcW w:type="dxa" w:w="5832"/>
            <w:vAlign w:val="center"/>
            <w:tcMar>
              <w:top w:w="50" w:type="dxa"/>
              <w:bottom w:w="50" w:type="dxa"/>
              <w:start w:w="60" w:type="dxa"/>
              <w:end w:w="60" w:type="dxa"/>
            </w:tcMar>
          </w:tcPr>
          <w:p>
            <w:pPr>
              <w:pStyle w:val="TableText"/>
            </w:pPr>
            <w:r/>
            <w:r>
              <w:rPr>
                <w:b w:val="0"/>
              </w:rPr>
              <w:t>Access fails safely and incident procedure starts.</w:t>
            </w:r>
          </w:p>
        </w:tc>
      </w:tr>
      <w:tr>
        <w:trPr>
          <w:cantSplit/>
        </w:trPr>
        <w:tc>
          <w:tcPr>
            <w:tcW w:type="dxa" w:w="792"/>
            <w:vAlign w:val="center"/>
            <w:tcMar>
              <w:top w:w="50" w:type="dxa"/>
              <w:bottom w:w="50" w:type="dxa"/>
              <w:start w:w="60" w:type="dxa"/>
              <w:end w:w="60" w:type="dxa"/>
            </w:tcMar>
            <w:shd w:fill="EDF4FA"/>
          </w:tcPr>
          <w:p>
            <w:pPr>
              <w:pStyle w:val="TableText"/>
            </w:pPr>
            <w:r/>
            <w:r>
              <w:rPr>
                <w:b w:val="0"/>
              </w:rPr>
              <w:t>M20</w:t>
            </w:r>
          </w:p>
        </w:tc>
        <w:tc>
          <w:tcPr>
            <w:tcW w:type="dxa" w:w="3384"/>
            <w:vAlign w:val="center"/>
            <w:tcMar>
              <w:top w:w="50" w:type="dxa"/>
              <w:bottom w:w="50" w:type="dxa"/>
              <w:start w:w="60" w:type="dxa"/>
              <w:end w:w="60" w:type="dxa"/>
            </w:tcMar>
            <w:shd w:fill="EDF4FA"/>
          </w:tcPr>
          <w:p>
            <w:pPr>
              <w:pStyle w:val="TableText"/>
            </w:pPr>
            <w:r/>
            <w:r>
              <w:rPr>
                <w:b w:val="0"/>
              </w:rPr>
              <w:t>Unauthorized direct URL</w:t>
            </w:r>
          </w:p>
        </w:tc>
        <w:tc>
          <w:tcPr>
            <w:tcW w:type="dxa" w:w="5832"/>
            <w:vAlign w:val="center"/>
            <w:tcMar>
              <w:top w:w="50" w:type="dxa"/>
              <w:bottom w:w="50" w:type="dxa"/>
              <w:start w:w="60" w:type="dxa"/>
              <w:end w:w="60" w:type="dxa"/>
            </w:tcMar>
            <w:shd w:fill="EDF4FA"/>
          </w:tcPr>
          <w:p>
            <w:pPr>
              <w:pStyle w:val="TableText"/>
            </w:pPr>
            <w:r/>
            <w:r>
              <w:rPr>
                <w:b w:val="0"/>
              </w:rPr>
              <w:t>Object-level authorization continues to block access.</w:t>
            </w:r>
          </w:p>
        </w:tc>
      </w:tr>
      <w:tr>
        <w:trPr>
          <w:cantSplit/>
        </w:trPr>
        <w:tc>
          <w:tcPr>
            <w:tcW w:type="dxa" w:w="792"/>
            <w:vAlign w:val="center"/>
            <w:tcMar>
              <w:top w:w="50" w:type="dxa"/>
              <w:bottom w:w="50" w:type="dxa"/>
              <w:start w:w="60" w:type="dxa"/>
              <w:end w:w="60" w:type="dxa"/>
            </w:tcMar>
          </w:tcPr>
          <w:p>
            <w:pPr>
              <w:pStyle w:val="TableText"/>
            </w:pPr>
            <w:r/>
            <w:r>
              <w:rPr>
                <w:b w:val="0"/>
              </w:rPr>
              <w:t>M21</w:t>
            </w:r>
          </w:p>
        </w:tc>
        <w:tc>
          <w:tcPr>
            <w:tcW w:type="dxa" w:w="3384"/>
            <w:vAlign w:val="center"/>
            <w:tcMar>
              <w:top w:w="50" w:type="dxa"/>
              <w:bottom w:w="50" w:type="dxa"/>
              <w:start w:w="60" w:type="dxa"/>
              <w:end w:w="60" w:type="dxa"/>
            </w:tcMar>
          </w:tcPr>
          <w:p>
            <w:pPr>
              <w:pStyle w:val="TableText"/>
            </w:pPr>
            <w:r/>
            <w:r>
              <w:rPr>
                <w:b w:val="0"/>
              </w:rPr>
              <w:t>Critical vulnerability</w:t>
            </w:r>
          </w:p>
        </w:tc>
        <w:tc>
          <w:tcPr>
            <w:tcW w:type="dxa" w:w="5832"/>
            <w:vAlign w:val="center"/>
            <w:tcMar>
              <w:top w:w="50" w:type="dxa"/>
              <w:bottom w:w="50" w:type="dxa"/>
              <w:start w:w="60" w:type="dxa"/>
              <w:end w:w="60" w:type="dxa"/>
            </w:tcMar>
          </w:tcPr>
          <w:p>
            <w:pPr>
              <w:pStyle w:val="TableText"/>
            </w:pPr>
            <w:r/>
            <w:r>
              <w:rPr>
                <w:b w:val="0"/>
              </w:rPr>
              <w:t>Emergency patch uses containment, evidence and retrospective review.</w:t>
            </w:r>
          </w:p>
        </w:tc>
      </w:tr>
      <w:tr>
        <w:trPr>
          <w:cantSplit/>
        </w:trPr>
        <w:tc>
          <w:tcPr>
            <w:tcW w:type="dxa" w:w="792"/>
            <w:vAlign w:val="center"/>
            <w:tcMar>
              <w:top w:w="50" w:type="dxa"/>
              <w:bottom w:w="50" w:type="dxa"/>
              <w:start w:w="60" w:type="dxa"/>
              <w:end w:w="60" w:type="dxa"/>
            </w:tcMar>
            <w:shd w:fill="EDF4FA"/>
          </w:tcPr>
          <w:p>
            <w:pPr>
              <w:pStyle w:val="TableText"/>
            </w:pPr>
            <w:r/>
            <w:r>
              <w:rPr>
                <w:b w:val="0"/>
              </w:rPr>
              <w:t>M22</w:t>
            </w:r>
          </w:p>
        </w:tc>
        <w:tc>
          <w:tcPr>
            <w:tcW w:type="dxa" w:w="3384"/>
            <w:vAlign w:val="center"/>
            <w:tcMar>
              <w:top w:w="50" w:type="dxa"/>
              <w:bottom w:w="50" w:type="dxa"/>
              <w:start w:w="60" w:type="dxa"/>
              <w:end w:w="60" w:type="dxa"/>
            </w:tcMar>
            <w:shd w:fill="EDF4FA"/>
          </w:tcPr>
          <w:p>
            <w:pPr>
              <w:pStyle w:val="TableText"/>
            </w:pPr>
            <w:r/>
            <w:r>
              <w:rPr>
                <w:b w:val="0"/>
              </w:rPr>
              <w:t>Release smoke test failure</w:t>
            </w:r>
          </w:p>
        </w:tc>
        <w:tc>
          <w:tcPr>
            <w:tcW w:type="dxa" w:w="5832"/>
            <w:vAlign w:val="center"/>
            <w:tcMar>
              <w:top w:w="50" w:type="dxa"/>
              <w:bottom w:w="50" w:type="dxa"/>
              <w:start w:w="60" w:type="dxa"/>
              <w:end w:w="60" w:type="dxa"/>
            </w:tcMar>
            <w:shd w:fill="EDF4FA"/>
          </w:tcPr>
          <w:p>
            <w:pPr>
              <w:pStyle w:val="TableText"/>
            </w:pPr>
            <w:r/>
            <w:r>
              <w:rPr>
                <w:b w:val="0"/>
              </w:rPr>
              <w:t>Automatic/manual rollback criterion is activated.</w:t>
            </w:r>
          </w:p>
        </w:tc>
      </w:tr>
      <w:tr>
        <w:trPr>
          <w:cantSplit/>
        </w:trPr>
        <w:tc>
          <w:tcPr>
            <w:tcW w:type="dxa" w:w="792"/>
            <w:vAlign w:val="center"/>
            <w:tcMar>
              <w:top w:w="50" w:type="dxa"/>
              <w:bottom w:w="50" w:type="dxa"/>
              <w:start w:w="60" w:type="dxa"/>
              <w:end w:w="60" w:type="dxa"/>
            </w:tcMar>
          </w:tcPr>
          <w:p>
            <w:pPr>
              <w:pStyle w:val="TableText"/>
            </w:pPr>
            <w:r/>
            <w:r>
              <w:rPr>
                <w:b w:val="0"/>
              </w:rPr>
              <w:t>M23</w:t>
            </w:r>
          </w:p>
        </w:tc>
        <w:tc>
          <w:tcPr>
            <w:tcW w:type="dxa" w:w="3384"/>
            <w:vAlign w:val="center"/>
            <w:tcMar>
              <w:top w:w="50" w:type="dxa"/>
              <w:bottom w:w="50" w:type="dxa"/>
              <w:start w:w="60" w:type="dxa"/>
              <w:end w:w="60" w:type="dxa"/>
            </w:tcMar>
          </w:tcPr>
          <w:p>
            <w:pPr>
              <w:pStyle w:val="TableText"/>
            </w:pPr>
            <w:r/>
            <w:r>
              <w:rPr>
                <w:b w:val="0"/>
              </w:rPr>
              <w:t>Rollback with schema change</w:t>
            </w:r>
          </w:p>
        </w:tc>
        <w:tc>
          <w:tcPr>
            <w:tcW w:type="dxa" w:w="5832"/>
            <w:vAlign w:val="center"/>
            <w:tcMar>
              <w:top w:w="50" w:type="dxa"/>
              <w:bottom w:w="50" w:type="dxa"/>
              <w:start w:w="60" w:type="dxa"/>
              <w:end w:w="60" w:type="dxa"/>
            </w:tcMar>
          </w:tcPr>
          <w:p>
            <w:pPr>
              <w:pStyle w:val="TableText"/>
            </w:pPr>
            <w:r/>
            <w:r>
              <w:rPr>
                <w:b w:val="0"/>
              </w:rPr>
              <w:t>Compatibility plan prevents corruption or mixed-version behavior.</w:t>
            </w:r>
          </w:p>
        </w:tc>
      </w:tr>
      <w:tr>
        <w:trPr>
          <w:cantSplit/>
        </w:trPr>
        <w:tc>
          <w:tcPr>
            <w:tcW w:type="dxa" w:w="792"/>
            <w:vAlign w:val="center"/>
            <w:tcMar>
              <w:top w:w="50" w:type="dxa"/>
              <w:bottom w:w="50" w:type="dxa"/>
              <w:start w:w="60" w:type="dxa"/>
              <w:end w:w="60" w:type="dxa"/>
            </w:tcMar>
            <w:shd w:fill="EDF4FA"/>
          </w:tcPr>
          <w:p>
            <w:pPr>
              <w:pStyle w:val="TableText"/>
            </w:pPr>
            <w:r/>
            <w:r>
              <w:rPr>
                <w:b w:val="0"/>
              </w:rPr>
              <w:t>M24</w:t>
            </w:r>
          </w:p>
        </w:tc>
        <w:tc>
          <w:tcPr>
            <w:tcW w:type="dxa" w:w="3384"/>
            <w:vAlign w:val="center"/>
            <w:tcMar>
              <w:top w:w="50" w:type="dxa"/>
              <w:bottom w:w="50" w:type="dxa"/>
              <w:start w:w="60" w:type="dxa"/>
              <w:end w:w="60" w:type="dxa"/>
            </w:tcMar>
            <w:shd w:fill="EDF4FA"/>
          </w:tcPr>
          <w:p>
            <w:pPr>
              <w:pStyle w:val="TableText"/>
            </w:pPr>
            <w:r/>
            <w:r>
              <w:rPr>
                <w:b w:val="0"/>
              </w:rPr>
              <w:t>Historical assessment view</w:t>
            </w:r>
          </w:p>
        </w:tc>
        <w:tc>
          <w:tcPr>
            <w:tcW w:type="dxa" w:w="5832"/>
            <w:vAlign w:val="center"/>
            <w:tcMar>
              <w:top w:w="50" w:type="dxa"/>
              <w:bottom w:w="50" w:type="dxa"/>
              <w:start w:w="60" w:type="dxa"/>
              <w:end w:w="60" w:type="dxa"/>
            </w:tcMar>
            <w:shd w:fill="EDF4FA"/>
          </w:tcPr>
          <w:p>
            <w:pPr>
              <w:pStyle w:val="TableText"/>
            </w:pPr>
            <w:r/>
            <w:r>
              <w:rPr>
                <w:b w:val="0"/>
              </w:rPr>
              <w:t>Displays original reasons and versions, not current recomputation alone.</w:t>
            </w:r>
          </w:p>
        </w:tc>
      </w:tr>
      <w:tr>
        <w:trPr>
          <w:cantSplit/>
        </w:trPr>
        <w:tc>
          <w:tcPr>
            <w:tcW w:type="dxa" w:w="792"/>
            <w:vAlign w:val="center"/>
            <w:tcMar>
              <w:top w:w="50" w:type="dxa"/>
              <w:bottom w:w="50" w:type="dxa"/>
              <w:start w:w="60" w:type="dxa"/>
              <w:end w:w="60" w:type="dxa"/>
            </w:tcMar>
          </w:tcPr>
          <w:p>
            <w:pPr>
              <w:pStyle w:val="TableText"/>
            </w:pPr>
            <w:r/>
            <w:r>
              <w:rPr>
                <w:b w:val="0"/>
              </w:rPr>
              <w:t>M25</w:t>
            </w:r>
          </w:p>
        </w:tc>
        <w:tc>
          <w:tcPr>
            <w:tcW w:type="dxa" w:w="3384"/>
            <w:vAlign w:val="center"/>
            <w:tcMar>
              <w:top w:w="50" w:type="dxa"/>
              <w:bottom w:w="50" w:type="dxa"/>
              <w:start w:w="60" w:type="dxa"/>
              <w:end w:w="60" w:type="dxa"/>
            </w:tcMar>
          </w:tcPr>
          <w:p>
            <w:pPr>
              <w:pStyle w:val="TableText"/>
            </w:pPr>
            <w:r/>
            <w:r>
              <w:rPr>
                <w:b w:val="0"/>
              </w:rPr>
              <w:t>Rule set retired</w:t>
            </w:r>
          </w:p>
        </w:tc>
        <w:tc>
          <w:tcPr>
            <w:tcW w:type="dxa" w:w="5832"/>
            <w:vAlign w:val="center"/>
            <w:tcMar>
              <w:top w:w="50" w:type="dxa"/>
              <w:bottom w:w="50" w:type="dxa"/>
              <w:start w:w="60" w:type="dxa"/>
              <w:end w:w="60" w:type="dxa"/>
            </w:tcMar>
          </w:tcPr>
          <w:p>
            <w:pPr>
              <w:pStyle w:val="TableText"/>
            </w:pPr>
            <w:r/>
            <w:r>
              <w:rPr>
                <w:b w:val="0"/>
              </w:rPr>
              <w:t>Old assessments remain reconstructable.</w:t>
            </w:r>
          </w:p>
        </w:tc>
      </w:tr>
      <w:tr>
        <w:trPr>
          <w:cantSplit/>
        </w:trPr>
        <w:tc>
          <w:tcPr>
            <w:tcW w:type="dxa" w:w="792"/>
            <w:vAlign w:val="center"/>
            <w:tcMar>
              <w:top w:w="50" w:type="dxa"/>
              <w:bottom w:w="50" w:type="dxa"/>
              <w:start w:w="60" w:type="dxa"/>
              <w:end w:w="60" w:type="dxa"/>
            </w:tcMar>
            <w:shd w:fill="EDF4FA"/>
          </w:tcPr>
          <w:p>
            <w:pPr>
              <w:pStyle w:val="TableText"/>
            </w:pPr>
            <w:r/>
            <w:r>
              <w:rPr>
                <w:b w:val="0"/>
              </w:rPr>
              <w:t>M26</w:t>
            </w:r>
          </w:p>
        </w:tc>
        <w:tc>
          <w:tcPr>
            <w:tcW w:type="dxa" w:w="3384"/>
            <w:vAlign w:val="center"/>
            <w:tcMar>
              <w:top w:w="50" w:type="dxa"/>
              <w:bottom w:w="50" w:type="dxa"/>
              <w:start w:w="60" w:type="dxa"/>
              <w:end w:w="60" w:type="dxa"/>
            </w:tcMar>
            <w:shd w:fill="EDF4FA"/>
          </w:tcPr>
          <w:p>
            <w:pPr>
              <w:pStyle w:val="TableText"/>
            </w:pPr>
            <w:r/>
            <w:r>
              <w:rPr>
                <w:b w:val="0"/>
              </w:rPr>
              <w:t>Model retired</w:t>
            </w:r>
          </w:p>
        </w:tc>
        <w:tc>
          <w:tcPr>
            <w:tcW w:type="dxa" w:w="5832"/>
            <w:vAlign w:val="center"/>
            <w:tcMar>
              <w:top w:w="50" w:type="dxa"/>
              <w:bottom w:w="50" w:type="dxa"/>
              <w:start w:w="60" w:type="dxa"/>
              <w:end w:w="60" w:type="dxa"/>
            </w:tcMar>
            <w:shd w:fill="EDF4FA"/>
          </w:tcPr>
          <w:p>
            <w:pPr>
              <w:pStyle w:val="TableText"/>
            </w:pPr>
            <w:r/>
            <w:r>
              <w:rPr>
                <w:b w:val="0"/>
              </w:rPr>
              <w:t>Artifact and metadata remain archived for audit.</w:t>
            </w:r>
          </w:p>
        </w:tc>
      </w:tr>
      <w:tr>
        <w:trPr>
          <w:cantSplit/>
        </w:trPr>
        <w:tc>
          <w:tcPr>
            <w:tcW w:type="dxa" w:w="792"/>
            <w:vAlign w:val="center"/>
            <w:tcMar>
              <w:top w:w="50" w:type="dxa"/>
              <w:bottom w:w="50" w:type="dxa"/>
              <w:start w:w="60" w:type="dxa"/>
              <w:end w:w="60" w:type="dxa"/>
            </w:tcMar>
          </w:tcPr>
          <w:p>
            <w:pPr>
              <w:pStyle w:val="TableText"/>
            </w:pPr>
            <w:r/>
            <w:r>
              <w:rPr>
                <w:b w:val="0"/>
              </w:rPr>
              <w:t>M27</w:t>
            </w:r>
          </w:p>
        </w:tc>
        <w:tc>
          <w:tcPr>
            <w:tcW w:type="dxa" w:w="3384"/>
            <w:vAlign w:val="center"/>
            <w:tcMar>
              <w:top w:w="50" w:type="dxa"/>
              <w:bottom w:w="50" w:type="dxa"/>
              <w:start w:w="60" w:type="dxa"/>
              <w:end w:w="60" w:type="dxa"/>
            </w:tcMar>
          </w:tcPr>
          <w:p>
            <w:pPr>
              <w:pStyle w:val="TableText"/>
            </w:pPr>
            <w:r/>
            <w:r>
              <w:rPr>
                <w:b w:val="0"/>
              </w:rPr>
              <w:t>Drift alert</w:t>
            </w:r>
          </w:p>
        </w:tc>
        <w:tc>
          <w:tcPr>
            <w:tcW w:type="dxa" w:w="5832"/>
            <w:vAlign w:val="center"/>
            <w:tcMar>
              <w:top w:w="50" w:type="dxa"/>
              <w:bottom w:w="50" w:type="dxa"/>
              <w:start w:w="60" w:type="dxa"/>
              <w:end w:w="60" w:type="dxa"/>
            </w:tcMar>
          </w:tcPr>
          <w:p>
            <w:pPr>
              <w:pStyle w:val="TableText"/>
            </w:pPr>
            <w:r/>
            <w:r>
              <w:rPr>
                <w:b w:val="0"/>
              </w:rPr>
              <w:t>Creates review; does not automatically retrain or change threshold.</w:t>
            </w:r>
          </w:p>
        </w:tc>
      </w:tr>
      <w:tr>
        <w:trPr>
          <w:cantSplit/>
        </w:trPr>
        <w:tc>
          <w:tcPr>
            <w:tcW w:type="dxa" w:w="792"/>
            <w:vAlign w:val="center"/>
            <w:tcMar>
              <w:top w:w="50" w:type="dxa"/>
              <w:bottom w:w="50" w:type="dxa"/>
              <w:start w:w="60" w:type="dxa"/>
              <w:end w:w="60" w:type="dxa"/>
            </w:tcMar>
            <w:shd w:fill="EDF4FA"/>
          </w:tcPr>
          <w:p>
            <w:pPr>
              <w:pStyle w:val="TableText"/>
            </w:pPr>
            <w:r/>
            <w:r>
              <w:rPr>
                <w:b w:val="0"/>
              </w:rPr>
              <w:t>M28</w:t>
            </w:r>
          </w:p>
        </w:tc>
        <w:tc>
          <w:tcPr>
            <w:tcW w:type="dxa" w:w="3384"/>
            <w:vAlign w:val="center"/>
            <w:tcMar>
              <w:top w:w="50" w:type="dxa"/>
              <w:bottom w:w="50" w:type="dxa"/>
              <w:start w:w="60" w:type="dxa"/>
              <w:end w:w="60" w:type="dxa"/>
            </w:tcMar>
            <w:shd w:fill="EDF4FA"/>
          </w:tcPr>
          <w:p>
            <w:pPr>
              <w:pStyle w:val="TableText"/>
            </w:pPr>
            <w:r/>
            <w:r>
              <w:rPr>
                <w:b w:val="0"/>
              </w:rPr>
              <w:t>HIGH-rate increase</w:t>
            </w:r>
          </w:p>
        </w:tc>
        <w:tc>
          <w:tcPr>
            <w:tcW w:type="dxa" w:w="5832"/>
            <w:vAlign w:val="center"/>
            <w:tcMar>
              <w:top w:w="50" w:type="dxa"/>
              <w:bottom w:w="50" w:type="dxa"/>
              <w:start w:w="60" w:type="dxa"/>
              <w:end w:w="60" w:type="dxa"/>
            </w:tcMar>
            <w:shd w:fill="EDF4FA"/>
          </w:tcPr>
          <w:p>
            <w:pPr>
              <w:pStyle w:val="TableText"/>
            </w:pPr>
            <w:r/>
            <w:r>
              <w:rPr>
                <w:b w:val="0"/>
              </w:rPr>
              <w:t>Investigated across rule factors, data quality and population before action.</w:t>
            </w:r>
          </w:p>
        </w:tc>
      </w:tr>
      <w:tr>
        <w:trPr>
          <w:cantSplit/>
        </w:trPr>
        <w:tc>
          <w:tcPr>
            <w:tcW w:type="dxa" w:w="792"/>
            <w:vAlign w:val="center"/>
            <w:tcMar>
              <w:top w:w="50" w:type="dxa"/>
              <w:bottom w:w="50" w:type="dxa"/>
              <w:start w:w="60" w:type="dxa"/>
              <w:end w:w="60" w:type="dxa"/>
            </w:tcMar>
          </w:tcPr>
          <w:p>
            <w:pPr>
              <w:pStyle w:val="TableText"/>
            </w:pPr>
            <w:r/>
            <w:r>
              <w:rPr>
                <w:b w:val="0"/>
              </w:rPr>
              <w:t>M29</w:t>
            </w:r>
          </w:p>
        </w:tc>
        <w:tc>
          <w:tcPr>
            <w:tcW w:type="dxa" w:w="3384"/>
            <w:vAlign w:val="center"/>
            <w:tcMar>
              <w:top w:w="50" w:type="dxa"/>
              <w:bottom w:w="50" w:type="dxa"/>
              <w:start w:w="60" w:type="dxa"/>
              <w:end w:w="60" w:type="dxa"/>
            </w:tcMar>
          </w:tcPr>
          <w:p>
            <w:pPr>
              <w:pStyle w:val="TableText"/>
            </w:pPr>
            <w:r/>
            <w:r>
              <w:rPr>
                <w:b w:val="0"/>
              </w:rPr>
              <w:t>Incomplete-rate increase</w:t>
            </w:r>
          </w:p>
        </w:tc>
        <w:tc>
          <w:tcPr>
            <w:tcW w:type="dxa" w:w="5832"/>
            <w:vAlign w:val="center"/>
            <w:tcMar>
              <w:top w:w="50" w:type="dxa"/>
              <w:bottom w:w="50" w:type="dxa"/>
              <w:start w:w="60" w:type="dxa"/>
              <w:end w:w="60" w:type="dxa"/>
            </w:tcMar>
          </w:tcPr>
          <w:p>
            <w:pPr>
              <w:pStyle w:val="TableText"/>
            </w:pPr>
            <w:r/>
            <w:r>
              <w:rPr>
                <w:b w:val="0"/>
              </w:rPr>
              <w:t>Missing-record source is identified and workflow correction tested.</w:t>
            </w:r>
          </w:p>
        </w:tc>
      </w:tr>
      <w:tr>
        <w:trPr>
          <w:cantSplit/>
        </w:trPr>
        <w:tc>
          <w:tcPr>
            <w:tcW w:type="dxa" w:w="792"/>
            <w:vAlign w:val="center"/>
            <w:tcMar>
              <w:top w:w="50" w:type="dxa"/>
              <w:bottom w:w="50" w:type="dxa"/>
              <w:start w:w="60" w:type="dxa"/>
              <w:end w:w="60" w:type="dxa"/>
            </w:tcMar>
            <w:shd w:fill="EDF4FA"/>
          </w:tcPr>
          <w:p>
            <w:pPr>
              <w:pStyle w:val="TableText"/>
            </w:pPr>
            <w:r/>
            <w:r>
              <w:rPr>
                <w:b w:val="0"/>
              </w:rPr>
              <w:t>M30</w:t>
            </w:r>
          </w:p>
        </w:tc>
        <w:tc>
          <w:tcPr>
            <w:tcW w:type="dxa" w:w="3384"/>
            <w:vAlign w:val="center"/>
            <w:tcMar>
              <w:top w:w="50" w:type="dxa"/>
              <w:bottom w:w="50" w:type="dxa"/>
              <w:start w:w="60" w:type="dxa"/>
              <w:end w:w="60" w:type="dxa"/>
            </w:tcMar>
            <w:shd w:fill="EDF4FA"/>
          </w:tcPr>
          <w:p>
            <w:pPr>
              <w:pStyle w:val="TableText"/>
            </w:pPr>
            <w:r/>
            <w:r>
              <w:rPr>
                <w:b w:val="0"/>
              </w:rPr>
              <w:t>Rule–ML disagreement increase</w:t>
            </w:r>
          </w:p>
        </w:tc>
        <w:tc>
          <w:tcPr>
            <w:tcW w:type="dxa" w:w="5832"/>
            <w:vAlign w:val="center"/>
            <w:tcMar>
              <w:top w:w="50" w:type="dxa"/>
              <w:bottom w:w="50" w:type="dxa"/>
              <w:start w:w="60" w:type="dxa"/>
              <w:end w:w="60" w:type="dxa"/>
            </w:tcMar>
            <w:shd w:fill="EDF4FA"/>
          </w:tcPr>
          <w:p>
            <w:pPr>
              <w:pStyle w:val="TableText"/>
            </w:pPr>
            <w:r/>
            <w:r>
              <w:rPr>
                <w:b w:val="0"/>
              </w:rPr>
              <w:t>Trend reviewed without weakening deterministic precedence.</w:t>
            </w:r>
          </w:p>
        </w:tc>
      </w:tr>
      <w:tr>
        <w:trPr>
          <w:cantSplit/>
        </w:trPr>
        <w:tc>
          <w:tcPr>
            <w:tcW w:type="dxa" w:w="792"/>
            <w:vAlign w:val="center"/>
            <w:tcMar>
              <w:top w:w="50" w:type="dxa"/>
              <w:bottom w:w="50" w:type="dxa"/>
              <w:start w:w="60" w:type="dxa"/>
              <w:end w:w="60" w:type="dxa"/>
            </w:tcMar>
          </w:tcPr>
          <w:p>
            <w:pPr>
              <w:pStyle w:val="TableText"/>
            </w:pPr>
            <w:r/>
            <w:r>
              <w:rPr>
                <w:b w:val="0"/>
              </w:rPr>
              <w:t>M31</w:t>
            </w:r>
          </w:p>
        </w:tc>
        <w:tc>
          <w:tcPr>
            <w:tcW w:type="dxa" w:w="3384"/>
            <w:vAlign w:val="center"/>
            <w:tcMar>
              <w:top w:w="50" w:type="dxa"/>
              <w:bottom w:w="50" w:type="dxa"/>
              <w:start w:w="60" w:type="dxa"/>
              <w:end w:w="60" w:type="dxa"/>
            </w:tcMar>
          </w:tcPr>
          <w:p>
            <w:pPr>
              <w:pStyle w:val="TableText"/>
            </w:pPr>
            <w:r/>
            <w:r>
              <w:rPr>
                <w:b w:val="0"/>
              </w:rPr>
              <w:t>User reports confusing LOW text</w:t>
            </w:r>
          </w:p>
        </w:tc>
        <w:tc>
          <w:tcPr>
            <w:tcW w:type="dxa" w:w="5832"/>
            <w:vAlign w:val="center"/>
            <w:tcMar>
              <w:top w:w="50" w:type="dxa"/>
              <w:bottom w:w="50" w:type="dxa"/>
              <w:start w:w="60" w:type="dxa"/>
              <w:end w:w="60" w:type="dxa"/>
            </w:tcMar>
          </w:tcPr>
          <w:p>
            <w:pPr>
              <w:pStyle w:val="TableText"/>
            </w:pPr>
            <w:r/>
            <w:r>
              <w:rPr>
                <w:b w:val="0"/>
              </w:rPr>
              <w:t>Wording change classified for clinical interpretation and validated.</w:t>
            </w:r>
          </w:p>
        </w:tc>
      </w:tr>
      <w:tr>
        <w:trPr>
          <w:cantSplit/>
        </w:trPr>
        <w:tc>
          <w:tcPr>
            <w:tcW w:type="dxa" w:w="792"/>
            <w:vAlign w:val="center"/>
            <w:tcMar>
              <w:top w:w="50" w:type="dxa"/>
              <w:bottom w:w="50" w:type="dxa"/>
              <w:start w:w="60" w:type="dxa"/>
              <w:end w:w="60" w:type="dxa"/>
            </w:tcMar>
            <w:shd w:fill="EDF4FA"/>
          </w:tcPr>
          <w:p>
            <w:pPr>
              <w:pStyle w:val="TableText"/>
            </w:pPr>
            <w:r/>
            <w:r>
              <w:rPr>
                <w:b w:val="0"/>
              </w:rPr>
              <w:t>M32</w:t>
            </w:r>
          </w:p>
        </w:tc>
        <w:tc>
          <w:tcPr>
            <w:tcW w:type="dxa" w:w="3384"/>
            <w:vAlign w:val="center"/>
            <w:tcMar>
              <w:top w:w="50" w:type="dxa"/>
              <w:bottom w:w="50" w:type="dxa"/>
              <w:start w:w="60" w:type="dxa"/>
              <w:end w:w="60" w:type="dxa"/>
            </w:tcMar>
            <w:shd w:fill="EDF4FA"/>
          </w:tcPr>
          <w:p>
            <w:pPr>
              <w:pStyle w:val="TableText"/>
            </w:pPr>
            <w:r/>
            <w:r>
              <w:rPr>
                <w:b w:val="0"/>
              </w:rPr>
              <w:t>Cosmetic change</w:t>
            </w:r>
          </w:p>
        </w:tc>
        <w:tc>
          <w:tcPr>
            <w:tcW w:type="dxa" w:w="5832"/>
            <w:vAlign w:val="center"/>
            <w:tcMar>
              <w:top w:w="50" w:type="dxa"/>
              <w:bottom w:w="50" w:type="dxa"/>
              <w:start w:w="60" w:type="dxa"/>
              <w:end w:w="60" w:type="dxa"/>
            </w:tcMar>
            <w:shd w:fill="EDF4FA"/>
          </w:tcPr>
          <w:p>
            <w:pPr>
              <w:pStyle w:val="TableText"/>
            </w:pPr>
            <w:r/>
            <w:r>
              <w:rPr>
                <w:b w:val="0"/>
              </w:rPr>
              <w:t>Evidence confirms no hidden label, alert or print impact.</w:t>
            </w:r>
          </w:p>
        </w:tc>
      </w:tr>
      <w:tr>
        <w:trPr>
          <w:cantSplit/>
        </w:trPr>
        <w:tc>
          <w:tcPr>
            <w:tcW w:type="dxa" w:w="792"/>
            <w:vAlign w:val="center"/>
            <w:tcMar>
              <w:top w:w="50" w:type="dxa"/>
              <w:bottom w:w="50" w:type="dxa"/>
              <w:start w:w="60" w:type="dxa"/>
              <w:end w:w="60" w:type="dxa"/>
            </w:tcMar>
          </w:tcPr>
          <w:p>
            <w:pPr>
              <w:pStyle w:val="TableText"/>
            </w:pPr>
            <w:r/>
            <w:r>
              <w:rPr>
                <w:b w:val="0"/>
              </w:rPr>
              <w:t>M33</w:t>
            </w:r>
          </w:p>
        </w:tc>
        <w:tc>
          <w:tcPr>
            <w:tcW w:type="dxa" w:w="3384"/>
            <w:vAlign w:val="center"/>
            <w:tcMar>
              <w:top w:w="50" w:type="dxa"/>
              <w:bottom w:w="50" w:type="dxa"/>
              <w:start w:w="60" w:type="dxa"/>
              <w:end w:w="60" w:type="dxa"/>
            </w:tcMar>
          </w:tcPr>
          <w:p>
            <w:pPr>
              <w:pStyle w:val="TableText"/>
            </w:pPr>
            <w:r/>
            <w:r>
              <w:rPr>
                <w:b w:val="0"/>
              </w:rPr>
              <w:t>Performance optimization</w:t>
            </w:r>
          </w:p>
        </w:tc>
        <w:tc>
          <w:tcPr>
            <w:tcW w:type="dxa" w:w="5832"/>
            <w:vAlign w:val="center"/>
            <w:tcMar>
              <w:top w:w="50" w:type="dxa"/>
              <w:bottom w:w="50" w:type="dxa"/>
              <w:start w:w="60" w:type="dxa"/>
              <w:end w:w="60" w:type="dxa"/>
            </w:tcMar>
          </w:tcPr>
          <w:p>
            <w:pPr>
              <w:pStyle w:val="TableText"/>
            </w:pPr>
            <w:r/>
            <w:r>
              <w:rPr>
                <w:b w:val="0"/>
              </w:rPr>
              <w:t>Query results and clinical outputs remain equivalent.</w:t>
            </w:r>
          </w:p>
        </w:tc>
      </w:tr>
      <w:tr>
        <w:trPr>
          <w:cantSplit/>
        </w:trPr>
        <w:tc>
          <w:tcPr>
            <w:tcW w:type="dxa" w:w="792"/>
            <w:vAlign w:val="center"/>
            <w:tcMar>
              <w:top w:w="50" w:type="dxa"/>
              <w:bottom w:w="50" w:type="dxa"/>
              <w:start w:w="60" w:type="dxa"/>
              <w:end w:w="60" w:type="dxa"/>
            </w:tcMar>
            <w:shd w:fill="EDF4FA"/>
          </w:tcPr>
          <w:p>
            <w:pPr>
              <w:pStyle w:val="TableText"/>
            </w:pPr>
            <w:r/>
            <w:r>
              <w:rPr>
                <w:b w:val="0"/>
              </w:rPr>
              <w:t>M34</w:t>
            </w:r>
          </w:p>
        </w:tc>
        <w:tc>
          <w:tcPr>
            <w:tcW w:type="dxa" w:w="3384"/>
            <w:vAlign w:val="center"/>
            <w:tcMar>
              <w:top w:w="50" w:type="dxa"/>
              <w:bottom w:w="50" w:type="dxa"/>
              <w:start w:w="60" w:type="dxa"/>
              <w:end w:w="60" w:type="dxa"/>
            </w:tcMar>
            <w:shd w:fill="EDF4FA"/>
          </w:tcPr>
          <w:p>
            <w:pPr>
              <w:pStyle w:val="TableText"/>
            </w:pPr>
            <w:r/>
            <w:r>
              <w:rPr>
                <w:b w:val="0"/>
              </w:rPr>
              <w:t>Index added</w:t>
            </w:r>
          </w:p>
        </w:tc>
        <w:tc>
          <w:tcPr>
            <w:tcW w:type="dxa" w:w="5832"/>
            <w:vAlign w:val="center"/>
            <w:tcMar>
              <w:top w:w="50" w:type="dxa"/>
              <w:bottom w:w="50" w:type="dxa"/>
              <w:start w:w="60" w:type="dxa"/>
              <w:end w:w="60" w:type="dxa"/>
            </w:tcMar>
            <w:shd w:fill="EDF4FA"/>
          </w:tcPr>
          <w:p>
            <w:pPr>
              <w:pStyle w:val="TableText"/>
            </w:pPr>
            <w:r/>
            <w:r>
              <w:rPr>
                <w:b w:val="0"/>
              </w:rPr>
              <w:t>Migration and rollback/forward-fix are tested.</w:t>
            </w:r>
          </w:p>
        </w:tc>
      </w:tr>
      <w:tr>
        <w:trPr>
          <w:cantSplit/>
        </w:trPr>
        <w:tc>
          <w:tcPr>
            <w:tcW w:type="dxa" w:w="792"/>
            <w:vAlign w:val="center"/>
            <w:tcMar>
              <w:top w:w="50" w:type="dxa"/>
              <w:bottom w:w="50" w:type="dxa"/>
              <w:start w:w="60" w:type="dxa"/>
              <w:end w:w="60" w:type="dxa"/>
            </w:tcMar>
          </w:tcPr>
          <w:p>
            <w:pPr>
              <w:pStyle w:val="TableText"/>
            </w:pPr>
            <w:r/>
            <w:r>
              <w:rPr>
                <w:b w:val="0"/>
              </w:rPr>
              <w:t>M35</w:t>
            </w:r>
          </w:p>
        </w:tc>
        <w:tc>
          <w:tcPr>
            <w:tcW w:type="dxa" w:w="3384"/>
            <w:vAlign w:val="center"/>
            <w:tcMar>
              <w:top w:w="50" w:type="dxa"/>
              <w:bottom w:w="50" w:type="dxa"/>
              <w:start w:w="60" w:type="dxa"/>
              <w:end w:w="60" w:type="dxa"/>
            </w:tcMar>
          </w:tcPr>
          <w:p>
            <w:pPr>
              <w:pStyle w:val="TableText"/>
            </w:pPr>
            <w:r/>
            <w:r>
              <w:rPr>
                <w:b w:val="0"/>
              </w:rPr>
              <w:t>Dependency reaches end of life</w:t>
            </w:r>
          </w:p>
        </w:tc>
        <w:tc>
          <w:tcPr>
            <w:tcW w:type="dxa" w:w="5832"/>
            <w:vAlign w:val="center"/>
            <w:tcMar>
              <w:top w:w="50" w:type="dxa"/>
              <w:bottom w:w="50" w:type="dxa"/>
              <w:start w:w="60" w:type="dxa"/>
              <w:end w:w="60" w:type="dxa"/>
            </w:tcMar>
          </w:tcPr>
          <w:p>
            <w:pPr>
              <w:pStyle w:val="TableText"/>
            </w:pPr>
            <w:r/>
            <w:r>
              <w:rPr>
                <w:b w:val="0"/>
              </w:rPr>
              <w:t>Replacement plan is initiated before unsupported operation.</w:t>
            </w:r>
          </w:p>
        </w:tc>
      </w:tr>
      <w:tr>
        <w:trPr>
          <w:cantSplit/>
        </w:trPr>
        <w:tc>
          <w:tcPr>
            <w:tcW w:type="dxa" w:w="792"/>
            <w:vAlign w:val="center"/>
            <w:tcMar>
              <w:top w:w="50" w:type="dxa"/>
              <w:bottom w:w="50" w:type="dxa"/>
              <w:start w:w="60" w:type="dxa"/>
              <w:end w:w="60" w:type="dxa"/>
            </w:tcMar>
            <w:shd w:fill="EDF4FA"/>
          </w:tcPr>
          <w:p>
            <w:pPr>
              <w:pStyle w:val="TableText"/>
            </w:pPr>
            <w:r/>
            <w:r>
              <w:rPr>
                <w:b w:val="0"/>
              </w:rPr>
              <w:t>M36</w:t>
            </w:r>
          </w:p>
        </w:tc>
        <w:tc>
          <w:tcPr>
            <w:tcW w:type="dxa" w:w="3384"/>
            <w:vAlign w:val="center"/>
            <w:tcMar>
              <w:top w:w="50" w:type="dxa"/>
              <w:bottom w:w="50" w:type="dxa"/>
              <w:start w:w="60" w:type="dxa"/>
              <w:end w:w="60" w:type="dxa"/>
            </w:tcMar>
            <w:shd w:fill="EDF4FA"/>
          </w:tcPr>
          <w:p>
            <w:pPr>
              <w:pStyle w:val="TableText"/>
            </w:pPr>
            <w:r/>
            <w:r>
              <w:rPr>
                <w:b w:val="0"/>
              </w:rPr>
              <w:t>Unapproved package update</w:t>
            </w:r>
          </w:p>
        </w:tc>
        <w:tc>
          <w:tcPr>
            <w:tcW w:type="dxa" w:w="5832"/>
            <w:vAlign w:val="center"/>
            <w:tcMar>
              <w:top w:w="50" w:type="dxa"/>
              <w:bottom w:w="50" w:type="dxa"/>
              <w:start w:w="60" w:type="dxa"/>
              <w:end w:w="60" w:type="dxa"/>
            </w:tcMar>
            <w:shd w:fill="EDF4FA"/>
          </w:tcPr>
          <w:p>
            <w:pPr>
              <w:pStyle w:val="TableText"/>
            </w:pPr>
            <w:r/>
            <w:r>
              <w:rPr>
                <w:b w:val="0"/>
              </w:rPr>
              <w:t>Lockfile/release review detects and rejects it.</w:t>
            </w:r>
          </w:p>
        </w:tc>
      </w:tr>
      <w:tr>
        <w:trPr>
          <w:cantSplit/>
        </w:trPr>
        <w:tc>
          <w:tcPr>
            <w:tcW w:type="dxa" w:w="792"/>
            <w:vAlign w:val="center"/>
            <w:tcMar>
              <w:top w:w="50" w:type="dxa"/>
              <w:bottom w:w="50" w:type="dxa"/>
              <w:start w:w="60" w:type="dxa"/>
              <w:end w:w="60" w:type="dxa"/>
            </w:tcMar>
          </w:tcPr>
          <w:p>
            <w:pPr>
              <w:pStyle w:val="TableText"/>
            </w:pPr>
            <w:r/>
            <w:r>
              <w:rPr>
                <w:b w:val="0"/>
              </w:rPr>
              <w:t>M37</w:t>
            </w:r>
          </w:p>
        </w:tc>
        <w:tc>
          <w:tcPr>
            <w:tcW w:type="dxa" w:w="3384"/>
            <w:vAlign w:val="center"/>
            <w:tcMar>
              <w:top w:w="50" w:type="dxa"/>
              <w:bottom w:w="50" w:type="dxa"/>
              <w:start w:w="60" w:type="dxa"/>
              <w:end w:w="60" w:type="dxa"/>
            </w:tcMar>
          </w:tcPr>
          <w:p>
            <w:pPr>
              <w:pStyle w:val="TableText"/>
            </w:pPr>
            <w:r/>
            <w:r>
              <w:rPr>
                <w:b w:val="0"/>
              </w:rPr>
              <w:t>Direct production code edit</w:t>
            </w:r>
          </w:p>
        </w:tc>
        <w:tc>
          <w:tcPr>
            <w:tcW w:type="dxa" w:w="5832"/>
            <w:vAlign w:val="center"/>
            <w:tcMar>
              <w:top w:w="50" w:type="dxa"/>
              <w:bottom w:w="50" w:type="dxa"/>
              <w:start w:w="60" w:type="dxa"/>
              <w:end w:w="60" w:type="dxa"/>
            </w:tcMar>
          </w:tcPr>
          <w:p>
            <w:pPr>
              <w:pStyle w:val="TableText"/>
            </w:pPr>
            <w:r/>
            <w:r>
              <w:rPr>
                <w:b w:val="0"/>
              </w:rPr>
              <w:t>Process treats it as incident and restores controlled version.</w:t>
            </w:r>
          </w:p>
        </w:tc>
      </w:tr>
      <w:tr>
        <w:trPr>
          <w:cantSplit/>
        </w:trPr>
        <w:tc>
          <w:tcPr>
            <w:tcW w:type="dxa" w:w="792"/>
            <w:vAlign w:val="center"/>
            <w:tcMar>
              <w:top w:w="50" w:type="dxa"/>
              <w:bottom w:w="50" w:type="dxa"/>
              <w:start w:w="60" w:type="dxa"/>
              <w:end w:w="60" w:type="dxa"/>
            </w:tcMar>
            <w:shd w:fill="EDF4FA"/>
          </w:tcPr>
          <w:p>
            <w:pPr>
              <w:pStyle w:val="TableText"/>
            </w:pPr>
            <w:r/>
            <w:r>
              <w:rPr>
                <w:b w:val="0"/>
              </w:rPr>
              <w:t>M38</w:t>
            </w:r>
          </w:p>
        </w:tc>
        <w:tc>
          <w:tcPr>
            <w:tcW w:type="dxa" w:w="3384"/>
            <w:vAlign w:val="center"/>
            <w:tcMar>
              <w:top w:w="50" w:type="dxa"/>
              <w:bottom w:w="50" w:type="dxa"/>
              <w:start w:w="60" w:type="dxa"/>
              <w:end w:w="60" w:type="dxa"/>
            </w:tcMar>
            <w:shd w:fill="EDF4FA"/>
          </w:tcPr>
          <w:p>
            <w:pPr>
              <w:pStyle w:val="TableText"/>
            </w:pPr>
            <w:r/>
            <w:r>
              <w:rPr>
                <w:b w:val="0"/>
              </w:rPr>
              <w:t>Live data used in test environment</w:t>
            </w:r>
          </w:p>
        </w:tc>
        <w:tc>
          <w:tcPr>
            <w:tcW w:type="dxa" w:w="5832"/>
            <w:vAlign w:val="center"/>
            <w:tcMar>
              <w:top w:w="50" w:type="dxa"/>
              <w:bottom w:w="50" w:type="dxa"/>
              <w:start w:w="60" w:type="dxa"/>
              <w:end w:w="60" w:type="dxa"/>
            </w:tcMar>
            <w:shd w:fill="EDF4FA"/>
          </w:tcPr>
          <w:p>
            <w:pPr>
              <w:pStyle w:val="TableText"/>
            </w:pPr>
            <w:r/>
            <w:r>
              <w:rPr>
                <w:b w:val="0"/>
              </w:rPr>
              <w:t>Privacy control rejects or requires approved de-identification.</w:t>
            </w:r>
          </w:p>
        </w:tc>
      </w:tr>
      <w:tr>
        <w:trPr>
          <w:cantSplit/>
        </w:trPr>
        <w:tc>
          <w:tcPr>
            <w:tcW w:type="dxa" w:w="792"/>
            <w:vAlign w:val="center"/>
            <w:tcMar>
              <w:top w:w="50" w:type="dxa"/>
              <w:bottom w:w="50" w:type="dxa"/>
              <w:start w:w="60" w:type="dxa"/>
              <w:end w:w="60" w:type="dxa"/>
            </w:tcMar>
          </w:tcPr>
          <w:p>
            <w:pPr>
              <w:pStyle w:val="TableText"/>
            </w:pPr>
            <w:r/>
            <w:r>
              <w:rPr>
                <w:b w:val="0"/>
              </w:rPr>
              <w:t>M39</w:t>
            </w:r>
          </w:p>
        </w:tc>
        <w:tc>
          <w:tcPr>
            <w:tcW w:type="dxa" w:w="3384"/>
            <w:vAlign w:val="center"/>
            <w:tcMar>
              <w:top w:w="50" w:type="dxa"/>
              <w:bottom w:w="50" w:type="dxa"/>
              <w:start w:w="60" w:type="dxa"/>
              <w:end w:w="60" w:type="dxa"/>
            </w:tcMar>
          </w:tcPr>
          <w:p>
            <w:pPr>
              <w:pStyle w:val="TableText"/>
            </w:pPr>
            <w:r/>
            <w:r>
              <w:rPr>
                <w:b w:val="0"/>
              </w:rPr>
              <w:t>Clock/timezone change</w:t>
            </w:r>
          </w:p>
        </w:tc>
        <w:tc>
          <w:tcPr>
            <w:tcW w:type="dxa" w:w="5832"/>
            <w:vAlign w:val="center"/>
            <w:tcMar>
              <w:top w:w="50" w:type="dxa"/>
              <w:bottom w:w="50" w:type="dxa"/>
              <w:start w:w="60" w:type="dxa"/>
              <w:end w:w="60" w:type="dxa"/>
            </w:tcMar>
          </w:tcPr>
          <w:p>
            <w:pPr>
              <w:pStyle w:val="TableText"/>
            </w:pPr>
            <w:r/>
            <w:r>
              <w:rPr>
                <w:b w:val="0"/>
              </w:rPr>
              <w:t>Dates and audit ordering remain consistent.</w:t>
            </w:r>
          </w:p>
        </w:tc>
      </w:tr>
      <w:tr>
        <w:trPr>
          <w:cantSplit/>
        </w:trPr>
        <w:tc>
          <w:tcPr>
            <w:tcW w:type="dxa" w:w="792"/>
            <w:vAlign w:val="center"/>
            <w:tcMar>
              <w:top w:w="50" w:type="dxa"/>
              <w:bottom w:w="50" w:type="dxa"/>
              <w:start w:w="60" w:type="dxa"/>
              <w:end w:w="60" w:type="dxa"/>
            </w:tcMar>
            <w:shd w:fill="EDF4FA"/>
          </w:tcPr>
          <w:p>
            <w:pPr>
              <w:pStyle w:val="TableText"/>
            </w:pPr>
            <w:r/>
            <w:r>
              <w:rPr>
                <w:b w:val="0"/>
              </w:rPr>
              <w:t>M40</w:t>
            </w:r>
          </w:p>
        </w:tc>
        <w:tc>
          <w:tcPr>
            <w:tcW w:type="dxa" w:w="3384"/>
            <w:vAlign w:val="center"/>
            <w:tcMar>
              <w:top w:w="50" w:type="dxa"/>
              <w:bottom w:w="50" w:type="dxa"/>
              <w:start w:w="60" w:type="dxa"/>
              <w:end w:w="60" w:type="dxa"/>
            </w:tcMar>
            <w:shd w:fill="EDF4FA"/>
          </w:tcPr>
          <w:p>
            <w:pPr>
              <w:pStyle w:val="TableText"/>
            </w:pPr>
            <w:r/>
            <w:r>
              <w:rPr>
                <w:b w:val="0"/>
              </w:rPr>
              <w:t>Refusal/waiver workflow updated</w:t>
            </w:r>
          </w:p>
        </w:tc>
        <w:tc>
          <w:tcPr>
            <w:tcW w:type="dxa" w:w="5832"/>
            <w:vAlign w:val="center"/>
            <w:tcMar>
              <w:top w:w="50" w:type="dxa"/>
              <w:bottom w:w="50" w:type="dxa"/>
              <w:start w:w="60" w:type="dxa"/>
              <w:end w:w="60" w:type="dxa"/>
            </w:tcMar>
            <w:shd w:fill="EDF4FA"/>
          </w:tcPr>
          <w:p>
            <w:pPr>
              <w:pStyle w:val="TableText"/>
            </w:pPr>
            <w:r/>
            <w:r>
              <w:rPr>
                <w:b w:val="0"/>
              </w:rPr>
              <w:t>Referral and audit behavior are fully regression tested.</w:t>
            </w:r>
          </w:p>
        </w:tc>
      </w:tr>
      <w:tr>
        <w:trPr>
          <w:cantSplit/>
        </w:trPr>
        <w:tc>
          <w:tcPr>
            <w:tcW w:type="dxa" w:w="792"/>
            <w:vAlign w:val="center"/>
            <w:tcMar>
              <w:top w:w="50" w:type="dxa"/>
              <w:bottom w:w="50" w:type="dxa"/>
              <w:start w:w="60" w:type="dxa"/>
              <w:end w:w="60" w:type="dxa"/>
            </w:tcMar>
          </w:tcPr>
          <w:p>
            <w:pPr>
              <w:pStyle w:val="TableText"/>
            </w:pPr>
            <w:r/>
            <w:r>
              <w:rPr>
                <w:b w:val="0"/>
              </w:rPr>
              <w:t>M41</w:t>
            </w:r>
          </w:p>
        </w:tc>
        <w:tc>
          <w:tcPr>
            <w:tcW w:type="dxa" w:w="3384"/>
            <w:vAlign w:val="center"/>
            <w:tcMar>
              <w:top w:w="50" w:type="dxa"/>
              <w:bottom w:w="50" w:type="dxa"/>
              <w:start w:w="60" w:type="dxa"/>
              <w:end w:w="60" w:type="dxa"/>
            </w:tcMar>
          </w:tcPr>
          <w:p>
            <w:pPr>
              <w:pStyle w:val="TableText"/>
            </w:pPr>
            <w:r/>
            <w:r>
              <w:rPr>
                <w:b w:val="0"/>
              </w:rPr>
              <w:t>User role renamed</w:t>
            </w:r>
          </w:p>
        </w:tc>
        <w:tc>
          <w:tcPr>
            <w:tcW w:type="dxa" w:w="5832"/>
            <w:vAlign w:val="center"/>
            <w:tcMar>
              <w:top w:w="50" w:type="dxa"/>
              <w:bottom w:w="50" w:type="dxa"/>
              <w:start w:w="60" w:type="dxa"/>
              <w:end w:w="60" w:type="dxa"/>
            </w:tcMar>
          </w:tcPr>
          <w:p>
            <w:pPr>
              <w:pStyle w:val="TableText"/>
            </w:pPr>
            <w:r/>
            <w:r>
              <w:rPr>
                <w:b w:val="0"/>
              </w:rPr>
              <w:t>Permissions remain least-privilege and object-specific.</w:t>
            </w:r>
          </w:p>
        </w:tc>
      </w:tr>
      <w:tr>
        <w:trPr>
          <w:cantSplit/>
        </w:trPr>
        <w:tc>
          <w:tcPr>
            <w:tcW w:type="dxa" w:w="792"/>
            <w:vAlign w:val="center"/>
            <w:tcMar>
              <w:top w:w="50" w:type="dxa"/>
              <w:bottom w:w="50" w:type="dxa"/>
              <w:start w:w="60" w:type="dxa"/>
              <w:end w:w="60" w:type="dxa"/>
            </w:tcMar>
            <w:shd w:fill="EDF4FA"/>
          </w:tcPr>
          <w:p>
            <w:pPr>
              <w:pStyle w:val="TableText"/>
            </w:pPr>
            <w:r/>
            <w:r>
              <w:rPr>
                <w:b w:val="0"/>
              </w:rPr>
              <w:t>M42</w:t>
            </w:r>
          </w:p>
        </w:tc>
        <w:tc>
          <w:tcPr>
            <w:tcW w:type="dxa" w:w="3384"/>
            <w:vAlign w:val="center"/>
            <w:tcMar>
              <w:top w:w="50" w:type="dxa"/>
              <w:bottom w:w="50" w:type="dxa"/>
              <w:start w:w="60" w:type="dxa"/>
              <w:end w:w="60" w:type="dxa"/>
            </w:tcMar>
            <w:shd w:fill="EDF4FA"/>
          </w:tcPr>
          <w:p>
            <w:pPr>
              <w:pStyle w:val="TableText"/>
            </w:pPr>
            <w:r/>
            <w:r>
              <w:rPr>
                <w:b w:val="0"/>
              </w:rPr>
              <w:t>Audit logging fails</w:t>
            </w:r>
          </w:p>
        </w:tc>
        <w:tc>
          <w:tcPr>
            <w:tcW w:type="dxa" w:w="5832"/>
            <w:vAlign w:val="center"/>
            <w:tcMar>
              <w:top w:w="50" w:type="dxa"/>
              <w:bottom w:w="50" w:type="dxa"/>
              <w:start w:w="60" w:type="dxa"/>
              <w:end w:w="60" w:type="dxa"/>
            </w:tcMar>
            <w:shd w:fill="EDF4FA"/>
          </w:tcPr>
          <w:p>
            <w:pPr>
              <w:pStyle w:val="TableText"/>
            </w:pPr>
            <w:r/>
            <w:r>
              <w:rPr>
                <w:b w:val="0"/>
              </w:rPr>
              <w:t>Safety-relevant action is blocked or prominently flagged per approved policy.</w:t>
            </w:r>
          </w:p>
        </w:tc>
      </w:tr>
      <w:tr>
        <w:trPr>
          <w:cantSplit/>
        </w:trPr>
        <w:tc>
          <w:tcPr>
            <w:tcW w:type="dxa" w:w="792"/>
            <w:vAlign w:val="center"/>
            <w:tcMar>
              <w:top w:w="50" w:type="dxa"/>
              <w:bottom w:w="50" w:type="dxa"/>
              <w:start w:w="60" w:type="dxa"/>
              <w:end w:w="60" w:type="dxa"/>
            </w:tcMar>
          </w:tcPr>
          <w:p>
            <w:pPr>
              <w:pStyle w:val="TableText"/>
            </w:pPr>
            <w:r/>
            <w:r>
              <w:rPr>
                <w:b w:val="0"/>
              </w:rPr>
              <w:t>M43</w:t>
            </w:r>
          </w:p>
        </w:tc>
        <w:tc>
          <w:tcPr>
            <w:tcW w:type="dxa" w:w="3384"/>
            <w:vAlign w:val="center"/>
            <w:tcMar>
              <w:top w:w="50" w:type="dxa"/>
              <w:bottom w:w="50" w:type="dxa"/>
              <w:start w:w="60" w:type="dxa"/>
              <w:end w:w="60" w:type="dxa"/>
            </w:tcMar>
          </w:tcPr>
          <w:p>
            <w:pPr>
              <w:pStyle w:val="TableText"/>
            </w:pPr>
            <w:r/>
            <w:r>
              <w:rPr>
                <w:b w:val="0"/>
              </w:rPr>
              <w:t>Monitoring dashboard unavailable</w:t>
            </w:r>
          </w:p>
        </w:tc>
        <w:tc>
          <w:tcPr>
            <w:tcW w:type="dxa" w:w="5832"/>
            <w:vAlign w:val="center"/>
            <w:tcMar>
              <w:top w:w="50" w:type="dxa"/>
              <w:bottom w:w="50" w:type="dxa"/>
              <w:start w:w="60" w:type="dxa"/>
              <w:end w:w="60" w:type="dxa"/>
            </w:tcMar>
          </w:tcPr>
          <w:p>
            <w:pPr>
              <w:pStyle w:val="TableText"/>
            </w:pPr>
            <w:r/>
            <w:r>
              <w:rPr>
                <w:b w:val="0"/>
              </w:rPr>
              <w:t>Core CDSS continues safely and alerting fallback operates.</w:t>
            </w:r>
          </w:p>
        </w:tc>
      </w:tr>
      <w:tr>
        <w:trPr>
          <w:cantSplit/>
        </w:trPr>
        <w:tc>
          <w:tcPr>
            <w:tcW w:type="dxa" w:w="792"/>
            <w:vAlign w:val="center"/>
            <w:tcMar>
              <w:top w:w="50" w:type="dxa"/>
              <w:bottom w:w="50" w:type="dxa"/>
              <w:start w:w="60" w:type="dxa"/>
              <w:end w:w="60" w:type="dxa"/>
            </w:tcMar>
            <w:shd w:fill="EDF4FA"/>
          </w:tcPr>
          <w:p>
            <w:pPr>
              <w:pStyle w:val="TableText"/>
            </w:pPr>
            <w:r/>
            <w:r>
              <w:rPr>
                <w:b w:val="0"/>
              </w:rPr>
              <w:t>M44</w:t>
            </w:r>
          </w:p>
        </w:tc>
        <w:tc>
          <w:tcPr>
            <w:tcW w:type="dxa" w:w="3384"/>
            <w:vAlign w:val="center"/>
            <w:tcMar>
              <w:top w:w="50" w:type="dxa"/>
              <w:bottom w:w="50" w:type="dxa"/>
              <w:start w:w="60" w:type="dxa"/>
              <w:end w:w="60" w:type="dxa"/>
            </w:tcMar>
            <w:shd w:fill="EDF4FA"/>
          </w:tcPr>
          <w:p>
            <w:pPr>
              <w:pStyle w:val="TableText"/>
            </w:pPr>
            <w:r/>
            <w:r>
              <w:rPr>
                <w:b w:val="0"/>
              </w:rPr>
              <w:t>Incident affects prior assessments</w:t>
            </w:r>
          </w:p>
        </w:tc>
        <w:tc>
          <w:tcPr>
            <w:tcW w:type="dxa" w:w="5832"/>
            <w:vAlign w:val="center"/>
            <w:tcMar>
              <w:top w:w="50" w:type="dxa"/>
              <w:bottom w:w="50" w:type="dxa"/>
              <w:start w:w="60" w:type="dxa"/>
              <w:end w:w="60" w:type="dxa"/>
            </w:tcMar>
            <w:shd w:fill="EDF4FA"/>
          </w:tcPr>
          <w:p>
            <w:pPr>
              <w:pStyle w:val="TableText"/>
            </w:pPr>
            <w:r/>
            <w:r>
              <w:rPr>
                <w:b w:val="0"/>
              </w:rPr>
              <w:t>Affected-record review is targeted; history is not silently overwritten.</w:t>
            </w:r>
          </w:p>
        </w:tc>
      </w:tr>
      <w:tr>
        <w:trPr>
          <w:cantSplit/>
        </w:trPr>
        <w:tc>
          <w:tcPr>
            <w:tcW w:type="dxa" w:w="792"/>
            <w:vAlign w:val="center"/>
            <w:tcMar>
              <w:top w:w="50" w:type="dxa"/>
              <w:bottom w:w="50" w:type="dxa"/>
              <w:start w:w="60" w:type="dxa"/>
              <w:end w:w="60" w:type="dxa"/>
            </w:tcMar>
          </w:tcPr>
          <w:p>
            <w:pPr>
              <w:pStyle w:val="TableText"/>
            </w:pPr>
            <w:r/>
            <w:r>
              <w:rPr>
                <w:b w:val="0"/>
              </w:rPr>
              <w:t>M45</w:t>
            </w:r>
          </w:p>
        </w:tc>
        <w:tc>
          <w:tcPr>
            <w:tcW w:type="dxa" w:w="3384"/>
            <w:vAlign w:val="center"/>
            <w:tcMar>
              <w:top w:w="50" w:type="dxa"/>
              <w:bottom w:w="50" w:type="dxa"/>
              <w:start w:w="60" w:type="dxa"/>
              <w:end w:w="60" w:type="dxa"/>
            </w:tcMar>
          </w:tcPr>
          <w:p>
            <w:pPr>
              <w:pStyle w:val="TableText"/>
            </w:pPr>
            <w:r/>
            <w:r>
              <w:rPr>
                <w:b w:val="0"/>
              </w:rPr>
              <w:t>Corrective action deployed</w:t>
            </w:r>
          </w:p>
        </w:tc>
        <w:tc>
          <w:tcPr>
            <w:tcW w:type="dxa" w:w="5832"/>
            <w:vAlign w:val="center"/>
            <w:tcMar>
              <w:top w:w="50" w:type="dxa"/>
              <w:bottom w:w="50" w:type="dxa"/>
              <w:start w:w="60" w:type="dxa"/>
              <w:end w:w="60" w:type="dxa"/>
            </w:tcMar>
          </w:tcPr>
          <w:p>
            <w:pPr>
              <w:pStyle w:val="TableText"/>
            </w:pPr>
            <w:r/>
            <w:r>
              <w:rPr>
                <w:b w:val="0"/>
              </w:rPr>
              <w:t>Effectiveness monitoring confirms non-recurrence for defined period.</w:t>
            </w:r>
          </w:p>
        </w:tc>
      </w:tr>
      <w:tr>
        <w:trPr>
          <w:cantSplit/>
        </w:trPr>
        <w:tc>
          <w:tcPr>
            <w:tcW w:type="dxa" w:w="792"/>
            <w:vAlign w:val="center"/>
            <w:tcMar>
              <w:top w:w="50" w:type="dxa"/>
              <w:bottom w:w="50" w:type="dxa"/>
              <w:start w:w="60" w:type="dxa"/>
              <w:end w:w="60" w:type="dxa"/>
            </w:tcMar>
            <w:shd w:fill="EDF4FA"/>
          </w:tcPr>
          <w:p>
            <w:pPr>
              <w:pStyle w:val="TableText"/>
            </w:pPr>
            <w:r/>
            <w:r>
              <w:rPr>
                <w:b w:val="0"/>
              </w:rPr>
              <w:t>M46</w:t>
            </w:r>
          </w:p>
        </w:tc>
        <w:tc>
          <w:tcPr>
            <w:tcW w:type="dxa" w:w="3384"/>
            <w:vAlign w:val="center"/>
            <w:tcMar>
              <w:top w:w="50" w:type="dxa"/>
              <w:bottom w:w="50" w:type="dxa"/>
              <w:start w:w="60" w:type="dxa"/>
              <w:end w:w="60" w:type="dxa"/>
            </w:tcMar>
            <w:shd w:fill="EDF4FA"/>
          </w:tcPr>
          <w:p>
            <w:pPr>
              <w:pStyle w:val="TableText"/>
            </w:pPr>
            <w:r/>
            <w:r>
              <w:rPr>
                <w:b w:val="0"/>
              </w:rPr>
              <w:t>New DOH/WHO guidance</w:t>
            </w:r>
          </w:p>
        </w:tc>
        <w:tc>
          <w:tcPr>
            <w:tcW w:type="dxa" w:w="5832"/>
            <w:vAlign w:val="center"/>
            <w:tcMar>
              <w:top w:w="50" w:type="dxa"/>
              <w:bottom w:w="50" w:type="dxa"/>
              <w:start w:w="60" w:type="dxa"/>
              <w:end w:w="60" w:type="dxa"/>
            </w:tcMar>
            <w:shd w:fill="EDF4FA"/>
          </w:tcPr>
          <w:p>
            <w:pPr>
              <w:pStyle w:val="TableText"/>
            </w:pPr>
            <w:r/>
            <w:r>
              <w:rPr>
                <w:b w:val="0"/>
              </w:rPr>
              <w:t>Creates evidence review rather than automatic rule change.</w:t>
            </w:r>
          </w:p>
        </w:tc>
      </w:tr>
      <w:tr>
        <w:trPr>
          <w:cantSplit/>
        </w:trPr>
        <w:tc>
          <w:tcPr>
            <w:tcW w:type="dxa" w:w="792"/>
            <w:vAlign w:val="center"/>
            <w:tcMar>
              <w:top w:w="50" w:type="dxa"/>
              <w:bottom w:w="50" w:type="dxa"/>
              <w:start w:w="60" w:type="dxa"/>
              <w:end w:w="60" w:type="dxa"/>
            </w:tcMar>
          </w:tcPr>
          <w:p>
            <w:pPr>
              <w:pStyle w:val="TableText"/>
            </w:pPr>
            <w:r/>
            <w:r>
              <w:rPr>
                <w:b w:val="0"/>
              </w:rPr>
              <w:t>M47</w:t>
            </w:r>
          </w:p>
        </w:tc>
        <w:tc>
          <w:tcPr>
            <w:tcW w:type="dxa" w:w="3384"/>
            <w:vAlign w:val="center"/>
            <w:tcMar>
              <w:top w:w="50" w:type="dxa"/>
              <w:bottom w:w="50" w:type="dxa"/>
              <w:start w:w="60" w:type="dxa"/>
              <w:end w:w="60" w:type="dxa"/>
            </w:tcMar>
          </w:tcPr>
          <w:p>
            <w:pPr>
              <w:pStyle w:val="TableText"/>
            </w:pPr>
            <w:r/>
            <w:r>
              <w:rPr>
                <w:b w:val="0"/>
              </w:rPr>
              <w:t>New clinic service proposed</w:t>
            </w:r>
          </w:p>
        </w:tc>
        <w:tc>
          <w:tcPr>
            <w:tcW w:type="dxa" w:w="5832"/>
            <w:vAlign w:val="center"/>
            <w:tcMar>
              <w:top w:w="50" w:type="dxa"/>
              <w:bottom w:w="50" w:type="dxa"/>
              <w:start w:w="60" w:type="dxa"/>
              <w:end w:w="60" w:type="dxa"/>
            </w:tcMar>
          </w:tcPr>
          <w:p>
            <w:pPr>
              <w:pStyle w:val="TableText"/>
            </w:pPr>
            <w:r/>
            <w:r>
              <w:rPr>
                <w:b w:val="0"/>
              </w:rPr>
              <w:t>Scope assessment prevents unsupported expansion.</w:t>
            </w:r>
          </w:p>
        </w:tc>
      </w:tr>
      <w:tr>
        <w:trPr>
          <w:cantSplit/>
        </w:trPr>
        <w:tc>
          <w:tcPr>
            <w:tcW w:type="dxa" w:w="792"/>
            <w:vAlign w:val="center"/>
            <w:tcMar>
              <w:top w:w="50" w:type="dxa"/>
              <w:bottom w:w="50" w:type="dxa"/>
              <w:start w:w="60" w:type="dxa"/>
              <w:end w:w="60" w:type="dxa"/>
            </w:tcMar>
            <w:shd w:fill="EDF4FA"/>
          </w:tcPr>
          <w:p>
            <w:pPr>
              <w:pStyle w:val="TableText"/>
            </w:pPr>
            <w:r/>
            <w:r>
              <w:rPr>
                <w:b w:val="0"/>
              </w:rPr>
              <w:t>M48</w:t>
            </w:r>
          </w:p>
        </w:tc>
        <w:tc>
          <w:tcPr>
            <w:tcW w:type="dxa" w:w="3384"/>
            <w:vAlign w:val="center"/>
            <w:tcMar>
              <w:top w:w="50" w:type="dxa"/>
              <w:bottom w:w="50" w:type="dxa"/>
              <w:start w:w="60" w:type="dxa"/>
              <w:end w:w="60" w:type="dxa"/>
            </w:tcMar>
            <w:shd w:fill="EDF4FA"/>
          </w:tcPr>
          <w:p>
            <w:pPr>
              <w:pStyle w:val="TableText"/>
            </w:pPr>
            <w:r/>
            <w:r>
              <w:rPr>
                <w:b w:val="0"/>
              </w:rPr>
              <w:t>Model accuracy improves but HIGH recall falls</w:t>
            </w:r>
          </w:p>
        </w:tc>
        <w:tc>
          <w:tcPr>
            <w:tcW w:type="dxa" w:w="5832"/>
            <w:vAlign w:val="center"/>
            <w:tcMar>
              <w:top w:w="50" w:type="dxa"/>
              <w:bottom w:w="50" w:type="dxa"/>
              <w:start w:w="60" w:type="dxa"/>
              <w:end w:w="60" w:type="dxa"/>
            </w:tcMar>
            <w:shd w:fill="EDF4FA"/>
          </w:tcPr>
          <w:p>
            <w:pPr>
              <w:pStyle w:val="TableText"/>
            </w:pPr>
            <w:r/>
            <w:r>
              <w:rPr>
                <w:b w:val="0"/>
              </w:rPr>
              <w:t>Candidate is rejected or further justified; accuracy alone is insufficient.</w:t>
            </w:r>
          </w:p>
        </w:tc>
      </w:tr>
      <w:tr>
        <w:trPr>
          <w:cantSplit/>
        </w:trPr>
        <w:tc>
          <w:tcPr>
            <w:tcW w:type="dxa" w:w="792"/>
            <w:vAlign w:val="center"/>
            <w:tcMar>
              <w:top w:w="50" w:type="dxa"/>
              <w:bottom w:w="50" w:type="dxa"/>
              <w:start w:w="60" w:type="dxa"/>
              <w:end w:w="60" w:type="dxa"/>
            </w:tcMar>
          </w:tcPr>
          <w:p>
            <w:pPr>
              <w:pStyle w:val="TableText"/>
            </w:pPr>
            <w:r/>
            <w:r>
              <w:rPr>
                <w:b w:val="0"/>
              </w:rPr>
              <w:t>M49</w:t>
            </w:r>
          </w:p>
        </w:tc>
        <w:tc>
          <w:tcPr>
            <w:tcW w:type="dxa" w:w="3384"/>
            <w:vAlign w:val="center"/>
            <w:tcMar>
              <w:top w:w="50" w:type="dxa"/>
              <w:bottom w:w="50" w:type="dxa"/>
              <w:start w:w="60" w:type="dxa"/>
              <w:end w:w="60" w:type="dxa"/>
            </w:tcMar>
          </w:tcPr>
          <w:p>
            <w:pPr>
              <w:pStyle w:val="TableText"/>
            </w:pPr>
            <w:r/>
            <w:r>
              <w:rPr>
                <w:b w:val="0"/>
              </w:rPr>
              <w:t>Subgroup performance concern</w:t>
            </w:r>
          </w:p>
        </w:tc>
        <w:tc>
          <w:tcPr>
            <w:tcW w:type="dxa" w:w="5832"/>
            <w:vAlign w:val="center"/>
            <w:tcMar>
              <w:top w:w="50" w:type="dxa"/>
              <w:bottom w:w="50" w:type="dxa"/>
              <w:start w:w="60" w:type="dxa"/>
              <w:end w:w="60" w:type="dxa"/>
            </w:tcMar>
          </w:tcPr>
          <w:p>
            <w:pPr>
              <w:pStyle w:val="TableText"/>
            </w:pPr>
            <w:r/>
            <w:r>
              <w:rPr>
                <w:b w:val="0"/>
              </w:rPr>
              <w:t>Release requires risk review and mitigation, not concealment.</w:t>
            </w:r>
          </w:p>
        </w:tc>
      </w:tr>
      <w:tr>
        <w:trPr>
          <w:cantSplit/>
        </w:trPr>
        <w:tc>
          <w:tcPr>
            <w:tcW w:type="dxa" w:w="792"/>
            <w:vAlign w:val="center"/>
            <w:tcMar>
              <w:top w:w="50" w:type="dxa"/>
              <w:bottom w:w="50" w:type="dxa"/>
              <w:start w:w="60" w:type="dxa"/>
              <w:end w:w="60" w:type="dxa"/>
            </w:tcMar>
            <w:shd w:fill="EDF4FA"/>
          </w:tcPr>
          <w:p>
            <w:pPr>
              <w:pStyle w:val="TableText"/>
            </w:pPr>
            <w:r/>
            <w:r>
              <w:rPr>
                <w:b w:val="0"/>
              </w:rPr>
              <w:t>M50</w:t>
            </w:r>
          </w:p>
        </w:tc>
        <w:tc>
          <w:tcPr>
            <w:tcW w:type="dxa" w:w="3384"/>
            <w:vAlign w:val="center"/>
            <w:tcMar>
              <w:top w:w="50" w:type="dxa"/>
              <w:bottom w:w="50" w:type="dxa"/>
              <w:start w:w="60" w:type="dxa"/>
              <w:end w:w="60" w:type="dxa"/>
            </w:tcMar>
            <w:shd w:fill="EDF4FA"/>
          </w:tcPr>
          <w:p>
            <w:pPr>
              <w:pStyle w:val="TableText"/>
            </w:pPr>
            <w:r/>
            <w:r>
              <w:rPr>
                <w:b w:val="0"/>
              </w:rPr>
              <w:t>System retirement</w:t>
            </w:r>
          </w:p>
        </w:tc>
        <w:tc>
          <w:tcPr>
            <w:tcW w:type="dxa" w:w="5832"/>
            <w:vAlign w:val="center"/>
            <w:tcMar>
              <w:top w:w="50" w:type="dxa"/>
              <w:bottom w:w="50" w:type="dxa"/>
              <w:start w:w="60" w:type="dxa"/>
              <w:end w:w="60" w:type="dxa"/>
            </w:tcMar>
            <w:shd w:fill="EDF4FA"/>
          </w:tcPr>
          <w:p>
            <w:pPr>
              <w:pStyle w:val="TableText"/>
            </w:pPr>
            <w:r/>
            <w:r>
              <w:rPr>
                <w:b w:val="0"/>
              </w:rPr>
              <w:t>Export, archive, continuity, access revocation and disposal are verified.</w:t>
            </w:r>
          </w:p>
        </w:tc>
      </w:tr>
    </w:tbl>
    <w:p>
      <w:pPr>
        <w:spacing w:after="20"/>
      </w:pPr>
    </w:p>
    <w:p>
      <w:pPr>
        <w:pStyle w:val="Heading1"/>
      </w:pPr>
      <w:r>
        <w:t>18. Maintenance Metrics and Review Cadence</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880"/>
            <w:vAlign w:val="center"/>
            <w:tcMar>
              <w:top w:w="50" w:type="dxa"/>
              <w:bottom w:w="50" w:type="dxa"/>
              <w:start w:w="60" w:type="dxa"/>
              <w:end w:w="60" w:type="dxa"/>
            </w:tcMar>
            <w:shd w:fill="17365D"/>
          </w:tcPr>
          <w:p>
            <w:pPr>
              <w:pStyle w:val="TableHeader"/>
            </w:pPr>
            <w:r/>
            <w:r>
              <w:rPr>
                <w:b/>
                <w:color w:val="FFFFFF"/>
              </w:rPr>
              <w:t>Metric</w:t>
            </w:r>
          </w:p>
        </w:tc>
        <w:tc>
          <w:tcPr>
            <w:tcW w:type="dxa" w:w="4608"/>
            <w:vAlign w:val="center"/>
            <w:tcMar>
              <w:top w:w="50" w:type="dxa"/>
              <w:bottom w:w="50" w:type="dxa"/>
              <w:start w:w="60" w:type="dxa"/>
              <w:end w:w="60" w:type="dxa"/>
            </w:tcMar>
            <w:shd w:fill="17365D"/>
          </w:tcPr>
          <w:p>
            <w:pPr>
              <w:pStyle w:val="TableHeader"/>
            </w:pPr>
            <w:r/>
            <w:r>
              <w:rPr>
                <w:b/>
                <w:color w:val="FFFFFF"/>
              </w:rPr>
              <w:t>Interpretation caution</w:t>
            </w:r>
          </w:p>
        </w:tc>
        <w:tc>
          <w:tcPr>
            <w:tcW w:type="dxa" w:w="3024"/>
            <w:vAlign w:val="center"/>
            <w:tcMar>
              <w:top w:w="50" w:type="dxa"/>
              <w:bottom w:w="50" w:type="dxa"/>
              <w:start w:w="60" w:type="dxa"/>
              <w:end w:w="60" w:type="dxa"/>
            </w:tcMar>
            <w:shd w:fill="17365D"/>
          </w:tcPr>
          <w:p>
            <w:pPr>
              <w:pStyle w:val="TableHeader"/>
            </w:pPr>
            <w:r/>
            <w:r>
              <w:rPr>
                <w:b/>
                <w:color w:val="FFFFFF"/>
              </w:rPr>
              <w:t>Suggested review</w:t>
            </w:r>
          </w:p>
        </w:tc>
      </w:tr>
      <w:tr>
        <w:trPr>
          <w:cantSplit/>
        </w:trPr>
        <w:tc>
          <w:tcPr>
            <w:tcW w:type="dxa" w:w="2880"/>
            <w:vAlign w:val="center"/>
            <w:tcMar>
              <w:top w:w="50" w:type="dxa"/>
              <w:bottom w:w="50" w:type="dxa"/>
              <w:start w:w="60" w:type="dxa"/>
              <w:end w:w="60" w:type="dxa"/>
            </w:tcMar>
          </w:tcPr>
          <w:p>
            <w:pPr>
              <w:pStyle w:val="TableText"/>
            </w:pPr>
            <w:r/>
            <w:r>
              <w:rPr>
                <w:b w:val="0"/>
              </w:rPr>
              <w:t>Open critical/major incidents and age</w:t>
            </w:r>
          </w:p>
        </w:tc>
        <w:tc>
          <w:tcPr>
            <w:tcW w:type="dxa" w:w="4608"/>
            <w:vAlign w:val="center"/>
            <w:tcMar>
              <w:top w:w="50" w:type="dxa"/>
              <w:bottom w:w="50" w:type="dxa"/>
              <w:start w:w="60" w:type="dxa"/>
              <w:end w:w="60" w:type="dxa"/>
            </w:tcMar>
          </w:tcPr>
          <w:p>
            <w:pPr>
              <w:pStyle w:val="TableText"/>
            </w:pPr>
            <w:r/>
            <w:r>
              <w:rPr>
                <w:b w:val="0"/>
              </w:rPr>
              <w:t>Count alone does not show patient impact.</w:t>
            </w:r>
          </w:p>
        </w:tc>
        <w:tc>
          <w:tcPr>
            <w:tcW w:type="dxa" w:w="3024"/>
            <w:vAlign w:val="center"/>
            <w:tcMar>
              <w:top w:w="50" w:type="dxa"/>
              <w:bottom w:w="50" w:type="dxa"/>
              <w:start w:w="60" w:type="dxa"/>
              <w:end w:w="60" w:type="dxa"/>
            </w:tcMar>
          </w:tcPr>
          <w:p>
            <w:pPr>
              <w:pStyle w:val="TableText"/>
            </w:pPr>
            <w:r/>
            <w:r>
              <w:rPr>
                <w:b w:val="0"/>
              </w:rPr>
              <w:t>Weekly until closed; critical immediately.</w:t>
            </w:r>
          </w:p>
        </w:tc>
      </w:tr>
      <w:tr>
        <w:trPr>
          <w:cantSplit/>
        </w:trPr>
        <w:tc>
          <w:tcPr>
            <w:tcW w:type="dxa" w:w="2880"/>
            <w:vAlign w:val="center"/>
            <w:tcMar>
              <w:top w:w="50" w:type="dxa"/>
              <w:bottom w:w="50" w:type="dxa"/>
              <w:start w:w="60" w:type="dxa"/>
              <w:end w:w="60" w:type="dxa"/>
            </w:tcMar>
            <w:shd w:fill="EDF4FA"/>
          </w:tcPr>
          <w:p>
            <w:pPr>
              <w:pStyle w:val="TableText"/>
            </w:pPr>
            <w:r/>
            <w:r>
              <w:rPr>
                <w:b w:val="0"/>
              </w:rPr>
              <w:t>Change failure/rollback rate</w:t>
            </w:r>
          </w:p>
        </w:tc>
        <w:tc>
          <w:tcPr>
            <w:tcW w:type="dxa" w:w="4608"/>
            <w:vAlign w:val="center"/>
            <w:tcMar>
              <w:top w:w="50" w:type="dxa"/>
              <w:bottom w:w="50" w:type="dxa"/>
              <w:start w:w="60" w:type="dxa"/>
              <w:end w:w="60" w:type="dxa"/>
            </w:tcMar>
            <w:shd w:fill="EDF4FA"/>
          </w:tcPr>
          <w:p>
            <w:pPr>
              <w:pStyle w:val="TableText"/>
            </w:pPr>
            <w:r/>
            <w:r>
              <w:rPr>
                <w:b w:val="0"/>
              </w:rPr>
              <w:t>A low rate can reflect under-reporting.</w:t>
            </w:r>
          </w:p>
        </w:tc>
        <w:tc>
          <w:tcPr>
            <w:tcW w:type="dxa" w:w="3024"/>
            <w:vAlign w:val="center"/>
            <w:tcMar>
              <w:top w:w="50" w:type="dxa"/>
              <w:bottom w:w="50" w:type="dxa"/>
              <w:start w:w="60" w:type="dxa"/>
              <w:end w:w="60" w:type="dxa"/>
            </w:tcMar>
            <w:shd w:fill="EDF4FA"/>
          </w:tcPr>
          <w:p>
            <w:pPr>
              <w:pStyle w:val="TableText"/>
            </w:pPr>
            <w:r/>
            <w:r>
              <w:rPr>
                <w:b w:val="0"/>
              </w:rPr>
              <w:t>Per release and quarterly trend.</w:t>
            </w:r>
          </w:p>
        </w:tc>
      </w:tr>
      <w:tr>
        <w:trPr>
          <w:cantSplit/>
        </w:trPr>
        <w:tc>
          <w:tcPr>
            <w:tcW w:type="dxa" w:w="2880"/>
            <w:vAlign w:val="center"/>
            <w:tcMar>
              <w:top w:w="50" w:type="dxa"/>
              <w:bottom w:w="50" w:type="dxa"/>
              <w:start w:w="60" w:type="dxa"/>
              <w:end w:w="60" w:type="dxa"/>
            </w:tcMar>
          </w:tcPr>
          <w:p>
            <w:pPr>
              <w:pStyle w:val="TableText"/>
            </w:pPr>
            <w:r/>
            <w:r>
              <w:rPr>
                <w:b w:val="0"/>
              </w:rPr>
              <w:t>Mean time to contain/resolve</w:t>
            </w:r>
          </w:p>
        </w:tc>
        <w:tc>
          <w:tcPr>
            <w:tcW w:type="dxa" w:w="4608"/>
            <w:vAlign w:val="center"/>
            <w:tcMar>
              <w:top w:w="50" w:type="dxa"/>
              <w:bottom w:w="50" w:type="dxa"/>
              <w:start w:w="60" w:type="dxa"/>
              <w:end w:w="60" w:type="dxa"/>
            </w:tcMar>
          </w:tcPr>
          <w:p>
            <w:pPr>
              <w:pStyle w:val="TableText"/>
            </w:pPr>
            <w:r/>
            <w:r>
              <w:rPr>
                <w:b w:val="0"/>
              </w:rPr>
              <w:t>Fast closure is not useful without effective correction.</w:t>
            </w:r>
          </w:p>
        </w:tc>
        <w:tc>
          <w:tcPr>
            <w:tcW w:type="dxa" w:w="3024"/>
            <w:vAlign w:val="center"/>
            <w:tcMar>
              <w:top w:w="50" w:type="dxa"/>
              <w:bottom w:w="50" w:type="dxa"/>
              <w:start w:w="60" w:type="dxa"/>
              <w:end w:w="60" w:type="dxa"/>
            </w:tcMar>
          </w:tcPr>
          <w:p>
            <w:pPr>
              <w:pStyle w:val="TableText"/>
            </w:pPr>
            <w:r/>
            <w:r>
              <w:rPr>
                <w:b w:val="0"/>
              </w:rPr>
              <w:t>Per incident and quarterly.</w:t>
            </w:r>
          </w:p>
        </w:tc>
      </w:tr>
      <w:tr>
        <w:trPr>
          <w:cantSplit/>
        </w:trPr>
        <w:tc>
          <w:tcPr>
            <w:tcW w:type="dxa" w:w="2880"/>
            <w:vAlign w:val="center"/>
            <w:tcMar>
              <w:top w:w="50" w:type="dxa"/>
              <w:bottom w:w="50" w:type="dxa"/>
              <w:start w:w="60" w:type="dxa"/>
              <w:end w:w="60" w:type="dxa"/>
            </w:tcMar>
            <w:shd w:fill="EDF4FA"/>
          </w:tcPr>
          <w:p>
            <w:pPr>
              <w:pStyle w:val="TableText"/>
            </w:pPr>
            <w:r/>
            <w:r>
              <w:rPr>
                <w:b w:val="0"/>
              </w:rPr>
              <w:t>Dependency/support status</w:t>
            </w:r>
          </w:p>
        </w:tc>
        <w:tc>
          <w:tcPr>
            <w:tcW w:type="dxa" w:w="4608"/>
            <w:vAlign w:val="center"/>
            <w:tcMar>
              <w:top w:w="50" w:type="dxa"/>
              <w:bottom w:w="50" w:type="dxa"/>
              <w:start w:w="60" w:type="dxa"/>
              <w:end w:w="60" w:type="dxa"/>
            </w:tcMar>
            <w:shd w:fill="EDF4FA"/>
          </w:tcPr>
          <w:p>
            <w:pPr>
              <w:pStyle w:val="TableText"/>
            </w:pPr>
            <w:r/>
            <w:r>
              <w:rPr>
                <w:b w:val="0"/>
              </w:rPr>
              <w:t>No vulnerability means neither secure nor supported.</w:t>
            </w:r>
          </w:p>
        </w:tc>
        <w:tc>
          <w:tcPr>
            <w:tcW w:type="dxa" w:w="3024"/>
            <w:vAlign w:val="center"/>
            <w:tcMar>
              <w:top w:w="50" w:type="dxa"/>
              <w:bottom w:w="50" w:type="dxa"/>
              <w:start w:w="60" w:type="dxa"/>
              <w:end w:w="60" w:type="dxa"/>
            </w:tcMar>
            <w:shd w:fill="EDF4FA"/>
          </w:tcPr>
          <w:p>
            <w:pPr>
              <w:pStyle w:val="TableText"/>
            </w:pPr>
            <w:r/>
            <w:r>
              <w:rPr>
                <w:b w:val="0"/>
              </w:rPr>
              <w:t>Monthly inventory; urgent advisories immediately.</w:t>
            </w:r>
          </w:p>
        </w:tc>
      </w:tr>
      <w:tr>
        <w:trPr>
          <w:cantSplit/>
        </w:trPr>
        <w:tc>
          <w:tcPr>
            <w:tcW w:type="dxa" w:w="2880"/>
            <w:vAlign w:val="center"/>
            <w:tcMar>
              <w:top w:w="50" w:type="dxa"/>
              <w:bottom w:w="50" w:type="dxa"/>
              <w:start w:w="60" w:type="dxa"/>
              <w:end w:w="60" w:type="dxa"/>
            </w:tcMar>
          </w:tcPr>
          <w:p>
            <w:pPr>
              <w:pStyle w:val="TableText"/>
            </w:pPr>
            <w:r/>
            <w:r>
              <w:rPr>
                <w:b w:val="0"/>
              </w:rPr>
              <w:t>ML invalid/failure rate</w:t>
            </w:r>
          </w:p>
        </w:tc>
        <w:tc>
          <w:tcPr>
            <w:tcW w:type="dxa" w:w="4608"/>
            <w:vAlign w:val="center"/>
            <w:tcMar>
              <w:top w:w="50" w:type="dxa"/>
              <w:bottom w:w="50" w:type="dxa"/>
              <w:start w:w="60" w:type="dxa"/>
              <w:end w:w="60" w:type="dxa"/>
            </w:tcMar>
          </w:tcPr>
          <w:p>
            <w:pPr>
              <w:pStyle w:val="TableText"/>
            </w:pPr>
            <w:r/>
            <w:r>
              <w:rPr>
                <w:b w:val="0"/>
              </w:rPr>
              <w:t>May reflect infrastructure rather than model quality.</w:t>
            </w:r>
          </w:p>
        </w:tc>
        <w:tc>
          <w:tcPr>
            <w:tcW w:type="dxa" w:w="3024"/>
            <w:vAlign w:val="center"/>
            <w:tcMar>
              <w:top w:w="50" w:type="dxa"/>
              <w:bottom w:w="50" w:type="dxa"/>
              <w:start w:w="60" w:type="dxa"/>
              <w:end w:w="60" w:type="dxa"/>
            </w:tcMar>
          </w:tcPr>
          <w:p>
            <w:pPr>
              <w:pStyle w:val="TableText"/>
            </w:pPr>
            <w:r/>
            <w:r>
              <w:rPr>
                <w:b w:val="0"/>
              </w:rPr>
              <w:t>Daily/weekly operational review.</w:t>
            </w:r>
          </w:p>
        </w:tc>
      </w:tr>
      <w:tr>
        <w:trPr>
          <w:cantSplit/>
        </w:trPr>
        <w:tc>
          <w:tcPr>
            <w:tcW w:type="dxa" w:w="2880"/>
            <w:vAlign w:val="center"/>
            <w:tcMar>
              <w:top w:w="50" w:type="dxa"/>
              <w:bottom w:w="50" w:type="dxa"/>
              <w:start w:w="60" w:type="dxa"/>
              <w:end w:w="60" w:type="dxa"/>
            </w:tcMar>
            <w:shd w:fill="EDF4FA"/>
          </w:tcPr>
          <w:p>
            <w:pPr>
              <w:pStyle w:val="TableText"/>
            </w:pPr>
            <w:r/>
            <w:r>
              <w:rPr>
                <w:b w:val="0"/>
              </w:rPr>
              <w:t>Incomplete/HIGH/disagreement rates</w:t>
            </w:r>
          </w:p>
        </w:tc>
        <w:tc>
          <w:tcPr>
            <w:tcW w:type="dxa" w:w="4608"/>
            <w:vAlign w:val="center"/>
            <w:tcMar>
              <w:top w:w="50" w:type="dxa"/>
              <w:bottom w:w="50" w:type="dxa"/>
              <w:start w:w="60" w:type="dxa"/>
              <w:end w:w="60" w:type="dxa"/>
            </w:tcMar>
            <w:shd w:fill="EDF4FA"/>
          </w:tcPr>
          <w:p>
            <w:pPr>
              <w:pStyle w:val="TableText"/>
            </w:pPr>
            <w:r/>
            <w:r>
              <w:rPr>
                <w:b w:val="0"/>
              </w:rPr>
              <w:t>Not direct measures of clinical performance.</w:t>
            </w:r>
          </w:p>
        </w:tc>
        <w:tc>
          <w:tcPr>
            <w:tcW w:type="dxa" w:w="3024"/>
            <w:vAlign w:val="center"/>
            <w:tcMar>
              <w:top w:w="50" w:type="dxa"/>
              <w:bottom w:w="50" w:type="dxa"/>
              <w:start w:w="60" w:type="dxa"/>
              <w:end w:w="60" w:type="dxa"/>
            </w:tcMar>
            <w:shd w:fill="EDF4FA"/>
          </w:tcPr>
          <w:p>
            <w:pPr>
              <w:pStyle w:val="TableText"/>
            </w:pPr>
            <w:r/>
            <w:r>
              <w:rPr>
                <w:b w:val="0"/>
              </w:rPr>
              <w:t>Monthly trend with contextual investigation.</w:t>
            </w:r>
          </w:p>
        </w:tc>
      </w:tr>
      <w:tr>
        <w:trPr>
          <w:cantSplit/>
        </w:trPr>
        <w:tc>
          <w:tcPr>
            <w:tcW w:type="dxa" w:w="2880"/>
            <w:vAlign w:val="center"/>
            <w:tcMar>
              <w:top w:w="50" w:type="dxa"/>
              <w:bottom w:w="50" w:type="dxa"/>
              <w:start w:w="60" w:type="dxa"/>
              <w:end w:w="60" w:type="dxa"/>
            </w:tcMar>
          </w:tcPr>
          <w:p>
            <w:pPr>
              <w:pStyle w:val="TableText"/>
            </w:pPr>
            <w:r/>
            <w:r>
              <w:rPr>
                <w:b w:val="0"/>
              </w:rPr>
              <w:t>Backup success and restore evidence</w:t>
            </w:r>
          </w:p>
        </w:tc>
        <w:tc>
          <w:tcPr>
            <w:tcW w:type="dxa" w:w="4608"/>
            <w:vAlign w:val="center"/>
            <w:tcMar>
              <w:top w:w="50" w:type="dxa"/>
              <w:bottom w:w="50" w:type="dxa"/>
              <w:start w:w="60" w:type="dxa"/>
              <w:end w:w="60" w:type="dxa"/>
            </w:tcMar>
          </w:tcPr>
          <w:p>
            <w:pPr>
              <w:pStyle w:val="TableText"/>
            </w:pPr>
            <w:r/>
            <w:r>
              <w:rPr>
                <w:b w:val="0"/>
              </w:rPr>
              <w:t>Successful backup without restore test is insufficient.</w:t>
            </w:r>
          </w:p>
        </w:tc>
        <w:tc>
          <w:tcPr>
            <w:tcW w:type="dxa" w:w="3024"/>
            <w:vAlign w:val="center"/>
            <w:tcMar>
              <w:top w:w="50" w:type="dxa"/>
              <w:bottom w:w="50" w:type="dxa"/>
              <w:start w:w="60" w:type="dxa"/>
              <w:end w:w="60" w:type="dxa"/>
            </w:tcMar>
          </w:tcPr>
          <w:p>
            <w:pPr>
              <w:pStyle w:val="TableText"/>
            </w:pPr>
            <w:r/>
            <w:r>
              <w:rPr>
                <w:b w:val="0"/>
              </w:rPr>
              <w:t>Daily backup check; scheduled restore exercise.</w:t>
            </w:r>
          </w:p>
        </w:tc>
      </w:tr>
      <w:tr>
        <w:trPr>
          <w:cantSplit/>
        </w:trPr>
        <w:tc>
          <w:tcPr>
            <w:tcW w:type="dxa" w:w="2880"/>
            <w:vAlign w:val="center"/>
            <w:tcMar>
              <w:top w:w="50" w:type="dxa"/>
              <w:bottom w:w="50" w:type="dxa"/>
              <w:start w:w="60" w:type="dxa"/>
              <w:end w:w="60" w:type="dxa"/>
            </w:tcMar>
            <w:shd w:fill="EDF4FA"/>
          </w:tcPr>
          <w:p>
            <w:pPr>
              <w:pStyle w:val="TableText"/>
            </w:pPr>
            <w:r/>
            <w:r>
              <w:rPr>
                <w:b w:val="0"/>
              </w:rPr>
              <w:t>Training completion and user feedback</w:t>
            </w:r>
          </w:p>
        </w:tc>
        <w:tc>
          <w:tcPr>
            <w:tcW w:type="dxa" w:w="4608"/>
            <w:vAlign w:val="center"/>
            <w:tcMar>
              <w:top w:w="50" w:type="dxa"/>
              <w:bottom w:w="50" w:type="dxa"/>
              <w:start w:w="60" w:type="dxa"/>
              <w:end w:w="60" w:type="dxa"/>
            </w:tcMar>
            <w:shd w:fill="EDF4FA"/>
          </w:tcPr>
          <w:p>
            <w:pPr>
              <w:pStyle w:val="TableText"/>
            </w:pPr>
            <w:r/>
            <w:r>
              <w:rPr>
                <w:b w:val="0"/>
              </w:rPr>
              <w:t>Completion does not prove comprehension.</w:t>
            </w:r>
          </w:p>
        </w:tc>
        <w:tc>
          <w:tcPr>
            <w:tcW w:type="dxa" w:w="3024"/>
            <w:vAlign w:val="center"/>
            <w:tcMar>
              <w:top w:w="50" w:type="dxa"/>
              <w:bottom w:w="50" w:type="dxa"/>
              <w:start w:w="60" w:type="dxa"/>
              <w:end w:w="60" w:type="dxa"/>
            </w:tcMar>
            <w:shd w:fill="EDF4FA"/>
          </w:tcPr>
          <w:p>
            <w:pPr>
              <w:pStyle w:val="TableText"/>
            </w:pPr>
            <w:r/>
            <w:r>
              <w:rPr>
                <w:b w:val="0"/>
              </w:rPr>
              <w:t>After material release and periodic review.</w:t>
            </w:r>
          </w:p>
        </w:tc>
      </w:tr>
      <w:tr>
        <w:trPr>
          <w:cantSplit/>
        </w:trPr>
        <w:tc>
          <w:tcPr>
            <w:tcW w:type="dxa" w:w="2880"/>
            <w:vAlign w:val="center"/>
            <w:tcMar>
              <w:top w:w="50" w:type="dxa"/>
              <w:bottom w:w="50" w:type="dxa"/>
              <w:start w:w="60" w:type="dxa"/>
              <w:end w:w="60" w:type="dxa"/>
            </w:tcMar>
          </w:tcPr>
          <w:p>
            <w:pPr>
              <w:pStyle w:val="TableText"/>
            </w:pPr>
            <w:r/>
            <w:r>
              <w:rPr>
                <w:b w:val="0"/>
              </w:rPr>
              <w:t>Overdue evidence/rule reviews</w:t>
            </w:r>
          </w:p>
        </w:tc>
        <w:tc>
          <w:tcPr>
            <w:tcW w:type="dxa" w:w="4608"/>
            <w:vAlign w:val="center"/>
            <w:tcMar>
              <w:top w:w="50" w:type="dxa"/>
              <w:bottom w:w="50" w:type="dxa"/>
              <w:start w:w="60" w:type="dxa"/>
              <w:end w:w="60" w:type="dxa"/>
            </w:tcMar>
          </w:tcPr>
          <w:p>
            <w:pPr>
              <w:pStyle w:val="TableText"/>
            </w:pPr>
            <w:r/>
            <w:r>
              <w:rPr>
                <w:b w:val="0"/>
              </w:rPr>
              <w:t>Review date does not itself require rule change.</w:t>
            </w:r>
          </w:p>
        </w:tc>
        <w:tc>
          <w:tcPr>
            <w:tcW w:type="dxa" w:w="3024"/>
            <w:vAlign w:val="center"/>
            <w:tcMar>
              <w:top w:w="50" w:type="dxa"/>
              <w:bottom w:w="50" w:type="dxa"/>
              <w:start w:w="60" w:type="dxa"/>
              <w:end w:w="60" w:type="dxa"/>
            </w:tcMar>
          </w:tcPr>
          <w:p>
            <w:pPr>
              <w:pStyle w:val="TableText"/>
            </w:pPr>
            <w:r/>
            <w:r>
              <w:rPr>
                <w:b w:val="0"/>
              </w:rPr>
              <w:t>Quarterly governance review.</w:t>
            </w:r>
          </w:p>
        </w:tc>
      </w:tr>
      <w:tr>
        <w:trPr>
          <w:cantSplit/>
        </w:trPr>
        <w:tc>
          <w:tcPr>
            <w:tcW w:type="dxa" w:w="2880"/>
            <w:vAlign w:val="center"/>
            <w:tcMar>
              <w:top w:w="50" w:type="dxa"/>
              <w:bottom w:w="50" w:type="dxa"/>
              <w:start w:w="60" w:type="dxa"/>
              <w:end w:w="60" w:type="dxa"/>
            </w:tcMar>
            <w:shd w:fill="EDF4FA"/>
          </w:tcPr>
          <w:p>
            <w:pPr>
              <w:pStyle w:val="TableText"/>
            </w:pPr>
            <w:r/>
            <w:r>
              <w:rPr>
                <w:b w:val="0"/>
              </w:rPr>
              <w:t>Historical reconstruction success</w:t>
            </w:r>
          </w:p>
        </w:tc>
        <w:tc>
          <w:tcPr>
            <w:tcW w:type="dxa" w:w="4608"/>
            <w:vAlign w:val="center"/>
            <w:tcMar>
              <w:top w:w="50" w:type="dxa"/>
              <w:bottom w:w="50" w:type="dxa"/>
              <w:start w:w="60" w:type="dxa"/>
              <w:end w:w="60" w:type="dxa"/>
            </w:tcMar>
            <w:shd w:fill="EDF4FA"/>
          </w:tcPr>
          <w:p>
            <w:pPr>
              <w:pStyle w:val="TableText"/>
            </w:pPr>
            <w:r/>
            <w:r>
              <w:rPr>
                <w:b w:val="0"/>
              </w:rPr>
              <w:t>Sampling should include old releases and pregnancy episodes.</w:t>
            </w:r>
          </w:p>
        </w:tc>
        <w:tc>
          <w:tcPr>
            <w:tcW w:type="dxa" w:w="3024"/>
            <w:vAlign w:val="center"/>
            <w:tcMar>
              <w:top w:w="50" w:type="dxa"/>
              <w:bottom w:w="50" w:type="dxa"/>
              <w:start w:w="60" w:type="dxa"/>
              <w:end w:w="60" w:type="dxa"/>
            </w:tcMar>
            <w:shd w:fill="EDF4FA"/>
          </w:tcPr>
          <w:p>
            <w:pPr>
              <w:pStyle w:val="TableText"/>
            </w:pPr>
            <w:r/>
            <w:r>
              <w:rPr>
                <w:b w:val="0"/>
              </w:rPr>
              <w:t>At least each major release or audit cycle.</w:t>
            </w:r>
          </w:p>
        </w:tc>
      </w:tr>
    </w:tbl>
    <w:p>
      <w:pPr>
        <w:spacing w:after="20"/>
      </w:pPr>
    </w:p>
    <w:p>
      <w:pPr>
        <w:pStyle w:val="Heading1"/>
      </w:pPr>
      <w:r>
        <w:t>19. System Retirement and Transition</w:t>
      </w:r>
    </w:p>
    <w:p>
      <w:pPr>
        <w:pStyle w:val="ListBullet"/>
        <w:spacing w:after="30"/>
      </w:pPr>
      <w:r>
        <w:t>Define retirement reason, owner, date, replacement or manual workflow, patient-care continuity and communication plan.</w:t>
      </w:r>
    </w:p>
    <w:p>
      <w:pPr>
        <w:pStyle w:val="ListBullet"/>
        <w:spacing w:after="30"/>
      </w:pPr>
      <w:r>
        <w:t>Freeze the final production version and preserve source, release manifest, rule/model/explanation artifacts, database schema and documentation.</w:t>
      </w:r>
    </w:p>
    <w:p>
      <w:pPr>
        <w:pStyle w:val="ListBullet"/>
        <w:spacing w:after="30"/>
      </w:pPr>
      <w:r>
        <w:t>Export and validate records in an approved accessible format while preserving episode relationships, provenance and audit context.</w:t>
      </w:r>
    </w:p>
    <w:p>
      <w:pPr>
        <w:pStyle w:val="ListBullet"/>
        <w:spacing w:after="30"/>
      </w:pPr>
      <w:r>
        <w:t>Define retention, authorized access, legal hold, archival security, backup, restoration and eventual secure disposal.</w:t>
      </w:r>
    </w:p>
    <w:p>
      <w:pPr>
        <w:pStyle w:val="ListBullet"/>
        <w:spacing w:after="30"/>
      </w:pPr>
      <w:r>
        <w:t>Revoke credentials, secrets, integrations, scheduled jobs and external access after continuity is confirmed.</w:t>
      </w:r>
    </w:p>
    <w:p>
      <w:pPr>
        <w:pStyle w:val="ListBullet"/>
        <w:spacing w:after="30"/>
      </w:pPr>
      <w:r>
        <w:t>Do not destroy the ability to interpret prior decisions merely because the active system has been replaced.</w:t>
      </w:r>
    </w:p>
    <w:p>
      <w:pPr>
        <w:pStyle w:val="Heading1"/>
      </w:pPr>
      <w:r>
        <w:t>20. Governance Checklists</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4320"/>
            <w:vAlign w:val="center"/>
            <w:tcMar>
              <w:top w:w="50" w:type="dxa"/>
              <w:bottom w:w="50" w:type="dxa"/>
              <w:start w:w="60" w:type="dxa"/>
              <w:end w:w="60" w:type="dxa"/>
            </w:tcMar>
            <w:shd w:fill="17365D"/>
          </w:tcPr>
          <w:p>
            <w:pPr>
              <w:pStyle w:val="TableHeader"/>
            </w:pPr>
            <w:r/>
            <w:r>
              <w:rPr>
                <w:b/>
                <w:color w:val="FFFFFF"/>
              </w:rPr>
              <w:t>Pre-change questions</w:t>
            </w:r>
          </w:p>
        </w:tc>
        <w:tc>
          <w:tcPr>
            <w:tcW w:type="dxa" w:w="6192"/>
            <w:vAlign w:val="center"/>
            <w:tcMar>
              <w:top w:w="50" w:type="dxa"/>
              <w:bottom w:w="50" w:type="dxa"/>
              <w:start w:w="60" w:type="dxa"/>
              <w:end w:w="60" w:type="dxa"/>
            </w:tcMar>
            <w:shd w:fill="17365D"/>
          </w:tcPr>
          <w:p>
            <w:pPr>
              <w:pStyle w:val="TableHeader"/>
            </w:pPr>
            <w:r/>
            <w:r>
              <w:rPr>
                <w:b/>
                <w:color w:val="FFFFFF"/>
              </w:rPr>
              <w:t>Required answer</w:t>
            </w:r>
          </w:p>
        </w:tc>
      </w:tr>
      <w:tr>
        <w:trPr>
          <w:cantSplit/>
        </w:trPr>
        <w:tc>
          <w:tcPr>
            <w:tcW w:type="dxa" w:w="4320"/>
            <w:vAlign w:val="center"/>
            <w:tcMar>
              <w:top w:w="50" w:type="dxa"/>
              <w:bottom w:w="50" w:type="dxa"/>
              <w:start w:w="60" w:type="dxa"/>
              <w:end w:w="60" w:type="dxa"/>
            </w:tcMar>
          </w:tcPr>
          <w:p>
            <w:pPr>
              <w:pStyle w:val="TableText"/>
            </w:pPr>
            <w:r/>
            <w:r>
              <w:rPr>
                <w:b w:val="0"/>
              </w:rPr>
              <w:t>What problem is being solved?</w:t>
            </w:r>
          </w:p>
        </w:tc>
        <w:tc>
          <w:tcPr>
            <w:tcW w:type="dxa" w:w="6192"/>
            <w:vAlign w:val="center"/>
            <w:tcMar>
              <w:top w:w="50" w:type="dxa"/>
              <w:bottom w:w="50" w:type="dxa"/>
              <w:start w:w="60" w:type="dxa"/>
              <w:end w:w="60" w:type="dxa"/>
            </w:tcMar>
          </w:tcPr>
          <w:p>
            <w:pPr>
              <w:pStyle w:val="TableText"/>
            </w:pPr>
            <w:r/>
            <w:r>
              <w:rPr>
                <w:b w:val="0"/>
              </w:rPr>
              <w:t>Specific evidence, incident, user need, vulnerability or lifecycle reason.</w:t>
            </w:r>
          </w:p>
        </w:tc>
      </w:tr>
      <w:tr>
        <w:trPr>
          <w:cantSplit/>
        </w:trPr>
        <w:tc>
          <w:tcPr>
            <w:tcW w:type="dxa" w:w="4320"/>
            <w:vAlign w:val="center"/>
            <w:tcMar>
              <w:top w:w="50" w:type="dxa"/>
              <w:bottom w:w="50" w:type="dxa"/>
              <w:start w:w="60" w:type="dxa"/>
              <w:end w:w="60" w:type="dxa"/>
            </w:tcMar>
            <w:shd w:fill="EDF4FA"/>
          </w:tcPr>
          <w:p>
            <w:pPr>
              <w:pStyle w:val="TableText"/>
            </w:pPr>
            <w:r/>
            <w:r>
              <w:rPr>
                <w:b w:val="0"/>
              </w:rPr>
              <w:t>Could clinical meaning change?</w:t>
            </w:r>
          </w:p>
        </w:tc>
        <w:tc>
          <w:tcPr>
            <w:tcW w:type="dxa" w:w="6192"/>
            <w:vAlign w:val="center"/>
            <w:tcMar>
              <w:top w:w="50" w:type="dxa"/>
              <w:bottom w:w="50" w:type="dxa"/>
              <w:start w:w="60" w:type="dxa"/>
              <w:end w:w="60" w:type="dxa"/>
            </w:tcMar>
            <w:shd w:fill="EDF4FA"/>
          </w:tcPr>
          <w:p>
            <w:pPr>
              <w:pStyle w:val="TableText"/>
            </w:pPr>
            <w:r/>
            <w:r>
              <w:rPr>
                <w:b w:val="0"/>
              </w:rPr>
              <w:t>Explicit yes/no with rationale; uncertain means treat as clinical-impacting.</w:t>
            </w:r>
          </w:p>
        </w:tc>
      </w:tr>
      <w:tr>
        <w:trPr>
          <w:cantSplit/>
        </w:trPr>
        <w:tc>
          <w:tcPr>
            <w:tcW w:type="dxa" w:w="4320"/>
            <w:vAlign w:val="center"/>
            <w:tcMar>
              <w:top w:w="50" w:type="dxa"/>
              <w:bottom w:w="50" w:type="dxa"/>
              <w:start w:w="60" w:type="dxa"/>
              <w:end w:w="60" w:type="dxa"/>
            </w:tcMar>
          </w:tcPr>
          <w:p>
            <w:pPr>
              <w:pStyle w:val="TableText"/>
            </w:pPr>
            <w:r/>
            <w:r>
              <w:rPr>
                <w:b w:val="0"/>
              </w:rPr>
              <w:t>What assets and historical records are affected?</w:t>
            </w:r>
          </w:p>
        </w:tc>
        <w:tc>
          <w:tcPr>
            <w:tcW w:type="dxa" w:w="6192"/>
            <w:vAlign w:val="center"/>
            <w:tcMar>
              <w:top w:w="50" w:type="dxa"/>
              <w:bottom w:w="50" w:type="dxa"/>
              <w:start w:w="60" w:type="dxa"/>
              <w:end w:w="60" w:type="dxa"/>
            </w:tcMar>
          </w:tcPr>
          <w:p>
            <w:pPr>
              <w:pStyle w:val="TableText"/>
            </w:pPr>
            <w:r/>
            <w:r>
              <w:rPr>
                <w:b w:val="0"/>
              </w:rPr>
              <w:t>Named code, rule, model, schema, explanation, workflow, configuration and versions.</w:t>
            </w:r>
          </w:p>
        </w:tc>
      </w:tr>
      <w:tr>
        <w:trPr>
          <w:cantSplit/>
        </w:trPr>
        <w:tc>
          <w:tcPr>
            <w:tcW w:type="dxa" w:w="4320"/>
            <w:vAlign w:val="center"/>
            <w:tcMar>
              <w:top w:w="50" w:type="dxa"/>
              <w:bottom w:w="50" w:type="dxa"/>
              <w:start w:w="60" w:type="dxa"/>
              <w:end w:w="60" w:type="dxa"/>
            </w:tcMar>
            <w:shd w:fill="EDF4FA"/>
          </w:tcPr>
          <w:p>
            <w:pPr>
              <w:pStyle w:val="TableText"/>
            </w:pPr>
            <w:r/>
            <w:r>
              <w:rPr>
                <w:b w:val="0"/>
              </w:rPr>
              <w:t>What could go wrong?</w:t>
            </w:r>
          </w:p>
        </w:tc>
        <w:tc>
          <w:tcPr>
            <w:tcW w:type="dxa" w:w="6192"/>
            <w:vAlign w:val="center"/>
            <w:tcMar>
              <w:top w:w="50" w:type="dxa"/>
              <w:bottom w:w="50" w:type="dxa"/>
              <w:start w:w="60" w:type="dxa"/>
              <w:end w:w="60" w:type="dxa"/>
            </w:tcMar>
            <w:shd w:fill="EDF4FA"/>
          </w:tcPr>
          <w:p>
            <w:pPr>
              <w:pStyle w:val="TableText"/>
            </w:pPr>
            <w:r/>
            <w:r>
              <w:rPr>
                <w:b w:val="0"/>
              </w:rPr>
              <w:t>Patient safety, privacy, integrity, availability, usability and rollback hazards.</w:t>
            </w:r>
          </w:p>
        </w:tc>
      </w:tr>
      <w:tr>
        <w:trPr>
          <w:cantSplit/>
        </w:trPr>
        <w:tc>
          <w:tcPr>
            <w:tcW w:type="dxa" w:w="4320"/>
            <w:vAlign w:val="center"/>
            <w:tcMar>
              <w:top w:w="50" w:type="dxa"/>
              <w:bottom w:w="50" w:type="dxa"/>
              <w:start w:w="60" w:type="dxa"/>
              <w:end w:w="60" w:type="dxa"/>
            </w:tcMar>
          </w:tcPr>
          <w:p>
            <w:pPr>
              <w:pStyle w:val="TableText"/>
            </w:pPr>
            <w:r/>
            <w:r>
              <w:rPr>
                <w:b w:val="0"/>
              </w:rPr>
              <w:t>How will success be proven?</w:t>
            </w:r>
          </w:p>
        </w:tc>
        <w:tc>
          <w:tcPr>
            <w:tcW w:type="dxa" w:w="6192"/>
            <w:vAlign w:val="center"/>
            <w:tcMar>
              <w:top w:w="50" w:type="dxa"/>
              <w:bottom w:w="50" w:type="dxa"/>
              <w:start w:w="60" w:type="dxa"/>
              <w:end w:w="60" w:type="dxa"/>
            </w:tcMar>
          </w:tcPr>
          <w:p>
            <w:pPr>
              <w:pStyle w:val="TableText"/>
            </w:pPr>
            <w:r/>
            <w:r>
              <w:rPr>
                <w:b w:val="0"/>
              </w:rPr>
              <w:t>Acceptance criteria, test cases, data, reviewer and evidence artifact.</w:t>
            </w:r>
          </w:p>
        </w:tc>
      </w:tr>
      <w:tr>
        <w:trPr>
          <w:cantSplit/>
        </w:trPr>
        <w:tc>
          <w:tcPr>
            <w:tcW w:type="dxa" w:w="4320"/>
            <w:vAlign w:val="center"/>
            <w:tcMar>
              <w:top w:w="50" w:type="dxa"/>
              <w:bottom w:w="50" w:type="dxa"/>
              <w:start w:w="60" w:type="dxa"/>
              <w:end w:w="60" w:type="dxa"/>
            </w:tcMar>
            <w:shd w:fill="EDF4FA"/>
          </w:tcPr>
          <w:p>
            <w:pPr>
              <w:pStyle w:val="TableText"/>
            </w:pPr>
            <w:r/>
            <w:r>
              <w:rPr>
                <w:b w:val="0"/>
              </w:rPr>
              <w:t>How will failure be detected and reversed?</w:t>
            </w:r>
          </w:p>
        </w:tc>
        <w:tc>
          <w:tcPr>
            <w:tcW w:type="dxa" w:w="6192"/>
            <w:vAlign w:val="center"/>
            <w:tcMar>
              <w:top w:w="50" w:type="dxa"/>
              <w:bottom w:w="50" w:type="dxa"/>
              <w:start w:w="60" w:type="dxa"/>
              <w:end w:w="60" w:type="dxa"/>
            </w:tcMar>
            <w:shd w:fill="EDF4FA"/>
          </w:tcPr>
          <w:p>
            <w:pPr>
              <w:pStyle w:val="TableText"/>
            </w:pPr>
            <w:r/>
            <w:r>
              <w:rPr>
                <w:b w:val="0"/>
              </w:rPr>
              <w:t>Monitoring threshold, owner, containment and rollback/forward-fix.</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4320"/>
            <w:vAlign w:val="center"/>
            <w:tcMar>
              <w:top w:w="50" w:type="dxa"/>
              <w:bottom w:w="50" w:type="dxa"/>
              <w:start w:w="60" w:type="dxa"/>
              <w:end w:w="60" w:type="dxa"/>
            </w:tcMar>
            <w:shd w:fill="17365D"/>
          </w:tcPr>
          <w:p>
            <w:pPr>
              <w:pStyle w:val="TableHeader"/>
            </w:pPr>
            <w:r/>
            <w:r>
              <w:rPr>
                <w:b/>
                <w:color w:val="FFFFFF"/>
              </w:rPr>
              <w:t>Release closure questions</w:t>
            </w:r>
          </w:p>
        </w:tc>
        <w:tc>
          <w:tcPr>
            <w:tcW w:type="dxa" w:w="6192"/>
            <w:vAlign w:val="center"/>
            <w:tcMar>
              <w:top w:w="50" w:type="dxa"/>
              <w:bottom w:w="50" w:type="dxa"/>
              <w:start w:w="60" w:type="dxa"/>
              <w:end w:w="60" w:type="dxa"/>
            </w:tcMar>
            <w:shd w:fill="17365D"/>
          </w:tcPr>
          <w:p>
            <w:pPr>
              <w:pStyle w:val="TableHeader"/>
            </w:pPr>
            <w:r/>
            <w:r>
              <w:rPr>
                <w:b/>
                <w:color w:val="FFFFFF"/>
              </w:rPr>
              <w:t>Required evidence</w:t>
            </w:r>
          </w:p>
        </w:tc>
      </w:tr>
      <w:tr>
        <w:trPr>
          <w:cantSplit/>
        </w:trPr>
        <w:tc>
          <w:tcPr>
            <w:tcW w:type="dxa" w:w="4320"/>
            <w:vAlign w:val="center"/>
            <w:tcMar>
              <w:top w:w="50" w:type="dxa"/>
              <w:bottom w:w="50" w:type="dxa"/>
              <w:start w:w="60" w:type="dxa"/>
              <w:end w:w="60" w:type="dxa"/>
            </w:tcMar>
          </w:tcPr>
          <w:p>
            <w:pPr>
              <w:pStyle w:val="TableText"/>
            </w:pPr>
            <w:r/>
            <w:r>
              <w:rPr>
                <w:b w:val="0"/>
              </w:rPr>
              <w:t>Was the approved scope implemented?</w:t>
            </w:r>
          </w:p>
        </w:tc>
        <w:tc>
          <w:tcPr>
            <w:tcW w:type="dxa" w:w="6192"/>
            <w:vAlign w:val="center"/>
            <w:tcMar>
              <w:top w:w="50" w:type="dxa"/>
              <w:bottom w:w="50" w:type="dxa"/>
              <w:start w:w="60" w:type="dxa"/>
              <w:end w:w="60" w:type="dxa"/>
            </w:tcMar>
          </w:tcPr>
          <w:p>
            <w:pPr>
              <w:pStyle w:val="TableText"/>
            </w:pPr>
            <w:r/>
            <w:r>
              <w:rPr>
                <w:b w:val="0"/>
              </w:rPr>
              <w:t>Code/release comparison and peer review.</w:t>
            </w:r>
          </w:p>
        </w:tc>
      </w:tr>
      <w:tr>
        <w:trPr>
          <w:cantSplit/>
        </w:trPr>
        <w:tc>
          <w:tcPr>
            <w:tcW w:type="dxa" w:w="4320"/>
            <w:vAlign w:val="center"/>
            <w:tcMar>
              <w:top w:w="50" w:type="dxa"/>
              <w:bottom w:w="50" w:type="dxa"/>
              <w:start w:w="60" w:type="dxa"/>
              <w:end w:w="60" w:type="dxa"/>
            </w:tcMar>
            <w:shd w:fill="EDF4FA"/>
          </w:tcPr>
          <w:p>
            <w:pPr>
              <w:pStyle w:val="TableText"/>
            </w:pPr>
            <w:r/>
            <w:r>
              <w:rPr>
                <w:b w:val="0"/>
              </w:rPr>
              <w:t>Were all required tests executed?</w:t>
            </w:r>
          </w:p>
        </w:tc>
        <w:tc>
          <w:tcPr>
            <w:tcW w:type="dxa" w:w="6192"/>
            <w:vAlign w:val="center"/>
            <w:tcMar>
              <w:top w:w="50" w:type="dxa"/>
              <w:bottom w:w="50" w:type="dxa"/>
              <w:start w:w="60" w:type="dxa"/>
              <w:end w:w="60" w:type="dxa"/>
            </w:tcMar>
            <w:shd w:fill="EDF4FA"/>
          </w:tcPr>
          <w:p>
            <w:pPr>
              <w:pStyle w:val="TableText"/>
            </w:pPr>
            <w:r/>
            <w:r>
              <w:rPr>
                <w:b w:val="0"/>
              </w:rPr>
              <w:t>Signed Part 10 evidence; unresolved failures clearly classified.</w:t>
            </w:r>
          </w:p>
        </w:tc>
      </w:tr>
      <w:tr>
        <w:trPr>
          <w:cantSplit/>
        </w:trPr>
        <w:tc>
          <w:tcPr>
            <w:tcW w:type="dxa" w:w="4320"/>
            <w:vAlign w:val="center"/>
            <w:tcMar>
              <w:top w:w="50" w:type="dxa"/>
              <w:bottom w:w="50" w:type="dxa"/>
              <w:start w:w="60" w:type="dxa"/>
              <w:end w:w="60" w:type="dxa"/>
            </w:tcMar>
          </w:tcPr>
          <w:p>
            <w:pPr>
              <w:pStyle w:val="TableText"/>
            </w:pPr>
            <w:r/>
            <w:r>
              <w:rPr>
                <w:b w:val="0"/>
              </w:rPr>
              <w:t>Are clinical/model/data versions recorded?</w:t>
            </w:r>
          </w:p>
        </w:tc>
        <w:tc>
          <w:tcPr>
            <w:tcW w:type="dxa" w:w="6192"/>
            <w:vAlign w:val="center"/>
            <w:tcMar>
              <w:top w:w="50" w:type="dxa"/>
              <w:bottom w:w="50" w:type="dxa"/>
              <w:start w:w="60" w:type="dxa"/>
              <w:end w:w="60" w:type="dxa"/>
            </w:tcMar>
          </w:tcPr>
          <w:p>
            <w:pPr>
              <w:pStyle w:val="TableText"/>
            </w:pPr>
            <w:r/>
            <w:r>
              <w:rPr>
                <w:b w:val="0"/>
              </w:rPr>
              <w:t>Release manifest and assessment provenance.</w:t>
            </w:r>
          </w:p>
        </w:tc>
      </w:tr>
      <w:tr>
        <w:trPr>
          <w:cantSplit/>
        </w:trPr>
        <w:tc>
          <w:tcPr>
            <w:tcW w:type="dxa" w:w="4320"/>
            <w:vAlign w:val="center"/>
            <w:tcMar>
              <w:top w:w="50" w:type="dxa"/>
              <w:bottom w:w="50" w:type="dxa"/>
              <w:start w:w="60" w:type="dxa"/>
              <w:end w:w="60" w:type="dxa"/>
            </w:tcMar>
            <w:shd w:fill="EDF4FA"/>
          </w:tcPr>
          <w:p>
            <w:pPr>
              <w:pStyle w:val="TableText"/>
            </w:pPr>
            <w:r/>
            <w:r>
              <w:rPr>
                <w:b w:val="0"/>
              </w:rPr>
              <w:t>Was deployment verified?</w:t>
            </w:r>
          </w:p>
        </w:tc>
        <w:tc>
          <w:tcPr>
            <w:tcW w:type="dxa" w:w="6192"/>
            <w:vAlign w:val="center"/>
            <w:tcMar>
              <w:top w:w="50" w:type="dxa"/>
              <w:bottom w:w="50" w:type="dxa"/>
              <w:start w:w="60" w:type="dxa"/>
              <w:end w:w="60" w:type="dxa"/>
            </w:tcMar>
            <w:shd w:fill="EDF4FA"/>
          </w:tcPr>
          <w:p>
            <w:pPr>
              <w:pStyle w:val="TableText"/>
            </w:pPr>
            <w:r/>
            <w:r>
              <w:rPr>
                <w:b w:val="0"/>
              </w:rPr>
              <w:t>Smoke tests, migration reconciliation, logs and health checks.</w:t>
            </w:r>
          </w:p>
        </w:tc>
      </w:tr>
      <w:tr>
        <w:trPr>
          <w:cantSplit/>
        </w:trPr>
        <w:tc>
          <w:tcPr>
            <w:tcW w:type="dxa" w:w="4320"/>
            <w:vAlign w:val="center"/>
            <w:tcMar>
              <w:top w:w="50" w:type="dxa"/>
              <w:bottom w:w="50" w:type="dxa"/>
              <w:start w:w="60" w:type="dxa"/>
              <w:end w:w="60" w:type="dxa"/>
            </w:tcMar>
          </w:tcPr>
          <w:p>
            <w:pPr>
              <w:pStyle w:val="TableText"/>
            </w:pPr>
            <w:r/>
            <w:r>
              <w:rPr>
                <w:b w:val="0"/>
              </w:rPr>
              <w:t>Did monitoring show expected behavior?</w:t>
            </w:r>
          </w:p>
        </w:tc>
        <w:tc>
          <w:tcPr>
            <w:tcW w:type="dxa" w:w="6192"/>
            <w:vAlign w:val="center"/>
            <w:tcMar>
              <w:top w:w="50" w:type="dxa"/>
              <w:bottom w:w="50" w:type="dxa"/>
              <w:start w:w="60" w:type="dxa"/>
              <w:end w:w="60" w:type="dxa"/>
            </w:tcMar>
          </w:tcPr>
          <w:p>
            <w:pPr>
              <w:pStyle w:val="TableText"/>
            </w:pPr>
            <w:r/>
            <w:r>
              <w:rPr>
                <w:b w:val="0"/>
              </w:rPr>
              <w:t>Post-release review with metrics, incidents and user feedback.</w:t>
            </w:r>
          </w:p>
        </w:tc>
      </w:tr>
      <w:tr>
        <w:trPr>
          <w:cantSplit/>
        </w:trPr>
        <w:tc>
          <w:tcPr>
            <w:tcW w:type="dxa" w:w="4320"/>
            <w:vAlign w:val="center"/>
            <w:tcMar>
              <w:top w:w="50" w:type="dxa"/>
              <w:bottom w:w="50" w:type="dxa"/>
              <w:start w:w="60" w:type="dxa"/>
              <w:end w:w="60" w:type="dxa"/>
            </w:tcMar>
            <w:shd w:fill="EDF4FA"/>
          </w:tcPr>
          <w:p>
            <w:pPr>
              <w:pStyle w:val="TableText"/>
            </w:pPr>
            <w:r/>
            <w:r>
              <w:rPr>
                <w:b w:val="0"/>
              </w:rPr>
              <w:t>Can the change be closed?</w:t>
            </w:r>
          </w:p>
        </w:tc>
        <w:tc>
          <w:tcPr>
            <w:tcW w:type="dxa" w:w="6192"/>
            <w:vAlign w:val="center"/>
            <w:tcMar>
              <w:top w:w="50" w:type="dxa"/>
              <w:bottom w:w="50" w:type="dxa"/>
              <w:start w:w="60" w:type="dxa"/>
              <w:end w:w="60" w:type="dxa"/>
            </w:tcMar>
            <w:shd w:fill="EDF4FA"/>
          </w:tcPr>
          <w:p>
            <w:pPr>
              <w:pStyle w:val="TableText"/>
            </w:pPr>
            <w:r/>
            <w:r>
              <w:rPr>
                <w:b w:val="0"/>
              </w:rPr>
              <w:t>Residual risk accepted by authorized roles; CAPA/effectiveness tasks assigned.</w:t>
            </w:r>
          </w:p>
        </w:tc>
      </w:tr>
    </w:tbl>
    <w:p>
      <w:pPr>
        <w:spacing w:after="20"/>
      </w:pPr>
    </w:p>
    <w:p>
      <w:pPr>
        <w:pStyle w:val="Heading1"/>
      </w:pPr>
      <w:r>
        <w:t>21. Panel Defense Questions and Model Answers</w:t>
      </w:r>
    </w:p>
    <w:p>
      <w:pPr>
        <w:spacing w:after="20"/>
      </w:pPr>
      <w:r>
        <w:rPr>
          <w:b/>
          <w:color w:val="17365D"/>
        </w:rPr>
        <w:t>Q: Why is maintenance part of patient safety?</w:t>
      </w:r>
    </w:p>
    <w:p>
      <w:pPr>
        <w:spacing w:after="60"/>
        <w:ind w:left="259"/>
      </w:pPr>
      <w:r>
        <w:t>A: Because updates to code, data, dependencies, rules, models or wording can change clinical output and user action.</w:t>
      </w:r>
    </w:p>
    <w:p>
      <w:pPr>
        <w:spacing w:after="20"/>
      </w:pPr>
      <w:r>
        <w:rPr>
          <w:b/>
          <w:color w:val="17365D"/>
        </w:rPr>
        <w:t>Q: Can the Random Forest retrain itself?</w:t>
      </w:r>
    </w:p>
    <w:p>
      <w:pPr>
        <w:spacing w:after="60"/>
        <w:ind w:left="259"/>
      </w:pPr>
      <w:r>
        <w:t>A: No. Live self-learning is excluded; retraining is a controlled, versioned and fully revalidated change.</w:t>
      </w:r>
    </w:p>
    <w:p>
      <w:pPr>
        <w:spacing w:after="20"/>
      </w:pPr>
      <w:r>
        <w:rPr>
          <w:b/>
          <w:color w:val="17365D"/>
        </w:rPr>
        <w:t>Q: What happens when ML fails after an update?</w:t>
      </w:r>
    </w:p>
    <w:p>
      <w:pPr>
        <w:spacing w:after="60"/>
        <w:ind w:left="259"/>
      </w:pPr>
      <w:r>
        <w:t>A: The failure is recorded; deterministic HIGH remains HIGH; otherwise the system cannot default to LOW and uses the approved incomplete behavior.</w:t>
      </w:r>
    </w:p>
    <w:p>
      <w:pPr>
        <w:spacing w:after="20"/>
      </w:pPr>
      <w:r>
        <w:rPr>
          <w:b/>
          <w:color w:val="17365D"/>
        </w:rPr>
        <w:t>Q: How do you preserve old assessments?</w:t>
      </w:r>
    </w:p>
    <w:p>
      <w:pPr>
        <w:spacing w:after="60"/>
        <w:ind w:left="259"/>
      </w:pPr>
      <w:r>
        <w:t>A: Store or archive the input snapshot, reasons and relevant rule/model/schema/explanation/application versions.</w:t>
      </w:r>
    </w:p>
    <w:p>
      <w:pPr>
        <w:spacing w:after="20"/>
      </w:pPr>
      <w:r>
        <w:rPr>
          <w:b/>
          <w:color w:val="17365D"/>
        </w:rPr>
        <w:t>Q: Why not overwrite historical risk after a new rule?</w:t>
      </w:r>
    </w:p>
    <w:p>
      <w:pPr>
        <w:spacing w:after="60"/>
        <w:ind w:left="259"/>
      </w:pPr>
      <w:r>
        <w:t>A: The prior result influenced care at that time; overwriting destroys auditability and can misrepresent what users saw.</w:t>
      </w:r>
    </w:p>
    <w:p>
      <w:pPr>
        <w:spacing w:after="20"/>
      </w:pPr>
      <w:r>
        <w:rPr>
          <w:b/>
          <w:color w:val="17365D"/>
        </w:rPr>
        <w:t>Q: How are clinical rule changes approved?</w:t>
      </w:r>
    </w:p>
    <w:p>
      <w:pPr>
        <w:spacing w:after="60"/>
        <w:ind w:left="259"/>
      </w:pPr>
      <w:r>
        <w:t>A: Through evidence review, interaction analysis, qualified clinical approval, versioning, regression validation and controlled release.</w:t>
      </w:r>
    </w:p>
    <w:p>
      <w:pPr>
        <w:spacing w:after="20"/>
      </w:pPr>
      <w:r>
        <w:rPr>
          <w:b/>
          <w:color w:val="17365D"/>
        </w:rPr>
        <w:t>Q: What is model drift?</w:t>
      </w:r>
    </w:p>
    <w:p>
      <w:pPr>
        <w:spacing w:after="60"/>
        <w:ind w:left="259"/>
      </w:pPr>
      <w:r>
        <w:t>A: A change in inputs, relationships, labels, population or workflow that may reduce the continuing validity of model behavior.</w:t>
      </w:r>
    </w:p>
    <w:p>
      <w:pPr>
        <w:spacing w:after="20"/>
      </w:pPr>
      <w:r>
        <w:rPr>
          <w:b/>
          <w:color w:val="17365D"/>
        </w:rPr>
        <w:t>Q: Does drift automatically require retraining?</w:t>
      </w:r>
    </w:p>
    <w:p>
      <w:pPr>
        <w:spacing w:after="60"/>
        <w:ind w:left="259"/>
      </w:pPr>
      <w:r>
        <w:t>A: No. It triggers investigation; retraining is only one possible controlled response.</w:t>
      </w:r>
    </w:p>
    <w:p>
      <w:pPr>
        <w:spacing w:after="20"/>
      </w:pPr>
      <w:r>
        <w:rPr>
          <w:b/>
          <w:color w:val="17365D"/>
        </w:rPr>
        <w:t>Q: What is an emergency hotfix?</w:t>
      </w:r>
    </w:p>
    <w:p>
      <w:pPr>
        <w:spacing w:after="60"/>
        <w:ind w:left="259"/>
      </w:pPr>
      <w:r>
        <w:t>A: A narrowly scoped correction or containment for an active serious risk, followed by full retrospective review and validation.</w:t>
      </w:r>
    </w:p>
    <w:p>
      <w:pPr>
        <w:spacing w:after="20"/>
      </w:pPr>
      <w:r>
        <w:rPr>
          <w:b/>
          <w:color w:val="17365D"/>
        </w:rPr>
        <w:t>Q: How do you manage unsupported software?</w:t>
      </w:r>
    </w:p>
    <w:p>
      <w:pPr>
        <w:spacing w:after="60"/>
        <w:ind w:left="259"/>
      </w:pPr>
      <w:r>
        <w:t>A: Maintain an inventory and lifecycle plan, upgrade under controlled testing, or replace/retire before unsafe unsupported operation.</w:t>
      </w:r>
    </w:p>
    <w:p>
      <w:pPr>
        <w:spacing w:after="20"/>
      </w:pPr>
      <w:r>
        <w:rPr>
          <w:b/>
          <w:color w:val="17365D"/>
        </w:rPr>
        <w:t>Q: What if a dependency update changes model output?</w:t>
      </w:r>
    </w:p>
    <w:p>
      <w:pPr>
        <w:spacing w:after="60"/>
        <w:ind w:left="259"/>
      </w:pPr>
      <w:r>
        <w:t>A: Treat it as model-impacting, compare reproducibly, revalidate and do not deploy until accepted.</w:t>
      </w:r>
    </w:p>
    <w:p>
      <w:pPr>
        <w:spacing w:after="20"/>
      </w:pPr>
      <w:r>
        <w:rPr>
          <w:b/>
          <w:color w:val="17365D"/>
        </w:rPr>
        <w:t>Q: How do users know what changed?</w:t>
      </w:r>
    </w:p>
    <w:p>
      <w:pPr>
        <w:spacing w:after="60"/>
        <w:ind w:left="259"/>
      </w:pPr>
      <w:r>
        <w:t>A: Material changes receive release notes, training and clear effective-date communication appropriate to their workflow and responsibility.</w:t>
      </w:r>
    </w:p>
    <w:p>
      <w:pPr>
        <w:spacing w:after="20"/>
      </w:pPr>
      <w:r>
        <w:rPr>
          <w:b/>
          <w:color w:val="17365D"/>
        </w:rPr>
        <w:t>Q: Who owns the system after the researchers leave?</w:t>
      </w:r>
    </w:p>
    <w:p>
      <w:pPr>
        <w:spacing w:after="60"/>
        <w:ind w:left="259"/>
      </w:pPr>
      <w:r>
        <w:t>A: Real deployment requires named clinical, operational, technical, privacy/security and release owners; otherwise routine use should not continue.</w:t>
      </w:r>
    </w:p>
    <w:p>
      <w:pPr>
        <w:spacing w:after="20"/>
      </w:pPr>
      <w:r>
        <w:rPr>
          <w:b/>
          <w:color w:val="17365D"/>
        </w:rPr>
        <w:t>Q: How does rollback work with migrations?</w:t>
      </w:r>
    </w:p>
    <w:p>
      <w:pPr>
        <w:spacing w:after="60"/>
        <w:ind w:left="259"/>
      </w:pPr>
      <w:r>
        <w:t>A: Rollback is rehearsed and must account for database compatibility; irreversible changes require an approved forward-fix or restore strategy.</w:t>
      </w:r>
    </w:p>
    <w:p>
      <w:pPr>
        <w:spacing w:after="20"/>
      </w:pPr>
      <w:r>
        <w:rPr>
          <w:b/>
          <w:color w:val="17365D"/>
        </w:rPr>
        <w:t>Q: What ends the maintenance lifecycle?</w:t>
      </w:r>
    </w:p>
    <w:p>
      <w:pPr>
        <w:spacing w:after="60"/>
        <w:ind w:left="259"/>
      </w:pPr>
      <w:r>
        <w:t>A: Controlled retirement with continuity, export, archival, access revocation, retention and preservation of historical interpretability.</w:t>
      </w:r>
    </w:p>
    <w:p>
      <w:pPr>
        <w:pStyle w:val="Heading1"/>
      </w:pPr>
      <w:r>
        <w:t>22. Final Authoritative Maintenance Specification</w:t>
      </w:r>
    </w:p>
    <w:tbl>
      <w:tblPr>
        <w:tblW w:type="auto" w:w="0"/>
        <w:tblLook w:firstColumn="1" w:firstRow="1" w:lastColumn="0" w:lastRow="0" w:noHBand="0" w:noVBand="1" w:val="04A0"/>
      </w:tblPr>
      <w:tblGrid>
        <w:gridCol w:w="10282"/>
      </w:tblGrid>
      <w:tr>
        <w:tc>
          <w:tcPr>
            <w:tcW w:type="dxa" w:w="10282"/>
            <w:shd w:fill="E2F0D9"/>
            <w:tcMar>
              <w:top w:w="90" w:type="dxa"/>
              <w:bottom w:w="90" w:type="dxa"/>
              <w:start w:w="100" w:type="dxa"/>
              <w:end w:w="100" w:type="dxa"/>
            </w:tcMar>
            <w:tcBorders>
              <w:top w:val="single" w:sz="8" w:color="548235"/>
              <w:left w:val="single" w:sz="8" w:color="548235"/>
              <w:bottom w:val="single" w:sz="8" w:color="548235"/>
              <w:right w:val="single" w:sz="8" w:color="548235"/>
            </w:tcBorders>
          </w:tcPr>
          <w:p>
            <w:pPr>
              <w:pStyle w:val="Callout"/>
            </w:pPr>
            <w:r/>
            <w:r>
              <w:rPr>
                <w:b/>
                <w:color w:val="548235"/>
              </w:rPr>
              <w:t>Authoritative lifecycle rule</w:t>
              <w:br/>
            </w:r>
            <w:r>
              <w:t>The maternity CDSS shall evolve only through controlled, traceable and risk-proportionate change. No production update may silently modify clinical interpretation, data meaning, decision precedence, explanation, referral behavior, historical pregnancy integrity, security, or model behavior. Each change shall have an identified owner, versioned assets, impact analysis, approval, verification and validation evidence, safe deployment and rollback, post-release monitoring, incident learning, and preservation of historical reconstruction.</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520"/>
            <w:vAlign w:val="center"/>
            <w:tcMar>
              <w:top w:w="50" w:type="dxa"/>
              <w:bottom w:w="50" w:type="dxa"/>
              <w:start w:w="60" w:type="dxa"/>
              <w:end w:w="60" w:type="dxa"/>
            </w:tcMar>
            <w:shd w:fill="17365D"/>
          </w:tcPr>
          <w:p>
            <w:pPr>
              <w:pStyle w:val="TableHeader"/>
            </w:pPr>
            <w:r/>
            <w:r>
              <w:rPr>
                <w:b/>
                <w:color w:val="FFFFFF"/>
              </w:rPr>
              <w:t>Invariant</w:t>
            </w:r>
          </w:p>
        </w:tc>
        <w:tc>
          <w:tcPr>
            <w:tcW w:type="dxa" w:w="7992"/>
            <w:vAlign w:val="center"/>
            <w:tcMar>
              <w:top w:w="50" w:type="dxa"/>
              <w:bottom w:w="50" w:type="dxa"/>
              <w:start w:w="60" w:type="dxa"/>
              <w:end w:w="60" w:type="dxa"/>
            </w:tcMar>
            <w:shd w:fill="17365D"/>
          </w:tcPr>
          <w:p>
            <w:pPr>
              <w:pStyle w:val="TableHeader"/>
            </w:pPr>
            <w:r/>
            <w:r>
              <w:rPr>
                <w:b/>
                <w:color w:val="FFFFFF"/>
              </w:rPr>
              <w:t>Authoritative requirement</w:t>
            </w:r>
          </w:p>
        </w:tc>
      </w:tr>
      <w:tr>
        <w:trPr>
          <w:cantSplit/>
        </w:trPr>
        <w:tc>
          <w:tcPr>
            <w:tcW w:type="dxa" w:w="2520"/>
            <w:vAlign w:val="center"/>
            <w:tcMar>
              <w:top w:w="50" w:type="dxa"/>
              <w:bottom w:w="50" w:type="dxa"/>
              <w:start w:w="60" w:type="dxa"/>
              <w:end w:w="60" w:type="dxa"/>
            </w:tcMar>
          </w:tcPr>
          <w:p>
            <w:pPr>
              <w:pStyle w:val="TableText"/>
            </w:pPr>
            <w:r/>
            <w:r>
              <w:rPr>
                <w:b w:val="0"/>
              </w:rPr>
              <w:t>Risk states</w:t>
            </w:r>
          </w:p>
        </w:tc>
        <w:tc>
          <w:tcPr>
            <w:tcW w:type="dxa" w:w="7992"/>
            <w:vAlign w:val="center"/>
            <w:tcMar>
              <w:top w:w="50" w:type="dxa"/>
              <w:bottom w:w="50" w:type="dxa"/>
              <w:start w:w="60" w:type="dxa"/>
              <w:end w:w="60" w:type="dxa"/>
            </w:tcMar>
          </w:tcPr>
          <w:p>
            <w:pPr>
              <w:pStyle w:val="TableText"/>
            </w:pPr>
            <w:r/>
            <w:r>
              <w:rPr>
                <w:b w:val="0"/>
              </w:rPr>
              <w:t>Only HIGH, LOW and ASSESSMENT INCOMPLETE remain valid unless a separately approved future framework changes them.</w:t>
            </w:r>
          </w:p>
        </w:tc>
      </w:tr>
      <w:tr>
        <w:trPr>
          <w:cantSplit/>
        </w:trPr>
        <w:tc>
          <w:tcPr>
            <w:tcW w:type="dxa" w:w="2520"/>
            <w:vAlign w:val="center"/>
            <w:tcMar>
              <w:top w:w="50" w:type="dxa"/>
              <w:bottom w:w="50" w:type="dxa"/>
              <w:start w:w="60" w:type="dxa"/>
              <w:end w:w="60" w:type="dxa"/>
            </w:tcMar>
            <w:shd w:fill="EDF4FA"/>
          </w:tcPr>
          <w:p>
            <w:pPr>
              <w:pStyle w:val="TableText"/>
            </w:pPr>
            <w:r/>
            <w:r>
              <w:rPr>
                <w:b w:val="0"/>
              </w:rPr>
              <w:t>Precedence</w:t>
            </w:r>
          </w:p>
        </w:tc>
        <w:tc>
          <w:tcPr>
            <w:tcW w:type="dxa" w:w="7992"/>
            <w:vAlign w:val="center"/>
            <w:tcMar>
              <w:top w:w="50" w:type="dxa"/>
              <w:bottom w:w="50" w:type="dxa"/>
              <w:start w:w="60" w:type="dxa"/>
              <w:end w:w="60" w:type="dxa"/>
            </w:tcMar>
            <w:shd w:fill="EDF4FA"/>
          </w:tcPr>
          <w:p>
            <w:pPr>
              <w:pStyle w:val="TableText"/>
            </w:pPr>
            <w:r/>
            <w:r>
              <w:rPr>
                <w:b w:val="0"/>
              </w:rPr>
              <w:t>Deterministic HIGH cannot be cancelled by ML LOW or ML failure.</w:t>
            </w:r>
          </w:p>
        </w:tc>
      </w:tr>
      <w:tr>
        <w:trPr>
          <w:cantSplit/>
        </w:trPr>
        <w:tc>
          <w:tcPr>
            <w:tcW w:type="dxa" w:w="2520"/>
            <w:vAlign w:val="center"/>
            <w:tcMar>
              <w:top w:w="50" w:type="dxa"/>
              <w:bottom w:w="50" w:type="dxa"/>
              <w:start w:w="60" w:type="dxa"/>
              <w:end w:w="60" w:type="dxa"/>
            </w:tcMar>
          </w:tcPr>
          <w:p>
            <w:pPr>
              <w:pStyle w:val="TableText"/>
            </w:pPr>
            <w:r/>
            <w:r>
              <w:rPr>
                <w:b w:val="0"/>
              </w:rPr>
              <w:t>LOW gate</w:t>
            </w:r>
          </w:p>
        </w:tc>
        <w:tc>
          <w:tcPr>
            <w:tcW w:type="dxa" w:w="7992"/>
            <w:vAlign w:val="center"/>
            <w:tcMar>
              <w:top w:w="50" w:type="dxa"/>
              <w:bottom w:w="50" w:type="dxa"/>
              <w:start w:w="60" w:type="dxa"/>
              <w:end w:w="60" w:type="dxa"/>
            </w:tcMar>
          </w:tcPr>
          <w:p>
            <w:pPr>
              <w:pStyle w:val="TableText"/>
            </w:pPr>
            <w:r/>
            <w:r>
              <w:rPr>
                <w:b w:val="0"/>
              </w:rPr>
              <w:t>LOW requires complete required records, no deterministic HIGH and valid ML LOW.</w:t>
            </w:r>
          </w:p>
        </w:tc>
      </w:tr>
      <w:tr>
        <w:trPr>
          <w:cantSplit/>
        </w:trPr>
        <w:tc>
          <w:tcPr>
            <w:tcW w:type="dxa" w:w="2520"/>
            <w:vAlign w:val="center"/>
            <w:tcMar>
              <w:top w:w="50" w:type="dxa"/>
              <w:bottom w:w="50" w:type="dxa"/>
              <w:start w:w="60" w:type="dxa"/>
              <w:end w:w="60" w:type="dxa"/>
            </w:tcMar>
            <w:shd w:fill="EDF4FA"/>
          </w:tcPr>
          <w:p>
            <w:pPr>
              <w:pStyle w:val="TableText"/>
            </w:pPr>
            <w:r/>
            <w:r>
              <w:rPr>
                <w:b w:val="0"/>
              </w:rPr>
              <w:t>Missing/invalid dependency</w:t>
            </w:r>
          </w:p>
        </w:tc>
        <w:tc>
          <w:tcPr>
            <w:tcW w:type="dxa" w:w="7992"/>
            <w:vAlign w:val="center"/>
            <w:tcMar>
              <w:top w:w="50" w:type="dxa"/>
              <w:bottom w:w="50" w:type="dxa"/>
              <w:start w:w="60" w:type="dxa"/>
              <w:end w:w="60" w:type="dxa"/>
            </w:tcMar>
            <w:shd w:fill="EDF4FA"/>
          </w:tcPr>
          <w:p>
            <w:pPr>
              <w:pStyle w:val="TableText"/>
            </w:pPr>
            <w:r/>
            <w:r>
              <w:rPr>
                <w:b w:val="0"/>
              </w:rPr>
              <w:t>Must never be interpreted as reassurance or normality.</w:t>
            </w:r>
          </w:p>
        </w:tc>
      </w:tr>
      <w:tr>
        <w:trPr>
          <w:cantSplit/>
        </w:trPr>
        <w:tc>
          <w:tcPr>
            <w:tcW w:type="dxa" w:w="2520"/>
            <w:vAlign w:val="center"/>
            <w:tcMar>
              <w:top w:w="50" w:type="dxa"/>
              <w:bottom w:w="50" w:type="dxa"/>
              <w:start w:w="60" w:type="dxa"/>
              <w:end w:w="60" w:type="dxa"/>
            </w:tcMar>
          </w:tcPr>
          <w:p>
            <w:pPr>
              <w:pStyle w:val="TableText"/>
            </w:pPr>
            <w:r/>
            <w:r>
              <w:rPr>
                <w:b w:val="0"/>
              </w:rPr>
              <w:t>Ultrasound scope</w:t>
            </w:r>
          </w:p>
        </w:tc>
        <w:tc>
          <w:tcPr>
            <w:tcW w:type="dxa" w:w="7992"/>
            <w:vAlign w:val="center"/>
            <w:tcMar>
              <w:top w:w="50" w:type="dxa"/>
              <w:bottom w:w="50" w:type="dxa"/>
              <w:start w:w="60" w:type="dxa"/>
              <w:end w:w="60" w:type="dxa"/>
            </w:tcMar>
          </w:tcPr>
          <w:p>
            <w:pPr>
              <w:pStyle w:val="TableText"/>
            </w:pPr>
            <w:r/>
            <w:r>
              <w:rPr>
                <w:b w:val="0"/>
              </w:rPr>
              <w:t>Structured findings are recorded; images are not autonomously interpreted.</w:t>
            </w:r>
          </w:p>
        </w:tc>
      </w:tr>
      <w:tr>
        <w:trPr>
          <w:cantSplit/>
        </w:trPr>
        <w:tc>
          <w:tcPr>
            <w:tcW w:type="dxa" w:w="2520"/>
            <w:vAlign w:val="center"/>
            <w:tcMar>
              <w:top w:w="50" w:type="dxa"/>
              <w:bottom w:w="50" w:type="dxa"/>
              <w:start w:w="60" w:type="dxa"/>
              <w:end w:w="60" w:type="dxa"/>
            </w:tcMar>
            <w:shd w:fill="EDF4FA"/>
          </w:tcPr>
          <w:p>
            <w:pPr>
              <w:pStyle w:val="TableText"/>
            </w:pPr>
            <w:r/>
            <w:r>
              <w:rPr>
                <w:b w:val="0"/>
              </w:rPr>
              <w:t>Delivered history</w:t>
            </w:r>
          </w:p>
        </w:tc>
        <w:tc>
          <w:tcPr>
            <w:tcW w:type="dxa" w:w="7992"/>
            <w:vAlign w:val="center"/>
            <w:tcMar>
              <w:top w:w="50" w:type="dxa"/>
              <w:bottom w:w="50" w:type="dxa"/>
              <w:start w:w="60" w:type="dxa"/>
              <w:end w:w="60" w:type="dxa"/>
            </w:tcMar>
            <w:shd w:fill="EDF4FA"/>
          </w:tcPr>
          <w:p>
            <w:pPr>
              <w:pStyle w:val="TableText"/>
            </w:pPr>
            <w:r/>
            <w:r>
              <w:rPr>
                <w:b w:val="0"/>
              </w:rPr>
              <w:t>Completed pregnancy remains protected and separate from any new pregnancy episode.</w:t>
            </w:r>
          </w:p>
        </w:tc>
      </w:tr>
      <w:tr>
        <w:trPr>
          <w:cantSplit/>
        </w:trPr>
        <w:tc>
          <w:tcPr>
            <w:tcW w:type="dxa" w:w="2520"/>
            <w:vAlign w:val="center"/>
            <w:tcMar>
              <w:top w:w="50" w:type="dxa"/>
              <w:bottom w:w="50" w:type="dxa"/>
              <w:start w:w="60" w:type="dxa"/>
              <w:end w:w="60" w:type="dxa"/>
            </w:tcMar>
          </w:tcPr>
          <w:p>
            <w:pPr>
              <w:pStyle w:val="TableText"/>
            </w:pPr>
            <w:r/>
            <w:r>
              <w:rPr>
                <w:b w:val="0"/>
              </w:rPr>
              <w:t>Versioning</w:t>
            </w:r>
          </w:p>
        </w:tc>
        <w:tc>
          <w:tcPr>
            <w:tcW w:type="dxa" w:w="7992"/>
            <w:vAlign w:val="center"/>
            <w:tcMar>
              <w:top w:w="50" w:type="dxa"/>
              <w:bottom w:w="50" w:type="dxa"/>
              <w:start w:w="60" w:type="dxa"/>
              <w:end w:w="60" w:type="dxa"/>
            </w:tcMar>
          </w:tcPr>
          <w:p>
            <w:pPr>
              <w:pStyle w:val="TableText"/>
            </w:pPr>
            <w:r/>
            <w:r>
              <w:rPr>
                <w:b w:val="0"/>
              </w:rPr>
              <w:t>Clinical rules, model, feature schema, explanations, application and database changes remain traceable.</w:t>
            </w:r>
          </w:p>
        </w:tc>
      </w:tr>
      <w:tr>
        <w:trPr>
          <w:cantSplit/>
        </w:trPr>
        <w:tc>
          <w:tcPr>
            <w:tcW w:type="dxa" w:w="2520"/>
            <w:vAlign w:val="center"/>
            <w:tcMar>
              <w:top w:w="50" w:type="dxa"/>
              <w:bottom w:w="50" w:type="dxa"/>
              <w:start w:w="60" w:type="dxa"/>
              <w:end w:w="60" w:type="dxa"/>
            </w:tcMar>
            <w:shd w:fill="EDF4FA"/>
          </w:tcPr>
          <w:p>
            <w:pPr>
              <w:pStyle w:val="TableText"/>
            </w:pPr>
            <w:r/>
            <w:r>
              <w:rPr>
                <w:b w:val="0"/>
              </w:rPr>
              <w:t>No live self-learning</w:t>
            </w:r>
          </w:p>
        </w:tc>
        <w:tc>
          <w:tcPr>
            <w:tcW w:type="dxa" w:w="7992"/>
            <w:vAlign w:val="center"/>
            <w:tcMar>
              <w:top w:w="50" w:type="dxa"/>
              <w:bottom w:w="50" w:type="dxa"/>
              <w:start w:w="60" w:type="dxa"/>
              <w:end w:w="60" w:type="dxa"/>
            </w:tcMar>
            <w:shd w:fill="EDF4FA"/>
          </w:tcPr>
          <w:p>
            <w:pPr>
              <w:pStyle w:val="TableText"/>
            </w:pPr>
            <w:r/>
            <w:r>
              <w:rPr>
                <w:b w:val="0"/>
              </w:rPr>
              <w:t>Any retraining or model replacement is deliberate, reviewed and revalidated.</w:t>
            </w:r>
          </w:p>
        </w:tc>
      </w:tr>
      <w:tr>
        <w:trPr>
          <w:cantSplit/>
        </w:trPr>
        <w:tc>
          <w:tcPr>
            <w:tcW w:type="dxa" w:w="2520"/>
            <w:vAlign w:val="center"/>
            <w:tcMar>
              <w:top w:w="50" w:type="dxa"/>
              <w:bottom w:w="50" w:type="dxa"/>
              <w:start w:w="60" w:type="dxa"/>
              <w:end w:w="60" w:type="dxa"/>
            </w:tcMar>
          </w:tcPr>
          <w:p>
            <w:pPr>
              <w:pStyle w:val="TableText"/>
            </w:pPr>
            <w:r/>
            <w:r>
              <w:rPr>
                <w:b w:val="0"/>
              </w:rPr>
              <w:t>No direct production modification</w:t>
            </w:r>
          </w:p>
        </w:tc>
        <w:tc>
          <w:tcPr>
            <w:tcW w:type="dxa" w:w="7992"/>
            <w:vAlign w:val="center"/>
            <w:tcMar>
              <w:top w:w="50" w:type="dxa"/>
              <w:bottom w:w="50" w:type="dxa"/>
              <w:start w:w="60" w:type="dxa"/>
              <w:end w:w="60" w:type="dxa"/>
            </w:tcMar>
          </w:tcPr>
          <w:p>
            <w:pPr>
              <w:pStyle w:val="TableText"/>
            </w:pPr>
            <w:r/>
            <w:r>
              <w:rPr>
                <w:b w:val="0"/>
              </w:rPr>
              <w:t>Emergency containment is documented and reconciled back into controlled source and evidence.</w:t>
            </w:r>
          </w:p>
        </w:tc>
      </w:tr>
      <w:tr>
        <w:trPr>
          <w:cantSplit/>
        </w:trPr>
        <w:tc>
          <w:tcPr>
            <w:tcW w:type="dxa" w:w="2520"/>
            <w:vAlign w:val="center"/>
            <w:tcMar>
              <w:top w:w="50" w:type="dxa"/>
              <w:bottom w:w="50" w:type="dxa"/>
              <w:start w:w="60" w:type="dxa"/>
              <w:end w:w="60" w:type="dxa"/>
            </w:tcMar>
            <w:shd w:fill="EDF4FA"/>
          </w:tcPr>
          <w:p>
            <w:pPr>
              <w:pStyle w:val="TableText"/>
            </w:pPr>
            <w:r/>
            <w:r>
              <w:rPr>
                <w:b w:val="0"/>
              </w:rPr>
              <w:t>Retirement</w:t>
            </w:r>
          </w:p>
        </w:tc>
        <w:tc>
          <w:tcPr>
            <w:tcW w:type="dxa" w:w="7992"/>
            <w:vAlign w:val="center"/>
            <w:tcMar>
              <w:top w:w="50" w:type="dxa"/>
              <w:bottom w:w="50" w:type="dxa"/>
              <w:start w:w="60" w:type="dxa"/>
              <w:end w:w="60" w:type="dxa"/>
            </w:tcMar>
            <w:shd w:fill="EDF4FA"/>
          </w:tcPr>
          <w:p>
            <w:pPr>
              <w:pStyle w:val="TableText"/>
            </w:pPr>
            <w:r/>
            <w:r>
              <w:rPr>
                <w:b w:val="0"/>
              </w:rPr>
              <w:t>Preserve continuity and historical interpretability through the end of the system lifecycle.</w:t>
            </w:r>
          </w:p>
        </w:tc>
      </w:tr>
    </w:tbl>
    <w:p>
      <w:pPr>
        <w:spacing w:after="20"/>
      </w:pPr>
    </w:p>
    <w:p>
      <w:pPr>
        <w:pStyle w:val="Heading1"/>
      </w:pPr>
      <w:r>
        <w:t>References</w:t>
      </w:r>
    </w:p>
    <w:p>
      <w:pPr>
        <w:pStyle w:val="Reference"/>
        <w:ind w:left="259" w:hanging="259"/>
      </w:pPr>
      <w:r>
        <w:t xml:space="preserve">[1] World Health Organization. Ethics and governance of artificial intelligence for health. 2021. </w:t>
      </w:r>
      <w:hyperlink r:id="rId11">
        <w:r>
          <w:rPr>
            <w:color w:val="2F75B5"/>
            <w:u w:val="single"/>
          </w:rPr>
          <w:t>https://www.who.int/publications/i/item/9789240029200</w:t>
        </w:r>
      </w:hyperlink>
    </w:p>
    <w:p>
      <w:pPr>
        <w:pStyle w:val="Reference"/>
        <w:ind w:left="259" w:hanging="259"/>
      </w:pPr>
      <w:r>
        <w:t xml:space="preserve">[2] World Health Organization. Artificial Intelligence for Health. 2024. </w:t>
      </w:r>
      <w:hyperlink r:id="rId12">
        <w:r>
          <w:rPr>
            <w:color w:val="2F75B5"/>
            <w:u w:val="single"/>
          </w:rPr>
          <w:t>https://www.who.int/publications/m/item/artificial-intelligence-for-health</w:t>
        </w:r>
      </w:hyperlink>
    </w:p>
    <w:p>
      <w:pPr>
        <w:pStyle w:val="Reference"/>
        <w:ind w:left="259" w:hanging="259"/>
      </w:pPr>
      <w:r>
        <w:t xml:space="preserve">[3] World Health Organization. Ethics and governance of artificial intelligence for health: guidance on large multi-modal models. 2025. </w:t>
      </w:r>
      <w:hyperlink r:id="rId13">
        <w:r>
          <w:rPr>
            <w:color w:val="2F75B5"/>
            <w:u w:val="single"/>
          </w:rPr>
          <w:t>https://www.who.int/publications/i/item/9789240084759</w:t>
        </w:r>
      </w:hyperlink>
    </w:p>
    <w:p>
      <w:pPr>
        <w:pStyle w:val="Reference"/>
        <w:ind w:left="259" w:hanging="259"/>
      </w:pPr>
      <w:r>
        <w:t xml:space="preserve">[4] U.S. Food and Drug Administration. Clinical Decision Support Software: Guidance for Industry and FDA Staff. 2026. </w:t>
      </w:r>
      <w:hyperlink r:id="rId14">
        <w:r>
          <w:rPr>
            <w:color w:val="2F75B5"/>
            <w:u w:val="single"/>
          </w:rPr>
          <w:t>https://www.fda.gov/regulatory-information/search-fda-guidance-documents/clinical-decision-support-software</w:t>
        </w:r>
      </w:hyperlink>
    </w:p>
    <w:p>
      <w:pPr>
        <w:pStyle w:val="Reference"/>
        <w:ind w:left="259" w:hanging="259"/>
      </w:pPr>
      <w:r>
        <w:t xml:space="preserve">[5] U.S. Food and Drug Administration. Artificial Intelligence-Enabled Device Software Functions: Lifecycle Management and Marketing Submission Recommendations. 2025. </w:t>
      </w:r>
      <w:hyperlink r:id="rId15">
        <w:r>
          <w:rPr>
            <w:color w:val="2F75B5"/>
            <w:u w:val="single"/>
          </w:rPr>
          <w:t>https://www.fda.gov/regulatory-information/search-fda-guidance-documents/artificial-intelligence-enabled-device-software-functions-lifecycle-management-and-marketing</w:t>
        </w:r>
      </w:hyperlink>
    </w:p>
    <w:p>
      <w:pPr>
        <w:pStyle w:val="Reference"/>
        <w:ind w:left="259" w:hanging="259"/>
      </w:pPr>
      <w:r>
        <w:t xml:space="preserve">[6] U.S. Food and Drug Administration. Cybersecurity in Medical Devices: Quality System Considerations and Content of Premarket Submissions. 2025. </w:t>
      </w:r>
      <w:hyperlink r:id="rId16">
        <w:r>
          <w:rPr>
            <w:color w:val="2F75B5"/>
            <w:u w:val="single"/>
          </w:rPr>
          <w:t>https://www.fda.gov/regulatory-information/search-fda-guidance-documents/cybersecurity-medical-devices-quality-system-considerations-and-content-premarket-submissions</w:t>
        </w:r>
      </w:hyperlink>
    </w:p>
    <w:p>
      <w:pPr>
        <w:pStyle w:val="Reference"/>
        <w:ind w:left="259" w:hanging="259"/>
      </w:pPr>
      <w:r>
        <w:t xml:space="preserve">[7] National Institute of Standards and Technology. Artificial Intelligence Risk Management Framework (AI RMF 1.0). 2023. </w:t>
      </w:r>
      <w:hyperlink r:id="rId17">
        <w:r>
          <w:rPr>
            <w:color w:val="2F75B5"/>
            <w:u w:val="single"/>
          </w:rPr>
          <w:t>https://www.nist.gov/itl/ai-risk-management-framework</w:t>
        </w:r>
      </w:hyperlink>
    </w:p>
    <w:p>
      <w:pPr>
        <w:pStyle w:val="Reference"/>
        <w:ind w:left="259" w:hanging="259"/>
      </w:pPr>
      <w:r>
        <w:t xml:space="preserve">[8] NIST AI Resource Center. Testing, Evaluation, Verification and Validation resources. 2026. </w:t>
      </w:r>
      <w:hyperlink r:id="rId18">
        <w:r>
          <w:rPr>
            <w:color w:val="2F75B5"/>
            <w:u w:val="single"/>
          </w:rPr>
          <w:t>https://airc.nist.gov/</w:t>
        </w:r>
      </w:hyperlink>
    </w:p>
    <w:p>
      <w:pPr>
        <w:pStyle w:val="Reference"/>
        <w:ind w:left="259" w:hanging="259"/>
      </w:pPr>
      <w:r>
        <w:t xml:space="preserve">[9] OWASP Foundation. OWASP Software Assurance Maturity Model (SAMM). 2026. </w:t>
      </w:r>
      <w:hyperlink r:id="rId19">
        <w:r>
          <w:rPr>
            <w:color w:val="2F75B5"/>
            <w:u w:val="single"/>
          </w:rPr>
          <w:t>https://owaspsamm.org/</w:t>
        </w:r>
      </w:hyperlink>
    </w:p>
    <w:p>
      <w:pPr>
        <w:pStyle w:val="Reference"/>
        <w:ind w:left="259" w:hanging="259"/>
      </w:pPr>
      <w:r>
        <w:t xml:space="preserve">[10] OWASP Foundation. OWASP Dependency-Check. 2026. </w:t>
      </w:r>
      <w:hyperlink r:id="rId20">
        <w:r>
          <w:rPr>
            <w:color w:val="2F75B5"/>
            <w:u w:val="single"/>
          </w:rPr>
          <w:t>https://owasp.org/www-project-dependency-check/</w:t>
        </w:r>
      </w:hyperlink>
    </w:p>
    <w:p>
      <w:pPr>
        <w:pStyle w:val="Reference"/>
        <w:ind w:left="259" w:hanging="259"/>
      </w:pPr>
      <w:r>
        <w:t xml:space="preserve">[11] International Medical Device Regulators Forum. Software as a Medical Device: Clinical Evaluation. 2017. </w:t>
      </w:r>
      <w:hyperlink r:id="rId21">
        <w:r>
          <w:rPr>
            <w:color w:val="2F75B5"/>
            <w:u w:val="single"/>
          </w:rPr>
          <w:t>https://www.imdrf.org/documents/software-medical-device-samd-clinical-evaluation</w:t>
        </w:r>
      </w:hyperlink>
    </w:p>
    <w:p>
      <w:pPr>
        <w:pStyle w:val="Reference"/>
        <w:ind w:left="259" w:hanging="259"/>
      </w:pPr>
      <w:r>
        <w:t xml:space="preserve">[12] NICE. Evidence standards framework for digital health technologies. 2022. </w:t>
      </w:r>
      <w:hyperlink r:id="rId22">
        <w:r>
          <w:rPr>
            <w:color w:val="2F75B5"/>
            <w:u w:val="single"/>
          </w:rPr>
          <w:t>https://www.nice.org.uk/corporate/ecd7</w:t>
        </w:r>
      </w:hyperlink>
    </w:p>
    <w:p>
      <w:pPr>
        <w:pStyle w:val="Reference"/>
        <w:ind w:left="259" w:hanging="259"/>
      </w:pPr>
      <w:r>
        <w:t xml:space="preserve">[13] Republic of the Philippines. Republic Act No. 10173: Data Privacy Act of 2012. 2012. </w:t>
      </w:r>
      <w:hyperlink r:id="rId23">
        <w:r>
          <w:rPr>
            <w:color w:val="2F75B5"/>
            <w:u w:val="single"/>
          </w:rPr>
          <w:t>https://privacy.gov.ph/data-privacy-act/</w:t>
        </w:r>
      </w:hyperlink>
    </w:p>
    <w:p>
      <w:pPr>
        <w:pStyle w:val="Reference"/>
        <w:ind w:left="259" w:hanging="259"/>
      </w:pPr>
      <w:r>
        <w:t xml:space="preserve">[14] Laravel. Deployment and upgrade documentation. 2026. </w:t>
      </w:r>
      <w:hyperlink r:id="rId24">
        <w:r>
          <w:rPr>
            <w:color w:val="2F75B5"/>
            <w:u w:val="single"/>
          </w:rPr>
          <w:t>https://laravel.com/docs</w:t>
        </w:r>
      </w:hyperlink>
    </w:p>
    <w:p>
      <w:pPr>
        <w:pStyle w:val="Reference"/>
        <w:ind w:left="259" w:hanging="259"/>
      </w:pPr>
      <w:r>
        <w:t xml:space="preserve">[15] Python Software Foundation. Python documentation and version lifecycle information. 2026. </w:t>
      </w:r>
      <w:hyperlink r:id="rId25">
        <w:r>
          <w:rPr>
            <w:color w:val="2F75B5"/>
            <w:u w:val="single"/>
          </w:rPr>
          <w:t>https://www.python.org/doc/versions/</w:t>
        </w:r>
      </w:hyperlink>
    </w:p>
    <w:p>
      <w:pPr>
        <w:pStyle w:val="Heading1"/>
      </w:pPr>
      <w:r>
        <w:t>Appendix A — Change Request Minimum Record</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232"/>
            <w:vAlign w:val="center"/>
            <w:tcMar>
              <w:top w:w="50" w:type="dxa"/>
              <w:bottom w:w="50" w:type="dxa"/>
              <w:start w:w="60" w:type="dxa"/>
              <w:end w:w="60" w:type="dxa"/>
            </w:tcMar>
            <w:shd w:fill="17365D"/>
          </w:tcPr>
          <w:p>
            <w:pPr>
              <w:pStyle w:val="TableHeader"/>
            </w:pPr>
            <w:r/>
            <w:r>
              <w:rPr>
                <w:b/>
                <w:color w:val="FFFFFF"/>
              </w:rPr>
              <w:t>Field</w:t>
            </w:r>
          </w:p>
        </w:tc>
        <w:tc>
          <w:tcPr>
            <w:tcW w:type="dxa" w:w="8280"/>
            <w:vAlign w:val="center"/>
            <w:tcMar>
              <w:top w:w="50" w:type="dxa"/>
              <w:bottom w:w="50" w:type="dxa"/>
              <w:start w:w="60" w:type="dxa"/>
              <w:end w:w="60" w:type="dxa"/>
            </w:tcMar>
            <w:shd w:fill="17365D"/>
          </w:tcPr>
          <w:p>
            <w:pPr>
              <w:pStyle w:val="TableHeader"/>
            </w:pPr>
            <w:r/>
            <w:r>
              <w:rPr>
                <w:b/>
                <w:color w:val="FFFFFF"/>
              </w:rPr>
              <w:t>Minimum content</w:t>
            </w:r>
          </w:p>
        </w:tc>
      </w:tr>
      <w:tr>
        <w:trPr>
          <w:cantSplit/>
        </w:trPr>
        <w:tc>
          <w:tcPr>
            <w:tcW w:type="dxa" w:w="2232"/>
            <w:vAlign w:val="center"/>
            <w:tcMar>
              <w:top w:w="50" w:type="dxa"/>
              <w:bottom w:w="50" w:type="dxa"/>
              <w:start w:w="60" w:type="dxa"/>
              <w:end w:w="60" w:type="dxa"/>
            </w:tcMar>
          </w:tcPr>
          <w:p>
            <w:pPr>
              <w:pStyle w:val="TableText"/>
            </w:pPr>
            <w:r/>
            <w:r>
              <w:rPr>
                <w:b w:val="0"/>
              </w:rPr>
              <w:t>Identification</w:t>
            </w:r>
          </w:p>
        </w:tc>
        <w:tc>
          <w:tcPr>
            <w:tcW w:type="dxa" w:w="8280"/>
            <w:vAlign w:val="center"/>
            <w:tcMar>
              <w:top w:w="50" w:type="dxa"/>
              <w:bottom w:w="50" w:type="dxa"/>
              <w:start w:w="60" w:type="dxa"/>
              <w:end w:w="60" w:type="dxa"/>
            </w:tcMar>
          </w:tcPr>
          <w:p>
            <w:pPr>
              <w:pStyle w:val="TableText"/>
            </w:pPr>
            <w:r/>
            <w:r>
              <w:rPr>
                <w:b w:val="0"/>
              </w:rPr>
              <w:t>Change ID, title, requester, date, owner, priority and maintenance class.</w:t>
            </w:r>
          </w:p>
        </w:tc>
      </w:tr>
      <w:tr>
        <w:trPr>
          <w:cantSplit/>
        </w:trPr>
        <w:tc>
          <w:tcPr>
            <w:tcW w:type="dxa" w:w="2232"/>
            <w:vAlign w:val="center"/>
            <w:tcMar>
              <w:top w:w="50" w:type="dxa"/>
              <w:bottom w:w="50" w:type="dxa"/>
              <w:start w:w="60" w:type="dxa"/>
              <w:end w:w="60" w:type="dxa"/>
            </w:tcMar>
            <w:shd w:fill="EDF4FA"/>
          </w:tcPr>
          <w:p>
            <w:pPr>
              <w:pStyle w:val="TableText"/>
            </w:pPr>
            <w:r/>
            <w:r>
              <w:rPr>
                <w:b w:val="0"/>
              </w:rPr>
              <w:t>Rationale</w:t>
            </w:r>
          </w:p>
        </w:tc>
        <w:tc>
          <w:tcPr>
            <w:tcW w:type="dxa" w:w="8280"/>
            <w:vAlign w:val="center"/>
            <w:tcMar>
              <w:top w:w="50" w:type="dxa"/>
              <w:bottom w:w="50" w:type="dxa"/>
              <w:start w:w="60" w:type="dxa"/>
              <w:end w:w="60" w:type="dxa"/>
            </w:tcMar>
            <w:shd w:fill="EDF4FA"/>
          </w:tcPr>
          <w:p>
            <w:pPr>
              <w:pStyle w:val="TableText"/>
            </w:pPr>
            <w:r/>
            <w:r>
              <w:rPr>
                <w:b w:val="0"/>
              </w:rPr>
              <w:t>Problem/evidence, intended benefit and alternatives considered.</w:t>
            </w:r>
          </w:p>
        </w:tc>
      </w:tr>
      <w:tr>
        <w:trPr>
          <w:cantSplit/>
        </w:trPr>
        <w:tc>
          <w:tcPr>
            <w:tcW w:type="dxa" w:w="2232"/>
            <w:vAlign w:val="center"/>
            <w:tcMar>
              <w:top w:w="50" w:type="dxa"/>
              <w:bottom w:w="50" w:type="dxa"/>
              <w:start w:w="60" w:type="dxa"/>
              <w:end w:w="60" w:type="dxa"/>
            </w:tcMar>
          </w:tcPr>
          <w:p>
            <w:pPr>
              <w:pStyle w:val="TableText"/>
            </w:pPr>
            <w:r/>
            <w:r>
              <w:rPr>
                <w:b w:val="0"/>
              </w:rPr>
              <w:t>Affected scope</w:t>
            </w:r>
          </w:p>
        </w:tc>
        <w:tc>
          <w:tcPr>
            <w:tcW w:type="dxa" w:w="8280"/>
            <w:vAlign w:val="center"/>
            <w:tcMar>
              <w:top w:w="50" w:type="dxa"/>
              <w:bottom w:w="50" w:type="dxa"/>
              <w:start w:w="60" w:type="dxa"/>
              <w:end w:w="60" w:type="dxa"/>
            </w:tcMar>
          </w:tcPr>
          <w:p>
            <w:pPr>
              <w:pStyle w:val="TableText"/>
            </w:pPr>
            <w:r/>
            <w:r>
              <w:rPr>
                <w:b w:val="0"/>
              </w:rPr>
              <w:t>Code, rule, model, data, workflow, security, privacy, training and historical records.</w:t>
            </w:r>
          </w:p>
        </w:tc>
      </w:tr>
      <w:tr>
        <w:trPr>
          <w:cantSplit/>
        </w:trPr>
        <w:tc>
          <w:tcPr>
            <w:tcW w:type="dxa" w:w="2232"/>
            <w:vAlign w:val="center"/>
            <w:tcMar>
              <w:top w:w="50" w:type="dxa"/>
              <w:bottom w:w="50" w:type="dxa"/>
              <w:start w:w="60" w:type="dxa"/>
              <w:end w:w="60" w:type="dxa"/>
            </w:tcMar>
            <w:shd w:fill="EDF4FA"/>
          </w:tcPr>
          <w:p>
            <w:pPr>
              <w:pStyle w:val="TableText"/>
            </w:pPr>
            <w:r/>
            <w:r>
              <w:rPr>
                <w:b w:val="0"/>
              </w:rPr>
              <w:t>Risk assessment</w:t>
            </w:r>
          </w:p>
        </w:tc>
        <w:tc>
          <w:tcPr>
            <w:tcW w:type="dxa" w:w="8280"/>
            <w:vAlign w:val="center"/>
            <w:tcMar>
              <w:top w:w="50" w:type="dxa"/>
              <w:bottom w:w="50" w:type="dxa"/>
              <w:start w:w="60" w:type="dxa"/>
              <w:end w:w="60" w:type="dxa"/>
            </w:tcMar>
            <w:shd w:fill="EDF4FA"/>
          </w:tcPr>
          <w:p>
            <w:pPr>
              <w:pStyle w:val="TableText"/>
            </w:pPr>
            <w:r/>
            <w:r>
              <w:rPr>
                <w:b w:val="0"/>
              </w:rPr>
              <w:t>Foreseeable harms, severity, likelihood, detectability, controls and residual risk.</w:t>
            </w:r>
          </w:p>
        </w:tc>
      </w:tr>
      <w:tr>
        <w:trPr>
          <w:cantSplit/>
        </w:trPr>
        <w:tc>
          <w:tcPr>
            <w:tcW w:type="dxa" w:w="2232"/>
            <w:vAlign w:val="center"/>
            <w:tcMar>
              <w:top w:w="50" w:type="dxa"/>
              <w:bottom w:w="50" w:type="dxa"/>
              <w:start w:w="60" w:type="dxa"/>
              <w:end w:w="60" w:type="dxa"/>
            </w:tcMar>
          </w:tcPr>
          <w:p>
            <w:pPr>
              <w:pStyle w:val="TableText"/>
            </w:pPr>
            <w:r/>
            <w:r>
              <w:rPr>
                <w:b w:val="0"/>
              </w:rPr>
              <w:t>Implementation</w:t>
            </w:r>
          </w:p>
        </w:tc>
        <w:tc>
          <w:tcPr>
            <w:tcW w:type="dxa" w:w="8280"/>
            <w:vAlign w:val="center"/>
            <w:tcMar>
              <w:top w:w="50" w:type="dxa"/>
              <w:bottom w:w="50" w:type="dxa"/>
              <w:start w:w="60" w:type="dxa"/>
              <w:end w:w="60" w:type="dxa"/>
            </w:tcMar>
          </w:tcPr>
          <w:p>
            <w:pPr>
              <w:pStyle w:val="TableText"/>
            </w:pPr>
            <w:r/>
            <w:r>
              <w:rPr>
                <w:b w:val="0"/>
              </w:rPr>
              <w:t>Branch/commit, artifacts, migration/configuration steps and reviewers.</w:t>
            </w:r>
          </w:p>
        </w:tc>
      </w:tr>
      <w:tr>
        <w:trPr>
          <w:cantSplit/>
        </w:trPr>
        <w:tc>
          <w:tcPr>
            <w:tcW w:type="dxa" w:w="2232"/>
            <w:vAlign w:val="center"/>
            <w:tcMar>
              <w:top w:w="50" w:type="dxa"/>
              <w:bottom w:w="50" w:type="dxa"/>
              <w:start w:w="60" w:type="dxa"/>
              <w:end w:w="60" w:type="dxa"/>
            </w:tcMar>
            <w:shd w:fill="EDF4FA"/>
          </w:tcPr>
          <w:p>
            <w:pPr>
              <w:pStyle w:val="TableText"/>
            </w:pPr>
            <w:r/>
            <w:r>
              <w:rPr>
                <w:b w:val="0"/>
              </w:rPr>
              <w:t>Verification</w:t>
            </w:r>
          </w:p>
        </w:tc>
        <w:tc>
          <w:tcPr>
            <w:tcW w:type="dxa" w:w="8280"/>
            <w:vAlign w:val="center"/>
            <w:tcMar>
              <w:top w:w="50" w:type="dxa"/>
              <w:bottom w:w="50" w:type="dxa"/>
              <w:start w:w="60" w:type="dxa"/>
              <w:end w:w="60" w:type="dxa"/>
            </w:tcMar>
            <w:shd w:fill="EDF4FA"/>
          </w:tcPr>
          <w:p>
            <w:pPr>
              <w:pStyle w:val="TableText"/>
            </w:pPr>
            <w:r/>
            <w:r>
              <w:rPr>
                <w:b w:val="0"/>
              </w:rPr>
              <w:t>Acceptance criteria, test IDs, data, results, defects and evidence locations.</w:t>
            </w:r>
          </w:p>
        </w:tc>
      </w:tr>
      <w:tr>
        <w:trPr>
          <w:cantSplit/>
        </w:trPr>
        <w:tc>
          <w:tcPr>
            <w:tcW w:type="dxa" w:w="2232"/>
            <w:vAlign w:val="center"/>
            <w:tcMar>
              <w:top w:w="50" w:type="dxa"/>
              <w:bottom w:w="50" w:type="dxa"/>
              <w:start w:w="60" w:type="dxa"/>
              <w:end w:w="60" w:type="dxa"/>
            </w:tcMar>
          </w:tcPr>
          <w:p>
            <w:pPr>
              <w:pStyle w:val="TableText"/>
            </w:pPr>
            <w:r/>
            <w:r>
              <w:rPr>
                <w:b w:val="0"/>
              </w:rPr>
              <w:t>Release</w:t>
            </w:r>
          </w:p>
        </w:tc>
        <w:tc>
          <w:tcPr>
            <w:tcW w:type="dxa" w:w="8280"/>
            <w:vAlign w:val="center"/>
            <w:tcMar>
              <w:top w:w="50" w:type="dxa"/>
              <w:bottom w:w="50" w:type="dxa"/>
              <w:start w:w="60" w:type="dxa"/>
              <w:end w:w="60" w:type="dxa"/>
            </w:tcMar>
          </w:tcPr>
          <w:p>
            <w:pPr>
              <w:pStyle w:val="TableText"/>
            </w:pPr>
            <w:r/>
            <w:r>
              <w:rPr>
                <w:b w:val="0"/>
              </w:rPr>
              <w:t>Version manifest, approvals, backup, deployment, communication, monitoring and rollback.</w:t>
            </w:r>
          </w:p>
        </w:tc>
      </w:tr>
      <w:tr>
        <w:trPr>
          <w:cantSplit/>
        </w:trPr>
        <w:tc>
          <w:tcPr>
            <w:tcW w:type="dxa" w:w="2232"/>
            <w:vAlign w:val="center"/>
            <w:tcMar>
              <w:top w:w="50" w:type="dxa"/>
              <w:bottom w:w="50" w:type="dxa"/>
              <w:start w:w="60" w:type="dxa"/>
              <w:end w:w="60" w:type="dxa"/>
            </w:tcMar>
            <w:shd w:fill="EDF4FA"/>
          </w:tcPr>
          <w:p>
            <w:pPr>
              <w:pStyle w:val="TableText"/>
            </w:pPr>
            <w:r/>
            <w:r>
              <w:rPr>
                <w:b w:val="0"/>
              </w:rPr>
              <w:t>Closure</w:t>
            </w:r>
          </w:p>
        </w:tc>
        <w:tc>
          <w:tcPr>
            <w:tcW w:type="dxa" w:w="8280"/>
            <w:vAlign w:val="center"/>
            <w:tcMar>
              <w:top w:w="50" w:type="dxa"/>
              <w:bottom w:w="50" w:type="dxa"/>
              <w:start w:w="60" w:type="dxa"/>
              <w:end w:w="60" w:type="dxa"/>
            </w:tcMar>
            <w:shd w:fill="EDF4FA"/>
          </w:tcPr>
          <w:p>
            <w:pPr>
              <w:pStyle w:val="TableText"/>
            </w:pPr>
            <w:r/>
            <w:r>
              <w:rPr>
                <w:b w:val="0"/>
              </w:rPr>
              <w:t>Post-release findings, incidents, CAPA, effectiveness and closure approval.</w:t>
            </w:r>
          </w:p>
        </w:tc>
      </w:tr>
    </w:tbl>
    <w:p>
      <w:pPr>
        <w:spacing w:after="20"/>
      </w:pPr>
    </w:p>
    <w:p>
      <w:pPr>
        <w:pStyle w:val="Heading1"/>
      </w:pPr>
      <w:r>
        <w:t>Appendix B — Release-Blocking Maintenance Defects</w:t>
      </w:r>
    </w:p>
    <w:p>
      <w:pPr>
        <w:pStyle w:val="ListBullet"/>
        <w:spacing w:after="30"/>
      </w:pPr>
      <w:r>
        <w:t>Any path that produces LOW when a deterministic HIGH factor exists.</w:t>
      </w:r>
    </w:p>
    <w:p>
      <w:pPr>
        <w:pStyle w:val="ListBullet"/>
        <w:spacing w:after="30"/>
      </w:pPr>
      <w:r>
        <w:t>Any path that produces LOW when required records are missing or ML output is invalid.</w:t>
      </w:r>
    </w:p>
    <w:p>
      <w:pPr>
        <w:pStyle w:val="ListBullet"/>
        <w:spacing w:after="30"/>
      </w:pPr>
      <w:r>
        <w:t>Rule, model, feature or explanation version cannot be identified for the release or historical assessment.</w:t>
      </w:r>
    </w:p>
    <w:p>
      <w:pPr>
        <w:pStyle w:val="ListBullet"/>
        <w:spacing w:after="30"/>
      </w:pPr>
      <w:r>
        <w:t>Clinical wording contradicts the final risk state, factors, urgency or referral action.</w:t>
      </w:r>
    </w:p>
    <w:p>
      <w:pPr>
        <w:pStyle w:val="ListBullet"/>
        <w:spacing w:after="30"/>
      </w:pPr>
      <w:r>
        <w:t>Laravel and Python disagree on feature name, order, type, unit or category mapping.</w:t>
      </w:r>
    </w:p>
    <w:p>
      <w:pPr>
        <w:pStyle w:val="ListBullet"/>
        <w:spacing w:after="30"/>
      </w:pPr>
      <w:r>
        <w:t>Migration can corrupt, merge or orphan patient/pregnancy clinical history.</w:t>
      </w:r>
    </w:p>
    <w:p>
      <w:pPr>
        <w:pStyle w:val="ListBullet"/>
        <w:spacing w:after="30"/>
      </w:pPr>
      <w:r>
        <w:t>Delivered-record protections or new-pregnancy separation fail.</w:t>
      </w:r>
    </w:p>
    <w:p>
      <w:pPr>
        <w:pStyle w:val="ListBullet"/>
        <w:spacing w:after="30"/>
      </w:pPr>
      <w:r>
        <w:t>Unauthorized user can access or modify another patient or restricted clinical record.</w:t>
      </w:r>
    </w:p>
    <w:p>
      <w:pPr>
        <w:pStyle w:val="ListBullet"/>
        <w:spacing w:after="30"/>
      </w:pPr>
      <w:r>
        <w:t>Critical audit, backup, restore, rollback or incident-containment control is untested or fails.</w:t>
      </w:r>
    </w:p>
    <w:p>
      <w:pPr>
        <w:pStyle w:val="ListBullet"/>
        <w:spacing w:after="30"/>
      </w:pPr>
      <w:r>
        <w:t>Unapproved model, rule set, dependency, secret, direct production edit or unsupported component is included.</w:t>
      </w:r>
    </w:p>
    <w:p>
      <w:pPr>
        <w:pStyle w:val="ListBullet"/>
        <w:spacing w:after="30"/>
      </w:pPr>
      <w:r>
        <w:t>Known critical/major safety defect remains unresolved without documented containment and authorized residual-risk acceptance.</w:t>
      </w:r>
    </w:p>
    <w:p>
      <w:pPr>
        <w:pStyle w:val="ListBullet"/>
        <w:spacing w:after="30"/>
      </w:pPr>
      <w:r>
        <w:t>Release lacks an identified responsible owner and operational support path.</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11 - Maintenance and Evolution Framework | Laravel + Python maternity CDSS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6 | CDSS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4"/>
    </w:rPr>
  </w:style>
  <w:style w:type="paragraph" w:customStyle="1" w:styleId="Flow">
    <w:name w:val="Flow"/>
    <w:pPr>
      <w:spacing w:after="28" w:line="240" w:lineRule="auto"/>
    </w:pPr>
    <w:rPr>
      <w:rFonts w:ascii="Arial" w:hAnsi="Arial"/>
      <w:b/>
      <w:color w:val="17365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publications/i/item/9789240029200" TargetMode="External"/><Relationship Id="rId12" Type="http://schemas.openxmlformats.org/officeDocument/2006/relationships/hyperlink" Target="https://www.who.int/publications/m/item/artificial-intelligence-for-health" TargetMode="External"/><Relationship Id="rId13" Type="http://schemas.openxmlformats.org/officeDocument/2006/relationships/hyperlink" Target="https://www.who.int/publications/i/item/9789240084759" TargetMode="External"/><Relationship Id="rId14" Type="http://schemas.openxmlformats.org/officeDocument/2006/relationships/hyperlink" Target="https://www.fda.gov/regulatory-information/search-fda-guidance-documents/clinical-decision-support-software" TargetMode="External"/><Relationship Id="rId15" Type="http://schemas.openxmlformats.org/officeDocument/2006/relationships/hyperlink" Target="https://www.fda.gov/regulatory-information/search-fda-guidance-documents/artificial-intelligence-enabled-device-software-functions-lifecycle-management-and-marketing" TargetMode="External"/><Relationship Id="rId16" Type="http://schemas.openxmlformats.org/officeDocument/2006/relationships/hyperlink" Target="https://www.fda.gov/regulatory-information/search-fda-guidance-documents/cybersecurity-medical-devices-quality-system-considerations-and-content-premarket-submissions" TargetMode="External"/><Relationship Id="rId17" Type="http://schemas.openxmlformats.org/officeDocument/2006/relationships/hyperlink" Target="https://www.nist.gov/itl/ai-risk-management-framework" TargetMode="External"/><Relationship Id="rId18" Type="http://schemas.openxmlformats.org/officeDocument/2006/relationships/hyperlink" Target="https://airc.nist.gov/" TargetMode="External"/><Relationship Id="rId19" Type="http://schemas.openxmlformats.org/officeDocument/2006/relationships/hyperlink" Target="https://owaspsamm.org/" TargetMode="External"/><Relationship Id="rId20" Type="http://schemas.openxmlformats.org/officeDocument/2006/relationships/hyperlink" Target="https://owasp.org/www-project-dependency-check/" TargetMode="External"/><Relationship Id="rId21" Type="http://schemas.openxmlformats.org/officeDocument/2006/relationships/hyperlink" Target="https://www.imdrf.org/documents/software-medical-device-samd-clinical-evaluation" TargetMode="External"/><Relationship Id="rId22" Type="http://schemas.openxmlformats.org/officeDocument/2006/relationships/hyperlink" Target="https://www.nice.org.uk/corporate/ecd7" TargetMode="External"/><Relationship Id="rId23" Type="http://schemas.openxmlformats.org/officeDocument/2006/relationships/hyperlink" Target="https://privacy.gov.ph/data-privacy-act/" TargetMode="External"/><Relationship Id="rId24" Type="http://schemas.openxmlformats.org/officeDocument/2006/relationships/hyperlink" Target="https://laravel.com/docs" TargetMode="External"/><Relationship Id="rId25" Type="http://schemas.openxmlformats.org/officeDocument/2006/relationships/hyperlink" Target="https://www.python.org/doc/ver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6 Part 11 - CDSS Maintenance and Evolution Framework</dc:title>
  <dc:subject>Lifecycle maintenance for an explainable maternity CDSS</dc:subject>
  <dc:creator>Capstone Project Documentation</dc:creator>
  <cp:keywords>CDSS, maintenance, lifecycle, change control, Laravel, Python, Random Forest, maternity</cp:keywords>
  <dc:description>generated by python-docx</dc:description>
  <cp:lastModifiedBy/>
  <cp:revision>1</cp:revision>
  <dcterms:created xsi:type="dcterms:W3CDTF">2013-12-23T23:15:00Z</dcterms:created>
  <dcterms:modified xsi:type="dcterms:W3CDTF">2013-12-23T23:15:00Z</dcterms:modified>
  <cp:category/>
</cp:coreProperties>
</file>