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DOCUMENT 6</w:t>
      </w:r>
    </w:p>
    <w:p>
      <w:pPr>
        <w:pStyle w:val="Title"/>
        <w:jc w:val="center"/>
      </w:pPr>
      <w:r>
        <w:t>Clinical Decision Support System Implementation Guide</w:t>
      </w:r>
    </w:p>
    <w:p>
      <w:pPr>
        <w:jc w:val="center"/>
      </w:pPr>
      <w:r>
        <w:rPr>
          <w:b/>
          <w:sz w:val="22"/>
        </w:rPr>
        <w:t>PART 1</w:t>
      </w:r>
    </w:p>
    <w:p>
      <w:pPr>
        <w:pStyle w:val="Title"/>
        <w:jc w:val="center"/>
      </w:pPr>
      <w:r>
        <w:t>CDSS System Architecture</w:t>
      </w:r>
    </w:p>
    <w:p>
      <w:pPr>
        <w:pStyle w:val="Subtitle"/>
        <w:jc w:val="center"/>
      </w:pPr>
      <w:r>
        <w:t>System Context, Layered Architecture, Laravel Application Boundary, Python Random Forest Integration, Decision Services, Data Flow, Trust Boundaries, Failure Containment, and Implementation Baseline</w:t>
      </w:r>
    </w:p>
    <w:p/>
    <w:tbl>
      <w:tblPr>
        <w:tblStyle w:val="TableGrid"/>
        <w:tblW w:type="auto" w:w="0"/>
        <w:tblLook w:firstColumn="1" w:firstRow="1" w:lastColumn="0" w:lastRow="0" w:noHBand="0" w:noVBand="1" w:val="04A0"/>
      </w:tblPr>
      <w:tblGrid>
        <w:gridCol w:w="10282"/>
      </w:tblGrid>
      <w:tr>
        <w:tc>
          <w:tcPr>
            <w:tcW w:type="dxa" w:w="10282"/>
            <w:shd w:fill="EAF2F8"/>
          </w:tcPr>
          <w:p>
            <w:r/>
            <w:r>
              <w:rPr>
                <w:b/>
                <w:sz w:val="19"/>
              </w:rPr>
              <w:t>Purpose of this guide</w:t>
            </w:r>
          </w:p>
          <w:p>
            <w:pPr>
              <w:spacing w:after="0"/>
            </w:pPr>
            <w:r>
              <w:rPr>
                <w:rFonts w:ascii="Arial" w:hAnsi="Arial"/>
                <w:sz w:val="17"/>
              </w:rPr>
              <w:t>Part 1 defines the authoritative technical architecture for implementing the explainable maternity CDSS. It translates the completed Risk Index Framework into system boundaries, components, responsibilities, interfaces, data flows, security zones, failure behavior, and implementation invariants for the Laravel, MySQL, and Python Random Forest solution.</w:t>
            </w:r>
          </w:p>
        </w:tc>
      </w:tr>
    </w:tbl>
    <w:p/>
    <w:p>
      <w:pPr>
        <w:jc w:val="center"/>
      </w:pPr>
      <w:r>
        <w:rPr>
          <w:b/>
        </w:rPr>
        <w:t>Capstone Project</w:t>
      </w:r>
    </w:p>
    <w:p>
      <w:pPr>
        <w:jc w:val="center"/>
      </w:pPr>
      <w:r>
        <w:t>Development of an Explainable Clinical Decision Support System (CDSS)</w:t>
        <w:br/>
        <w:t>for a Web-Based Maternity Management System in a Philippine Lying-in Clinic</w:t>
      </w:r>
    </w:p>
    <w:p>
      <w:pPr>
        <w:jc w:val="center"/>
      </w:pPr>
      <w:r>
        <w:t>Authoritative system architecture specification | July 2026</w:t>
      </w:r>
    </w:p>
    <w:p>
      <w:r>
        <w:br w:type="page"/>
      </w:r>
    </w:p>
    <w:p>
      <w:pPr>
        <w:pStyle w:val="Heading1"/>
      </w:pPr>
      <w:r>
        <w:t>Clinical and Engineering Safety Statement</w:t>
      </w:r>
    </w:p>
    <w:tbl>
      <w:tblPr>
        <w:tblStyle w:val="TableGrid"/>
        <w:tblW w:type="auto" w:w="0"/>
        <w:jc w:val="center"/>
        <w:tblLook w:firstColumn="1" w:firstRow="1" w:lastColumn="0" w:lastRow="0" w:noHBand="0" w:noVBand="1" w:val="04A0"/>
      </w:tblPr>
      <w:tblGrid>
        <w:gridCol w:w="10282"/>
      </w:tblGrid>
      <w:tr>
        <w:tc>
          <w:tcPr>
            <w:tcW w:type="dxa" w:w="10282"/>
            <w:shd w:fill="FFF2CC"/>
          </w:tcPr>
          <w:p>
            <w:pPr>
              <w:spacing w:after="40"/>
            </w:pPr>
            <w:r/>
            <w:r>
              <w:rPr>
                <w:rFonts w:ascii="Arial" w:hAnsi="Arial"/>
                <w:b/>
                <w:sz w:val="18"/>
              </w:rPr>
              <w:t>Architecture boundary</w:t>
            </w:r>
          </w:p>
          <w:p>
            <w:pPr>
              <w:spacing w:after="0"/>
            </w:pPr>
            <w:r>
              <w:rPr>
                <w:rFonts w:ascii="Arial" w:hAnsi="Arial"/>
                <w:sz w:val="17"/>
              </w:rPr>
              <w:t>The architecture supports authorized clinical review, documentation, referral, and follow-up. It does not create autonomous diagnosis or treatment authority. The browser shall never call the Python model directly, the model shall never write clinical records, and no operational component such as email, printing, or a queue may silently change the final risk state. Emergency and manual workflows remain available when any digital component fails.</w:t>
            </w:r>
          </w:p>
        </w:tc>
      </w:tr>
    </w:tbl>
    <w:p/>
    <w:p>
      <w:pPr>
        <w:pStyle w:val="Heading1"/>
      </w:pPr>
      <w:r>
        <w:t>Executive Architecture Decision</w:t>
      </w:r>
    </w:p>
    <w:p>
      <w:pPr>
        <w:spacing w:after="100" w:line="252" w:lineRule="auto"/>
      </w:pPr>
      <w:r>
        <w:t>The system shall use a layered modular-monolith architecture centered on Laravel as the controlled application boundary. Laravel manages authentication, authorization, validation, workflow coordination, clinical data access, decision orchestration, persistence, referral, audit, notifications, and user interfaces. Python is a bounded inference component that loads a frozen Random Forest artifact and returns a strictly validated HIGH or LOW contribution. MySQL remains the authoritative transactional store.</w:t>
      </w:r>
    </w:p>
    <w:p>
      <w:pPr>
        <w:spacing w:after="100" w:line="252" w:lineRule="auto"/>
      </w:pPr>
      <w:r>
        <w:t>The final assessment is produced only by a centralized Clinical Decision Service. That service checks data completeness and validity, executes deterministic safety rules, invokes the ML adapter when permitted, resolves rule-model precedence, generates explanation and recommendation objects, determines escalation, and persists an immutable assessment snapshot. Controllers remain thin coordinators and do not duplicate clinical rules.</w:t>
      </w:r>
    </w:p>
    <w:tbl>
      <w:tblPr>
        <w:tblStyle w:val="TableGrid"/>
        <w:tblW w:type="auto" w:w="0"/>
        <w:jc w:val="center"/>
        <w:tblLook w:firstColumn="1" w:firstRow="1" w:lastColumn="0" w:lastRow="0" w:noHBand="0" w:noVBand="1" w:val="04A0"/>
      </w:tblPr>
      <w:tblGrid>
        <w:gridCol w:w="10282"/>
      </w:tblGrid>
      <w:tr>
        <w:tc>
          <w:tcPr>
            <w:tcW w:type="dxa" w:w="10282"/>
            <w:shd w:fill="FFF2CC"/>
          </w:tcPr>
          <w:p>
            <w:pPr>
              <w:spacing w:after="40"/>
            </w:pPr>
            <w:r/>
            <w:r>
              <w:rPr>
                <w:rFonts w:ascii="Arial" w:hAnsi="Arial"/>
                <w:b/>
                <w:sz w:val="18"/>
              </w:rPr>
              <w:t>Authoritative architecture rule</w:t>
            </w:r>
          </w:p>
          <w:p>
            <w:pPr>
              <w:spacing w:after="0"/>
            </w:pPr>
            <w:r>
              <w:rPr>
                <w:rFonts w:ascii="Arial" w:hAnsi="Arial"/>
                <w:sz w:val="17"/>
              </w:rPr>
              <w:t>All safety-relevant decision behavior shall be centralized, versioned, testable, and reconstructable. No view, controller, model observer, mailer, report, or Python script may independently determine a conflicting clinical result.</w:t>
            </w:r>
          </w:p>
        </w:tc>
      </w:tr>
    </w:tbl>
    <w:p/>
    <w:p>
      <w:pPr>
        <w:pStyle w:val="Heading1"/>
      </w:pPr>
      <w:r>
        <w:t>1. Purpose and Scope</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0"/>
            </w:pPr>
            <w:r/>
            <w:r>
              <w:rPr>
                <w:rFonts w:ascii="Arial" w:hAnsi="Arial"/>
                <w:b/>
                <w:sz w:val="16"/>
              </w:rPr>
              <w:t>In scope</w:t>
            </w:r>
          </w:p>
        </w:tc>
        <w:tc>
          <w:tcPr>
            <w:tcW w:type="dxa" w:w="5141"/>
            <w:vAlign w:val="center"/>
            <w:shd w:fill="D9EAF7"/>
          </w:tcPr>
          <w:p>
            <w:pPr>
              <w:spacing w:after="0"/>
            </w:pPr>
            <w:r/>
            <w:r>
              <w:rPr>
                <w:rFonts w:ascii="Arial" w:hAnsi="Arial"/>
                <w:b/>
                <w:sz w:val="16"/>
              </w:rPr>
              <w:t>Outside scope</w:t>
            </w:r>
          </w:p>
        </w:tc>
      </w:tr>
      <w:tr>
        <w:tc>
          <w:tcPr>
            <w:tcW w:type="dxa" w:w="5141"/>
            <w:vAlign w:val="center"/>
          </w:tcPr>
          <w:p>
            <w:pPr>
              <w:spacing w:after="0"/>
            </w:pPr>
            <w:r/>
            <w:r>
              <w:rPr>
                <w:rFonts w:ascii="Arial" w:hAnsi="Arial"/>
                <w:b w:val="0"/>
                <w:sz w:val="16"/>
              </w:rPr>
              <w:t>System context and component boundaries for Laravel, Python, MySQL, UI, mail, print, referral, audit, and operations.</w:t>
            </w:r>
          </w:p>
        </w:tc>
        <w:tc>
          <w:tcPr>
            <w:tcW w:type="dxa" w:w="5141"/>
            <w:vAlign w:val="center"/>
          </w:tcPr>
          <w:p>
            <w:pPr>
              <w:spacing w:after="0"/>
            </w:pPr>
            <w:r/>
            <w:r>
              <w:rPr>
                <w:rFonts w:ascii="Arial" w:hAnsi="Arial"/>
                <w:b w:val="0"/>
                <w:sz w:val="16"/>
              </w:rPr>
              <w:t>Creating new clinical thresholds or changing the completed Risk Index Framework.</w:t>
            </w:r>
          </w:p>
        </w:tc>
      </w:tr>
      <w:tr>
        <w:tc>
          <w:tcPr>
            <w:tcW w:type="dxa" w:w="5141"/>
            <w:vAlign w:val="center"/>
          </w:tcPr>
          <w:p>
            <w:pPr>
              <w:spacing w:after="0"/>
            </w:pPr>
            <w:r/>
            <w:r>
              <w:rPr>
                <w:rFonts w:ascii="Arial" w:hAnsi="Arial"/>
                <w:b w:val="0"/>
                <w:sz w:val="16"/>
              </w:rPr>
              <w:t>Layer responsibilities, data flow, trust boundaries, failure containment, and versioned decision orchestration.</w:t>
            </w:r>
          </w:p>
        </w:tc>
        <w:tc>
          <w:tcPr>
            <w:tcW w:type="dxa" w:w="5141"/>
            <w:vAlign w:val="center"/>
          </w:tcPr>
          <w:p>
            <w:pPr>
              <w:spacing w:after="0"/>
            </w:pPr>
            <w:r/>
            <w:r>
              <w:rPr>
                <w:rFonts w:ascii="Arial" w:hAnsi="Arial"/>
                <w:b w:val="0"/>
                <w:sz w:val="16"/>
              </w:rPr>
              <w:t>Prescribing one cloud provider, operating system, or commercial medical-device platform.</w:t>
            </w:r>
          </w:p>
        </w:tc>
      </w:tr>
      <w:tr>
        <w:tc>
          <w:tcPr>
            <w:tcW w:type="dxa" w:w="5141"/>
            <w:vAlign w:val="center"/>
          </w:tcPr>
          <w:p>
            <w:pPr>
              <w:spacing w:after="0"/>
            </w:pPr>
            <w:r/>
            <w:r>
              <w:rPr>
                <w:rFonts w:ascii="Arial" w:hAnsi="Arial"/>
                <w:b w:val="0"/>
                <w:sz w:val="16"/>
              </w:rPr>
              <w:t>Implementation baseline for Parts 2-8 and compatibility with existing Parts 9-12.</w:t>
            </w:r>
          </w:p>
        </w:tc>
        <w:tc>
          <w:tcPr>
            <w:tcW w:type="dxa" w:w="5141"/>
            <w:vAlign w:val="center"/>
          </w:tcPr>
          <w:p>
            <w:pPr>
              <w:spacing w:after="0"/>
            </w:pPr>
            <w:r/>
            <w:r>
              <w:rPr>
                <w:rFonts w:ascii="Arial" w:hAnsi="Arial"/>
                <w:b w:val="0"/>
                <w:sz w:val="16"/>
              </w:rPr>
              <w:t>Claiming clinical effectiveness, production certification, or regulatory approval.</w:t>
            </w:r>
          </w:p>
        </w:tc>
      </w:tr>
      <w:tr>
        <w:tc>
          <w:tcPr>
            <w:tcW w:type="dxa" w:w="5141"/>
            <w:vAlign w:val="center"/>
          </w:tcPr>
          <w:p>
            <w:pPr>
              <w:spacing w:after="0"/>
            </w:pPr>
            <w:r/>
            <w:r>
              <w:rPr>
                <w:rFonts w:ascii="Arial" w:hAnsi="Arial"/>
                <w:b w:val="0"/>
                <w:sz w:val="16"/>
              </w:rPr>
              <w:t>Architecture decisions that preserve delivered-pregnancy history and new-pregnancy separation.</w:t>
            </w:r>
          </w:p>
        </w:tc>
        <w:tc>
          <w:tcPr>
            <w:tcW w:type="dxa" w:w="5141"/>
            <w:vAlign w:val="center"/>
          </w:tcPr>
          <w:p>
            <w:pPr>
              <w:spacing w:after="0"/>
            </w:pPr>
            <w:r/>
            <w:r>
              <w:rPr>
                <w:rFonts w:ascii="Arial" w:hAnsi="Arial"/>
                <w:b w:val="0"/>
                <w:sz w:val="16"/>
              </w:rPr>
              <w:t>Replacing local emergency, referral, privacy, or professional protocols.</w:t>
            </w:r>
          </w:p>
        </w:tc>
      </w:tr>
    </w:tbl>
    <w:p/>
    <w:p>
      <w:pPr>
        <w:pStyle w:val="Heading1"/>
      </w:pPr>
      <w:r>
        <w:t>2. Architectural Drivers</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0"/>
            </w:pPr>
            <w:r/>
            <w:r>
              <w:rPr>
                <w:rFonts w:ascii="Arial" w:hAnsi="Arial"/>
                <w:b/>
                <w:sz w:val="16"/>
              </w:rPr>
              <w:t>Driver</w:t>
            </w:r>
          </w:p>
        </w:tc>
        <w:tc>
          <w:tcPr>
            <w:tcW w:type="dxa" w:w="5141"/>
            <w:vAlign w:val="center"/>
            <w:shd w:fill="D9EAF7"/>
          </w:tcPr>
          <w:p>
            <w:pPr>
              <w:spacing w:after="0"/>
            </w:pPr>
            <w:r/>
            <w:r>
              <w:rPr>
                <w:rFonts w:ascii="Arial" w:hAnsi="Arial"/>
                <w:b/>
                <w:sz w:val="16"/>
              </w:rPr>
              <w:t>Architectural consequence</w:t>
            </w:r>
          </w:p>
        </w:tc>
      </w:tr>
      <w:tr>
        <w:tc>
          <w:tcPr>
            <w:tcW w:type="dxa" w:w="5141"/>
            <w:vAlign w:val="center"/>
          </w:tcPr>
          <w:p>
            <w:pPr>
              <w:spacing w:after="0"/>
            </w:pPr>
            <w:r/>
            <w:r>
              <w:rPr>
                <w:rFonts w:ascii="Arial" w:hAnsi="Arial"/>
                <w:b w:val="0"/>
                <w:sz w:val="16"/>
              </w:rPr>
              <w:t>Patient safety</w:t>
            </w:r>
          </w:p>
        </w:tc>
        <w:tc>
          <w:tcPr>
            <w:tcW w:type="dxa" w:w="5141"/>
            <w:vAlign w:val="center"/>
          </w:tcPr>
          <w:p>
            <w:pPr>
              <w:spacing w:after="0"/>
            </w:pPr>
            <w:r/>
            <w:r>
              <w:rPr>
                <w:rFonts w:ascii="Arial" w:hAnsi="Arial"/>
                <w:b w:val="0"/>
                <w:sz w:val="16"/>
              </w:rPr>
              <w:t>Deterministic HIGH precedence, conservative failure behavior, visible uncertainty, and manual escalation.</w:t>
            </w:r>
          </w:p>
        </w:tc>
      </w:tr>
      <w:tr>
        <w:tc>
          <w:tcPr>
            <w:tcW w:type="dxa" w:w="5141"/>
            <w:vAlign w:val="center"/>
          </w:tcPr>
          <w:p>
            <w:pPr>
              <w:spacing w:after="0"/>
            </w:pPr>
            <w:r/>
            <w:r>
              <w:rPr>
                <w:rFonts w:ascii="Arial" w:hAnsi="Arial"/>
                <w:b w:val="0"/>
                <w:sz w:val="16"/>
              </w:rPr>
              <w:t>Explainability</w:t>
            </w:r>
          </w:p>
        </w:tc>
        <w:tc>
          <w:tcPr>
            <w:tcW w:type="dxa" w:w="5141"/>
            <w:vAlign w:val="center"/>
          </w:tcPr>
          <w:p>
            <w:pPr>
              <w:spacing w:after="0"/>
            </w:pPr>
            <w:r/>
            <w:r>
              <w:rPr>
                <w:rFonts w:ascii="Arial" w:hAnsi="Arial"/>
                <w:b w:val="0"/>
                <w:sz w:val="16"/>
              </w:rPr>
              <w:t>Every result carries reasons, source values, limitations, action, versions, and reviewer status.</w:t>
            </w:r>
          </w:p>
        </w:tc>
      </w:tr>
      <w:tr>
        <w:tc>
          <w:tcPr>
            <w:tcW w:type="dxa" w:w="5141"/>
            <w:vAlign w:val="center"/>
          </w:tcPr>
          <w:p>
            <w:pPr>
              <w:spacing w:after="0"/>
            </w:pPr>
            <w:r/>
            <w:r>
              <w:rPr>
                <w:rFonts w:ascii="Arial" w:hAnsi="Arial"/>
                <w:b w:val="0"/>
                <w:sz w:val="16"/>
              </w:rPr>
              <w:t>Historical integrity</w:t>
            </w:r>
          </w:p>
        </w:tc>
        <w:tc>
          <w:tcPr>
            <w:tcW w:type="dxa" w:w="5141"/>
            <w:vAlign w:val="center"/>
          </w:tcPr>
          <w:p>
            <w:pPr>
              <w:spacing w:after="0"/>
            </w:pPr>
            <w:r/>
            <w:r>
              <w:rPr>
                <w:rFonts w:ascii="Arial" w:hAnsi="Arial"/>
                <w:b w:val="0"/>
                <w:sz w:val="16"/>
              </w:rPr>
              <w:t>Assessments are immutable snapshots tied to one pregnancy episode; reassessment creates a new version.</w:t>
            </w:r>
          </w:p>
        </w:tc>
      </w:tr>
      <w:tr>
        <w:tc>
          <w:tcPr>
            <w:tcW w:type="dxa" w:w="5141"/>
            <w:vAlign w:val="center"/>
          </w:tcPr>
          <w:p>
            <w:pPr>
              <w:spacing w:after="0"/>
            </w:pPr>
            <w:r/>
            <w:r>
              <w:rPr>
                <w:rFonts w:ascii="Arial" w:hAnsi="Arial"/>
                <w:b w:val="0"/>
                <w:sz w:val="16"/>
              </w:rPr>
              <w:t>Limited clinic capability</w:t>
            </w:r>
          </w:p>
        </w:tc>
        <w:tc>
          <w:tcPr>
            <w:tcW w:type="dxa" w:w="5141"/>
            <w:vAlign w:val="center"/>
          </w:tcPr>
          <w:p>
            <w:pPr>
              <w:spacing w:after="0"/>
            </w:pPr>
            <w:r/>
            <w:r>
              <w:rPr>
                <w:rFonts w:ascii="Arial" w:hAnsi="Arial"/>
                <w:b w:val="0"/>
                <w:sz w:val="16"/>
              </w:rPr>
              <w:t>The architecture supports referral and escalation rather than expanding lying-in scope.</w:t>
            </w:r>
          </w:p>
        </w:tc>
      </w:tr>
      <w:tr>
        <w:tc>
          <w:tcPr>
            <w:tcW w:type="dxa" w:w="5141"/>
            <w:vAlign w:val="center"/>
          </w:tcPr>
          <w:p>
            <w:pPr>
              <w:spacing w:after="0"/>
            </w:pPr>
            <w:r/>
            <w:r>
              <w:rPr>
                <w:rFonts w:ascii="Arial" w:hAnsi="Arial"/>
                <w:b w:val="0"/>
                <w:sz w:val="16"/>
              </w:rPr>
              <w:t>Hybrid decision logic</w:t>
            </w:r>
          </w:p>
        </w:tc>
        <w:tc>
          <w:tcPr>
            <w:tcW w:type="dxa" w:w="5141"/>
            <w:vAlign w:val="center"/>
          </w:tcPr>
          <w:p>
            <w:pPr>
              <w:spacing w:after="0"/>
            </w:pPr>
            <w:r/>
            <w:r>
              <w:rPr>
                <w:rFonts w:ascii="Arial" w:hAnsi="Arial"/>
                <w:b w:val="0"/>
                <w:sz w:val="16"/>
              </w:rPr>
              <w:t>Rules and ML are separate components joined by an explicit resolver.</w:t>
            </w:r>
          </w:p>
        </w:tc>
      </w:tr>
      <w:tr>
        <w:tc>
          <w:tcPr>
            <w:tcW w:type="dxa" w:w="5141"/>
            <w:vAlign w:val="center"/>
          </w:tcPr>
          <w:p>
            <w:pPr>
              <w:spacing w:after="0"/>
            </w:pPr>
            <w:r/>
            <w:r>
              <w:rPr>
                <w:rFonts w:ascii="Arial" w:hAnsi="Arial"/>
                <w:b w:val="0"/>
                <w:sz w:val="16"/>
              </w:rPr>
              <w:t>Small-capstone team</w:t>
            </w:r>
          </w:p>
        </w:tc>
        <w:tc>
          <w:tcPr>
            <w:tcW w:type="dxa" w:w="5141"/>
            <w:vAlign w:val="center"/>
          </w:tcPr>
          <w:p>
            <w:pPr>
              <w:spacing w:after="0"/>
            </w:pPr>
            <w:r/>
            <w:r>
              <w:rPr>
                <w:rFonts w:ascii="Arial" w:hAnsi="Arial"/>
                <w:b w:val="0"/>
                <w:sz w:val="16"/>
              </w:rPr>
              <w:t>Use a modular monolith before distributed microservices; keep boundaries clear for later extraction.</w:t>
            </w:r>
          </w:p>
        </w:tc>
      </w:tr>
      <w:tr>
        <w:tc>
          <w:tcPr>
            <w:tcW w:type="dxa" w:w="5141"/>
            <w:vAlign w:val="center"/>
          </w:tcPr>
          <w:p>
            <w:pPr>
              <w:spacing w:after="0"/>
            </w:pPr>
            <w:r/>
            <w:r>
              <w:rPr>
                <w:rFonts w:ascii="Arial" w:hAnsi="Arial"/>
                <w:b w:val="0"/>
                <w:sz w:val="16"/>
              </w:rPr>
              <w:t>Security and privacy</w:t>
            </w:r>
          </w:p>
        </w:tc>
        <w:tc>
          <w:tcPr>
            <w:tcW w:type="dxa" w:w="5141"/>
            <w:vAlign w:val="center"/>
          </w:tcPr>
          <w:p>
            <w:pPr>
              <w:spacing w:after="0"/>
            </w:pPr>
            <w:r/>
            <w:r>
              <w:rPr>
                <w:rFonts w:ascii="Arial" w:hAnsi="Arial"/>
                <w:b w:val="0"/>
                <w:sz w:val="16"/>
              </w:rPr>
              <w:t>Least privilege, server-side authorization, protected storage, controlled subprocess execution, and audit.</w:t>
            </w:r>
          </w:p>
        </w:tc>
      </w:tr>
      <w:tr>
        <w:tc>
          <w:tcPr>
            <w:tcW w:type="dxa" w:w="5141"/>
            <w:vAlign w:val="center"/>
          </w:tcPr>
          <w:p>
            <w:pPr>
              <w:spacing w:after="0"/>
            </w:pPr>
            <w:r/>
            <w:r>
              <w:rPr>
                <w:rFonts w:ascii="Arial" w:hAnsi="Arial"/>
                <w:b w:val="0"/>
                <w:sz w:val="16"/>
              </w:rPr>
              <w:t>Operational continuity</w:t>
            </w:r>
          </w:p>
        </w:tc>
        <w:tc>
          <w:tcPr>
            <w:tcW w:type="dxa" w:w="5141"/>
            <w:vAlign w:val="center"/>
          </w:tcPr>
          <w:p>
            <w:pPr>
              <w:spacing w:after="0"/>
            </w:pPr>
            <w:r/>
            <w:r>
              <w:rPr>
                <w:rFonts w:ascii="Arial" w:hAnsi="Arial"/>
                <w:b w:val="0"/>
                <w:sz w:val="16"/>
              </w:rPr>
              <w:t>Digital failure must not block urgent care; downstream services fail independently.</w:t>
            </w:r>
          </w:p>
        </w:tc>
      </w:tr>
      <w:tr>
        <w:tc>
          <w:tcPr>
            <w:tcW w:type="dxa" w:w="5141"/>
            <w:vAlign w:val="center"/>
          </w:tcPr>
          <w:p>
            <w:pPr>
              <w:spacing w:after="0"/>
            </w:pPr>
            <w:r/>
            <w:r>
              <w:rPr>
                <w:rFonts w:ascii="Arial" w:hAnsi="Arial"/>
                <w:b w:val="0"/>
                <w:sz w:val="16"/>
              </w:rPr>
              <w:t>Testability</w:t>
            </w:r>
          </w:p>
        </w:tc>
        <w:tc>
          <w:tcPr>
            <w:tcW w:type="dxa" w:w="5141"/>
            <w:vAlign w:val="center"/>
          </w:tcPr>
          <w:p>
            <w:pPr>
              <w:spacing w:after="0"/>
            </w:pPr>
            <w:r/>
            <w:r>
              <w:rPr>
                <w:rFonts w:ascii="Arial" w:hAnsi="Arial"/>
                <w:b w:val="0"/>
                <w:sz w:val="16"/>
              </w:rPr>
              <w:t>Pure decision components, explicit contracts, dependency injection, and deterministic fixtures.</w:t>
            </w:r>
          </w:p>
        </w:tc>
      </w:tr>
      <w:tr>
        <w:tc>
          <w:tcPr>
            <w:tcW w:type="dxa" w:w="5141"/>
            <w:vAlign w:val="center"/>
          </w:tcPr>
          <w:p>
            <w:pPr>
              <w:spacing w:after="0"/>
            </w:pPr>
            <w:r/>
            <w:r>
              <w:rPr>
                <w:rFonts w:ascii="Arial" w:hAnsi="Arial"/>
                <w:b w:val="0"/>
                <w:sz w:val="16"/>
              </w:rPr>
              <w:t>Maintainability</w:t>
            </w:r>
          </w:p>
        </w:tc>
        <w:tc>
          <w:tcPr>
            <w:tcW w:type="dxa" w:w="5141"/>
            <w:vAlign w:val="center"/>
          </w:tcPr>
          <w:p>
            <w:pPr>
              <w:spacing w:after="0"/>
            </w:pPr>
            <w:r/>
            <w:r>
              <w:rPr>
                <w:rFonts w:ascii="Arial" w:hAnsi="Arial"/>
                <w:b w:val="0"/>
                <w:sz w:val="16"/>
              </w:rPr>
              <w:t>Versioned services and artifacts, no duplicated thresholds, and controlled configuration.</w:t>
            </w:r>
          </w:p>
        </w:tc>
      </w:tr>
    </w:tbl>
    <w:p/>
    <w:p>
      <w:pPr>
        <w:pStyle w:val="Heading1"/>
      </w:pPr>
      <w:r>
        <w:t>3. System Context</w:t>
      </w:r>
    </w:p>
    <w:p>
      <w:r>
        <w:rPr>
          <w:b/>
        </w:rPr>
        <w:t>Figure 1. High-level system context</w:t>
      </w:r>
    </w:p>
    <w:tbl>
      <w:tblPr>
        <w:tblStyle w:val="TableGrid"/>
        <w:tblW w:type="auto" w:w="0"/>
        <w:jc w:val="center"/>
        <w:tblLook w:firstColumn="1" w:firstRow="1" w:lastColumn="0" w:lastRow="0" w:noHBand="0" w:noVBand="1" w:val="04A0"/>
      </w:tblPr>
      <w:tblGrid>
        <w:gridCol w:w="10282"/>
      </w:tblGrid>
      <w:tr>
        <w:tc>
          <w:tcPr>
            <w:tcW w:type="dxa" w:w="10282"/>
            <w:shd w:fill="F3F6F8"/>
          </w:tcPr>
          <w:p>
            <w:pPr>
              <w:spacing w:after="0"/>
            </w:pPr>
            <w:r/>
            <w:r>
              <w:rPr>
                <w:rFonts w:ascii="Consolas" w:hAnsi="Consolas"/>
                <w:sz w:val="15"/>
              </w:rPr>
              <w:t>PATIENT / AUTHORIZED CLINIC USER</w:t>
              <w:br/>
              <w:t xml:space="preserve">             | HTTPS browser session</w:t>
              <w:br/>
              <w:t xml:space="preserve">             v</w:t>
              <w:br/>
              <w:t>+--------------------------------------------------------------+</w:t>
              <w:br/>
              <w:t>| LARAVEL MATERNITY APPLICATION                                |</w:t>
              <w:br/>
              <w:t>| Authentication | Authorization | Validation | Workflow | UI |</w:t>
              <w:br/>
              <w:t>+----------------------------+---------------------------------+</w:t>
              <w:br/>
              <w:t xml:space="preserve">                             |</w:t>
              <w:br/>
              <w:t xml:space="preserve">             +---------------+----------------+</w:t>
              <w:br/>
              <w:t xml:space="preserve">             |                                |</w:t>
              <w:br/>
              <w:t xml:space="preserve">             v                                v</w:t>
              <w:br/>
              <w:t>+----------------------------+    +----------------------------+</w:t>
              <w:br/>
              <w:t>| CLINICAL DECISION SERVICE  |    | OPERATIONAL SERVICES       |</w:t>
              <w:br/>
              <w:t>| Completeness | Rules | ML  |    | Referral | Mail | Print   |</w:t>
              <w:br/>
              <w:t>| Resolver | Explain | Escal.|    | Reports | Audit | Jobs    |</w:t>
              <w:br/>
              <w:t>+-------------+--------------+    +-------------+--------------+</w:t>
              <w:br/>
              <w:t xml:space="preserve">              |                                 |</w:t>
              <w:br/>
              <w:t xml:space="preserve">              v                                 v</w:t>
              <w:br/>
              <w:t>+----------------------------+    +----------------------------+</w:t>
              <w:br/>
              <w:t>| PYTHON INFERENCE COMPONENT |    | MYSQL / PRIVATE STORAGE    |</w:t>
              <w:br/>
              <w:t>| Feature contract | Frozen  |    | Clinical records | Versions|</w:t>
              <w:br/>
              <w:t>| Random Forest | JSON result|    | Referrals | Audit | Files  |</w:t>
              <w:br/>
              <w:t>+----------------------------+    +----------------------------+</w:t>
              <w:br/>
              <w:br/>
              <w:t>External dependencies: receiving facilities, SMTP/email provider,</w:t>
              <w:br/>
              <w:t>backup target, system administrators, and local downtime procedures.</w:t>
            </w:r>
          </w:p>
        </w:tc>
      </w:tr>
    </w:tbl>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pPr>
              <w:spacing w:after="0"/>
            </w:pPr>
            <w:r/>
            <w:r>
              <w:rPr>
                <w:rFonts w:ascii="Arial" w:hAnsi="Arial"/>
                <w:b/>
                <w:sz w:val="16"/>
              </w:rPr>
              <w:t>External actor or system</w:t>
            </w:r>
          </w:p>
        </w:tc>
        <w:tc>
          <w:tcPr>
            <w:tcW w:type="dxa" w:w="3427"/>
            <w:vAlign w:val="center"/>
            <w:shd w:fill="D9EAF7"/>
          </w:tcPr>
          <w:p>
            <w:pPr>
              <w:spacing w:after="0"/>
            </w:pPr>
            <w:r/>
            <w:r>
              <w:rPr>
                <w:rFonts w:ascii="Arial" w:hAnsi="Arial"/>
                <w:b/>
                <w:sz w:val="16"/>
              </w:rPr>
              <w:t>Interaction</w:t>
            </w:r>
          </w:p>
        </w:tc>
        <w:tc>
          <w:tcPr>
            <w:tcW w:type="dxa" w:w="3427"/>
            <w:vAlign w:val="center"/>
            <w:shd w:fill="D9EAF7"/>
          </w:tcPr>
          <w:p>
            <w:pPr>
              <w:spacing w:after="0"/>
            </w:pPr>
            <w:r/>
            <w:r>
              <w:rPr>
                <w:rFonts w:ascii="Arial" w:hAnsi="Arial"/>
                <w:b/>
                <w:sz w:val="16"/>
              </w:rPr>
              <w:t>Boundary requirement</w:t>
            </w:r>
          </w:p>
        </w:tc>
      </w:tr>
      <w:tr>
        <w:tc>
          <w:tcPr>
            <w:tcW w:type="dxa" w:w="3427"/>
            <w:vAlign w:val="center"/>
          </w:tcPr>
          <w:p>
            <w:pPr>
              <w:spacing w:after="0"/>
            </w:pPr>
            <w:r/>
            <w:r>
              <w:rPr>
                <w:rFonts w:ascii="Arial" w:hAnsi="Arial"/>
                <w:b w:val="0"/>
                <w:sz w:val="16"/>
              </w:rPr>
              <w:t>Authorized midwife or clinic user</w:t>
            </w:r>
          </w:p>
        </w:tc>
        <w:tc>
          <w:tcPr>
            <w:tcW w:type="dxa" w:w="3427"/>
            <w:vAlign w:val="center"/>
          </w:tcPr>
          <w:p>
            <w:pPr>
              <w:spacing w:after="0"/>
            </w:pPr>
            <w:r/>
            <w:r>
              <w:rPr>
                <w:rFonts w:ascii="Arial" w:hAnsi="Arial"/>
                <w:b w:val="0"/>
                <w:sz w:val="16"/>
              </w:rPr>
              <w:t>Creates and reviews clinical records, assessments, referrals, delivery, and new pregnancy.</w:t>
            </w:r>
          </w:p>
        </w:tc>
        <w:tc>
          <w:tcPr>
            <w:tcW w:type="dxa" w:w="3427"/>
            <w:vAlign w:val="center"/>
          </w:tcPr>
          <w:p>
            <w:pPr>
              <w:spacing w:after="0"/>
            </w:pPr>
            <w:r/>
            <w:r>
              <w:rPr>
                <w:rFonts w:ascii="Arial" w:hAnsi="Arial"/>
                <w:b w:val="0"/>
                <w:sz w:val="16"/>
              </w:rPr>
              <w:t>Authenticated, authorized, attributable, and trained.</w:t>
            </w:r>
          </w:p>
        </w:tc>
      </w:tr>
      <w:tr>
        <w:tc>
          <w:tcPr>
            <w:tcW w:type="dxa" w:w="3427"/>
            <w:vAlign w:val="center"/>
          </w:tcPr>
          <w:p>
            <w:pPr>
              <w:spacing w:after="0"/>
            </w:pPr>
            <w:r/>
            <w:r>
              <w:rPr>
                <w:rFonts w:ascii="Arial" w:hAnsi="Arial"/>
                <w:b w:val="0"/>
                <w:sz w:val="16"/>
              </w:rPr>
              <w:t>Patient</w:t>
            </w:r>
          </w:p>
        </w:tc>
        <w:tc>
          <w:tcPr>
            <w:tcW w:type="dxa" w:w="3427"/>
            <w:vAlign w:val="center"/>
          </w:tcPr>
          <w:p>
            <w:pPr>
              <w:spacing w:after="0"/>
            </w:pPr>
            <w:r/>
            <w:r>
              <w:rPr>
                <w:rFonts w:ascii="Arial" w:hAnsi="Arial"/>
                <w:b w:val="0"/>
                <w:sz w:val="16"/>
              </w:rPr>
              <w:t>Receives counseling, referral information, and safety-net instructions through authorized staff.</w:t>
            </w:r>
          </w:p>
        </w:tc>
        <w:tc>
          <w:tcPr>
            <w:tcW w:type="dxa" w:w="3427"/>
            <w:vAlign w:val="center"/>
          </w:tcPr>
          <w:p>
            <w:pPr>
              <w:spacing w:after="0"/>
            </w:pPr>
            <w:r/>
            <w:r>
              <w:rPr>
                <w:rFonts w:ascii="Arial" w:hAnsi="Arial"/>
                <w:b w:val="0"/>
                <w:sz w:val="16"/>
              </w:rPr>
              <w:t>No autonomous portal diagnosis unless separately designed and validated.</w:t>
            </w:r>
          </w:p>
        </w:tc>
      </w:tr>
      <w:tr>
        <w:tc>
          <w:tcPr>
            <w:tcW w:type="dxa" w:w="3427"/>
            <w:vAlign w:val="center"/>
          </w:tcPr>
          <w:p>
            <w:pPr>
              <w:spacing w:after="0"/>
            </w:pPr>
            <w:r/>
            <w:r>
              <w:rPr>
                <w:rFonts w:ascii="Arial" w:hAnsi="Arial"/>
                <w:b w:val="0"/>
                <w:sz w:val="16"/>
              </w:rPr>
              <w:t>Receiving facility</w:t>
            </w:r>
          </w:p>
        </w:tc>
        <w:tc>
          <w:tcPr>
            <w:tcW w:type="dxa" w:w="3427"/>
            <w:vAlign w:val="center"/>
          </w:tcPr>
          <w:p>
            <w:pPr>
              <w:spacing w:after="0"/>
            </w:pPr>
            <w:r/>
            <w:r>
              <w:rPr>
                <w:rFonts w:ascii="Arial" w:hAnsi="Arial"/>
                <w:b w:val="0"/>
                <w:sz w:val="16"/>
              </w:rPr>
              <w:t>Receives referral or handover data through approved channel.</w:t>
            </w:r>
          </w:p>
        </w:tc>
        <w:tc>
          <w:tcPr>
            <w:tcW w:type="dxa" w:w="3427"/>
            <w:vAlign w:val="center"/>
          </w:tcPr>
          <w:p>
            <w:pPr>
              <w:spacing w:after="0"/>
            </w:pPr>
            <w:r/>
            <w:r>
              <w:rPr>
                <w:rFonts w:ascii="Arial" w:hAnsi="Arial"/>
                <w:b w:val="0"/>
                <w:sz w:val="16"/>
              </w:rPr>
              <w:t>Minimum necessary disclosure and documented contact.</w:t>
            </w:r>
          </w:p>
        </w:tc>
      </w:tr>
      <w:tr>
        <w:tc>
          <w:tcPr>
            <w:tcW w:type="dxa" w:w="3427"/>
            <w:vAlign w:val="center"/>
          </w:tcPr>
          <w:p>
            <w:pPr>
              <w:spacing w:after="0"/>
            </w:pPr>
            <w:r/>
            <w:r>
              <w:rPr>
                <w:rFonts w:ascii="Arial" w:hAnsi="Arial"/>
                <w:b w:val="0"/>
                <w:sz w:val="16"/>
              </w:rPr>
              <w:t>Email service</w:t>
            </w:r>
          </w:p>
        </w:tc>
        <w:tc>
          <w:tcPr>
            <w:tcW w:type="dxa" w:w="3427"/>
            <w:vAlign w:val="center"/>
          </w:tcPr>
          <w:p>
            <w:pPr>
              <w:spacing w:after="0"/>
            </w:pPr>
            <w:r/>
            <w:r>
              <w:rPr>
                <w:rFonts w:ascii="Arial" w:hAnsi="Arial"/>
                <w:b w:val="0"/>
                <w:sz w:val="16"/>
              </w:rPr>
              <w:t>Transports non-emergency notifications.</w:t>
            </w:r>
          </w:p>
        </w:tc>
        <w:tc>
          <w:tcPr>
            <w:tcW w:type="dxa" w:w="3427"/>
            <w:vAlign w:val="center"/>
          </w:tcPr>
          <w:p>
            <w:pPr>
              <w:spacing w:after="0"/>
            </w:pPr>
            <w:r/>
            <w:r>
              <w:rPr>
                <w:rFonts w:ascii="Arial" w:hAnsi="Arial"/>
                <w:b w:val="0"/>
                <w:sz w:val="16"/>
              </w:rPr>
              <w:t>Failure cannot close referral or change risk.</w:t>
            </w:r>
          </w:p>
        </w:tc>
      </w:tr>
      <w:tr>
        <w:tc>
          <w:tcPr>
            <w:tcW w:type="dxa" w:w="3427"/>
            <w:vAlign w:val="center"/>
          </w:tcPr>
          <w:p>
            <w:pPr>
              <w:spacing w:after="0"/>
            </w:pPr>
            <w:r/>
            <w:r>
              <w:rPr>
                <w:rFonts w:ascii="Arial" w:hAnsi="Arial"/>
                <w:b w:val="0"/>
                <w:sz w:val="16"/>
              </w:rPr>
              <w:t>Backup target</w:t>
            </w:r>
          </w:p>
        </w:tc>
        <w:tc>
          <w:tcPr>
            <w:tcW w:type="dxa" w:w="3427"/>
            <w:vAlign w:val="center"/>
          </w:tcPr>
          <w:p>
            <w:pPr>
              <w:spacing w:after="0"/>
            </w:pPr>
            <w:r/>
            <w:r>
              <w:rPr>
                <w:rFonts w:ascii="Arial" w:hAnsi="Arial"/>
                <w:b w:val="0"/>
                <w:sz w:val="16"/>
              </w:rPr>
              <w:t>Receives encrypted controlled backups.</w:t>
            </w:r>
          </w:p>
        </w:tc>
        <w:tc>
          <w:tcPr>
            <w:tcW w:type="dxa" w:w="3427"/>
            <w:vAlign w:val="center"/>
          </w:tcPr>
          <w:p>
            <w:pPr>
              <w:spacing w:after="0"/>
            </w:pPr>
            <w:r/>
            <w:r>
              <w:rPr>
                <w:rFonts w:ascii="Arial" w:hAnsi="Arial"/>
                <w:b w:val="0"/>
                <w:sz w:val="16"/>
              </w:rPr>
              <w:t>Restore access separated and tested.</w:t>
            </w:r>
          </w:p>
        </w:tc>
      </w:tr>
      <w:tr>
        <w:tc>
          <w:tcPr>
            <w:tcW w:type="dxa" w:w="3427"/>
            <w:vAlign w:val="center"/>
          </w:tcPr>
          <w:p>
            <w:pPr>
              <w:spacing w:after="0"/>
            </w:pPr>
            <w:r/>
            <w:r>
              <w:rPr>
                <w:rFonts w:ascii="Arial" w:hAnsi="Arial"/>
                <w:b w:val="0"/>
                <w:sz w:val="16"/>
              </w:rPr>
              <w:t>Python runtime</w:t>
            </w:r>
          </w:p>
        </w:tc>
        <w:tc>
          <w:tcPr>
            <w:tcW w:type="dxa" w:w="3427"/>
            <w:vAlign w:val="center"/>
          </w:tcPr>
          <w:p>
            <w:pPr>
              <w:spacing w:after="0"/>
            </w:pPr>
            <w:r/>
            <w:r>
              <w:rPr>
                <w:rFonts w:ascii="Arial" w:hAnsi="Arial"/>
                <w:b w:val="0"/>
                <w:sz w:val="16"/>
              </w:rPr>
              <w:t>Performs local bounded inference.</w:t>
            </w:r>
          </w:p>
        </w:tc>
        <w:tc>
          <w:tcPr>
            <w:tcW w:type="dxa" w:w="3427"/>
            <w:vAlign w:val="center"/>
          </w:tcPr>
          <w:p>
            <w:pPr>
              <w:spacing w:after="0"/>
            </w:pPr>
            <w:r/>
            <w:r>
              <w:rPr>
                <w:rFonts w:ascii="Arial" w:hAnsi="Arial"/>
                <w:b w:val="0"/>
                <w:sz w:val="16"/>
              </w:rPr>
              <w:t>No direct browser access and no independent database writes.</w:t>
            </w:r>
          </w:p>
        </w:tc>
      </w:tr>
    </w:tbl>
    <w:p/>
    <w:p>
      <w:pPr>
        <w:pStyle w:val="Heading1"/>
      </w:pPr>
      <w:r>
        <w:t>4. Selected Architecture Style</w:t>
      </w:r>
    </w:p>
    <w:p>
      <w:pPr>
        <w:spacing w:after="100" w:line="252" w:lineRule="auto"/>
      </w:pPr>
      <w:r>
        <w:t>The recommended baseline is a layered modular monolith. The application remains one deployable Laravel codebase with clearly separated domain services and adapters. This is more appropriate than early microservices for a small clinic and capstone team because it reduces distributed failure, network complexity, duplicated authorization, and operational burden while still preserving internal boundaries.</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pPr>
              <w:spacing w:after="0"/>
            </w:pPr>
            <w:r/>
            <w:r>
              <w:rPr>
                <w:rFonts w:ascii="Arial" w:hAnsi="Arial"/>
                <w:b/>
                <w:sz w:val="16"/>
              </w:rPr>
              <w:t>Option</w:t>
            </w:r>
          </w:p>
        </w:tc>
        <w:tc>
          <w:tcPr>
            <w:tcW w:type="dxa" w:w="3427"/>
            <w:vAlign w:val="center"/>
            <w:shd w:fill="D9EAF7"/>
          </w:tcPr>
          <w:p>
            <w:pPr>
              <w:spacing w:after="0"/>
            </w:pPr>
            <w:r/>
            <w:r>
              <w:rPr>
                <w:rFonts w:ascii="Arial" w:hAnsi="Arial"/>
                <w:b/>
                <w:sz w:val="16"/>
              </w:rPr>
              <w:t>Decision</w:t>
            </w:r>
          </w:p>
        </w:tc>
        <w:tc>
          <w:tcPr>
            <w:tcW w:type="dxa" w:w="3427"/>
            <w:vAlign w:val="center"/>
            <w:shd w:fill="D9EAF7"/>
          </w:tcPr>
          <w:p>
            <w:pPr>
              <w:spacing w:after="0"/>
            </w:pPr>
            <w:r/>
            <w:r>
              <w:rPr>
                <w:rFonts w:ascii="Arial" w:hAnsi="Arial"/>
                <w:b/>
                <w:sz w:val="16"/>
              </w:rPr>
              <w:t>Reason</w:t>
            </w:r>
          </w:p>
        </w:tc>
      </w:tr>
      <w:tr>
        <w:tc>
          <w:tcPr>
            <w:tcW w:type="dxa" w:w="3427"/>
            <w:vAlign w:val="center"/>
          </w:tcPr>
          <w:p>
            <w:pPr>
              <w:spacing w:after="0"/>
            </w:pPr>
            <w:r/>
            <w:r>
              <w:rPr>
                <w:rFonts w:ascii="Arial" w:hAnsi="Arial"/>
                <w:b w:val="0"/>
                <w:sz w:val="16"/>
              </w:rPr>
              <w:t>Traditional fat-controller MVC</w:t>
            </w:r>
          </w:p>
        </w:tc>
        <w:tc>
          <w:tcPr>
            <w:tcW w:type="dxa" w:w="3427"/>
            <w:vAlign w:val="center"/>
          </w:tcPr>
          <w:p>
            <w:pPr>
              <w:spacing w:after="0"/>
            </w:pPr>
            <w:r/>
            <w:r>
              <w:rPr>
                <w:rFonts w:ascii="Arial" w:hAnsi="Arial"/>
                <w:b w:val="0"/>
                <w:sz w:val="16"/>
              </w:rPr>
              <w:t>Rejected</w:t>
            </w:r>
          </w:p>
        </w:tc>
        <w:tc>
          <w:tcPr>
            <w:tcW w:type="dxa" w:w="3427"/>
            <w:vAlign w:val="center"/>
          </w:tcPr>
          <w:p>
            <w:pPr>
              <w:spacing w:after="0"/>
            </w:pPr>
            <w:r/>
            <w:r>
              <w:rPr>
                <w:rFonts w:ascii="Arial" w:hAnsi="Arial"/>
                <w:b w:val="0"/>
                <w:sz w:val="16"/>
              </w:rPr>
              <w:t>Encourages duplicated clinical logic and makes assessment behavior difficult to test and govern.</w:t>
            </w:r>
          </w:p>
        </w:tc>
      </w:tr>
      <w:tr>
        <w:tc>
          <w:tcPr>
            <w:tcW w:type="dxa" w:w="3427"/>
            <w:vAlign w:val="center"/>
          </w:tcPr>
          <w:p>
            <w:pPr>
              <w:spacing w:after="0"/>
            </w:pPr>
            <w:r/>
            <w:r>
              <w:rPr>
                <w:rFonts w:ascii="Arial" w:hAnsi="Arial"/>
                <w:b w:val="0"/>
                <w:sz w:val="16"/>
              </w:rPr>
              <w:t>Layered modular monolith</w:t>
            </w:r>
          </w:p>
        </w:tc>
        <w:tc>
          <w:tcPr>
            <w:tcW w:type="dxa" w:w="3427"/>
            <w:vAlign w:val="center"/>
          </w:tcPr>
          <w:p>
            <w:pPr>
              <w:spacing w:after="0"/>
            </w:pPr>
            <w:r/>
            <w:r>
              <w:rPr>
                <w:rFonts w:ascii="Arial" w:hAnsi="Arial"/>
                <w:b w:val="0"/>
                <w:sz w:val="16"/>
              </w:rPr>
              <w:t>Selected</w:t>
            </w:r>
          </w:p>
        </w:tc>
        <w:tc>
          <w:tcPr>
            <w:tcW w:type="dxa" w:w="3427"/>
            <w:vAlign w:val="center"/>
          </w:tcPr>
          <w:p>
            <w:pPr>
              <w:spacing w:after="0"/>
            </w:pPr>
            <w:r/>
            <w:r>
              <w:rPr>
                <w:rFonts w:ascii="Arial" w:hAnsi="Arial"/>
                <w:b w:val="0"/>
                <w:sz w:val="16"/>
              </w:rPr>
              <w:t>Simple deployment with explicit services, adapters, modules, transactions, and shared authorization.</w:t>
            </w:r>
          </w:p>
        </w:tc>
      </w:tr>
      <w:tr>
        <w:tc>
          <w:tcPr>
            <w:tcW w:type="dxa" w:w="3427"/>
            <w:vAlign w:val="center"/>
          </w:tcPr>
          <w:p>
            <w:pPr>
              <w:spacing w:after="0"/>
            </w:pPr>
            <w:r/>
            <w:r>
              <w:rPr>
                <w:rFonts w:ascii="Arial" w:hAnsi="Arial"/>
                <w:b w:val="0"/>
                <w:sz w:val="16"/>
              </w:rPr>
              <w:t>Full microservices</w:t>
            </w:r>
          </w:p>
        </w:tc>
        <w:tc>
          <w:tcPr>
            <w:tcW w:type="dxa" w:w="3427"/>
            <w:vAlign w:val="center"/>
          </w:tcPr>
          <w:p>
            <w:pPr>
              <w:spacing w:after="0"/>
            </w:pPr>
            <w:r/>
            <w:r>
              <w:rPr>
                <w:rFonts w:ascii="Arial" w:hAnsi="Arial"/>
                <w:b w:val="0"/>
                <w:sz w:val="16"/>
              </w:rPr>
              <w:t>Deferred</w:t>
            </w:r>
          </w:p>
        </w:tc>
        <w:tc>
          <w:tcPr>
            <w:tcW w:type="dxa" w:w="3427"/>
            <w:vAlign w:val="center"/>
          </w:tcPr>
          <w:p>
            <w:pPr>
              <w:spacing w:after="0"/>
            </w:pPr>
            <w:r/>
            <w:r>
              <w:rPr>
                <w:rFonts w:ascii="Arial" w:hAnsi="Arial"/>
                <w:b w:val="0"/>
                <w:sz w:val="16"/>
              </w:rPr>
              <w:t>Adds service discovery, network security, distributed transactions, observability, and deployment complexity.</w:t>
            </w:r>
          </w:p>
        </w:tc>
      </w:tr>
      <w:tr>
        <w:tc>
          <w:tcPr>
            <w:tcW w:type="dxa" w:w="3427"/>
            <w:vAlign w:val="center"/>
          </w:tcPr>
          <w:p>
            <w:pPr>
              <w:spacing w:after="0"/>
            </w:pPr>
            <w:r/>
            <w:r>
              <w:rPr>
                <w:rFonts w:ascii="Arial" w:hAnsi="Arial"/>
                <w:b w:val="0"/>
                <w:sz w:val="16"/>
              </w:rPr>
              <w:t>Browser-side ML</w:t>
            </w:r>
          </w:p>
        </w:tc>
        <w:tc>
          <w:tcPr>
            <w:tcW w:type="dxa" w:w="3427"/>
            <w:vAlign w:val="center"/>
          </w:tcPr>
          <w:p>
            <w:pPr>
              <w:spacing w:after="0"/>
            </w:pPr>
            <w:r/>
            <w:r>
              <w:rPr>
                <w:rFonts w:ascii="Arial" w:hAnsi="Arial"/>
                <w:b w:val="0"/>
                <w:sz w:val="16"/>
              </w:rPr>
              <w:t>Rejected</w:t>
            </w:r>
          </w:p>
        </w:tc>
        <w:tc>
          <w:tcPr>
            <w:tcW w:type="dxa" w:w="3427"/>
            <w:vAlign w:val="center"/>
          </w:tcPr>
          <w:p>
            <w:pPr>
              <w:spacing w:after="0"/>
            </w:pPr>
            <w:r/>
            <w:r>
              <w:rPr>
                <w:rFonts w:ascii="Arial" w:hAnsi="Arial"/>
                <w:b w:val="0"/>
                <w:sz w:val="16"/>
              </w:rPr>
              <w:t>Exposes artifacts and allows uncontrolled execution outside the trusted server boundary.</w:t>
            </w:r>
          </w:p>
        </w:tc>
      </w:tr>
      <w:tr>
        <w:tc>
          <w:tcPr>
            <w:tcW w:type="dxa" w:w="3427"/>
            <w:vAlign w:val="center"/>
          </w:tcPr>
          <w:p>
            <w:pPr>
              <w:spacing w:after="0"/>
            </w:pPr>
            <w:r/>
            <w:r>
              <w:rPr>
                <w:rFonts w:ascii="Arial" w:hAnsi="Arial"/>
                <w:b w:val="0"/>
                <w:sz w:val="16"/>
              </w:rPr>
              <w:t>Python writes directly to MySQL</w:t>
            </w:r>
          </w:p>
        </w:tc>
        <w:tc>
          <w:tcPr>
            <w:tcW w:type="dxa" w:w="3427"/>
            <w:vAlign w:val="center"/>
          </w:tcPr>
          <w:p>
            <w:pPr>
              <w:spacing w:after="0"/>
            </w:pPr>
            <w:r/>
            <w:r>
              <w:rPr>
                <w:rFonts w:ascii="Arial" w:hAnsi="Arial"/>
                <w:b w:val="0"/>
                <w:sz w:val="16"/>
              </w:rPr>
              <w:t>Rejected</w:t>
            </w:r>
          </w:p>
        </w:tc>
        <w:tc>
          <w:tcPr>
            <w:tcW w:type="dxa" w:w="3427"/>
            <w:vAlign w:val="center"/>
          </w:tcPr>
          <w:p>
            <w:pPr>
              <w:spacing w:after="0"/>
            </w:pPr>
            <w:r/>
            <w:r>
              <w:rPr>
                <w:rFonts w:ascii="Arial" w:hAnsi="Arial"/>
                <w:b w:val="0"/>
                <w:sz w:val="16"/>
              </w:rPr>
              <w:t>Breaks Laravel authorization, transactions, audit consistency, and ownership of clinical records.</w:t>
            </w:r>
          </w:p>
        </w:tc>
      </w:tr>
      <w:tr>
        <w:tc>
          <w:tcPr>
            <w:tcW w:type="dxa" w:w="3427"/>
            <w:vAlign w:val="center"/>
          </w:tcPr>
          <w:p>
            <w:pPr>
              <w:spacing w:after="0"/>
            </w:pPr>
            <w:r/>
            <w:r>
              <w:rPr>
                <w:rFonts w:ascii="Arial" w:hAnsi="Arial"/>
                <w:b w:val="0"/>
                <w:sz w:val="16"/>
              </w:rPr>
              <w:t>Synchronous local Python adapter</w:t>
            </w:r>
          </w:p>
        </w:tc>
        <w:tc>
          <w:tcPr>
            <w:tcW w:type="dxa" w:w="3427"/>
            <w:vAlign w:val="center"/>
          </w:tcPr>
          <w:p>
            <w:pPr>
              <w:spacing w:after="0"/>
            </w:pPr>
            <w:r/>
            <w:r>
              <w:rPr>
                <w:rFonts w:ascii="Arial" w:hAnsi="Arial"/>
                <w:b w:val="0"/>
                <w:sz w:val="16"/>
              </w:rPr>
              <w:t>Selected baseline</w:t>
            </w:r>
          </w:p>
        </w:tc>
        <w:tc>
          <w:tcPr>
            <w:tcW w:type="dxa" w:w="3427"/>
            <w:vAlign w:val="center"/>
          </w:tcPr>
          <w:p>
            <w:pPr>
              <w:spacing w:after="0"/>
            </w:pPr>
            <w:r/>
            <w:r>
              <w:rPr>
                <w:rFonts w:ascii="Arial" w:hAnsi="Arial"/>
                <w:b w:val="0"/>
                <w:sz w:val="16"/>
              </w:rPr>
              <w:t>Simple and deterministic for small workloads, with strict timeout and safe failure.</w:t>
            </w:r>
          </w:p>
        </w:tc>
      </w:tr>
      <w:tr>
        <w:tc>
          <w:tcPr>
            <w:tcW w:type="dxa" w:w="3427"/>
            <w:vAlign w:val="center"/>
          </w:tcPr>
          <w:p>
            <w:pPr>
              <w:spacing w:after="0"/>
            </w:pPr>
            <w:r/>
            <w:r>
              <w:rPr>
                <w:rFonts w:ascii="Arial" w:hAnsi="Arial"/>
                <w:b w:val="0"/>
                <w:sz w:val="16"/>
              </w:rPr>
              <w:t>Queued asynchronous assessment</w:t>
            </w:r>
          </w:p>
        </w:tc>
        <w:tc>
          <w:tcPr>
            <w:tcW w:type="dxa" w:w="3427"/>
            <w:vAlign w:val="center"/>
          </w:tcPr>
          <w:p>
            <w:pPr>
              <w:spacing w:after="0"/>
            </w:pPr>
            <w:r/>
            <w:r>
              <w:rPr>
                <w:rFonts w:ascii="Arial" w:hAnsi="Arial"/>
                <w:b w:val="0"/>
                <w:sz w:val="16"/>
              </w:rPr>
              <w:t>Future option only</w:t>
            </w:r>
          </w:p>
        </w:tc>
        <w:tc>
          <w:tcPr>
            <w:tcW w:type="dxa" w:w="3427"/>
            <w:vAlign w:val="center"/>
          </w:tcPr>
          <w:p>
            <w:pPr>
              <w:spacing w:after="0"/>
            </w:pPr>
            <w:r/>
            <w:r>
              <w:rPr>
                <w:rFonts w:ascii="Arial" w:hAnsi="Arial"/>
                <w:b w:val="0"/>
                <w:sz w:val="16"/>
              </w:rPr>
              <w:t>May support scale but complicates immediate clinical feedback and requires pending-state design.</w:t>
            </w:r>
          </w:p>
        </w:tc>
      </w:tr>
    </w:tbl>
    <w:p/>
    <w:p>
      <w:pPr>
        <w:pStyle w:val="Heading1"/>
      </w:pPr>
      <w:r>
        <w:t>5. Layered Logical Architecture</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pPr>
              <w:spacing w:after="0"/>
            </w:pPr>
            <w:r/>
            <w:r>
              <w:rPr>
                <w:rFonts w:ascii="Arial" w:hAnsi="Arial"/>
                <w:b/>
                <w:sz w:val="16"/>
              </w:rPr>
              <w:t>Layer</w:t>
            </w:r>
          </w:p>
        </w:tc>
        <w:tc>
          <w:tcPr>
            <w:tcW w:type="dxa" w:w="3427"/>
            <w:vAlign w:val="center"/>
            <w:shd w:fill="D9EAF7"/>
          </w:tcPr>
          <w:p>
            <w:pPr>
              <w:spacing w:after="0"/>
            </w:pPr>
            <w:r/>
            <w:r>
              <w:rPr>
                <w:rFonts w:ascii="Arial" w:hAnsi="Arial"/>
                <w:b/>
                <w:sz w:val="16"/>
              </w:rPr>
              <w:t>Primary responsibilities</w:t>
            </w:r>
          </w:p>
        </w:tc>
        <w:tc>
          <w:tcPr>
            <w:tcW w:type="dxa" w:w="3427"/>
            <w:vAlign w:val="center"/>
            <w:shd w:fill="D9EAF7"/>
          </w:tcPr>
          <w:p>
            <w:pPr>
              <w:spacing w:after="0"/>
            </w:pPr>
            <w:r/>
            <w:r>
              <w:rPr>
                <w:rFonts w:ascii="Arial" w:hAnsi="Arial"/>
                <w:b/>
                <w:sz w:val="16"/>
              </w:rPr>
              <w:t>Must not contain</w:t>
            </w:r>
          </w:p>
        </w:tc>
      </w:tr>
      <w:tr>
        <w:tc>
          <w:tcPr>
            <w:tcW w:type="dxa" w:w="3427"/>
            <w:vAlign w:val="center"/>
          </w:tcPr>
          <w:p>
            <w:pPr>
              <w:spacing w:after="0"/>
            </w:pPr>
            <w:r/>
            <w:r>
              <w:rPr>
                <w:rFonts w:ascii="Arial" w:hAnsi="Arial"/>
                <w:b w:val="0"/>
                <w:sz w:val="16"/>
              </w:rPr>
              <w:t>Presentation</w:t>
            </w:r>
          </w:p>
        </w:tc>
        <w:tc>
          <w:tcPr>
            <w:tcW w:type="dxa" w:w="3427"/>
            <w:vAlign w:val="center"/>
          </w:tcPr>
          <w:p>
            <w:pPr>
              <w:spacing w:after="0"/>
            </w:pPr>
            <w:r/>
            <w:r>
              <w:rPr>
                <w:rFonts w:ascii="Arial" w:hAnsi="Arial"/>
                <w:b w:val="0"/>
                <w:sz w:val="16"/>
              </w:rPr>
              <w:t>Blade views, forms, badges, banners, tables, print layouts, user feedback, accessibility.</w:t>
            </w:r>
          </w:p>
        </w:tc>
        <w:tc>
          <w:tcPr>
            <w:tcW w:type="dxa" w:w="3427"/>
            <w:vAlign w:val="center"/>
          </w:tcPr>
          <w:p>
            <w:pPr>
              <w:spacing w:after="0"/>
            </w:pPr>
            <w:r/>
            <w:r>
              <w:rPr>
                <w:rFonts w:ascii="Arial" w:hAnsi="Arial"/>
                <w:b w:val="0"/>
                <w:sz w:val="16"/>
              </w:rPr>
              <w:t>Clinical thresholds, direct SQL, or model invocation.</w:t>
            </w:r>
          </w:p>
        </w:tc>
      </w:tr>
      <w:tr>
        <w:tc>
          <w:tcPr>
            <w:tcW w:type="dxa" w:w="3427"/>
            <w:vAlign w:val="center"/>
          </w:tcPr>
          <w:p>
            <w:pPr>
              <w:spacing w:after="0"/>
            </w:pPr>
            <w:r/>
            <w:r>
              <w:rPr>
                <w:rFonts w:ascii="Arial" w:hAnsi="Arial"/>
                <w:b w:val="0"/>
                <w:sz w:val="16"/>
              </w:rPr>
              <w:t>HTTP/Application</w:t>
            </w:r>
          </w:p>
        </w:tc>
        <w:tc>
          <w:tcPr>
            <w:tcW w:type="dxa" w:w="3427"/>
            <w:vAlign w:val="center"/>
          </w:tcPr>
          <w:p>
            <w:pPr>
              <w:spacing w:after="0"/>
            </w:pPr>
            <w:r/>
            <w:r>
              <w:rPr>
                <w:rFonts w:ascii="Arial" w:hAnsi="Arial"/>
                <w:b w:val="0"/>
                <w:sz w:val="16"/>
              </w:rPr>
              <w:t>Routes, controllers, form requests, policies, middleware, transaction coordination, response mapping.</w:t>
            </w:r>
          </w:p>
        </w:tc>
        <w:tc>
          <w:tcPr>
            <w:tcW w:type="dxa" w:w="3427"/>
            <w:vAlign w:val="center"/>
          </w:tcPr>
          <w:p>
            <w:pPr>
              <w:spacing w:after="0"/>
            </w:pPr>
            <w:r/>
            <w:r>
              <w:rPr>
                <w:rFonts w:ascii="Arial" w:hAnsi="Arial"/>
                <w:b w:val="0"/>
                <w:sz w:val="16"/>
              </w:rPr>
              <w:t>Duplicated rule logic or hidden state resolution.</w:t>
            </w:r>
          </w:p>
        </w:tc>
      </w:tr>
      <w:tr>
        <w:tc>
          <w:tcPr>
            <w:tcW w:type="dxa" w:w="3427"/>
            <w:vAlign w:val="center"/>
          </w:tcPr>
          <w:p>
            <w:pPr>
              <w:spacing w:after="0"/>
            </w:pPr>
            <w:r/>
            <w:r>
              <w:rPr>
                <w:rFonts w:ascii="Arial" w:hAnsi="Arial"/>
                <w:b w:val="0"/>
                <w:sz w:val="16"/>
              </w:rPr>
              <w:t>Domain/Clinical Decision</w:t>
            </w:r>
          </w:p>
        </w:tc>
        <w:tc>
          <w:tcPr>
            <w:tcW w:type="dxa" w:w="3427"/>
            <w:vAlign w:val="center"/>
          </w:tcPr>
          <w:p>
            <w:pPr>
              <w:spacing w:after="0"/>
            </w:pPr>
            <w:r/>
            <w:r>
              <w:rPr>
                <w:rFonts w:ascii="Arial" w:hAnsi="Arial"/>
                <w:b w:val="0"/>
                <w:sz w:val="16"/>
              </w:rPr>
              <w:t>Completeness, rule engine, feature builder, ML adapter interface, resolver, escalation, recommendation, explanation, reassessment.</w:t>
            </w:r>
          </w:p>
        </w:tc>
        <w:tc>
          <w:tcPr>
            <w:tcW w:type="dxa" w:w="3427"/>
            <w:vAlign w:val="center"/>
          </w:tcPr>
          <w:p>
            <w:pPr>
              <w:spacing w:after="0"/>
            </w:pPr>
            <w:r/>
            <w:r>
              <w:rPr>
                <w:rFonts w:ascii="Arial" w:hAnsi="Arial"/>
                <w:b w:val="0"/>
                <w:sz w:val="16"/>
              </w:rPr>
              <w:t>UI rendering, SMTP, or direct environment-specific process strings.</w:t>
            </w:r>
          </w:p>
        </w:tc>
      </w:tr>
      <w:tr>
        <w:tc>
          <w:tcPr>
            <w:tcW w:type="dxa" w:w="3427"/>
            <w:vAlign w:val="center"/>
          </w:tcPr>
          <w:p>
            <w:pPr>
              <w:spacing w:after="0"/>
            </w:pPr>
            <w:r/>
            <w:r>
              <w:rPr>
                <w:rFonts w:ascii="Arial" w:hAnsi="Arial"/>
                <w:b w:val="0"/>
                <w:sz w:val="16"/>
              </w:rPr>
              <w:t>Persistence</w:t>
            </w:r>
          </w:p>
        </w:tc>
        <w:tc>
          <w:tcPr>
            <w:tcW w:type="dxa" w:w="3427"/>
            <w:vAlign w:val="center"/>
          </w:tcPr>
          <w:p>
            <w:pPr>
              <w:spacing w:after="0"/>
            </w:pPr>
            <w:r/>
            <w:r>
              <w:rPr>
                <w:rFonts w:ascii="Arial" w:hAnsi="Arial"/>
                <w:b w:val="0"/>
                <w:sz w:val="16"/>
              </w:rPr>
              <w:t>Eloquent repositories/models, database constraints, snapshots, audit records, version relationships.</w:t>
            </w:r>
          </w:p>
        </w:tc>
        <w:tc>
          <w:tcPr>
            <w:tcW w:type="dxa" w:w="3427"/>
            <w:vAlign w:val="center"/>
          </w:tcPr>
          <w:p>
            <w:pPr>
              <w:spacing w:after="0"/>
            </w:pPr>
            <w:r/>
            <w:r>
              <w:rPr>
                <w:rFonts w:ascii="Arial" w:hAnsi="Arial"/>
                <w:b w:val="0"/>
                <w:sz w:val="16"/>
              </w:rPr>
              <w:t>Independent clinical interpretation.</w:t>
            </w:r>
          </w:p>
        </w:tc>
      </w:tr>
      <w:tr>
        <w:tc>
          <w:tcPr>
            <w:tcW w:type="dxa" w:w="3427"/>
            <w:vAlign w:val="center"/>
          </w:tcPr>
          <w:p>
            <w:pPr>
              <w:spacing w:after="0"/>
            </w:pPr>
            <w:r/>
            <w:r>
              <w:rPr>
                <w:rFonts w:ascii="Arial" w:hAnsi="Arial"/>
                <w:b w:val="0"/>
                <w:sz w:val="16"/>
              </w:rPr>
              <w:t>Infrastructure</w:t>
            </w:r>
          </w:p>
        </w:tc>
        <w:tc>
          <w:tcPr>
            <w:tcW w:type="dxa" w:w="3427"/>
            <w:vAlign w:val="center"/>
          </w:tcPr>
          <w:p>
            <w:pPr>
              <w:spacing w:after="0"/>
            </w:pPr>
            <w:r/>
            <w:r>
              <w:rPr>
                <w:rFonts w:ascii="Arial" w:hAnsi="Arial"/>
                <w:b w:val="0"/>
                <w:sz w:val="16"/>
              </w:rPr>
              <w:t>Python process adapter, filesystem, mail, queue, scheduler, logging, backup, health checks.</w:t>
            </w:r>
          </w:p>
        </w:tc>
        <w:tc>
          <w:tcPr>
            <w:tcW w:type="dxa" w:w="3427"/>
            <w:vAlign w:val="center"/>
          </w:tcPr>
          <w:p>
            <w:pPr>
              <w:spacing w:after="0"/>
            </w:pPr>
            <w:r/>
            <w:r>
              <w:rPr>
                <w:rFonts w:ascii="Arial" w:hAnsi="Arial"/>
                <w:b w:val="0"/>
                <w:sz w:val="16"/>
              </w:rPr>
              <w:t>Authority to alter the clinical result.</w:t>
            </w:r>
          </w:p>
        </w:tc>
      </w:tr>
      <w:tr>
        <w:tc>
          <w:tcPr>
            <w:tcW w:type="dxa" w:w="3427"/>
            <w:vAlign w:val="center"/>
          </w:tcPr>
          <w:p>
            <w:pPr>
              <w:spacing w:after="0"/>
            </w:pPr>
            <w:r/>
            <w:r>
              <w:rPr>
                <w:rFonts w:ascii="Arial" w:hAnsi="Arial"/>
                <w:b w:val="0"/>
                <w:sz w:val="16"/>
              </w:rPr>
              <w:t>Governance/Observability</w:t>
            </w:r>
          </w:p>
        </w:tc>
        <w:tc>
          <w:tcPr>
            <w:tcW w:type="dxa" w:w="3427"/>
            <w:vAlign w:val="center"/>
          </w:tcPr>
          <w:p>
            <w:pPr>
              <w:spacing w:after="0"/>
            </w:pPr>
            <w:r/>
            <w:r>
              <w:rPr>
                <w:rFonts w:ascii="Arial" w:hAnsi="Arial"/>
                <w:b w:val="0"/>
                <w:sz w:val="16"/>
              </w:rPr>
              <w:t>Version registry, release metadata, logs, metrics, incidents, traceability.</w:t>
            </w:r>
          </w:p>
        </w:tc>
        <w:tc>
          <w:tcPr>
            <w:tcW w:type="dxa" w:w="3427"/>
            <w:vAlign w:val="center"/>
          </w:tcPr>
          <w:p>
            <w:pPr>
              <w:spacing w:after="0"/>
            </w:pPr>
            <w:r/>
            <w:r>
              <w:rPr>
                <w:rFonts w:ascii="Arial" w:hAnsi="Arial"/>
                <w:b w:val="0"/>
                <w:sz w:val="16"/>
              </w:rPr>
              <w:t>Silent modification of historical records.</w:t>
            </w:r>
          </w:p>
        </w:tc>
      </w:tr>
    </w:tbl>
    <w:p/>
    <w:p>
      <w:pPr>
        <w:pStyle w:val="Heading1"/>
      </w:pPr>
      <w:r>
        <w:t>6. Laravel Application Architecture</w:t>
      </w:r>
    </w:p>
    <w:p>
      <w:pPr>
        <w:spacing w:after="100" w:line="252" w:lineRule="auto"/>
      </w:pPr>
      <w:r>
        <w:t>Laravel remains the application control plane. Its request lifecycle, service container, providers, validation, authorization, queues, scheduler, logging, and database transactions should be used to keep infrastructure concerns separate from the clinical decision domain.</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0"/>
            </w:pPr>
            <w:r/>
            <w:r>
              <w:rPr>
                <w:rFonts w:ascii="Arial" w:hAnsi="Arial"/>
                <w:b/>
                <w:sz w:val="16"/>
              </w:rPr>
              <w:t>Laravel component</w:t>
            </w:r>
          </w:p>
        </w:tc>
        <w:tc>
          <w:tcPr>
            <w:tcW w:type="dxa" w:w="5141"/>
            <w:vAlign w:val="center"/>
            <w:shd w:fill="D9EAF7"/>
          </w:tcPr>
          <w:p>
            <w:pPr>
              <w:spacing w:after="0"/>
            </w:pPr>
            <w:r/>
            <w:r>
              <w:rPr>
                <w:rFonts w:ascii="Arial" w:hAnsi="Arial"/>
                <w:b/>
                <w:sz w:val="16"/>
              </w:rPr>
              <w:t>Project responsibility</w:t>
            </w:r>
          </w:p>
        </w:tc>
      </w:tr>
      <w:tr>
        <w:tc>
          <w:tcPr>
            <w:tcW w:type="dxa" w:w="5141"/>
            <w:vAlign w:val="center"/>
          </w:tcPr>
          <w:p>
            <w:pPr>
              <w:spacing w:after="0"/>
            </w:pPr>
            <w:r/>
            <w:r>
              <w:rPr>
                <w:rFonts w:ascii="Arial" w:hAnsi="Arial"/>
                <w:b w:val="0"/>
                <w:sz w:val="16"/>
              </w:rPr>
              <w:t>Routes</w:t>
            </w:r>
          </w:p>
        </w:tc>
        <w:tc>
          <w:tcPr>
            <w:tcW w:type="dxa" w:w="5141"/>
            <w:vAlign w:val="center"/>
          </w:tcPr>
          <w:p>
            <w:pPr>
              <w:spacing w:after="0"/>
            </w:pPr>
            <w:r/>
            <w:r>
              <w:rPr>
                <w:rFonts w:ascii="Arial" w:hAnsi="Arial"/>
                <w:b w:val="0"/>
                <w:sz w:val="16"/>
              </w:rPr>
              <w:t>Expose named authenticated endpoints and bind patient, pregnancy, visit, referral, and assessment identifiers.</w:t>
            </w:r>
          </w:p>
        </w:tc>
      </w:tr>
      <w:tr>
        <w:tc>
          <w:tcPr>
            <w:tcW w:type="dxa" w:w="5141"/>
            <w:vAlign w:val="center"/>
          </w:tcPr>
          <w:p>
            <w:pPr>
              <w:spacing w:after="0"/>
            </w:pPr>
            <w:r/>
            <w:r>
              <w:rPr>
                <w:rFonts w:ascii="Arial" w:hAnsi="Arial"/>
                <w:b w:val="0"/>
                <w:sz w:val="16"/>
              </w:rPr>
              <w:t>Middleware</w:t>
            </w:r>
          </w:p>
        </w:tc>
        <w:tc>
          <w:tcPr>
            <w:tcW w:type="dxa" w:w="5141"/>
            <w:vAlign w:val="center"/>
          </w:tcPr>
          <w:p>
            <w:pPr>
              <w:spacing w:after="0"/>
            </w:pPr>
            <w:r/>
            <w:r>
              <w:rPr>
                <w:rFonts w:ascii="Arial" w:hAnsi="Arial"/>
                <w:b w:val="0"/>
                <w:sz w:val="16"/>
              </w:rPr>
              <w:t>Authentication, role checks, session protection, rate limiting, request correlation, and delivered-record restrictions where appropriate.</w:t>
            </w:r>
          </w:p>
        </w:tc>
      </w:tr>
      <w:tr>
        <w:tc>
          <w:tcPr>
            <w:tcW w:type="dxa" w:w="5141"/>
            <w:vAlign w:val="center"/>
          </w:tcPr>
          <w:p>
            <w:pPr>
              <w:spacing w:after="0"/>
            </w:pPr>
            <w:r/>
            <w:r>
              <w:rPr>
                <w:rFonts w:ascii="Arial" w:hAnsi="Arial"/>
                <w:b w:val="0"/>
                <w:sz w:val="16"/>
              </w:rPr>
              <w:t>Form Requests</w:t>
            </w:r>
          </w:p>
        </w:tc>
        <w:tc>
          <w:tcPr>
            <w:tcW w:type="dxa" w:w="5141"/>
            <w:vAlign w:val="center"/>
          </w:tcPr>
          <w:p>
            <w:pPr>
              <w:spacing w:after="0"/>
            </w:pPr>
            <w:r/>
            <w:r>
              <w:rPr>
                <w:rFonts w:ascii="Arial" w:hAnsi="Arial"/>
                <w:b w:val="0"/>
                <w:sz w:val="16"/>
              </w:rPr>
              <w:t>Validate syntax, types, allowed vocabularies, dates, units, ranges, and authorization before controllers execute.</w:t>
            </w:r>
          </w:p>
        </w:tc>
      </w:tr>
      <w:tr>
        <w:tc>
          <w:tcPr>
            <w:tcW w:type="dxa" w:w="5141"/>
            <w:vAlign w:val="center"/>
          </w:tcPr>
          <w:p>
            <w:pPr>
              <w:spacing w:after="0"/>
            </w:pPr>
            <w:r/>
            <w:r>
              <w:rPr>
                <w:rFonts w:ascii="Arial" w:hAnsi="Arial"/>
                <w:b w:val="0"/>
                <w:sz w:val="16"/>
              </w:rPr>
              <w:t>Policies/Gates</w:t>
            </w:r>
          </w:p>
        </w:tc>
        <w:tc>
          <w:tcPr>
            <w:tcW w:type="dxa" w:w="5141"/>
            <w:vAlign w:val="center"/>
          </w:tcPr>
          <w:p>
            <w:pPr>
              <w:spacing w:after="0"/>
            </w:pPr>
            <w:r/>
            <w:r>
              <w:rPr>
                <w:rFonts w:ascii="Arial" w:hAnsi="Arial"/>
                <w:b w:val="0"/>
                <w:sz w:val="16"/>
              </w:rPr>
              <w:t>Enforce server-side authorization on viewing, editing, printing, referral, delivery, correction, and administration.</w:t>
            </w:r>
          </w:p>
        </w:tc>
      </w:tr>
      <w:tr>
        <w:tc>
          <w:tcPr>
            <w:tcW w:type="dxa" w:w="5141"/>
            <w:vAlign w:val="center"/>
          </w:tcPr>
          <w:p>
            <w:pPr>
              <w:spacing w:after="0"/>
            </w:pPr>
            <w:r/>
            <w:r>
              <w:rPr>
                <w:rFonts w:ascii="Arial" w:hAnsi="Arial"/>
                <w:b w:val="0"/>
                <w:sz w:val="16"/>
              </w:rPr>
              <w:t>Controllers</w:t>
            </w:r>
          </w:p>
        </w:tc>
        <w:tc>
          <w:tcPr>
            <w:tcW w:type="dxa" w:w="5141"/>
            <w:vAlign w:val="center"/>
          </w:tcPr>
          <w:p>
            <w:pPr>
              <w:spacing w:after="0"/>
            </w:pPr>
            <w:r/>
            <w:r>
              <w:rPr>
                <w:rFonts w:ascii="Arial" w:hAnsi="Arial"/>
                <w:b w:val="0"/>
                <w:sz w:val="16"/>
              </w:rPr>
              <w:t>Coordinate request/response only; invoke application and domain services inside controlled transactions.</w:t>
            </w:r>
          </w:p>
        </w:tc>
      </w:tr>
      <w:tr>
        <w:tc>
          <w:tcPr>
            <w:tcW w:type="dxa" w:w="5141"/>
            <w:vAlign w:val="center"/>
          </w:tcPr>
          <w:p>
            <w:pPr>
              <w:spacing w:after="0"/>
            </w:pPr>
            <w:r/>
            <w:r>
              <w:rPr>
                <w:rFonts w:ascii="Arial" w:hAnsi="Arial"/>
                <w:b w:val="0"/>
                <w:sz w:val="16"/>
              </w:rPr>
              <w:t>Domain Services</w:t>
            </w:r>
          </w:p>
        </w:tc>
        <w:tc>
          <w:tcPr>
            <w:tcW w:type="dxa" w:w="5141"/>
            <w:vAlign w:val="center"/>
          </w:tcPr>
          <w:p>
            <w:pPr>
              <w:spacing w:after="0"/>
            </w:pPr>
            <w:r/>
            <w:r>
              <w:rPr>
                <w:rFonts w:ascii="Arial" w:hAnsi="Arial"/>
                <w:b w:val="0"/>
                <w:sz w:val="16"/>
              </w:rPr>
              <w:t>Implement assessment, referral, delivery, new-pregnancy, and audit behavior.</w:t>
            </w:r>
          </w:p>
        </w:tc>
      </w:tr>
      <w:tr>
        <w:tc>
          <w:tcPr>
            <w:tcW w:type="dxa" w:w="5141"/>
            <w:vAlign w:val="center"/>
          </w:tcPr>
          <w:p>
            <w:pPr>
              <w:spacing w:after="0"/>
            </w:pPr>
            <w:r/>
            <w:r>
              <w:rPr>
                <w:rFonts w:ascii="Arial" w:hAnsi="Arial"/>
                <w:b w:val="0"/>
                <w:sz w:val="16"/>
              </w:rPr>
              <w:t>Eloquent Models</w:t>
            </w:r>
          </w:p>
        </w:tc>
        <w:tc>
          <w:tcPr>
            <w:tcW w:type="dxa" w:w="5141"/>
            <w:vAlign w:val="center"/>
          </w:tcPr>
          <w:p>
            <w:pPr>
              <w:spacing w:after="0"/>
            </w:pPr>
            <w:r/>
            <w:r>
              <w:rPr>
                <w:rFonts w:ascii="Arial" w:hAnsi="Arial"/>
                <w:b w:val="0"/>
                <w:sz w:val="16"/>
              </w:rPr>
              <w:t>Represent persistence and relationships; avoid embedding the entire clinical engine in model events.</w:t>
            </w:r>
          </w:p>
        </w:tc>
      </w:tr>
      <w:tr>
        <w:tc>
          <w:tcPr>
            <w:tcW w:type="dxa" w:w="5141"/>
            <w:vAlign w:val="center"/>
          </w:tcPr>
          <w:p>
            <w:pPr>
              <w:spacing w:after="0"/>
            </w:pPr>
            <w:r/>
            <w:r>
              <w:rPr>
                <w:rFonts w:ascii="Arial" w:hAnsi="Arial"/>
                <w:b w:val="0"/>
                <w:sz w:val="16"/>
              </w:rPr>
              <w:t>Service Container</w:t>
            </w:r>
          </w:p>
        </w:tc>
        <w:tc>
          <w:tcPr>
            <w:tcW w:type="dxa" w:w="5141"/>
            <w:vAlign w:val="center"/>
          </w:tcPr>
          <w:p>
            <w:pPr>
              <w:spacing w:after="0"/>
            </w:pPr>
            <w:r/>
            <w:r>
              <w:rPr>
                <w:rFonts w:ascii="Arial" w:hAnsi="Arial"/>
                <w:b w:val="0"/>
                <w:sz w:val="16"/>
              </w:rPr>
              <w:t>Bind interfaces to adapters such as Python inference, clock, version registry, and notification delivery.</w:t>
            </w:r>
          </w:p>
        </w:tc>
      </w:tr>
      <w:tr>
        <w:tc>
          <w:tcPr>
            <w:tcW w:type="dxa" w:w="5141"/>
            <w:vAlign w:val="center"/>
          </w:tcPr>
          <w:p>
            <w:pPr>
              <w:spacing w:after="0"/>
            </w:pPr>
            <w:r/>
            <w:r>
              <w:rPr>
                <w:rFonts w:ascii="Arial" w:hAnsi="Arial"/>
                <w:b w:val="0"/>
                <w:sz w:val="16"/>
              </w:rPr>
              <w:t>Service Providers</w:t>
            </w:r>
          </w:p>
        </w:tc>
        <w:tc>
          <w:tcPr>
            <w:tcW w:type="dxa" w:w="5141"/>
            <w:vAlign w:val="center"/>
          </w:tcPr>
          <w:p>
            <w:pPr>
              <w:spacing w:after="0"/>
            </w:pPr>
            <w:r/>
            <w:r>
              <w:rPr>
                <w:rFonts w:ascii="Arial" w:hAnsi="Arial"/>
                <w:b w:val="0"/>
                <w:sz w:val="16"/>
              </w:rPr>
              <w:t>Register application services and boot cross-cutting observers or monitoring hooks.</w:t>
            </w:r>
          </w:p>
        </w:tc>
      </w:tr>
      <w:tr>
        <w:tc>
          <w:tcPr>
            <w:tcW w:type="dxa" w:w="5141"/>
            <w:vAlign w:val="center"/>
          </w:tcPr>
          <w:p>
            <w:pPr>
              <w:spacing w:after="0"/>
            </w:pPr>
            <w:r/>
            <w:r>
              <w:rPr>
                <w:rFonts w:ascii="Arial" w:hAnsi="Arial"/>
                <w:b w:val="0"/>
                <w:sz w:val="16"/>
              </w:rPr>
              <w:t>Events/Listeners</w:t>
            </w:r>
          </w:p>
        </w:tc>
        <w:tc>
          <w:tcPr>
            <w:tcW w:type="dxa" w:w="5141"/>
            <w:vAlign w:val="center"/>
          </w:tcPr>
          <w:p>
            <w:pPr>
              <w:spacing w:after="0"/>
            </w:pPr>
            <w:r/>
            <w:r>
              <w:rPr>
                <w:rFonts w:ascii="Arial" w:hAnsi="Arial"/>
                <w:b w:val="0"/>
                <w:sz w:val="16"/>
              </w:rPr>
              <w:t>Publish downstream operational events after successful commits; do not recalculate clinical truth independently.</w:t>
            </w:r>
          </w:p>
        </w:tc>
      </w:tr>
      <w:tr>
        <w:tc>
          <w:tcPr>
            <w:tcW w:type="dxa" w:w="5141"/>
            <w:vAlign w:val="center"/>
          </w:tcPr>
          <w:p>
            <w:pPr>
              <w:spacing w:after="0"/>
            </w:pPr>
            <w:r/>
            <w:r>
              <w:rPr>
                <w:rFonts w:ascii="Arial" w:hAnsi="Arial"/>
                <w:b w:val="0"/>
                <w:sz w:val="16"/>
              </w:rPr>
              <w:t>Queues</w:t>
            </w:r>
          </w:p>
        </w:tc>
        <w:tc>
          <w:tcPr>
            <w:tcW w:type="dxa" w:w="5141"/>
            <w:vAlign w:val="center"/>
          </w:tcPr>
          <w:p>
            <w:pPr>
              <w:spacing w:after="0"/>
            </w:pPr>
            <w:r/>
            <w:r>
              <w:rPr>
                <w:rFonts w:ascii="Arial" w:hAnsi="Arial"/>
                <w:b w:val="0"/>
                <w:sz w:val="16"/>
              </w:rPr>
              <w:t>Handle non-urgent email, report generation, and maintenance tasks; never delay emergency action.</w:t>
            </w:r>
          </w:p>
        </w:tc>
      </w:tr>
      <w:tr>
        <w:tc>
          <w:tcPr>
            <w:tcW w:type="dxa" w:w="5141"/>
            <w:vAlign w:val="center"/>
          </w:tcPr>
          <w:p>
            <w:pPr>
              <w:spacing w:after="0"/>
            </w:pPr>
            <w:r/>
            <w:r>
              <w:rPr>
                <w:rFonts w:ascii="Arial" w:hAnsi="Arial"/>
                <w:b w:val="0"/>
                <w:sz w:val="16"/>
              </w:rPr>
              <w:t>Scheduler</w:t>
            </w:r>
          </w:p>
        </w:tc>
        <w:tc>
          <w:tcPr>
            <w:tcW w:type="dxa" w:w="5141"/>
            <w:vAlign w:val="center"/>
          </w:tcPr>
          <w:p>
            <w:pPr>
              <w:spacing w:after="0"/>
            </w:pPr>
            <w:r/>
            <w:r>
              <w:rPr>
                <w:rFonts w:ascii="Arial" w:hAnsi="Arial"/>
                <w:b w:val="0"/>
                <w:sz w:val="16"/>
              </w:rPr>
              <w:t>Run reminders, queue monitoring, backup checks, and governed periodic jobs.</w:t>
            </w:r>
          </w:p>
        </w:tc>
      </w:tr>
      <w:tr>
        <w:tc>
          <w:tcPr>
            <w:tcW w:type="dxa" w:w="5141"/>
            <w:vAlign w:val="center"/>
          </w:tcPr>
          <w:p>
            <w:pPr>
              <w:spacing w:after="0"/>
            </w:pPr>
            <w:r/>
            <w:r>
              <w:rPr>
                <w:rFonts w:ascii="Arial" w:hAnsi="Arial"/>
                <w:b w:val="0"/>
                <w:sz w:val="16"/>
              </w:rPr>
              <w:t>Logging</w:t>
            </w:r>
          </w:p>
        </w:tc>
        <w:tc>
          <w:tcPr>
            <w:tcW w:type="dxa" w:w="5141"/>
            <w:vAlign w:val="center"/>
          </w:tcPr>
          <w:p>
            <w:pPr>
              <w:spacing w:after="0"/>
            </w:pPr>
            <w:r/>
            <w:r>
              <w:rPr>
                <w:rFonts w:ascii="Arial" w:hAnsi="Arial"/>
                <w:b w:val="0"/>
                <w:sz w:val="16"/>
              </w:rPr>
              <w:t>Record structured technical events without leaking unnecessary sensitive values.</w:t>
            </w:r>
          </w:p>
        </w:tc>
      </w:tr>
    </w:tbl>
    <w:p/>
    <w:p>
      <w:pPr>
        <w:pStyle w:val="Heading1"/>
      </w:pPr>
      <w:r>
        <w:t>7. Proposed Module Boundaries</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0"/>
            </w:pPr>
            <w:r/>
            <w:r>
              <w:rPr>
                <w:rFonts w:ascii="Arial" w:hAnsi="Arial"/>
                <w:b/>
                <w:sz w:val="16"/>
              </w:rPr>
              <w:t>Module</w:t>
            </w:r>
          </w:p>
        </w:tc>
        <w:tc>
          <w:tcPr>
            <w:tcW w:type="dxa" w:w="5141"/>
            <w:vAlign w:val="center"/>
            <w:shd w:fill="D9EAF7"/>
          </w:tcPr>
          <w:p>
            <w:pPr>
              <w:spacing w:after="0"/>
            </w:pPr>
            <w:r/>
            <w:r>
              <w:rPr>
                <w:rFonts w:ascii="Arial" w:hAnsi="Arial"/>
                <w:b/>
                <w:sz w:val="16"/>
              </w:rPr>
              <w:t>Core services and objects</w:t>
            </w:r>
          </w:p>
        </w:tc>
      </w:tr>
      <w:tr>
        <w:tc>
          <w:tcPr>
            <w:tcW w:type="dxa" w:w="5141"/>
            <w:vAlign w:val="center"/>
          </w:tcPr>
          <w:p>
            <w:pPr>
              <w:spacing w:after="0"/>
            </w:pPr>
            <w:r/>
            <w:r>
              <w:rPr>
                <w:rFonts w:ascii="Arial" w:hAnsi="Arial"/>
                <w:b w:val="0"/>
                <w:sz w:val="16"/>
              </w:rPr>
              <w:t>Identity and Access</w:t>
            </w:r>
          </w:p>
        </w:tc>
        <w:tc>
          <w:tcPr>
            <w:tcW w:type="dxa" w:w="5141"/>
            <w:vAlign w:val="center"/>
          </w:tcPr>
          <w:p>
            <w:pPr>
              <w:spacing w:after="0"/>
            </w:pPr>
            <w:r/>
            <w:r>
              <w:rPr>
                <w:rFonts w:ascii="Arial" w:hAnsi="Arial"/>
                <w:b w:val="0"/>
                <w:sz w:val="16"/>
              </w:rPr>
              <w:t>User, Role, Policy, Authentication, AccessAudit.</w:t>
            </w:r>
          </w:p>
        </w:tc>
      </w:tr>
      <w:tr>
        <w:tc>
          <w:tcPr>
            <w:tcW w:type="dxa" w:w="5141"/>
            <w:vAlign w:val="center"/>
          </w:tcPr>
          <w:p>
            <w:pPr>
              <w:spacing w:after="0"/>
            </w:pPr>
            <w:r/>
            <w:r>
              <w:rPr>
                <w:rFonts w:ascii="Arial" w:hAnsi="Arial"/>
                <w:b w:val="0"/>
                <w:sz w:val="16"/>
              </w:rPr>
              <w:t>Patient and Pregnancy</w:t>
            </w:r>
          </w:p>
        </w:tc>
        <w:tc>
          <w:tcPr>
            <w:tcW w:type="dxa" w:w="5141"/>
            <w:vAlign w:val="center"/>
          </w:tcPr>
          <w:p>
            <w:pPr>
              <w:spacing w:after="0"/>
            </w:pPr>
            <w:r/>
            <w:r>
              <w:rPr>
                <w:rFonts w:ascii="Arial" w:hAnsi="Arial"/>
                <w:b w:val="0"/>
                <w:sz w:val="16"/>
              </w:rPr>
              <w:t>PatientService, PregnancyEpisodeService, duplicate checks, delivered guard, new-pregnancy creation.</w:t>
            </w:r>
          </w:p>
        </w:tc>
      </w:tr>
      <w:tr>
        <w:tc>
          <w:tcPr>
            <w:tcW w:type="dxa" w:w="5141"/>
            <w:vAlign w:val="center"/>
          </w:tcPr>
          <w:p>
            <w:pPr>
              <w:spacing w:after="0"/>
            </w:pPr>
            <w:r/>
            <w:r>
              <w:rPr>
                <w:rFonts w:ascii="Arial" w:hAnsi="Arial"/>
                <w:b w:val="0"/>
                <w:sz w:val="16"/>
              </w:rPr>
              <w:t>Clinical Records</w:t>
            </w:r>
          </w:p>
        </w:tc>
        <w:tc>
          <w:tcPr>
            <w:tcW w:type="dxa" w:w="5141"/>
            <w:vAlign w:val="center"/>
          </w:tcPr>
          <w:p>
            <w:pPr>
              <w:spacing w:after="0"/>
            </w:pPr>
            <w:r/>
            <w:r>
              <w:rPr>
                <w:rFonts w:ascii="Arial" w:hAnsi="Arial"/>
                <w:b w:val="0"/>
                <w:sz w:val="16"/>
              </w:rPr>
              <w:t>MedicalHistory, PrenatalVisit, UltrasoundReport, BirthPlan, validation vocabularies.</w:t>
            </w:r>
          </w:p>
        </w:tc>
      </w:tr>
      <w:tr>
        <w:tc>
          <w:tcPr>
            <w:tcW w:type="dxa" w:w="5141"/>
            <w:vAlign w:val="center"/>
          </w:tcPr>
          <w:p>
            <w:pPr>
              <w:spacing w:after="0"/>
            </w:pPr>
            <w:r/>
            <w:r>
              <w:rPr>
                <w:rFonts w:ascii="Arial" w:hAnsi="Arial"/>
                <w:b w:val="0"/>
                <w:sz w:val="16"/>
              </w:rPr>
              <w:t>Assessment</w:t>
            </w:r>
          </w:p>
        </w:tc>
        <w:tc>
          <w:tcPr>
            <w:tcW w:type="dxa" w:w="5141"/>
            <w:vAlign w:val="center"/>
          </w:tcPr>
          <w:p>
            <w:pPr>
              <w:spacing w:after="0"/>
            </w:pPr>
            <w:r/>
            <w:r>
              <w:rPr>
                <w:rFonts w:ascii="Arial" w:hAnsi="Arial"/>
                <w:b w:val="0"/>
                <w:sz w:val="16"/>
              </w:rPr>
              <w:t>AssessmentService, SnapshotBuilder, CompletenessEvaluator, RuleEngine, Resolver, AssessmentRepository.</w:t>
            </w:r>
          </w:p>
        </w:tc>
      </w:tr>
      <w:tr>
        <w:tc>
          <w:tcPr>
            <w:tcW w:type="dxa" w:w="5141"/>
            <w:vAlign w:val="center"/>
          </w:tcPr>
          <w:p>
            <w:pPr>
              <w:spacing w:after="0"/>
            </w:pPr>
            <w:r/>
            <w:r>
              <w:rPr>
                <w:rFonts w:ascii="Arial" w:hAnsi="Arial"/>
                <w:b w:val="0"/>
                <w:sz w:val="16"/>
              </w:rPr>
              <w:t>Machine Learning</w:t>
            </w:r>
          </w:p>
        </w:tc>
        <w:tc>
          <w:tcPr>
            <w:tcW w:type="dxa" w:w="5141"/>
            <w:vAlign w:val="center"/>
          </w:tcPr>
          <w:p>
            <w:pPr>
              <w:spacing w:after="0"/>
            </w:pPr>
            <w:r/>
            <w:r>
              <w:rPr>
                <w:rFonts w:ascii="Arial" w:hAnsi="Arial"/>
                <w:b w:val="0"/>
                <w:sz w:val="16"/>
              </w:rPr>
              <w:t>FeatureContract, FeatureBuilder, PythonInferenceAdapter, ModelRegistry, OutputValidator.</w:t>
            </w:r>
          </w:p>
        </w:tc>
      </w:tr>
      <w:tr>
        <w:tc>
          <w:tcPr>
            <w:tcW w:type="dxa" w:w="5141"/>
            <w:vAlign w:val="center"/>
          </w:tcPr>
          <w:p>
            <w:pPr>
              <w:spacing w:after="0"/>
            </w:pPr>
            <w:r/>
            <w:r>
              <w:rPr>
                <w:rFonts w:ascii="Arial" w:hAnsi="Arial"/>
                <w:b w:val="0"/>
                <w:sz w:val="16"/>
              </w:rPr>
              <w:t>Explainability</w:t>
            </w:r>
          </w:p>
        </w:tc>
        <w:tc>
          <w:tcPr>
            <w:tcW w:type="dxa" w:w="5141"/>
            <w:vAlign w:val="center"/>
          </w:tcPr>
          <w:p>
            <w:pPr>
              <w:spacing w:after="0"/>
            </w:pPr>
            <w:r/>
            <w:r>
              <w:rPr>
                <w:rFonts w:ascii="Arial" w:hAnsi="Arial"/>
                <w:b w:val="0"/>
                <w:sz w:val="16"/>
              </w:rPr>
              <w:t>ReasonCode, ExplanationBuilder, RecommendationLibrary, CommunicationObject.</w:t>
            </w:r>
          </w:p>
        </w:tc>
      </w:tr>
      <w:tr>
        <w:tc>
          <w:tcPr>
            <w:tcW w:type="dxa" w:w="5141"/>
            <w:vAlign w:val="center"/>
          </w:tcPr>
          <w:p>
            <w:pPr>
              <w:spacing w:after="0"/>
            </w:pPr>
            <w:r/>
            <w:r>
              <w:rPr>
                <w:rFonts w:ascii="Arial" w:hAnsi="Arial"/>
                <w:b w:val="0"/>
                <w:sz w:val="16"/>
              </w:rPr>
              <w:t>Escalation and Referral</w:t>
            </w:r>
          </w:p>
        </w:tc>
        <w:tc>
          <w:tcPr>
            <w:tcW w:type="dxa" w:w="5141"/>
            <w:vAlign w:val="center"/>
          </w:tcPr>
          <w:p>
            <w:pPr>
              <w:spacing w:after="0"/>
            </w:pPr>
            <w:r/>
            <w:r>
              <w:rPr>
                <w:rFonts w:ascii="Arial" w:hAnsi="Arial"/>
                <w:b w:val="0"/>
                <w:sz w:val="16"/>
              </w:rPr>
              <w:t>EscalationService, ReferralService, facility directory, refusal and follow-up workflow.</w:t>
            </w:r>
          </w:p>
        </w:tc>
      </w:tr>
      <w:tr>
        <w:tc>
          <w:tcPr>
            <w:tcW w:type="dxa" w:w="5141"/>
            <w:vAlign w:val="center"/>
          </w:tcPr>
          <w:p>
            <w:pPr>
              <w:spacing w:after="0"/>
            </w:pPr>
            <w:r/>
            <w:r>
              <w:rPr>
                <w:rFonts w:ascii="Arial" w:hAnsi="Arial"/>
                <w:b w:val="0"/>
                <w:sz w:val="16"/>
              </w:rPr>
              <w:t>Delivery and History</w:t>
            </w:r>
          </w:p>
        </w:tc>
        <w:tc>
          <w:tcPr>
            <w:tcW w:type="dxa" w:w="5141"/>
            <w:vAlign w:val="center"/>
          </w:tcPr>
          <w:p>
            <w:pPr>
              <w:spacing w:after="0"/>
            </w:pPr>
            <w:r/>
            <w:r>
              <w:rPr>
                <w:rFonts w:ascii="Arial" w:hAnsi="Arial"/>
                <w:b w:val="0"/>
                <w:sz w:val="16"/>
              </w:rPr>
              <w:t>DeliveryService, Baby records, historical lock, authorized correction, new pregnancy.</w:t>
            </w:r>
          </w:p>
        </w:tc>
      </w:tr>
      <w:tr>
        <w:tc>
          <w:tcPr>
            <w:tcW w:type="dxa" w:w="5141"/>
            <w:vAlign w:val="center"/>
          </w:tcPr>
          <w:p>
            <w:pPr>
              <w:spacing w:after="0"/>
            </w:pPr>
            <w:r/>
            <w:r>
              <w:rPr>
                <w:rFonts w:ascii="Arial" w:hAnsi="Arial"/>
                <w:b w:val="0"/>
                <w:sz w:val="16"/>
              </w:rPr>
              <w:t>Audit and Governance</w:t>
            </w:r>
          </w:p>
        </w:tc>
        <w:tc>
          <w:tcPr>
            <w:tcW w:type="dxa" w:w="5141"/>
            <w:vAlign w:val="center"/>
          </w:tcPr>
          <w:p>
            <w:pPr>
              <w:spacing w:after="0"/>
            </w:pPr>
            <w:r/>
            <w:r>
              <w:rPr>
                <w:rFonts w:ascii="Arial" w:hAnsi="Arial"/>
                <w:b w:val="0"/>
                <w:sz w:val="16"/>
              </w:rPr>
              <w:t>AuditService, version registry, change metadata, incident and traceability records.</w:t>
            </w:r>
          </w:p>
        </w:tc>
      </w:tr>
      <w:tr>
        <w:tc>
          <w:tcPr>
            <w:tcW w:type="dxa" w:w="5141"/>
            <w:vAlign w:val="center"/>
          </w:tcPr>
          <w:p>
            <w:pPr>
              <w:spacing w:after="0"/>
            </w:pPr>
            <w:r/>
            <w:r>
              <w:rPr>
                <w:rFonts w:ascii="Arial" w:hAnsi="Arial"/>
                <w:b w:val="0"/>
                <w:sz w:val="16"/>
              </w:rPr>
              <w:t>Notifications and Reporting</w:t>
            </w:r>
          </w:p>
        </w:tc>
        <w:tc>
          <w:tcPr>
            <w:tcW w:type="dxa" w:w="5141"/>
            <w:vAlign w:val="center"/>
          </w:tcPr>
          <w:p>
            <w:pPr>
              <w:spacing w:after="0"/>
            </w:pPr>
            <w:r/>
            <w:r>
              <w:rPr>
                <w:rFonts w:ascii="Arial" w:hAnsi="Arial"/>
                <w:b w:val="0"/>
                <w:sz w:val="16"/>
              </w:rPr>
              <w:t>Mail jobs, printable referral, dashboards, exports, delivery-status logging.</w:t>
            </w:r>
          </w:p>
        </w:tc>
      </w:tr>
    </w:tbl>
    <w:p/>
    <w:p>
      <w:pPr>
        <w:pStyle w:val="Heading1"/>
      </w:pPr>
      <w:r>
        <w:t>8. Clinical Decision Service Architecture</w:t>
      </w:r>
    </w:p>
    <w:p>
      <w:r>
        <w:rPr>
          <w:b/>
        </w:rPr>
        <w:t>Figure 2. Central assessment orchestration</w:t>
      </w:r>
    </w:p>
    <w:tbl>
      <w:tblPr>
        <w:tblStyle w:val="TableGrid"/>
        <w:tblW w:type="auto" w:w="0"/>
        <w:jc w:val="center"/>
        <w:tblLook w:firstColumn="1" w:firstRow="1" w:lastColumn="0" w:lastRow="0" w:noHBand="0" w:noVBand="1" w:val="04A0"/>
      </w:tblPr>
      <w:tblGrid>
        <w:gridCol w:w="10282"/>
      </w:tblGrid>
      <w:tr>
        <w:tc>
          <w:tcPr>
            <w:tcW w:type="dxa" w:w="10282"/>
            <w:shd w:fill="F3F6F8"/>
          </w:tcPr>
          <w:p>
            <w:pPr>
              <w:spacing w:after="0"/>
            </w:pPr>
            <w:r/>
            <w:r>
              <w:rPr>
                <w:rFonts w:ascii="Consolas" w:hAnsi="Consolas"/>
                <w:sz w:val="15"/>
              </w:rPr>
              <w:t>AssessmentService.assess(patientId, pregnancyId, visitId, actor)</w:t>
              <w:br/>
              <w:t xml:space="preserve">  1. Verify correct active pregnancy and authorization</w:t>
              <w:br/>
              <w:t xml:space="preserve">  2. Build immutable input snapshot</w:t>
              <w:br/>
              <w:t xml:space="preserve">  3. Validate completeness, freshness, units, and vocabularies</w:t>
              <w:br/>
              <w:t xml:space="preserve">  4. Execute deterministic RuleEngine</w:t>
              <w:br/>
              <w:t xml:space="preserve">  5. Build exact ML feature contract when permitted</w:t>
              <w:br/>
              <w:t xml:space="preserve">  6. Invoke PythonInferenceAdapter with timeout</w:t>
              <w:br/>
              <w:t xml:space="preserve">  7. Validate output: exactly HIGH or LOW plus approved metadata</w:t>
              <w:br/>
              <w:t xml:space="preserve">  8. Resolve precedence and final state</w:t>
              <w:br/>
              <w:t xml:space="preserve">  9. Determine escalation E0-E4</w:t>
              <w:br/>
              <w:t xml:space="preserve"> 10. Generate reasons, limitations, recommendation, communication</w:t>
              <w:br/>
              <w:t xml:space="preserve"> 11. Persist assessment and factor/version records atomically</w:t>
              <w:br/>
              <w:t xml:space="preserve"> 12. Publish after-commit operational events</w:t>
              <w:br/>
              <w:t xml:space="preserve"> 13. Return read-only AssessmentResult DTO</w:t>
            </w:r>
          </w:p>
        </w:tc>
      </w:tr>
    </w:tbl>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vAlign w:val="center"/>
            <w:shd w:fill="D9EAF7"/>
          </w:tcPr>
          <w:p>
            <w:pPr>
              <w:spacing w:after="0"/>
            </w:pPr>
            <w:r/>
            <w:r>
              <w:rPr>
                <w:rFonts w:ascii="Arial" w:hAnsi="Arial"/>
                <w:b/>
                <w:sz w:val="16"/>
              </w:rPr>
              <w:t>Component</w:t>
            </w:r>
          </w:p>
        </w:tc>
        <w:tc>
          <w:tcPr>
            <w:tcW w:type="dxa" w:w="2570"/>
            <w:vAlign w:val="center"/>
            <w:shd w:fill="D9EAF7"/>
          </w:tcPr>
          <w:p>
            <w:pPr>
              <w:spacing w:after="0"/>
            </w:pPr>
            <w:r/>
            <w:r>
              <w:rPr>
                <w:rFonts w:ascii="Arial" w:hAnsi="Arial"/>
                <w:b/>
                <w:sz w:val="16"/>
              </w:rPr>
              <w:t>Input</w:t>
            </w:r>
          </w:p>
        </w:tc>
        <w:tc>
          <w:tcPr>
            <w:tcW w:type="dxa" w:w="2570"/>
            <w:vAlign w:val="center"/>
            <w:shd w:fill="D9EAF7"/>
          </w:tcPr>
          <w:p>
            <w:pPr>
              <w:spacing w:after="0"/>
            </w:pPr>
            <w:r/>
            <w:r>
              <w:rPr>
                <w:rFonts w:ascii="Arial" w:hAnsi="Arial"/>
                <w:b/>
                <w:sz w:val="16"/>
              </w:rPr>
              <w:t>Output</w:t>
            </w:r>
          </w:p>
        </w:tc>
        <w:tc>
          <w:tcPr>
            <w:tcW w:type="dxa" w:w="2570"/>
            <w:vAlign w:val="center"/>
            <w:shd w:fill="D9EAF7"/>
          </w:tcPr>
          <w:p>
            <w:pPr>
              <w:spacing w:after="0"/>
            </w:pPr>
            <w:r/>
            <w:r>
              <w:rPr>
                <w:rFonts w:ascii="Arial" w:hAnsi="Arial"/>
                <w:b/>
                <w:sz w:val="16"/>
              </w:rPr>
              <w:t>Safety responsibility</w:t>
            </w:r>
          </w:p>
        </w:tc>
      </w:tr>
      <w:tr>
        <w:tc>
          <w:tcPr>
            <w:tcW w:type="dxa" w:w="2570"/>
            <w:vAlign w:val="center"/>
          </w:tcPr>
          <w:p>
            <w:pPr>
              <w:spacing w:after="0"/>
            </w:pPr>
            <w:r/>
            <w:r>
              <w:rPr>
                <w:rFonts w:ascii="Arial" w:hAnsi="Arial"/>
                <w:b w:val="0"/>
                <w:sz w:val="16"/>
              </w:rPr>
              <w:t>SnapshotBuilder</w:t>
            </w:r>
          </w:p>
        </w:tc>
        <w:tc>
          <w:tcPr>
            <w:tcW w:type="dxa" w:w="2570"/>
            <w:vAlign w:val="center"/>
          </w:tcPr>
          <w:p>
            <w:pPr>
              <w:spacing w:after="0"/>
            </w:pPr>
            <w:r/>
            <w:r>
              <w:rPr>
                <w:rFonts w:ascii="Arial" w:hAnsi="Arial"/>
                <w:b w:val="0"/>
                <w:sz w:val="16"/>
              </w:rPr>
              <w:t>Authorized patient, pregnancy, visit, and related records.</w:t>
            </w:r>
          </w:p>
        </w:tc>
        <w:tc>
          <w:tcPr>
            <w:tcW w:type="dxa" w:w="2570"/>
            <w:vAlign w:val="center"/>
          </w:tcPr>
          <w:p>
            <w:pPr>
              <w:spacing w:after="0"/>
            </w:pPr>
            <w:r/>
            <w:r>
              <w:rPr>
                <w:rFonts w:ascii="Arial" w:hAnsi="Arial"/>
                <w:b w:val="0"/>
                <w:sz w:val="16"/>
              </w:rPr>
              <w:t>Normalized immutable assessment snapshot.</w:t>
            </w:r>
          </w:p>
        </w:tc>
        <w:tc>
          <w:tcPr>
            <w:tcW w:type="dxa" w:w="2570"/>
            <w:vAlign w:val="center"/>
          </w:tcPr>
          <w:p>
            <w:pPr>
              <w:spacing w:after="0"/>
            </w:pPr>
            <w:r/>
            <w:r>
              <w:rPr>
                <w:rFonts w:ascii="Arial" w:hAnsi="Arial"/>
                <w:b w:val="0"/>
                <w:sz w:val="16"/>
              </w:rPr>
              <w:t>Prevent wrong-pregnancy data and preserve original source references.</w:t>
            </w:r>
          </w:p>
        </w:tc>
      </w:tr>
      <w:tr>
        <w:tc>
          <w:tcPr>
            <w:tcW w:type="dxa" w:w="2570"/>
            <w:vAlign w:val="center"/>
          </w:tcPr>
          <w:p>
            <w:pPr>
              <w:spacing w:after="0"/>
            </w:pPr>
            <w:r/>
            <w:r>
              <w:rPr>
                <w:rFonts w:ascii="Arial" w:hAnsi="Arial"/>
                <w:b w:val="0"/>
                <w:sz w:val="16"/>
              </w:rPr>
              <w:t>CompletenessEvaluator</w:t>
            </w:r>
          </w:p>
        </w:tc>
        <w:tc>
          <w:tcPr>
            <w:tcW w:type="dxa" w:w="2570"/>
            <w:vAlign w:val="center"/>
          </w:tcPr>
          <w:p>
            <w:pPr>
              <w:spacing w:after="0"/>
            </w:pPr>
            <w:r/>
            <w:r>
              <w:rPr>
                <w:rFonts w:ascii="Arial" w:hAnsi="Arial"/>
                <w:b w:val="0"/>
                <w:sz w:val="16"/>
              </w:rPr>
              <w:t>Snapshot plus required-record policy version.</w:t>
            </w:r>
          </w:p>
        </w:tc>
        <w:tc>
          <w:tcPr>
            <w:tcW w:type="dxa" w:w="2570"/>
            <w:vAlign w:val="center"/>
          </w:tcPr>
          <w:p>
            <w:pPr>
              <w:spacing w:after="0"/>
            </w:pPr>
            <w:r/>
            <w:r>
              <w:rPr>
                <w:rFonts w:ascii="Arial" w:hAnsi="Arial"/>
                <w:b w:val="0"/>
                <w:sz w:val="16"/>
              </w:rPr>
              <w:t>Complete/incomplete status and missing requirement codes.</w:t>
            </w:r>
          </w:p>
        </w:tc>
        <w:tc>
          <w:tcPr>
            <w:tcW w:type="dxa" w:w="2570"/>
            <w:vAlign w:val="center"/>
          </w:tcPr>
          <w:p>
            <w:pPr>
              <w:spacing w:after="0"/>
            </w:pPr>
            <w:r/>
            <w:r>
              <w:rPr>
                <w:rFonts w:ascii="Arial" w:hAnsi="Arial"/>
                <w:b w:val="0"/>
                <w:sz w:val="16"/>
              </w:rPr>
              <w:t>Prevent missing data from becoming LOW.</w:t>
            </w:r>
          </w:p>
        </w:tc>
      </w:tr>
      <w:tr>
        <w:tc>
          <w:tcPr>
            <w:tcW w:type="dxa" w:w="2570"/>
            <w:vAlign w:val="center"/>
          </w:tcPr>
          <w:p>
            <w:pPr>
              <w:spacing w:after="0"/>
            </w:pPr>
            <w:r/>
            <w:r>
              <w:rPr>
                <w:rFonts w:ascii="Arial" w:hAnsi="Arial"/>
                <w:b w:val="0"/>
                <w:sz w:val="16"/>
              </w:rPr>
              <w:t>RuleEngine</w:t>
            </w:r>
          </w:p>
        </w:tc>
        <w:tc>
          <w:tcPr>
            <w:tcW w:type="dxa" w:w="2570"/>
            <w:vAlign w:val="center"/>
          </w:tcPr>
          <w:p>
            <w:pPr>
              <w:spacing w:after="0"/>
            </w:pPr>
            <w:r/>
            <w:r>
              <w:rPr>
                <w:rFonts w:ascii="Arial" w:hAnsi="Arial"/>
                <w:b w:val="0"/>
                <w:sz w:val="16"/>
              </w:rPr>
              <w:t>Validated snapshot and rule-set version.</w:t>
            </w:r>
          </w:p>
        </w:tc>
        <w:tc>
          <w:tcPr>
            <w:tcW w:type="dxa" w:w="2570"/>
            <w:vAlign w:val="center"/>
          </w:tcPr>
          <w:p>
            <w:pPr>
              <w:spacing w:after="0"/>
            </w:pPr>
            <w:r/>
            <w:r>
              <w:rPr>
                <w:rFonts w:ascii="Arial" w:hAnsi="Arial"/>
                <w:b w:val="0"/>
                <w:sz w:val="16"/>
              </w:rPr>
              <w:t>Matched factors, urgent reasons, rule execution record.</w:t>
            </w:r>
          </w:p>
        </w:tc>
        <w:tc>
          <w:tcPr>
            <w:tcW w:type="dxa" w:w="2570"/>
            <w:vAlign w:val="center"/>
          </w:tcPr>
          <w:p>
            <w:pPr>
              <w:spacing w:after="0"/>
            </w:pPr>
            <w:r/>
            <w:r>
              <w:rPr>
                <w:rFonts w:ascii="Arial" w:hAnsi="Arial"/>
                <w:b w:val="0"/>
                <w:sz w:val="16"/>
              </w:rPr>
              <w:t>Preserve deterministic HIGH behavior.</w:t>
            </w:r>
          </w:p>
        </w:tc>
      </w:tr>
      <w:tr>
        <w:tc>
          <w:tcPr>
            <w:tcW w:type="dxa" w:w="2570"/>
            <w:vAlign w:val="center"/>
          </w:tcPr>
          <w:p>
            <w:pPr>
              <w:spacing w:after="0"/>
            </w:pPr>
            <w:r/>
            <w:r>
              <w:rPr>
                <w:rFonts w:ascii="Arial" w:hAnsi="Arial"/>
                <w:b w:val="0"/>
                <w:sz w:val="16"/>
              </w:rPr>
              <w:t>FeatureBuilder</w:t>
            </w:r>
          </w:p>
        </w:tc>
        <w:tc>
          <w:tcPr>
            <w:tcW w:type="dxa" w:w="2570"/>
            <w:vAlign w:val="center"/>
          </w:tcPr>
          <w:p>
            <w:pPr>
              <w:spacing w:after="0"/>
            </w:pPr>
            <w:r/>
            <w:r>
              <w:rPr>
                <w:rFonts w:ascii="Arial" w:hAnsi="Arial"/>
                <w:b w:val="0"/>
                <w:sz w:val="16"/>
              </w:rPr>
              <w:t>Validated approved snapshot fields.</w:t>
            </w:r>
          </w:p>
        </w:tc>
        <w:tc>
          <w:tcPr>
            <w:tcW w:type="dxa" w:w="2570"/>
            <w:vAlign w:val="center"/>
          </w:tcPr>
          <w:p>
            <w:pPr>
              <w:spacing w:after="0"/>
            </w:pPr>
            <w:r/>
            <w:r>
              <w:rPr>
                <w:rFonts w:ascii="Arial" w:hAnsi="Arial"/>
                <w:b w:val="0"/>
                <w:sz w:val="16"/>
              </w:rPr>
              <w:t>Ordered typed model feature payload.</w:t>
            </w:r>
          </w:p>
        </w:tc>
        <w:tc>
          <w:tcPr>
            <w:tcW w:type="dxa" w:w="2570"/>
            <w:vAlign w:val="center"/>
          </w:tcPr>
          <w:p>
            <w:pPr>
              <w:spacing w:after="0"/>
            </w:pPr>
            <w:r/>
            <w:r>
              <w:rPr>
                <w:rFonts w:ascii="Arial" w:hAnsi="Arial"/>
                <w:b w:val="0"/>
                <w:sz w:val="16"/>
              </w:rPr>
              <w:t>Prevent schema, category, and order mismatch.</w:t>
            </w:r>
          </w:p>
        </w:tc>
      </w:tr>
      <w:tr>
        <w:tc>
          <w:tcPr>
            <w:tcW w:type="dxa" w:w="2570"/>
            <w:vAlign w:val="center"/>
          </w:tcPr>
          <w:p>
            <w:pPr>
              <w:spacing w:after="0"/>
            </w:pPr>
            <w:r/>
            <w:r>
              <w:rPr>
                <w:rFonts w:ascii="Arial" w:hAnsi="Arial"/>
                <w:b w:val="0"/>
                <w:sz w:val="16"/>
              </w:rPr>
              <w:t>PythonInferenceAdapter</w:t>
            </w:r>
          </w:p>
        </w:tc>
        <w:tc>
          <w:tcPr>
            <w:tcW w:type="dxa" w:w="2570"/>
            <w:vAlign w:val="center"/>
          </w:tcPr>
          <w:p>
            <w:pPr>
              <w:spacing w:after="0"/>
            </w:pPr>
            <w:r/>
            <w:r>
              <w:rPr>
                <w:rFonts w:ascii="Arial" w:hAnsi="Arial"/>
                <w:b w:val="0"/>
                <w:sz w:val="16"/>
              </w:rPr>
              <w:t>Feature payload and approved artifact context.</w:t>
            </w:r>
          </w:p>
        </w:tc>
        <w:tc>
          <w:tcPr>
            <w:tcW w:type="dxa" w:w="2570"/>
            <w:vAlign w:val="center"/>
          </w:tcPr>
          <w:p>
            <w:pPr>
              <w:spacing w:after="0"/>
            </w:pPr>
            <w:r/>
            <w:r>
              <w:rPr>
                <w:rFonts w:ascii="Arial" w:hAnsi="Arial"/>
                <w:b w:val="0"/>
                <w:sz w:val="16"/>
              </w:rPr>
              <w:t>Raw process result or explicit failure.</w:t>
            </w:r>
          </w:p>
        </w:tc>
        <w:tc>
          <w:tcPr>
            <w:tcW w:type="dxa" w:w="2570"/>
            <w:vAlign w:val="center"/>
          </w:tcPr>
          <w:p>
            <w:pPr>
              <w:spacing w:after="0"/>
            </w:pPr>
            <w:r/>
            <w:r>
              <w:rPr>
                <w:rFonts w:ascii="Arial" w:hAnsi="Arial"/>
                <w:b w:val="0"/>
                <w:sz w:val="16"/>
              </w:rPr>
              <w:t>Timeout, no shell injection, capture exit code and stderr safely.</w:t>
            </w:r>
          </w:p>
        </w:tc>
      </w:tr>
      <w:tr>
        <w:tc>
          <w:tcPr>
            <w:tcW w:type="dxa" w:w="2570"/>
            <w:vAlign w:val="center"/>
          </w:tcPr>
          <w:p>
            <w:pPr>
              <w:spacing w:after="0"/>
            </w:pPr>
            <w:r/>
            <w:r>
              <w:rPr>
                <w:rFonts w:ascii="Arial" w:hAnsi="Arial"/>
                <w:b w:val="0"/>
                <w:sz w:val="16"/>
              </w:rPr>
              <w:t>MlOutputValidator</w:t>
            </w:r>
          </w:p>
        </w:tc>
        <w:tc>
          <w:tcPr>
            <w:tcW w:type="dxa" w:w="2570"/>
            <w:vAlign w:val="center"/>
          </w:tcPr>
          <w:p>
            <w:pPr>
              <w:spacing w:after="0"/>
            </w:pPr>
            <w:r/>
            <w:r>
              <w:rPr>
                <w:rFonts w:ascii="Arial" w:hAnsi="Arial"/>
                <w:b w:val="0"/>
                <w:sz w:val="16"/>
              </w:rPr>
              <w:t>Raw output and expected schema.</w:t>
            </w:r>
          </w:p>
        </w:tc>
        <w:tc>
          <w:tcPr>
            <w:tcW w:type="dxa" w:w="2570"/>
            <w:vAlign w:val="center"/>
          </w:tcPr>
          <w:p>
            <w:pPr>
              <w:spacing w:after="0"/>
            </w:pPr>
            <w:r/>
            <w:r>
              <w:rPr>
                <w:rFonts w:ascii="Arial" w:hAnsi="Arial"/>
                <w:b w:val="0"/>
                <w:sz w:val="16"/>
              </w:rPr>
              <w:t>Valid HIGH/LOW contribution or invalid status.</w:t>
            </w:r>
          </w:p>
        </w:tc>
        <w:tc>
          <w:tcPr>
            <w:tcW w:type="dxa" w:w="2570"/>
            <w:vAlign w:val="center"/>
          </w:tcPr>
          <w:p>
            <w:pPr>
              <w:spacing w:after="0"/>
            </w:pPr>
            <w:r/>
            <w:r>
              <w:rPr>
                <w:rFonts w:ascii="Arial" w:hAnsi="Arial"/>
                <w:b w:val="0"/>
                <w:sz w:val="16"/>
              </w:rPr>
              <w:t>Reject blank, ERROR, MODERATE, malformed, or incompatible output.</w:t>
            </w:r>
          </w:p>
        </w:tc>
      </w:tr>
      <w:tr>
        <w:tc>
          <w:tcPr>
            <w:tcW w:type="dxa" w:w="2570"/>
            <w:vAlign w:val="center"/>
          </w:tcPr>
          <w:p>
            <w:pPr>
              <w:spacing w:after="0"/>
            </w:pPr>
            <w:r/>
            <w:r>
              <w:rPr>
                <w:rFonts w:ascii="Arial" w:hAnsi="Arial"/>
                <w:b w:val="0"/>
                <w:sz w:val="16"/>
              </w:rPr>
              <w:t>DecisionResolver</w:t>
            </w:r>
          </w:p>
        </w:tc>
        <w:tc>
          <w:tcPr>
            <w:tcW w:type="dxa" w:w="2570"/>
            <w:vAlign w:val="center"/>
          </w:tcPr>
          <w:p>
            <w:pPr>
              <w:spacing w:after="0"/>
            </w:pPr>
            <w:r/>
            <w:r>
              <w:rPr>
                <w:rFonts w:ascii="Arial" w:hAnsi="Arial"/>
                <w:b w:val="0"/>
                <w:sz w:val="16"/>
              </w:rPr>
              <w:t>Completeness, factors, ML status, and policy.</w:t>
            </w:r>
          </w:p>
        </w:tc>
        <w:tc>
          <w:tcPr>
            <w:tcW w:type="dxa" w:w="2570"/>
            <w:vAlign w:val="center"/>
          </w:tcPr>
          <w:p>
            <w:pPr>
              <w:spacing w:after="0"/>
            </w:pPr>
            <w:r/>
            <w:r>
              <w:rPr>
                <w:rFonts w:ascii="Arial" w:hAnsi="Arial"/>
                <w:b w:val="0"/>
                <w:sz w:val="16"/>
              </w:rPr>
              <w:t>Final HIGH, LOW, or INCOMPLETE with precedence basis.</w:t>
            </w:r>
          </w:p>
        </w:tc>
        <w:tc>
          <w:tcPr>
            <w:tcW w:type="dxa" w:w="2570"/>
            <w:vAlign w:val="center"/>
          </w:tcPr>
          <w:p>
            <w:pPr>
              <w:spacing w:after="0"/>
            </w:pPr>
            <w:r/>
            <w:r>
              <w:rPr>
                <w:rFonts w:ascii="Arial" w:hAnsi="Arial"/>
                <w:b w:val="0"/>
                <w:sz w:val="16"/>
              </w:rPr>
              <w:t>Single authority for final state.</w:t>
            </w:r>
          </w:p>
        </w:tc>
      </w:tr>
      <w:tr>
        <w:tc>
          <w:tcPr>
            <w:tcW w:type="dxa" w:w="2570"/>
            <w:vAlign w:val="center"/>
          </w:tcPr>
          <w:p>
            <w:pPr>
              <w:spacing w:after="0"/>
            </w:pPr>
            <w:r/>
            <w:r>
              <w:rPr>
                <w:rFonts w:ascii="Arial" w:hAnsi="Arial"/>
                <w:b w:val="0"/>
                <w:sz w:val="16"/>
              </w:rPr>
              <w:t>EscalationService</w:t>
            </w:r>
          </w:p>
        </w:tc>
        <w:tc>
          <w:tcPr>
            <w:tcW w:type="dxa" w:w="2570"/>
            <w:vAlign w:val="center"/>
          </w:tcPr>
          <w:p>
            <w:pPr>
              <w:spacing w:after="0"/>
            </w:pPr>
            <w:r/>
            <w:r>
              <w:rPr>
                <w:rFonts w:ascii="Arial" w:hAnsi="Arial"/>
                <w:b w:val="0"/>
                <w:sz w:val="16"/>
              </w:rPr>
              <w:t>Final state, matched factors, urgent modifiers, clinician input.</w:t>
            </w:r>
          </w:p>
        </w:tc>
        <w:tc>
          <w:tcPr>
            <w:tcW w:type="dxa" w:w="2570"/>
            <w:vAlign w:val="center"/>
          </w:tcPr>
          <w:p>
            <w:pPr>
              <w:spacing w:after="0"/>
            </w:pPr>
            <w:r/>
            <w:r>
              <w:rPr>
                <w:rFonts w:ascii="Arial" w:hAnsi="Arial"/>
                <w:b w:val="0"/>
                <w:sz w:val="16"/>
              </w:rPr>
              <w:t>E0-E4 and next-action urgency.</w:t>
            </w:r>
          </w:p>
        </w:tc>
        <w:tc>
          <w:tcPr>
            <w:tcW w:type="dxa" w:w="2570"/>
            <w:vAlign w:val="center"/>
          </w:tcPr>
          <w:p>
            <w:pPr>
              <w:spacing w:after="0"/>
            </w:pPr>
            <w:r/>
            <w:r>
              <w:rPr>
                <w:rFonts w:ascii="Arial" w:hAnsi="Arial"/>
                <w:b w:val="0"/>
                <w:sz w:val="16"/>
              </w:rPr>
              <w:t>Separate risk category from urgency.</w:t>
            </w:r>
          </w:p>
        </w:tc>
      </w:tr>
      <w:tr>
        <w:tc>
          <w:tcPr>
            <w:tcW w:type="dxa" w:w="2570"/>
            <w:vAlign w:val="center"/>
          </w:tcPr>
          <w:p>
            <w:pPr>
              <w:spacing w:after="0"/>
            </w:pPr>
            <w:r/>
            <w:r>
              <w:rPr>
                <w:rFonts w:ascii="Arial" w:hAnsi="Arial"/>
                <w:b w:val="0"/>
                <w:sz w:val="16"/>
              </w:rPr>
              <w:t>ExplanationBuilder</w:t>
            </w:r>
          </w:p>
        </w:tc>
        <w:tc>
          <w:tcPr>
            <w:tcW w:type="dxa" w:w="2570"/>
            <w:vAlign w:val="center"/>
          </w:tcPr>
          <w:p>
            <w:pPr>
              <w:spacing w:after="0"/>
            </w:pPr>
            <w:r/>
            <w:r>
              <w:rPr>
                <w:rFonts w:ascii="Arial" w:hAnsi="Arial"/>
                <w:b w:val="0"/>
                <w:sz w:val="16"/>
              </w:rPr>
              <w:t>Snapshot, factors, ML, resolution, escalation, versions.</w:t>
            </w:r>
          </w:p>
        </w:tc>
        <w:tc>
          <w:tcPr>
            <w:tcW w:type="dxa" w:w="2570"/>
            <w:vAlign w:val="center"/>
          </w:tcPr>
          <w:p>
            <w:pPr>
              <w:spacing w:after="0"/>
            </w:pPr>
            <w:r/>
            <w:r>
              <w:rPr>
                <w:rFonts w:ascii="Arial" w:hAnsi="Arial"/>
                <w:b w:val="0"/>
                <w:sz w:val="16"/>
              </w:rPr>
              <w:t>Staff and patient communication objects.</w:t>
            </w:r>
          </w:p>
        </w:tc>
        <w:tc>
          <w:tcPr>
            <w:tcW w:type="dxa" w:w="2570"/>
            <w:vAlign w:val="center"/>
          </w:tcPr>
          <w:p>
            <w:pPr>
              <w:spacing w:after="0"/>
            </w:pPr>
            <w:r/>
            <w:r>
              <w:rPr>
                <w:rFonts w:ascii="Arial" w:hAnsi="Arial"/>
                <w:b w:val="0"/>
                <w:sz w:val="16"/>
              </w:rPr>
              <w:t>Show exact reasons, uncertainty, and limitations.</w:t>
            </w:r>
          </w:p>
        </w:tc>
      </w:tr>
      <w:tr>
        <w:tc>
          <w:tcPr>
            <w:tcW w:type="dxa" w:w="2570"/>
            <w:vAlign w:val="center"/>
          </w:tcPr>
          <w:p>
            <w:pPr>
              <w:spacing w:after="0"/>
            </w:pPr>
            <w:r/>
            <w:r>
              <w:rPr>
                <w:rFonts w:ascii="Arial" w:hAnsi="Arial"/>
                <w:b w:val="0"/>
                <w:sz w:val="16"/>
              </w:rPr>
              <w:t>AssessmentRepository</w:t>
            </w:r>
          </w:p>
        </w:tc>
        <w:tc>
          <w:tcPr>
            <w:tcW w:type="dxa" w:w="2570"/>
            <w:vAlign w:val="center"/>
          </w:tcPr>
          <w:p>
            <w:pPr>
              <w:spacing w:after="0"/>
            </w:pPr>
            <w:r/>
            <w:r>
              <w:rPr>
                <w:rFonts w:ascii="Arial" w:hAnsi="Arial"/>
                <w:b w:val="0"/>
                <w:sz w:val="16"/>
              </w:rPr>
              <w:t>Complete result and provenance.</w:t>
            </w:r>
          </w:p>
        </w:tc>
        <w:tc>
          <w:tcPr>
            <w:tcW w:type="dxa" w:w="2570"/>
            <w:vAlign w:val="center"/>
          </w:tcPr>
          <w:p>
            <w:pPr>
              <w:spacing w:after="0"/>
            </w:pPr>
            <w:r/>
            <w:r>
              <w:rPr>
                <w:rFonts w:ascii="Arial" w:hAnsi="Arial"/>
                <w:b w:val="0"/>
                <w:sz w:val="16"/>
              </w:rPr>
              <w:t>Immutable persisted assessment version.</w:t>
            </w:r>
          </w:p>
        </w:tc>
        <w:tc>
          <w:tcPr>
            <w:tcW w:type="dxa" w:w="2570"/>
            <w:vAlign w:val="center"/>
          </w:tcPr>
          <w:p>
            <w:pPr>
              <w:spacing w:after="0"/>
            </w:pPr>
            <w:r/>
            <w:r>
              <w:rPr>
                <w:rFonts w:ascii="Arial" w:hAnsi="Arial"/>
                <w:b w:val="0"/>
                <w:sz w:val="16"/>
              </w:rPr>
              <w:t>Atomic storage and historical reconstruction.</w:t>
            </w:r>
          </w:p>
        </w:tc>
      </w:tr>
    </w:tbl>
    <w:p/>
    <w:p>
      <w:pPr>
        <w:pStyle w:val="Heading1"/>
      </w:pPr>
      <w:r>
        <w:t>9. Python Random Forest Integration Boundary</w:t>
      </w:r>
    </w:p>
    <w:p>
      <w:pPr>
        <w:spacing w:after="100" w:line="252" w:lineRule="auto"/>
      </w:pPr>
      <w:r>
        <w:t>Python is an infrastructure adapter, not the clinical decision owner. The adapter should invoke a specific interpreter and script or packaged inference entry point without using a system shell. Arguments or JSON input must be generated from controlled server-side data, a strict timeout must be enforced, and stdout must follow a versioned schema.</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0"/>
            </w:pPr>
            <w:r/>
            <w:r>
              <w:rPr>
                <w:rFonts w:ascii="Arial" w:hAnsi="Arial"/>
                <w:b/>
                <w:sz w:val="16"/>
              </w:rPr>
              <w:t>Contract element</w:t>
            </w:r>
          </w:p>
        </w:tc>
        <w:tc>
          <w:tcPr>
            <w:tcW w:type="dxa" w:w="5141"/>
            <w:vAlign w:val="center"/>
            <w:shd w:fill="D9EAF7"/>
          </w:tcPr>
          <w:p>
            <w:pPr>
              <w:spacing w:after="0"/>
            </w:pPr>
            <w:r/>
            <w:r>
              <w:rPr>
                <w:rFonts w:ascii="Arial" w:hAnsi="Arial"/>
                <w:b/>
                <w:sz w:val="16"/>
              </w:rPr>
              <w:t>Requirement</w:t>
            </w:r>
          </w:p>
        </w:tc>
      </w:tr>
      <w:tr>
        <w:tc>
          <w:tcPr>
            <w:tcW w:type="dxa" w:w="5141"/>
            <w:vAlign w:val="center"/>
          </w:tcPr>
          <w:p>
            <w:pPr>
              <w:spacing w:after="0"/>
            </w:pPr>
            <w:r/>
            <w:r>
              <w:rPr>
                <w:rFonts w:ascii="Arial" w:hAnsi="Arial"/>
                <w:b w:val="0"/>
                <w:sz w:val="16"/>
              </w:rPr>
              <w:t>Invocation</w:t>
            </w:r>
          </w:p>
        </w:tc>
        <w:tc>
          <w:tcPr>
            <w:tcW w:type="dxa" w:w="5141"/>
            <w:vAlign w:val="center"/>
          </w:tcPr>
          <w:p>
            <w:pPr>
              <w:spacing w:after="0"/>
            </w:pPr>
            <w:r/>
            <w:r>
              <w:rPr>
                <w:rFonts w:ascii="Arial" w:hAnsi="Arial"/>
                <w:b w:val="0"/>
                <w:sz w:val="16"/>
              </w:rPr>
              <w:t>Use an explicit executable and argument list; avoid shell execution and user-supplied command fragments.</w:t>
            </w:r>
          </w:p>
        </w:tc>
      </w:tr>
      <w:tr>
        <w:tc>
          <w:tcPr>
            <w:tcW w:type="dxa" w:w="5141"/>
            <w:vAlign w:val="center"/>
          </w:tcPr>
          <w:p>
            <w:pPr>
              <w:spacing w:after="0"/>
            </w:pPr>
            <w:r/>
            <w:r>
              <w:rPr>
                <w:rFonts w:ascii="Arial" w:hAnsi="Arial"/>
                <w:b w:val="0"/>
                <w:sz w:val="16"/>
              </w:rPr>
              <w:t>Input</w:t>
            </w:r>
          </w:p>
        </w:tc>
        <w:tc>
          <w:tcPr>
            <w:tcW w:type="dxa" w:w="5141"/>
            <w:vAlign w:val="center"/>
          </w:tcPr>
          <w:p>
            <w:pPr>
              <w:spacing w:after="0"/>
            </w:pPr>
            <w:r/>
            <w:r>
              <w:rPr>
                <w:rFonts w:ascii="Arial" w:hAnsi="Arial"/>
                <w:b w:val="0"/>
                <w:sz w:val="16"/>
              </w:rPr>
              <w:t>Versioned JSON or equivalent payload containing only approved features, types, units, categories, and schema version.</w:t>
            </w:r>
          </w:p>
        </w:tc>
      </w:tr>
      <w:tr>
        <w:tc>
          <w:tcPr>
            <w:tcW w:type="dxa" w:w="5141"/>
            <w:vAlign w:val="center"/>
          </w:tcPr>
          <w:p>
            <w:pPr>
              <w:spacing w:after="0"/>
            </w:pPr>
            <w:r/>
            <w:r>
              <w:rPr>
                <w:rFonts w:ascii="Arial" w:hAnsi="Arial"/>
                <w:b w:val="0"/>
                <w:sz w:val="16"/>
              </w:rPr>
              <w:t>Artifact</w:t>
            </w:r>
          </w:p>
        </w:tc>
        <w:tc>
          <w:tcPr>
            <w:tcW w:type="dxa" w:w="5141"/>
            <w:vAlign w:val="center"/>
          </w:tcPr>
          <w:p>
            <w:pPr>
              <w:spacing w:after="0"/>
            </w:pPr>
            <w:r/>
            <w:r>
              <w:rPr>
                <w:rFonts w:ascii="Arial" w:hAnsi="Arial"/>
                <w:b w:val="0"/>
                <w:sz w:val="16"/>
              </w:rPr>
              <w:t>Load an approved frozen model/preprocessing artifact identified by version and cryptographic hash.</w:t>
            </w:r>
          </w:p>
        </w:tc>
      </w:tr>
      <w:tr>
        <w:tc>
          <w:tcPr>
            <w:tcW w:type="dxa" w:w="5141"/>
            <w:vAlign w:val="center"/>
          </w:tcPr>
          <w:p>
            <w:pPr>
              <w:spacing w:after="0"/>
            </w:pPr>
            <w:r/>
            <w:r>
              <w:rPr>
                <w:rFonts w:ascii="Arial" w:hAnsi="Arial"/>
                <w:b w:val="0"/>
                <w:sz w:val="16"/>
              </w:rPr>
              <w:t>Output</w:t>
            </w:r>
          </w:p>
        </w:tc>
        <w:tc>
          <w:tcPr>
            <w:tcW w:type="dxa" w:w="5141"/>
            <w:vAlign w:val="center"/>
          </w:tcPr>
          <w:p>
            <w:pPr>
              <w:spacing w:after="0"/>
            </w:pPr>
            <w:r/>
            <w:r>
              <w:rPr>
                <w:rFonts w:ascii="Arial" w:hAnsi="Arial"/>
                <w:b w:val="0"/>
                <w:sz w:val="16"/>
              </w:rPr>
              <w:t>Machine-readable schema with status, prediction HIGH/LOW, model version, schema version, and optional approved explanation metadata.</w:t>
            </w:r>
          </w:p>
        </w:tc>
      </w:tr>
      <w:tr>
        <w:tc>
          <w:tcPr>
            <w:tcW w:type="dxa" w:w="5141"/>
            <w:vAlign w:val="center"/>
          </w:tcPr>
          <w:p>
            <w:pPr>
              <w:spacing w:after="0"/>
            </w:pPr>
            <w:r/>
            <w:r>
              <w:rPr>
                <w:rFonts w:ascii="Arial" w:hAnsi="Arial"/>
                <w:b w:val="0"/>
                <w:sz w:val="16"/>
              </w:rPr>
              <w:t>Timeout</w:t>
            </w:r>
          </w:p>
        </w:tc>
        <w:tc>
          <w:tcPr>
            <w:tcW w:type="dxa" w:w="5141"/>
            <w:vAlign w:val="center"/>
          </w:tcPr>
          <w:p>
            <w:pPr>
              <w:spacing w:after="0"/>
            </w:pPr>
            <w:r/>
            <w:r>
              <w:rPr>
                <w:rFonts w:ascii="Arial" w:hAnsi="Arial"/>
                <w:b w:val="0"/>
                <w:sz w:val="16"/>
              </w:rPr>
              <w:t>Terminate or fail visibly after the configured maximum; never wait indefinitely during a clinical workflow.</w:t>
            </w:r>
          </w:p>
        </w:tc>
      </w:tr>
      <w:tr>
        <w:tc>
          <w:tcPr>
            <w:tcW w:type="dxa" w:w="5141"/>
            <w:vAlign w:val="center"/>
          </w:tcPr>
          <w:p>
            <w:pPr>
              <w:spacing w:after="0"/>
            </w:pPr>
            <w:r/>
            <w:r>
              <w:rPr>
                <w:rFonts w:ascii="Arial" w:hAnsi="Arial"/>
                <w:b w:val="0"/>
                <w:sz w:val="16"/>
              </w:rPr>
              <w:t>Exit behavior</w:t>
            </w:r>
          </w:p>
        </w:tc>
        <w:tc>
          <w:tcPr>
            <w:tcW w:type="dxa" w:w="5141"/>
            <w:vAlign w:val="center"/>
          </w:tcPr>
          <w:p>
            <w:pPr>
              <w:spacing w:after="0"/>
            </w:pPr>
            <w:r/>
            <w:r>
              <w:rPr>
                <w:rFonts w:ascii="Arial" w:hAnsi="Arial"/>
                <w:b w:val="0"/>
                <w:sz w:val="16"/>
              </w:rPr>
              <w:t>Non-zero exit, invalid JSON, missing fields, wrong version, or unexpected class becomes ML invalid/unavailable.</w:t>
            </w:r>
          </w:p>
        </w:tc>
      </w:tr>
      <w:tr>
        <w:tc>
          <w:tcPr>
            <w:tcW w:type="dxa" w:w="5141"/>
            <w:vAlign w:val="center"/>
          </w:tcPr>
          <w:p>
            <w:pPr>
              <w:spacing w:after="0"/>
            </w:pPr>
            <w:r/>
            <w:r>
              <w:rPr>
                <w:rFonts w:ascii="Arial" w:hAnsi="Arial"/>
                <w:b w:val="0"/>
                <w:sz w:val="16"/>
              </w:rPr>
              <w:t>Logging</w:t>
            </w:r>
          </w:p>
        </w:tc>
        <w:tc>
          <w:tcPr>
            <w:tcW w:type="dxa" w:w="5141"/>
            <w:vAlign w:val="center"/>
          </w:tcPr>
          <w:p>
            <w:pPr>
              <w:spacing w:after="0"/>
            </w:pPr>
            <w:r/>
            <w:r>
              <w:rPr>
                <w:rFonts w:ascii="Arial" w:hAnsi="Arial"/>
                <w:b w:val="0"/>
                <w:sz w:val="16"/>
              </w:rPr>
              <w:t>Record correlation ID, duration, versions, exit status, and sanitized failure reason; avoid unnecessary patient data.</w:t>
            </w:r>
          </w:p>
        </w:tc>
      </w:tr>
      <w:tr>
        <w:tc>
          <w:tcPr>
            <w:tcW w:type="dxa" w:w="5141"/>
            <w:vAlign w:val="center"/>
          </w:tcPr>
          <w:p>
            <w:pPr>
              <w:spacing w:after="0"/>
            </w:pPr>
            <w:r/>
            <w:r>
              <w:rPr>
                <w:rFonts w:ascii="Arial" w:hAnsi="Arial"/>
                <w:b w:val="0"/>
                <w:sz w:val="16"/>
              </w:rPr>
              <w:t>Database access</w:t>
            </w:r>
          </w:p>
        </w:tc>
        <w:tc>
          <w:tcPr>
            <w:tcW w:type="dxa" w:w="5141"/>
            <w:vAlign w:val="center"/>
          </w:tcPr>
          <w:p>
            <w:pPr>
              <w:spacing w:after="0"/>
            </w:pPr>
            <w:r/>
            <w:r>
              <w:rPr>
                <w:rFonts w:ascii="Arial" w:hAnsi="Arial"/>
                <w:b w:val="0"/>
                <w:sz w:val="16"/>
              </w:rPr>
              <w:t>Prohibited for inference; Python returns a result to Laravel only.</w:t>
            </w:r>
          </w:p>
        </w:tc>
      </w:tr>
      <w:tr>
        <w:tc>
          <w:tcPr>
            <w:tcW w:type="dxa" w:w="5141"/>
            <w:vAlign w:val="center"/>
          </w:tcPr>
          <w:p>
            <w:pPr>
              <w:spacing w:after="0"/>
            </w:pPr>
            <w:r/>
            <w:r>
              <w:rPr>
                <w:rFonts w:ascii="Arial" w:hAnsi="Arial"/>
                <w:b w:val="0"/>
                <w:sz w:val="16"/>
              </w:rPr>
              <w:t>Network access</w:t>
            </w:r>
          </w:p>
        </w:tc>
        <w:tc>
          <w:tcPr>
            <w:tcW w:type="dxa" w:w="5141"/>
            <w:vAlign w:val="center"/>
          </w:tcPr>
          <w:p>
            <w:pPr>
              <w:spacing w:after="0"/>
            </w:pPr>
            <w:r/>
            <w:r>
              <w:rPr>
                <w:rFonts w:ascii="Arial" w:hAnsi="Arial"/>
                <w:b w:val="0"/>
                <w:sz w:val="16"/>
              </w:rPr>
              <w:t>Not required for the baseline local inference component; deny unless explicitly justified.</w:t>
            </w:r>
          </w:p>
        </w:tc>
      </w:tr>
      <w:tr>
        <w:tc>
          <w:tcPr>
            <w:tcW w:type="dxa" w:w="5141"/>
            <w:vAlign w:val="center"/>
          </w:tcPr>
          <w:p>
            <w:pPr>
              <w:spacing w:after="0"/>
            </w:pPr>
            <w:r/>
            <w:r>
              <w:rPr>
                <w:rFonts w:ascii="Arial" w:hAnsi="Arial"/>
                <w:b w:val="0"/>
                <w:sz w:val="16"/>
              </w:rPr>
              <w:t>Failure result</w:t>
            </w:r>
          </w:p>
        </w:tc>
        <w:tc>
          <w:tcPr>
            <w:tcW w:type="dxa" w:w="5141"/>
            <w:vAlign w:val="center"/>
          </w:tcPr>
          <w:p>
            <w:pPr>
              <w:spacing w:after="0"/>
            </w:pPr>
            <w:r/>
            <w:r>
              <w:rPr>
                <w:rFonts w:ascii="Arial" w:hAnsi="Arial"/>
                <w:b w:val="0"/>
                <w:sz w:val="16"/>
              </w:rPr>
              <w:t>Deterministic HIGH remains HIGH; otherwise final assessment is INCOMPLETE when ML is required.</w:t>
            </w:r>
          </w:p>
        </w:tc>
      </w:tr>
    </w:tbl>
    <w:p/>
    <w:p>
      <w:r>
        <w:rPr>
          <w:b/>
        </w:rPr>
        <w:t>Figure 3. Laravel-Python trust boundary</w:t>
      </w:r>
    </w:p>
    <w:tbl>
      <w:tblPr>
        <w:tblStyle w:val="TableGrid"/>
        <w:tblW w:type="auto" w:w="0"/>
        <w:jc w:val="center"/>
        <w:tblLook w:firstColumn="1" w:firstRow="1" w:lastColumn="0" w:lastRow="0" w:noHBand="0" w:noVBand="1" w:val="04A0"/>
      </w:tblPr>
      <w:tblGrid>
        <w:gridCol w:w="10282"/>
      </w:tblGrid>
      <w:tr>
        <w:tc>
          <w:tcPr>
            <w:tcW w:type="dxa" w:w="10282"/>
            <w:shd w:fill="F3F6F8"/>
          </w:tcPr>
          <w:p>
            <w:pPr>
              <w:spacing w:after="0"/>
            </w:pPr>
            <w:r/>
            <w:r>
              <w:rPr>
                <w:rFonts w:ascii="Consolas" w:hAnsi="Consolas"/>
                <w:sz w:val="15"/>
              </w:rPr>
              <w:t>Laravel FeatureBuilder</w:t>
              <w:br/>
              <w:t xml:space="preserve">        | controlled JSON / stdin</w:t>
              <w:br/>
              <w:t xml:space="preserve">        v</w:t>
              <w:br/>
              <w:t>Python inference entry point</w:t>
              <w:br/>
              <w:t xml:space="preserve">  - validate schema version</w:t>
              <w:br/>
              <w:t xml:space="preserve">  - apply approved preprocessing</w:t>
              <w:br/>
              <w:t xml:space="preserve">  - verify/load frozen artifact</w:t>
              <w:br/>
              <w:t xml:space="preserve">  - predict HIGH or LOW</w:t>
              <w:br/>
              <w:t xml:space="preserve">  - emit one JSON response</w:t>
              <w:br/>
              <w:t xml:space="preserve">        | stdout + exit code</w:t>
              <w:br/>
              <w:t xml:space="preserve">        v</w:t>
              <w:br/>
              <w:t>Laravel OutputValidator</w:t>
              <w:br/>
              <w:t xml:space="preserve">  - parse JSON</w:t>
              <w:br/>
              <w:t xml:space="preserve">  - verify class and versions</w:t>
              <w:br/>
              <w:t xml:space="preserve">  - reject unexpected output</w:t>
              <w:br/>
              <w:t xml:space="preserve">        v</w:t>
              <w:br/>
              <w:t>DecisionResolver</w:t>
            </w:r>
          </w:p>
        </w:tc>
      </w:tr>
    </w:tbl>
    <w:p/>
    <w:p>
      <w:pPr>
        <w:pStyle w:val="Heading1"/>
      </w:pPr>
      <w:r>
        <w:t>10. Data and Persistence Architecture</w:t>
      </w:r>
    </w:p>
    <w:p>
      <w:pPr>
        <w:spacing w:after="100" w:line="252" w:lineRule="auto"/>
      </w:pPr>
      <w:r>
        <w:t>MySQL is the authoritative source for operational and historical records. The architecture should distinguish mutable source records, immutable assessment snapshots, and audit events. A later edit to medical history or ultrasound may trigger a new assessment but shall not rewrite the inputs attached to a prior assessment.</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pPr>
              <w:spacing w:after="0"/>
            </w:pPr>
            <w:r/>
            <w:r>
              <w:rPr>
                <w:rFonts w:ascii="Arial" w:hAnsi="Arial"/>
                <w:b/>
                <w:sz w:val="16"/>
              </w:rPr>
              <w:t>Data category</w:t>
            </w:r>
          </w:p>
        </w:tc>
        <w:tc>
          <w:tcPr>
            <w:tcW w:type="dxa" w:w="3427"/>
            <w:vAlign w:val="center"/>
            <w:shd w:fill="D9EAF7"/>
          </w:tcPr>
          <w:p>
            <w:pPr>
              <w:spacing w:after="0"/>
            </w:pPr>
            <w:r/>
            <w:r>
              <w:rPr>
                <w:rFonts w:ascii="Arial" w:hAnsi="Arial"/>
                <w:b/>
                <w:sz w:val="16"/>
              </w:rPr>
              <w:t>Examples</w:t>
            </w:r>
          </w:p>
        </w:tc>
        <w:tc>
          <w:tcPr>
            <w:tcW w:type="dxa" w:w="3427"/>
            <w:vAlign w:val="center"/>
            <w:shd w:fill="D9EAF7"/>
          </w:tcPr>
          <w:p>
            <w:pPr>
              <w:spacing w:after="0"/>
            </w:pPr>
            <w:r/>
            <w:r>
              <w:rPr>
                <w:rFonts w:ascii="Arial" w:hAnsi="Arial"/>
                <w:b/>
                <w:sz w:val="16"/>
              </w:rPr>
              <w:t>Persistence rule</w:t>
            </w:r>
          </w:p>
        </w:tc>
      </w:tr>
      <w:tr>
        <w:tc>
          <w:tcPr>
            <w:tcW w:type="dxa" w:w="3427"/>
            <w:vAlign w:val="center"/>
          </w:tcPr>
          <w:p>
            <w:pPr>
              <w:spacing w:after="0"/>
            </w:pPr>
            <w:r/>
            <w:r>
              <w:rPr>
                <w:rFonts w:ascii="Arial" w:hAnsi="Arial"/>
                <w:b w:val="0"/>
                <w:sz w:val="16"/>
              </w:rPr>
              <w:t>Identity</w:t>
            </w:r>
          </w:p>
        </w:tc>
        <w:tc>
          <w:tcPr>
            <w:tcW w:type="dxa" w:w="3427"/>
            <w:vAlign w:val="center"/>
          </w:tcPr>
          <w:p>
            <w:pPr>
              <w:spacing w:after="0"/>
            </w:pPr>
            <w:r/>
            <w:r>
              <w:rPr>
                <w:rFonts w:ascii="Arial" w:hAnsi="Arial"/>
                <w:b w:val="0"/>
                <w:sz w:val="16"/>
              </w:rPr>
              <w:t>Patient identifiers, contact details, user accounts.</w:t>
            </w:r>
          </w:p>
        </w:tc>
        <w:tc>
          <w:tcPr>
            <w:tcW w:type="dxa" w:w="3427"/>
            <w:vAlign w:val="center"/>
          </w:tcPr>
          <w:p>
            <w:pPr>
              <w:spacing w:after="0"/>
            </w:pPr>
            <w:r/>
            <w:r>
              <w:rPr>
                <w:rFonts w:ascii="Arial" w:hAnsi="Arial"/>
                <w:b w:val="0"/>
                <w:sz w:val="16"/>
              </w:rPr>
              <w:t>Controlled updates with audit and duplicate-management process.</w:t>
            </w:r>
          </w:p>
        </w:tc>
      </w:tr>
      <w:tr>
        <w:tc>
          <w:tcPr>
            <w:tcW w:type="dxa" w:w="3427"/>
            <w:vAlign w:val="center"/>
          </w:tcPr>
          <w:p>
            <w:pPr>
              <w:spacing w:after="0"/>
            </w:pPr>
            <w:r/>
            <w:r>
              <w:rPr>
                <w:rFonts w:ascii="Arial" w:hAnsi="Arial"/>
                <w:b w:val="0"/>
                <w:sz w:val="16"/>
              </w:rPr>
              <w:t>Pregnancy episode</w:t>
            </w:r>
          </w:p>
        </w:tc>
        <w:tc>
          <w:tcPr>
            <w:tcW w:type="dxa" w:w="3427"/>
            <w:vAlign w:val="center"/>
          </w:tcPr>
          <w:p>
            <w:pPr>
              <w:spacing w:after="0"/>
            </w:pPr>
            <w:r/>
            <w:r>
              <w:rPr>
                <w:rFonts w:ascii="Arial" w:hAnsi="Arial"/>
                <w:b w:val="0"/>
                <w:sz w:val="16"/>
              </w:rPr>
              <w:t>Active or delivered pregnancy context, dates, status.</w:t>
            </w:r>
          </w:p>
        </w:tc>
        <w:tc>
          <w:tcPr>
            <w:tcW w:type="dxa" w:w="3427"/>
            <w:vAlign w:val="center"/>
          </w:tcPr>
          <w:p>
            <w:pPr>
              <w:spacing w:after="0"/>
            </w:pPr>
            <w:r/>
            <w:r>
              <w:rPr>
                <w:rFonts w:ascii="Arial" w:hAnsi="Arial"/>
                <w:b w:val="0"/>
                <w:sz w:val="16"/>
              </w:rPr>
              <w:t>One assessment and referral chain belongs to one episode.</w:t>
            </w:r>
          </w:p>
        </w:tc>
      </w:tr>
      <w:tr>
        <w:tc>
          <w:tcPr>
            <w:tcW w:type="dxa" w:w="3427"/>
            <w:vAlign w:val="center"/>
          </w:tcPr>
          <w:p>
            <w:pPr>
              <w:spacing w:after="0"/>
            </w:pPr>
            <w:r/>
            <w:r>
              <w:rPr>
                <w:rFonts w:ascii="Arial" w:hAnsi="Arial"/>
                <w:b w:val="0"/>
                <w:sz w:val="16"/>
              </w:rPr>
              <w:t>Clinical source records</w:t>
            </w:r>
          </w:p>
        </w:tc>
        <w:tc>
          <w:tcPr>
            <w:tcW w:type="dxa" w:w="3427"/>
            <w:vAlign w:val="center"/>
          </w:tcPr>
          <w:p>
            <w:pPr>
              <w:spacing w:after="0"/>
            </w:pPr>
            <w:r/>
            <w:r>
              <w:rPr>
                <w:rFonts w:ascii="Arial" w:hAnsi="Arial"/>
                <w:b w:val="0"/>
                <w:sz w:val="16"/>
              </w:rPr>
              <w:t>Medical history, prenatal visits, ultrasound report, birth plan.</w:t>
            </w:r>
          </w:p>
        </w:tc>
        <w:tc>
          <w:tcPr>
            <w:tcW w:type="dxa" w:w="3427"/>
            <w:vAlign w:val="center"/>
          </w:tcPr>
          <w:p>
            <w:pPr>
              <w:spacing w:after="0"/>
            </w:pPr>
            <w:r/>
            <w:r>
              <w:rPr>
                <w:rFonts w:ascii="Arial" w:hAnsi="Arial"/>
                <w:b w:val="0"/>
                <w:sz w:val="16"/>
              </w:rPr>
              <w:t>Validated records may be corrected through audited workflow.</w:t>
            </w:r>
          </w:p>
        </w:tc>
      </w:tr>
      <w:tr>
        <w:tc>
          <w:tcPr>
            <w:tcW w:type="dxa" w:w="3427"/>
            <w:vAlign w:val="center"/>
          </w:tcPr>
          <w:p>
            <w:pPr>
              <w:spacing w:after="0"/>
            </w:pPr>
            <w:r/>
            <w:r>
              <w:rPr>
                <w:rFonts w:ascii="Arial" w:hAnsi="Arial"/>
                <w:b w:val="0"/>
                <w:sz w:val="16"/>
              </w:rPr>
              <w:t>Assessment snapshot</w:t>
            </w:r>
          </w:p>
        </w:tc>
        <w:tc>
          <w:tcPr>
            <w:tcW w:type="dxa" w:w="3427"/>
            <w:vAlign w:val="center"/>
          </w:tcPr>
          <w:p>
            <w:pPr>
              <w:spacing w:after="0"/>
            </w:pPr>
            <w:r/>
            <w:r>
              <w:rPr>
                <w:rFonts w:ascii="Arial" w:hAnsi="Arial"/>
                <w:b w:val="0"/>
                <w:sz w:val="16"/>
              </w:rPr>
              <w:t>Copied/serialized approved inputs and source IDs at assessment time.</w:t>
            </w:r>
          </w:p>
        </w:tc>
        <w:tc>
          <w:tcPr>
            <w:tcW w:type="dxa" w:w="3427"/>
            <w:vAlign w:val="center"/>
          </w:tcPr>
          <w:p>
            <w:pPr>
              <w:spacing w:after="0"/>
            </w:pPr>
            <w:r/>
            <w:r>
              <w:rPr>
                <w:rFonts w:ascii="Arial" w:hAnsi="Arial"/>
                <w:b w:val="0"/>
                <w:sz w:val="16"/>
              </w:rPr>
              <w:t>Immutable after commit.</w:t>
            </w:r>
          </w:p>
        </w:tc>
      </w:tr>
      <w:tr>
        <w:tc>
          <w:tcPr>
            <w:tcW w:type="dxa" w:w="3427"/>
            <w:vAlign w:val="center"/>
          </w:tcPr>
          <w:p>
            <w:pPr>
              <w:spacing w:after="0"/>
            </w:pPr>
            <w:r/>
            <w:r>
              <w:rPr>
                <w:rFonts w:ascii="Arial" w:hAnsi="Arial"/>
                <w:b w:val="0"/>
                <w:sz w:val="16"/>
              </w:rPr>
              <w:t>Assessment result</w:t>
            </w:r>
          </w:p>
        </w:tc>
        <w:tc>
          <w:tcPr>
            <w:tcW w:type="dxa" w:w="3427"/>
            <w:vAlign w:val="center"/>
          </w:tcPr>
          <w:p>
            <w:pPr>
              <w:spacing w:after="0"/>
            </w:pPr>
            <w:r/>
            <w:r>
              <w:rPr>
                <w:rFonts w:ascii="Arial" w:hAnsi="Arial"/>
                <w:b w:val="0"/>
                <w:sz w:val="16"/>
              </w:rPr>
              <w:t>State, escalation, reasons, limitations, recommendation, versions.</w:t>
            </w:r>
          </w:p>
        </w:tc>
        <w:tc>
          <w:tcPr>
            <w:tcW w:type="dxa" w:w="3427"/>
            <w:vAlign w:val="center"/>
          </w:tcPr>
          <w:p>
            <w:pPr>
              <w:spacing w:after="0"/>
            </w:pPr>
            <w:r/>
            <w:r>
              <w:rPr>
                <w:rFonts w:ascii="Arial" w:hAnsi="Arial"/>
                <w:b w:val="0"/>
                <w:sz w:val="16"/>
              </w:rPr>
              <w:t>Immutable; later reassessment creates another version.</w:t>
            </w:r>
          </w:p>
        </w:tc>
      </w:tr>
      <w:tr>
        <w:tc>
          <w:tcPr>
            <w:tcW w:type="dxa" w:w="3427"/>
            <w:vAlign w:val="center"/>
          </w:tcPr>
          <w:p>
            <w:pPr>
              <w:spacing w:after="0"/>
            </w:pPr>
            <w:r/>
            <w:r>
              <w:rPr>
                <w:rFonts w:ascii="Arial" w:hAnsi="Arial"/>
                <w:b w:val="0"/>
                <w:sz w:val="16"/>
              </w:rPr>
              <w:t>Referral workflow</w:t>
            </w:r>
          </w:p>
        </w:tc>
        <w:tc>
          <w:tcPr>
            <w:tcW w:type="dxa" w:w="3427"/>
            <w:vAlign w:val="center"/>
          </w:tcPr>
          <w:p>
            <w:pPr>
              <w:spacing w:after="0"/>
            </w:pPr>
            <w:r/>
            <w:r>
              <w:rPr>
                <w:rFonts w:ascii="Arial" w:hAnsi="Arial"/>
                <w:b w:val="0"/>
                <w:sz w:val="16"/>
              </w:rPr>
              <w:t>Recommendation, facility, status, contacts, acceptance/refusal, handover, outcome.</w:t>
            </w:r>
          </w:p>
        </w:tc>
        <w:tc>
          <w:tcPr>
            <w:tcW w:type="dxa" w:w="3427"/>
            <w:vAlign w:val="center"/>
          </w:tcPr>
          <w:p>
            <w:pPr>
              <w:spacing w:after="0"/>
            </w:pPr>
            <w:r/>
            <w:r>
              <w:rPr>
                <w:rFonts w:ascii="Arial" w:hAnsi="Arial"/>
                <w:b w:val="0"/>
                <w:sz w:val="16"/>
              </w:rPr>
              <w:t>Operationally updated with history; does not rewrite risk.</w:t>
            </w:r>
          </w:p>
        </w:tc>
      </w:tr>
      <w:tr>
        <w:tc>
          <w:tcPr>
            <w:tcW w:type="dxa" w:w="3427"/>
            <w:vAlign w:val="center"/>
          </w:tcPr>
          <w:p>
            <w:pPr>
              <w:spacing w:after="0"/>
            </w:pPr>
            <w:r/>
            <w:r>
              <w:rPr>
                <w:rFonts w:ascii="Arial" w:hAnsi="Arial"/>
                <w:b w:val="0"/>
                <w:sz w:val="16"/>
              </w:rPr>
              <w:t>Audit events</w:t>
            </w:r>
          </w:p>
        </w:tc>
        <w:tc>
          <w:tcPr>
            <w:tcW w:type="dxa" w:w="3427"/>
            <w:vAlign w:val="center"/>
          </w:tcPr>
          <w:p>
            <w:pPr>
              <w:spacing w:after="0"/>
            </w:pPr>
            <w:r/>
            <w:r>
              <w:rPr>
                <w:rFonts w:ascii="Arial" w:hAnsi="Arial"/>
                <w:b w:val="0"/>
                <w:sz w:val="16"/>
              </w:rPr>
              <w:t>Actor, action, object, before/after or reference, time, correlation ID.</w:t>
            </w:r>
          </w:p>
        </w:tc>
        <w:tc>
          <w:tcPr>
            <w:tcW w:type="dxa" w:w="3427"/>
            <w:vAlign w:val="center"/>
          </w:tcPr>
          <w:p>
            <w:pPr>
              <w:spacing w:after="0"/>
            </w:pPr>
            <w:r/>
            <w:r>
              <w:rPr>
                <w:rFonts w:ascii="Arial" w:hAnsi="Arial"/>
                <w:b w:val="0"/>
                <w:sz w:val="16"/>
              </w:rPr>
              <w:t>Append-only under normal operation.</w:t>
            </w:r>
          </w:p>
        </w:tc>
      </w:tr>
      <w:tr>
        <w:tc>
          <w:tcPr>
            <w:tcW w:type="dxa" w:w="3427"/>
            <w:vAlign w:val="center"/>
          </w:tcPr>
          <w:p>
            <w:pPr>
              <w:spacing w:after="0"/>
            </w:pPr>
            <w:r/>
            <w:r>
              <w:rPr>
                <w:rFonts w:ascii="Arial" w:hAnsi="Arial"/>
                <w:b w:val="0"/>
                <w:sz w:val="16"/>
              </w:rPr>
              <w:t>Files</w:t>
            </w:r>
          </w:p>
        </w:tc>
        <w:tc>
          <w:tcPr>
            <w:tcW w:type="dxa" w:w="3427"/>
            <w:vAlign w:val="center"/>
          </w:tcPr>
          <w:p>
            <w:pPr>
              <w:spacing w:after="0"/>
            </w:pPr>
            <w:r/>
            <w:r>
              <w:rPr>
                <w:rFonts w:ascii="Arial" w:hAnsi="Arial"/>
                <w:b w:val="0"/>
                <w:sz w:val="16"/>
              </w:rPr>
              <w:t>Authorized reports or attachments.</w:t>
            </w:r>
          </w:p>
        </w:tc>
        <w:tc>
          <w:tcPr>
            <w:tcW w:type="dxa" w:w="3427"/>
            <w:vAlign w:val="center"/>
          </w:tcPr>
          <w:p>
            <w:pPr>
              <w:spacing w:after="0"/>
            </w:pPr>
            <w:r/>
            <w:r>
              <w:rPr>
                <w:rFonts w:ascii="Arial" w:hAnsi="Arial"/>
                <w:b w:val="0"/>
                <w:sz w:val="16"/>
              </w:rPr>
              <w:t>Private storage with metadata and controlled retrieval.</w:t>
            </w:r>
          </w:p>
        </w:tc>
      </w:tr>
    </w:tbl>
    <w:p/>
    <w:p>
      <w:pPr>
        <w:pStyle w:val="Heading1"/>
      </w:pPr>
      <w:r>
        <w:t>11. End-to-End Request and Assessment Sequence</w:t>
      </w:r>
    </w:p>
    <w:p>
      <w:r>
        <w:rPr>
          <w:b/>
        </w:rPr>
        <w:t>Figure 4. Assessment sequence</w:t>
      </w:r>
    </w:p>
    <w:tbl>
      <w:tblPr>
        <w:tblStyle w:val="TableGrid"/>
        <w:tblW w:type="auto" w:w="0"/>
        <w:jc w:val="center"/>
        <w:tblLook w:firstColumn="1" w:firstRow="1" w:lastColumn="0" w:lastRow="0" w:noHBand="0" w:noVBand="1" w:val="04A0"/>
      </w:tblPr>
      <w:tblGrid>
        <w:gridCol w:w="10282"/>
      </w:tblGrid>
      <w:tr>
        <w:tc>
          <w:tcPr>
            <w:tcW w:type="dxa" w:w="10282"/>
            <w:shd w:fill="F3F6F8"/>
          </w:tcPr>
          <w:p>
            <w:pPr>
              <w:spacing w:after="0"/>
            </w:pPr>
            <w:r/>
            <w:r>
              <w:rPr>
                <w:rFonts w:ascii="Consolas" w:hAnsi="Consolas"/>
                <w:sz w:val="15"/>
              </w:rPr>
              <w:t>User -&gt; Browser: submit prenatal visit / request reassessment</w:t>
              <w:br/>
              <w:t>Browser -&gt; Laravel Route: HTTPS request + session</w:t>
              <w:br/>
              <w:t>Route -&gt; Middleware/Policy: authenticate and authorize</w:t>
              <w:br/>
              <w:t>Controller -&gt; FormRequest: validate fields and vocabulary</w:t>
              <w:br/>
              <w:t>Controller -&gt; AssessmentService: assess current pregnancy</w:t>
              <w:br/>
              <w:t>AssessmentService -&gt; MySQL: read source records under correct episode</w:t>
              <w:br/>
              <w:t>AssessmentService -&gt; RuleEngine: deterministic factors</w:t>
              <w:br/>
              <w:t>AssessmentService -&gt; PythonAdapter: validated feature payload</w:t>
              <w:br/>
              <w:t>PythonAdapter -&gt; Python RF: run bounded inference</w:t>
              <w:br/>
              <w:t>Python RF -&gt; PythonAdapter: JSON HIGH/LOW or failure</w:t>
              <w:br/>
              <w:t>AssessmentService -&gt; Resolver: final state + escalation</w:t>
              <w:br/>
              <w:t>AssessmentService -&gt; ExplanationBuilder: reasons + limitations + action</w:t>
              <w:br/>
              <w:t>AssessmentService -&gt; MySQL: atomic snapshot/result/audit commit</w:t>
              <w:br/>
              <w:t>AssessmentService -&gt; EventBus: after-commit notification events</w:t>
              <w:br/>
              <w:t>Controller -&gt; Browser: result view</w:t>
              <w:br/>
              <w:t>Queue Worker -&gt; Email/Report: downstream non-emergency delivery</w:t>
            </w:r>
          </w:p>
        </w:tc>
      </w:tr>
    </w:tbl>
    <w:p/>
    <w:p>
      <w:pPr>
        <w:pStyle w:val="ListNumber"/>
        <w:spacing w:after="40"/>
      </w:pPr>
      <w:r>
        <w:t>Use route model binding or explicit lookup scoped to the patient and pregnancy; never trust a hidden form identifier alone.</w:t>
      </w:r>
    </w:p>
    <w:p>
      <w:pPr>
        <w:pStyle w:val="ListNumber"/>
        <w:spacing w:after="40"/>
      </w:pPr>
      <w:r>
        <w:t>Authorize before reading or mutating sensitive data.</w:t>
      </w:r>
    </w:p>
    <w:p>
      <w:pPr>
        <w:pStyle w:val="ListNumber"/>
        <w:spacing w:after="40"/>
      </w:pPr>
      <w:r>
        <w:t>Validate request syntax before creating the clinical snapshot.</w:t>
      </w:r>
    </w:p>
    <w:p>
      <w:pPr>
        <w:pStyle w:val="ListNumber"/>
        <w:spacing w:after="40"/>
      </w:pPr>
      <w:r>
        <w:t>Perform the final assessment write in a database transaction.</w:t>
      </w:r>
    </w:p>
    <w:p>
      <w:pPr>
        <w:pStyle w:val="ListNumber"/>
        <w:spacing w:after="40"/>
      </w:pPr>
      <w:r>
        <w:t>Dispatch mail or other downstream work only after successful commit.</w:t>
      </w:r>
    </w:p>
    <w:p>
      <w:pPr>
        <w:pStyle w:val="ListNumber"/>
        <w:spacing w:after="40"/>
      </w:pPr>
      <w:r>
        <w:t>Return the persisted assessment version rather than rebuilding the result in the view.</w:t>
      </w:r>
    </w:p>
    <w:p>
      <w:pPr>
        <w:pStyle w:val="Heading1"/>
      </w:pPr>
      <w:r>
        <w:t>12. Trust Boundaries and Security Zones</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pPr>
              <w:spacing w:after="0"/>
            </w:pPr>
            <w:r/>
            <w:r>
              <w:rPr>
                <w:rFonts w:ascii="Arial" w:hAnsi="Arial"/>
                <w:b/>
                <w:sz w:val="16"/>
              </w:rPr>
              <w:t>Boundary</w:t>
            </w:r>
          </w:p>
        </w:tc>
        <w:tc>
          <w:tcPr>
            <w:tcW w:type="dxa" w:w="3427"/>
            <w:vAlign w:val="center"/>
            <w:shd w:fill="D9EAF7"/>
          </w:tcPr>
          <w:p>
            <w:pPr>
              <w:spacing w:after="0"/>
            </w:pPr>
            <w:r/>
            <w:r>
              <w:rPr>
                <w:rFonts w:ascii="Arial" w:hAnsi="Arial"/>
                <w:b/>
                <w:sz w:val="16"/>
              </w:rPr>
              <w:t>Threats</w:t>
            </w:r>
          </w:p>
        </w:tc>
        <w:tc>
          <w:tcPr>
            <w:tcW w:type="dxa" w:w="3427"/>
            <w:vAlign w:val="center"/>
            <w:shd w:fill="D9EAF7"/>
          </w:tcPr>
          <w:p>
            <w:pPr>
              <w:spacing w:after="0"/>
            </w:pPr>
            <w:r/>
            <w:r>
              <w:rPr>
                <w:rFonts w:ascii="Arial" w:hAnsi="Arial"/>
                <w:b/>
                <w:sz w:val="16"/>
              </w:rPr>
              <w:t>Required controls</w:t>
            </w:r>
          </w:p>
        </w:tc>
      </w:tr>
      <w:tr>
        <w:tc>
          <w:tcPr>
            <w:tcW w:type="dxa" w:w="3427"/>
            <w:vAlign w:val="center"/>
          </w:tcPr>
          <w:p>
            <w:pPr>
              <w:spacing w:after="0"/>
            </w:pPr>
            <w:r/>
            <w:r>
              <w:rPr>
                <w:rFonts w:ascii="Arial" w:hAnsi="Arial"/>
                <w:b w:val="0"/>
                <w:sz w:val="16"/>
              </w:rPr>
              <w:t>Browser to Laravel</w:t>
            </w:r>
          </w:p>
        </w:tc>
        <w:tc>
          <w:tcPr>
            <w:tcW w:type="dxa" w:w="3427"/>
            <w:vAlign w:val="center"/>
          </w:tcPr>
          <w:p>
            <w:pPr>
              <w:spacing w:after="0"/>
            </w:pPr>
            <w:r/>
            <w:r>
              <w:rPr>
                <w:rFonts w:ascii="Arial" w:hAnsi="Arial"/>
                <w:b w:val="0"/>
                <w:sz w:val="16"/>
              </w:rPr>
              <w:t>Unauthorized access, CSRF, tampering, session theft, direct-object reference.</w:t>
            </w:r>
          </w:p>
        </w:tc>
        <w:tc>
          <w:tcPr>
            <w:tcW w:type="dxa" w:w="3427"/>
            <w:vAlign w:val="center"/>
          </w:tcPr>
          <w:p>
            <w:pPr>
              <w:spacing w:after="0"/>
            </w:pPr>
            <w:r/>
            <w:r>
              <w:rPr>
                <w:rFonts w:ascii="Arial" w:hAnsi="Arial"/>
                <w:b w:val="0"/>
                <w:sz w:val="16"/>
              </w:rPr>
              <w:t>HTTPS, authentication, CSRF protection, server-side policies, secure cookies, validation, rate limiting.</w:t>
            </w:r>
          </w:p>
        </w:tc>
      </w:tr>
      <w:tr>
        <w:tc>
          <w:tcPr>
            <w:tcW w:type="dxa" w:w="3427"/>
            <w:vAlign w:val="center"/>
          </w:tcPr>
          <w:p>
            <w:pPr>
              <w:spacing w:after="0"/>
            </w:pPr>
            <w:r/>
            <w:r>
              <w:rPr>
                <w:rFonts w:ascii="Arial" w:hAnsi="Arial"/>
                <w:b w:val="0"/>
                <w:sz w:val="16"/>
              </w:rPr>
              <w:t>Laravel to MySQL</w:t>
            </w:r>
          </w:p>
        </w:tc>
        <w:tc>
          <w:tcPr>
            <w:tcW w:type="dxa" w:w="3427"/>
            <w:vAlign w:val="center"/>
          </w:tcPr>
          <w:p>
            <w:pPr>
              <w:spacing w:after="0"/>
            </w:pPr>
            <w:r/>
            <w:r>
              <w:rPr>
                <w:rFonts w:ascii="Arial" w:hAnsi="Arial"/>
                <w:b w:val="0"/>
                <w:sz w:val="16"/>
              </w:rPr>
              <w:t>Excess privilege, injection, unauthorized export, data corruption.</w:t>
            </w:r>
          </w:p>
        </w:tc>
        <w:tc>
          <w:tcPr>
            <w:tcW w:type="dxa" w:w="3427"/>
            <w:vAlign w:val="center"/>
          </w:tcPr>
          <w:p>
            <w:pPr>
              <w:spacing w:after="0"/>
            </w:pPr>
            <w:r/>
            <w:r>
              <w:rPr>
                <w:rFonts w:ascii="Arial" w:hAnsi="Arial"/>
                <w:b w:val="0"/>
                <w:sz w:val="16"/>
              </w:rPr>
              <w:t>ORM/parameterization, least-privilege account, transactions, private connectivity, backups, audit.</w:t>
            </w:r>
          </w:p>
        </w:tc>
      </w:tr>
      <w:tr>
        <w:tc>
          <w:tcPr>
            <w:tcW w:type="dxa" w:w="3427"/>
            <w:vAlign w:val="center"/>
          </w:tcPr>
          <w:p>
            <w:pPr>
              <w:spacing w:after="0"/>
            </w:pPr>
            <w:r/>
            <w:r>
              <w:rPr>
                <w:rFonts w:ascii="Arial" w:hAnsi="Arial"/>
                <w:b w:val="0"/>
                <w:sz w:val="16"/>
              </w:rPr>
              <w:t>Laravel to Python</w:t>
            </w:r>
          </w:p>
        </w:tc>
        <w:tc>
          <w:tcPr>
            <w:tcW w:type="dxa" w:w="3427"/>
            <w:vAlign w:val="center"/>
          </w:tcPr>
          <w:p>
            <w:pPr>
              <w:spacing w:after="0"/>
            </w:pPr>
            <w:r/>
            <w:r>
              <w:rPr>
                <w:rFonts w:ascii="Arial" w:hAnsi="Arial"/>
                <w:b w:val="0"/>
                <w:sz w:val="16"/>
              </w:rPr>
              <w:t>Command injection, malicious arguments, schema mismatch, untrusted artifact, hangs.</w:t>
            </w:r>
          </w:p>
        </w:tc>
        <w:tc>
          <w:tcPr>
            <w:tcW w:type="dxa" w:w="3427"/>
            <w:vAlign w:val="center"/>
          </w:tcPr>
          <w:p>
            <w:pPr>
              <w:spacing w:after="0"/>
            </w:pPr>
            <w:r/>
            <w:r>
              <w:rPr>
                <w:rFonts w:ascii="Arial" w:hAnsi="Arial"/>
                <w:b w:val="0"/>
                <w:sz w:val="16"/>
              </w:rPr>
              <w:t>No shell, controlled executable, strict schema, hash/version checks, timeout, resource limits, sanitized logs.</w:t>
            </w:r>
          </w:p>
        </w:tc>
      </w:tr>
      <w:tr>
        <w:tc>
          <w:tcPr>
            <w:tcW w:type="dxa" w:w="3427"/>
            <w:vAlign w:val="center"/>
          </w:tcPr>
          <w:p>
            <w:pPr>
              <w:spacing w:after="0"/>
            </w:pPr>
            <w:r/>
            <w:r>
              <w:rPr>
                <w:rFonts w:ascii="Arial" w:hAnsi="Arial"/>
                <w:b w:val="0"/>
                <w:sz w:val="16"/>
              </w:rPr>
              <w:t>Laravel to private files</w:t>
            </w:r>
          </w:p>
        </w:tc>
        <w:tc>
          <w:tcPr>
            <w:tcW w:type="dxa" w:w="3427"/>
            <w:vAlign w:val="center"/>
          </w:tcPr>
          <w:p>
            <w:pPr>
              <w:spacing w:after="0"/>
            </w:pPr>
            <w:r/>
            <w:r>
              <w:rPr>
                <w:rFonts w:ascii="Arial" w:hAnsi="Arial"/>
                <w:b w:val="0"/>
                <w:sz w:val="16"/>
              </w:rPr>
              <w:t>Path traversal, unauthorized download, malicious upload.</w:t>
            </w:r>
          </w:p>
        </w:tc>
        <w:tc>
          <w:tcPr>
            <w:tcW w:type="dxa" w:w="3427"/>
            <w:vAlign w:val="center"/>
          </w:tcPr>
          <w:p>
            <w:pPr>
              <w:spacing w:after="0"/>
            </w:pPr>
            <w:r/>
            <w:r>
              <w:rPr>
                <w:rFonts w:ascii="Arial" w:hAnsi="Arial"/>
                <w:b w:val="0"/>
                <w:sz w:val="16"/>
              </w:rPr>
              <w:t>Generated names, MIME/content checks, private storage, policy-controlled streaming.</w:t>
            </w:r>
          </w:p>
        </w:tc>
      </w:tr>
      <w:tr>
        <w:tc>
          <w:tcPr>
            <w:tcW w:type="dxa" w:w="3427"/>
            <w:vAlign w:val="center"/>
          </w:tcPr>
          <w:p>
            <w:pPr>
              <w:spacing w:after="0"/>
            </w:pPr>
            <w:r/>
            <w:r>
              <w:rPr>
                <w:rFonts w:ascii="Arial" w:hAnsi="Arial"/>
                <w:b w:val="0"/>
                <w:sz w:val="16"/>
              </w:rPr>
              <w:t>Laravel to SMTP</w:t>
            </w:r>
          </w:p>
        </w:tc>
        <w:tc>
          <w:tcPr>
            <w:tcW w:type="dxa" w:w="3427"/>
            <w:vAlign w:val="center"/>
          </w:tcPr>
          <w:p>
            <w:pPr>
              <w:spacing w:after="0"/>
            </w:pPr>
            <w:r/>
            <w:r>
              <w:rPr>
                <w:rFonts w:ascii="Arial" w:hAnsi="Arial"/>
                <w:b w:val="0"/>
                <w:sz w:val="16"/>
              </w:rPr>
              <w:t>Data leakage, delivery failure, spoofing.</w:t>
            </w:r>
          </w:p>
        </w:tc>
        <w:tc>
          <w:tcPr>
            <w:tcW w:type="dxa" w:w="3427"/>
            <w:vAlign w:val="center"/>
          </w:tcPr>
          <w:p>
            <w:pPr>
              <w:spacing w:after="0"/>
            </w:pPr>
            <w:r/>
            <w:r>
              <w:rPr>
                <w:rFonts w:ascii="Arial" w:hAnsi="Arial"/>
                <w:b w:val="0"/>
                <w:sz w:val="16"/>
              </w:rPr>
              <w:t>Minimum necessary content, TLS/provider controls, delivery logging, no emergency dependency.</w:t>
            </w:r>
          </w:p>
        </w:tc>
      </w:tr>
      <w:tr>
        <w:tc>
          <w:tcPr>
            <w:tcW w:type="dxa" w:w="3427"/>
            <w:vAlign w:val="center"/>
          </w:tcPr>
          <w:p>
            <w:pPr>
              <w:spacing w:after="0"/>
            </w:pPr>
            <w:r/>
            <w:r>
              <w:rPr>
                <w:rFonts w:ascii="Arial" w:hAnsi="Arial"/>
                <w:b w:val="0"/>
                <w:sz w:val="16"/>
              </w:rPr>
              <w:t>Application to logs</w:t>
            </w:r>
          </w:p>
        </w:tc>
        <w:tc>
          <w:tcPr>
            <w:tcW w:type="dxa" w:w="3427"/>
            <w:vAlign w:val="center"/>
          </w:tcPr>
          <w:p>
            <w:pPr>
              <w:spacing w:after="0"/>
            </w:pPr>
            <w:r/>
            <w:r>
              <w:rPr>
                <w:rFonts w:ascii="Arial" w:hAnsi="Arial"/>
                <w:b w:val="0"/>
                <w:sz w:val="16"/>
              </w:rPr>
              <w:t>Sensitive-data exposure or log tampering.</w:t>
            </w:r>
          </w:p>
        </w:tc>
        <w:tc>
          <w:tcPr>
            <w:tcW w:type="dxa" w:w="3427"/>
            <w:vAlign w:val="center"/>
          </w:tcPr>
          <w:p>
            <w:pPr>
              <w:spacing w:after="0"/>
            </w:pPr>
            <w:r/>
            <w:r>
              <w:rPr>
                <w:rFonts w:ascii="Arial" w:hAnsi="Arial"/>
                <w:b w:val="0"/>
                <w:sz w:val="16"/>
              </w:rPr>
              <w:t>Structured minimization, access control, retention, integrity monitoring.</w:t>
            </w:r>
          </w:p>
        </w:tc>
      </w:tr>
      <w:tr>
        <w:tc>
          <w:tcPr>
            <w:tcW w:type="dxa" w:w="3427"/>
            <w:vAlign w:val="center"/>
          </w:tcPr>
          <w:p>
            <w:pPr>
              <w:spacing w:after="0"/>
            </w:pPr>
            <w:r/>
            <w:r>
              <w:rPr>
                <w:rFonts w:ascii="Arial" w:hAnsi="Arial"/>
                <w:b w:val="0"/>
                <w:sz w:val="16"/>
              </w:rPr>
              <w:t>Administrator to production</w:t>
            </w:r>
          </w:p>
        </w:tc>
        <w:tc>
          <w:tcPr>
            <w:tcW w:type="dxa" w:w="3427"/>
            <w:vAlign w:val="center"/>
          </w:tcPr>
          <w:p>
            <w:pPr>
              <w:spacing w:after="0"/>
            </w:pPr>
            <w:r/>
            <w:r>
              <w:rPr>
                <w:rFonts w:ascii="Arial" w:hAnsi="Arial"/>
                <w:b w:val="0"/>
                <w:sz w:val="16"/>
              </w:rPr>
              <w:t>Unreviewed edits, secret exposure, destructive maintenance.</w:t>
            </w:r>
          </w:p>
        </w:tc>
        <w:tc>
          <w:tcPr>
            <w:tcW w:type="dxa" w:w="3427"/>
            <w:vAlign w:val="center"/>
          </w:tcPr>
          <w:p>
            <w:pPr>
              <w:spacing w:after="0"/>
            </w:pPr>
            <w:r/>
            <w:r>
              <w:rPr>
                <w:rFonts w:ascii="Arial" w:hAnsi="Arial"/>
                <w:b w:val="0"/>
                <w:sz w:val="16"/>
              </w:rPr>
              <w:t>Named accounts, least privilege, change control, backups, audit, no direct clinical-data manipulation.</w:t>
            </w:r>
          </w:p>
        </w:tc>
      </w:tr>
      <w:tr>
        <w:tc>
          <w:tcPr>
            <w:tcW w:type="dxa" w:w="3427"/>
            <w:vAlign w:val="center"/>
          </w:tcPr>
          <w:p>
            <w:pPr>
              <w:spacing w:after="0"/>
            </w:pPr>
            <w:r/>
            <w:r>
              <w:rPr>
                <w:rFonts w:ascii="Arial" w:hAnsi="Arial"/>
                <w:b w:val="0"/>
                <w:sz w:val="16"/>
              </w:rPr>
              <w:t>Backup and restore</w:t>
            </w:r>
          </w:p>
        </w:tc>
        <w:tc>
          <w:tcPr>
            <w:tcW w:type="dxa" w:w="3427"/>
            <w:vAlign w:val="center"/>
          </w:tcPr>
          <w:p>
            <w:pPr>
              <w:spacing w:after="0"/>
            </w:pPr>
            <w:r/>
            <w:r>
              <w:rPr>
                <w:rFonts w:ascii="Arial" w:hAnsi="Arial"/>
                <w:b w:val="0"/>
                <w:sz w:val="16"/>
              </w:rPr>
              <w:t>Theft, stale backup, untested recovery.</w:t>
            </w:r>
          </w:p>
        </w:tc>
        <w:tc>
          <w:tcPr>
            <w:tcW w:type="dxa" w:w="3427"/>
            <w:vAlign w:val="center"/>
          </w:tcPr>
          <w:p>
            <w:pPr>
              <w:spacing w:after="0"/>
            </w:pPr>
            <w:r/>
            <w:r>
              <w:rPr>
                <w:rFonts w:ascii="Arial" w:hAnsi="Arial"/>
                <w:b w:val="0"/>
                <w:sz w:val="16"/>
              </w:rPr>
              <w:t>Encryption, restricted access, retention, restore testing, documented ownership.</w:t>
            </w:r>
          </w:p>
        </w:tc>
      </w:tr>
    </w:tbl>
    <w:p/>
    <w:p>
      <w:pPr>
        <w:pStyle w:val="Heading1"/>
      </w:pPr>
      <w:r>
        <w:t>13. Failure Containment Architecture</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0"/>
            </w:pPr>
            <w:r/>
            <w:r>
              <w:rPr>
                <w:rFonts w:ascii="Arial" w:hAnsi="Arial"/>
                <w:b/>
                <w:sz w:val="16"/>
              </w:rPr>
              <w:t>Failure</w:t>
            </w:r>
          </w:p>
        </w:tc>
        <w:tc>
          <w:tcPr>
            <w:tcW w:type="dxa" w:w="5141"/>
            <w:vAlign w:val="center"/>
            <w:shd w:fill="D9EAF7"/>
          </w:tcPr>
          <w:p>
            <w:pPr>
              <w:spacing w:after="0"/>
            </w:pPr>
            <w:r/>
            <w:r>
              <w:rPr>
                <w:rFonts w:ascii="Arial" w:hAnsi="Arial"/>
                <w:b/>
                <w:sz w:val="16"/>
              </w:rPr>
              <w:t>Contained behavior</w:t>
            </w:r>
          </w:p>
        </w:tc>
      </w:tr>
      <w:tr>
        <w:tc>
          <w:tcPr>
            <w:tcW w:type="dxa" w:w="5141"/>
            <w:vAlign w:val="center"/>
          </w:tcPr>
          <w:p>
            <w:pPr>
              <w:spacing w:after="0"/>
            </w:pPr>
            <w:r/>
            <w:r>
              <w:rPr>
                <w:rFonts w:ascii="Arial" w:hAnsi="Arial"/>
                <w:b w:val="0"/>
                <w:sz w:val="16"/>
              </w:rPr>
              <w:t>Validation failure</w:t>
            </w:r>
          </w:p>
        </w:tc>
        <w:tc>
          <w:tcPr>
            <w:tcW w:type="dxa" w:w="5141"/>
            <w:vAlign w:val="center"/>
          </w:tcPr>
          <w:p>
            <w:pPr>
              <w:spacing w:after="0"/>
            </w:pPr>
            <w:r/>
            <w:r>
              <w:rPr>
                <w:rFonts w:ascii="Arial" w:hAnsi="Arial"/>
                <w:b w:val="0"/>
                <w:sz w:val="16"/>
              </w:rPr>
              <w:t>Reject save with field-level feedback; no assessment version created from invalid input.</w:t>
            </w:r>
          </w:p>
        </w:tc>
      </w:tr>
      <w:tr>
        <w:tc>
          <w:tcPr>
            <w:tcW w:type="dxa" w:w="5141"/>
            <w:vAlign w:val="center"/>
          </w:tcPr>
          <w:p>
            <w:pPr>
              <w:spacing w:after="0"/>
            </w:pPr>
            <w:r/>
            <w:r>
              <w:rPr>
                <w:rFonts w:ascii="Arial" w:hAnsi="Arial"/>
                <w:b w:val="0"/>
                <w:sz w:val="16"/>
              </w:rPr>
              <w:t>Python missing, timeout, crash, or malformed output</w:t>
            </w:r>
          </w:p>
        </w:tc>
        <w:tc>
          <w:tcPr>
            <w:tcW w:type="dxa" w:w="5141"/>
            <w:vAlign w:val="center"/>
          </w:tcPr>
          <w:p>
            <w:pPr>
              <w:spacing w:after="0"/>
            </w:pPr>
            <w:r/>
            <w:r>
              <w:rPr>
                <w:rFonts w:ascii="Arial" w:hAnsi="Arial"/>
                <w:b w:val="0"/>
                <w:sz w:val="16"/>
              </w:rPr>
              <w:t>Record explicit ML failure; preserve deterministic HIGH; otherwise INCOMPLETE.</w:t>
            </w:r>
          </w:p>
        </w:tc>
      </w:tr>
      <w:tr>
        <w:tc>
          <w:tcPr>
            <w:tcW w:type="dxa" w:w="5141"/>
            <w:vAlign w:val="center"/>
          </w:tcPr>
          <w:p>
            <w:pPr>
              <w:spacing w:after="0"/>
            </w:pPr>
            <w:r/>
            <w:r>
              <w:rPr>
                <w:rFonts w:ascii="Arial" w:hAnsi="Arial"/>
                <w:b w:val="0"/>
                <w:sz w:val="16"/>
              </w:rPr>
              <w:t>Database transaction failure</w:t>
            </w:r>
          </w:p>
        </w:tc>
        <w:tc>
          <w:tcPr>
            <w:tcW w:type="dxa" w:w="5141"/>
            <w:vAlign w:val="center"/>
          </w:tcPr>
          <w:p>
            <w:pPr>
              <w:spacing w:after="0"/>
            </w:pPr>
            <w:r/>
            <w:r>
              <w:rPr>
                <w:rFonts w:ascii="Arial" w:hAnsi="Arial"/>
                <w:b w:val="0"/>
                <w:sz w:val="16"/>
              </w:rPr>
              <w:t>Rollback assessment and dependent records; do not show false success.</w:t>
            </w:r>
          </w:p>
        </w:tc>
      </w:tr>
      <w:tr>
        <w:tc>
          <w:tcPr>
            <w:tcW w:type="dxa" w:w="5141"/>
            <w:vAlign w:val="center"/>
          </w:tcPr>
          <w:p>
            <w:pPr>
              <w:spacing w:after="0"/>
            </w:pPr>
            <w:r/>
            <w:r>
              <w:rPr>
                <w:rFonts w:ascii="Arial" w:hAnsi="Arial"/>
                <w:b w:val="0"/>
                <w:sz w:val="16"/>
              </w:rPr>
              <w:t>Email or queue failure</w:t>
            </w:r>
          </w:p>
        </w:tc>
        <w:tc>
          <w:tcPr>
            <w:tcW w:type="dxa" w:w="5141"/>
            <w:vAlign w:val="center"/>
          </w:tcPr>
          <w:p>
            <w:pPr>
              <w:spacing w:after="0"/>
            </w:pPr>
            <w:r/>
            <w:r>
              <w:rPr>
                <w:rFonts w:ascii="Arial" w:hAnsi="Arial"/>
                <w:b w:val="0"/>
                <w:sz w:val="16"/>
              </w:rPr>
              <w:t>Assessment and referral remain valid; delivery failure is visible and retryable.</w:t>
            </w:r>
          </w:p>
        </w:tc>
      </w:tr>
      <w:tr>
        <w:tc>
          <w:tcPr>
            <w:tcW w:type="dxa" w:w="5141"/>
            <w:vAlign w:val="center"/>
          </w:tcPr>
          <w:p>
            <w:pPr>
              <w:spacing w:after="0"/>
            </w:pPr>
            <w:r/>
            <w:r>
              <w:rPr>
                <w:rFonts w:ascii="Arial" w:hAnsi="Arial"/>
                <w:b w:val="0"/>
                <w:sz w:val="16"/>
              </w:rPr>
              <w:t>Print failure</w:t>
            </w:r>
          </w:p>
        </w:tc>
        <w:tc>
          <w:tcPr>
            <w:tcW w:type="dxa" w:w="5141"/>
            <w:vAlign w:val="center"/>
          </w:tcPr>
          <w:p>
            <w:pPr>
              <w:spacing w:after="0"/>
            </w:pPr>
            <w:r/>
            <w:r>
              <w:rPr>
                <w:rFonts w:ascii="Arial" w:hAnsi="Arial"/>
                <w:b w:val="0"/>
                <w:sz w:val="16"/>
              </w:rPr>
              <w:t>Use screen or approved manual handover; do not change state.</w:t>
            </w:r>
          </w:p>
        </w:tc>
      </w:tr>
      <w:tr>
        <w:tc>
          <w:tcPr>
            <w:tcW w:type="dxa" w:w="5141"/>
            <w:vAlign w:val="center"/>
          </w:tcPr>
          <w:p>
            <w:pPr>
              <w:spacing w:after="0"/>
            </w:pPr>
            <w:r/>
            <w:r>
              <w:rPr>
                <w:rFonts w:ascii="Arial" w:hAnsi="Arial"/>
                <w:b w:val="0"/>
                <w:sz w:val="16"/>
              </w:rPr>
              <w:t>Network or application outage</w:t>
            </w:r>
          </w:p>
        </w:tc>
        <w:tc>
          <w:tcPr>
            <w:tcW w:type="dxa" w:w="5141"/>
            <w:vAlign w:val="center"/>
          </w:tcPr>
          <w:p>
            <w:pPr>
              <w:spacing w:after="0"/>
            </w:pPr>
            <w:r/>
            <w:r>
              <w:rPr>
                <w:rFonts w:ascii="Arial" w:hAnsi="Arial"/>
                <w:b w:val="0"/>
                <w:sz w:val="16"/>
              </w:rPr>
              <w:t>Clinic follows manual downtime and emergency procedures; later authorized back-entry is audited.</w:t>
            </w:r>
          </w:p>
        </w:tc>
      </w:tr>
      <w:tr>
        <w:tc>
          <w:tcPr>
            <w:tcW w:type="dxa" w:w="5141"/>
            <w:vAlign w:val="center"/>
          </w:tcPr>
          <w:p>
            <w:pPr>
              <w:spacing w:after="0"/>
            </w:pPr>
            <w:r/>
            <w:r>
              <w:rPr>
                <w:rFonts w:ascii="Arial" w:hAnsi="Arial"/>
                <w:b w:val="0"/>
                <w:sz w:val="16"/>
              </w:rPr>
              <w:t>Stale model or schema mismatch</w:t>
            </w:r>
          </w:p>
        </w:tc>
        <w:tc>
          <w:tcPr>
            <w:tcW w:type="dxa" w:w="5141"/>
            <w:vAlign w:val="center"/>
          </w:tcPr>
          <w:p>
            <w:pPr>
              <w:spacing w:after="0"/>
            </w:pPr>
            <w:r/>
            <w:r>
              <w:rPr>
                <w:rFonts w:ascii="Arial" w:hAnsi="Arial"/>
                <w:b w:val="0"/>
                <w:sz w:val="16"/>
              </w:rPr>
              <w:t>Block inference and fail the release/health gate.</w:t>
            </w:r>
          </w:p>
        </w:tc>
      </w:tr>
      <w:tr>
        <w:tc>
          <w:tcPr>
            <w:tcW w:type="dxa" w:w="5141"/>
            <w:vAlign w:val="center"/>
          </w:tcPr>
          <w:p>
            <w:pPr>
              <w:spacing w:after="0"/>
            </w:pPr>
            <w:r/>
            <w:r>
              <w:rPr>
                <w:rFonts w:ascii="Arial" w:hAnsi="Arial"/>
                <w:b w:val="0"/>
                <w:sz w:val="16"/>
              </w:rPr>
              <w:t>Unexpected rule exception</w:t>
            </w:r>
          </w:p>
        </w:tc>
        <w:tc>
          <w:tcPr>
            <w:tcW w:type="dxa" w:w="5141"/>
            <w:vAlign w:val="center"/>
          </w:tcPr>
          <w:p>
            <w:pPr>
              <w:spacing w:after="0"/>
            </w:pPr>
            <w:r/>
            <w:r>
              <w:rPr>
                <w:rFonts w:ascii="Arial" w:hAnsi="Arial"/>
                <w:b w:val="0"/>
                <w:sz w:val="16"/>
              </w:rPr>
              <w:t>Do not default to LOW; contain error, log, and require review.</w:t>
            </w:r>
          </w:p>
        </w:tc>
      </w:tr>
      <w:tr>
        <w:tc>
          <w:tcPr>
            <w:tcW w:type="dxa" w:w="5141"/>
            <w:vAlign w:val="center"/>
          </w:tcPr>
          <w:p>
            <w:pPr>
              <w:spacing w:after="0"/>
            </w:pPr>
            <w:r/>
            <w:r>
              <w:rPr>
                <w:rFonts w:ascii="Arial" w:hAnsi="Arial"/>
                <w:b w:val="0"/>
                <w:sz w:val="16"/>
              </w:rPr>
              <w:t>Wrong or delivered pregnancy mutation</w:t>
            </w:r>
          </w:p>
        </w:tc>
        <w:tc>
          <w:tcPr>
            <w:tcW w:type="dxa" w:w="5141"/>
            <w:vAlign w:val="center"/>
          </w:tcPr>
          <w:p>
            <w:pPr>
              <w:spacing w:after="0"/>
            </w:pPr>
            <w:r/>
            <w:r>
              <w:rPr>
                <w:rFonts w:ascii="Arial" w:hAnsi="Arial"/>
                <w:b w:val="0"/>
                <w:sz w:val="16"/>
              </w:rPr>
              <w:t>Server-side guard blocks active-care edit.</w:t>
            </w:r>
          </w:p>
        </w:tc>
      </w:tr>
      <w:tr>
        <w:tc>
          <w:tcPr>
            <w:tcW w:type="dxa" w:w="5141"/>
            <w:vAlign w:val="center"/>
          </w:tcPr>
          <w:p>
            <w:pPr>
              <w:spacing w:after="0"/>
            </w:pPr>
            <w:r/>
            <w:r>
              <w:rPr>
                <w:rFonts w:ascii="Arial" w:hAnsi="Arial"/>
                <w:b w:val="0"/>
                <w:sz w:val="16"/>
              </w:rPr>
              <w:t>Partial referral workflow</w:t>
            </w:r>
          </w:p>
        </w:tc>
        <w:tc>
          <w:tcPr>
            <w:tcW w:type="dxa" w:w="5141"/>
            <w:vAlign w:val="center"/>
          </w:tcPr>
          <w:p>
            <w:pPr>
              <w:spacing w:after="0"/>
            </w:pPr>
            <w:r/>
            <w:r>
              <w:rPr>
                <w:rFonts w:ascii="Arial" w:hAnsi="Arial"/>
                <w:b w:val="0"/>
                <w:sz w:val="16"/>
              </w:rPr>
              <w:t>Preserve current status and history; do not mark completion automatically.</w:t>
            </w:r>
          </w:p>
        </w:tc>
      </w:tr>
    </w:tbl>
    <w:p/>
    <w:tbl>
      <w:tblPr>
        <w:tblStyle w:val="TableGrid"/>
        <w:tblW w:type="auto" w:w="0"/>
        <w:jc w:val="center"/>
        <w:tblLook w:firstColumn="1" w:firstRow="1" w:lastColumn="0" w:lastRow="0" w:noHBand="0" w:noVBand="1" w:val="04A0"/>
      </w:tblPr>
      <w:tblGrid>
        <w:gridCol w:w="10282"/>
      </w:tblGrid>
      <w:tr>
        <w:tc>
          <w:tcPr>
            <w:tcW w:type="dxa" w:w="10282"/>
            <w:shd w:fill="FFF2CC"/>
          </w:tcPr>
          <w:p>
            <w:pPr>
              <w:spacing w:after="40"/>
            </w:pPr>
            <w:r/>
            <w:r>
              <w:rPr>
                <w:rFonts w:ascii="Arial" w:hAnsi="Arial"/>
                <w:b/>
                <w:sz w:val="18"/>
              </w:rPr>
              <w:t>Fail-safe principle</w:t>
            </w:r>
          </w:p>
          <w:p>
            <w:pPr>
              <w:spacing w:after="0"/>
            </w:pPr>
            <w:r>
              <w:rPr>
                <w:rFonts w:ascii="Arial" w:hAnsi="Arial"/>
                <w:sz w:val="17"/>
              </w:rPr>
              <w:t>Technical success is not clinical success, and technical failure is never interpreted as a reassuring result.</w:t>
            </w:r>
          </w:p>
        </w:tc>
      </w:tr>
    </w:tbl>
    <w:p/>
    <w:p>
      <w:pPr>
        <w:pStyle w:val="Heading1"/>
      </w:pPr>
      <w:r>
        <w:t>14. Transaction and Event Boundaries</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pPr>
              <w:spacing w:after="0"/>
            </w:pPr>
            <w:r/>
            <w:r>
              <w:rPr>
                <w:rFonts w:ascii="Arial" w:hAnsi="Arial"/>
                <w:b/>
                <w:sz w:val="16"/>
              </w:rPr>
              <w:t>Operation</w:t>
            </w:r>
          </w:p>
        </w:tc>
        <w:tc>
          <w:tcPr>
            <w:tcW w:type="dxa" w:w="3427"/>
            <w:vAlign w:val="center"/>
            <w:shd w:fill="D9EAF7"/>
          </w:tcPr>
          <w:p>
            <w:pPr>
              <w:spacing w:after="0"/>
            </w:pPr>
            <w:r/>
            <w:r>
              <w:rPr>
                <w:rFonts w:ascii="Arial" w:hAnsi="Arial"/>
                <w:b/>
                <w:sz w:val="16"/>
              </w:rPr>
              <w:t>Transaction boundary</w:t>
            </w:r>
          </w:p>
        </w:tc>
        <w:tc>
          <w:tcPr>
            <w:tcW w:type="dxa" w:w="3427"/>
            <w:vAlign w:val="center"/>
            <w:shd w:fill="D9EAF7"/>
          </w:tcPr>
          <w:p>
            <w:pPr>
              <w:spacing w:after="0"/>
            </w:pPr>
            <w:r/>
            <w:r>
              <w:rPr>
                <w:rFonts w:ascii="Arial" w:hAnsi="Arial"/>
                <w:b/>
                <w:sz w:val="16"/>
              </w:rPr>
              <w:t>After-commit activity</w:t>
            </w:r>
          </w:p>
        </w:tc>
      </w:tr>
      <w:tr>
        <w:tc>
          <w:tcPr>
            <w:tcW w:type="dxa" w:w="3427"/>
            <w:vAlign w:val="center"/>
          </w:tcPr>
          <w:p>
            <w:pPr>
              <w:spacing w:after="0"/>
            </w:pPr>
            <w:r/>
            <w:r>
              <w:rPr>
                <w:rFonts w:ascii="Arial" w:hAnsi="Arial"/>
                <w:b w:val="0"/>
                <w:sz w:val="16"/>
              </w:rPr>
              <w:t>Create or update clinical record and recalculate</w:t>
            </w:r>
          </w:p>
        </w:tc>
        <w:tc>
          <w:tcPr>
            <w:tcW w:type="dxa" w:w="3427"/>
            <w:vAlign w:val="center"/>
          </w:tcPr>
          <w:p>
            <w:pPr>
              <w:spacing w:after="0"/>
            </w:pPr>
            <w:r/>
            <w:r>
              <w:rPr>
                <w:rFonts w:ascii="Arial" w:hAnsi="Arial"/>
                <w:b w:val="0"/>
                <w:sz w:val="16"/>
              </w:rPr>
              <w:t>Save source record, snapshot, result, reasons, versions, and audit consistently.</w:t>
            </w:r>
          </w:p>
        </w:tc>
        <w:tc>
          <w:tcPr>
            <w:tcW w:type="dxa" w:w="3427"/>
            <w:vAlign w:val="center"/>
          </w:tcPr>
          <w:p>
            <w:pPr>
              <w:spacing w:after="0"/>
            </w:pPr>
            <w:r/>
            <w:r>
              <w:rPr>
                <w:rFonts w:ascii="Arial" w:hAnsi="Arial"/>
                <w:b w:val="0"/>
                <w:sz w:val="16"/>
              </w:rPr>
              <w:t>Queue non-urgent notification and refresh derived dashboards.</w:t>
            </w:r>
          </w:p>
        </w:tc>
      </w:tr>
      <w:tr>
        <w:tc>
          <w:tcPr>
            <w:tcW w:type="dxa" w:w="3427"/>
            <w:vAlign w:val="center"/>
          </w:tcPr>
          <w:p>
            <w:pPr>
              <w:spacing w:after="0"/>
            </w:pPr>
            <w:r/>
            <w:r>
              <w:rPr>
                <w:rFonts w:ascii="Arial" w:hAnsi="Arial"/>
                <w:b w:val="0"/>
                <w:sz w:val="16"/>
              </w:rPr>
              <w:t>Create referral</w:t>
            </w:r>
          </w:p>
        </w:tc>
        <w:tc>
          <w:tcPr>
            <w:tcW w:type="dxa" w:w="3427"/>
            <w:vAlign w:val="center"/>
          </w:tcPr>
          <w:p>
            <w:pPr>
              <w:spacing w:after="0"/>
            </w:pPr>
            <w:r/>
            <w:r>
              <w:rPr>
                <w:rFonts w:ascii="Arial" w:hAnsi="Arial"/>
                <w:b w:val="0"/>
                <w:sz w:val="16"/>
              </w:rPr>
              <w:t>Referral, linked assessment version, reason snapshot, and audit.</w:t>
            </w:r>
          </w:p>
        </w:tc>
        <w:tc>
          <w:tcPr>
            <w:tcW w:type="dxa" w:w="3427"/>
            <w:vAlign w:val="center"/>
          </w:tcPr>
          <w:p>
            <w:pPr>
              <w:spacing w:after="0"/>
            </w:pPr>
            <w:r/>
            <w:r>
              <w:rPr>
                <w:rFonts w:ascii="Arial" w:hAnsi="Arial"/>
                <w:b w:val="0"/>
                <w:sz w:val="16"/>
              </w:rPr>
              <w:t>Send email or create printable handover.</w:t>
            </w:r>
          </w:p>
        </w:tc>
      </w:tr>
      <w:tr>
        <w:tc>
          <w:tcPr>
            <w:tcW w:type="dxa" w:w="3427"/>
            <w:vAlign w:val="center"/>
          </w:tcPr>
          <w:p>
            <w:pPr>
              <w:spacing w:after="0"/>
            </w:pPr>
            <w:r/>
            <w:r>
              <w:rPr>
                <w:rFonts w:ascii="Arial" w:hAnsi="Arial"/>
                <w:b w:val="0"/>
                <w:sz w:val="16"/>
              </w:rPr>
              <w:t>Mark delivered</w:t>
            </w:r>
          </w:p>
        </w:tc>
        <w:tc>
          <w:tcPr>
            <w:tcW w:type="dxa" w:w="3427"/>
            <w:vAlign w:val="center"/>
          </w:tcPr>
          <w:p>
            <w:pPr>
              <w:spacing w:after="0"/>
            </w:pPr>
            <w:r/>
            <w:r>
              <w:rPr>
                <w:rFonts w:ascii="Arial" w:hAnsi="Arial"/>
                <w:b w:val="0"/>
                <w:sz w:val="16"/>
              </w:rPr>
              <w:t>Patient/pregnancy status, delivery date, baby records, active-care lock, and audit.</w:t>
            </w:r>
          </w:p>
        </w:tc>
        <w:tc>
          <w:tcPr>
            <w:tcW w:type="dxa" w:w="3427"/>
            <w:vAlign w:val="center"/>
          </w:tcPr>
          <w:p>
            <w:pPr>
              <w:spacing w:after="0"/>
            </w:pPr>
            <w:r/>
            <w:r>
              <w:rPr>
                <w:rFonts w:ascii="Arial" w:hAnsi="Arial"/>
                <w:b w:val="0"/>
                <w:sz w:val="16"/>
              </w:rPr>
              <w:t>Notify or update reports.</w:t>
            </w:r>
          </w:p>
        </w:tc>
      </w:tr>
      <w:tr>
        <w:tc>
          <w:tcPr>
            <w:tcW w:type="dxa" w:w="3427"/>
            <w:vAlign w:val="center"/>
          </w:tcPr>
          <w:p>
            <w:pPr>
              <w:spacing w:after="0"/>
            </w:pPr>
            <w:r/>
            <w:r>
              <w:rPr>
                <w:rFonts w:ascii="Arial" w:hAnsi="Arial"/>
                <w:b w:val="0"/>
                <w:sz w:val="16"/>
              </w:rPr>
              <w:t>Start new pregnancy</w:t>
            </w:r>
          </w:p>
        </w:tc>
        <w:tc>
          <w:tcPr>
            <w:tcW w:type="dxa" w:w="3427"/>
            <w:vAlign w:val="center"/>
          </w:tcPr>
          <w:p>
            <w:pPr>
              <w:spacing w:after="0"/>
            </w:pPr>
            <w:r/>
            <w:r>
              <w:rPr>
                <w:rFonts w:ascii="Arial" w:hAnsi="Arial"/>
                <w:b w:val="0"/>
                <w:sz w:val="16"/>
              </w:rPr>
              <w:t>Create separate episode and audit without copying unverified current clinical state.</w:t>
            </w:r>
          </w:p>
        </w:tc>
        <w:tc>
          <w:tcPr>
            <w:tcW w:type="dxa" w:w="3427"/>
            <w:vAlign w:val="center"/>
          </w:tcPr>
          <w:p>
            <w:pPr>
              <w:spacing w:after="0"/>
            </w:pPr>
            <w:r/>
            <w:r>
              <w:rPr>
                <w:rFonts w:ascii="Arial" w:hAnsi="Arial"/>
                <w:b w:val="0"/>
                <w:sz w:val="16"/>
              </w:rPr>
              <w:t>Open new workflow.</w:t>
            </w:r>
          </w:p>
        </w:tc>
      </w:tr>
      <w:tr>
        <w:tc>
          <w:tcPr>
            <w:tcW w:type="dxa" w:w="3427"/>
            <w:vAlign w:val="center"/>
          </w:tcPr>
          <w:p>
            <w:pPr>
              <w:spacing w:after="0"/>
            </w:pPr>
            <w:r/>
            <w:r>
              <w:rPr>
                <w:rFonts w:ascii="Arial" w:hAnsi="Arial"/>
                <w:b w:val="0"/>
                <w:sz w:val="16"/>
              </w:rPr>
              <w:t>Authorized correction</w:t>
            </w:r>
          </w:p>
        </w:tc>
        <w:tc>
          <w:tcPr>
            <w:tcW w:type="dxa" w:w="3427"/>
            <w:vAlign w:val="center"/>
          </w:tcPr>
          <w:p>
            <w:pPr>
              <w:spacing w:after="0"/>
            </w:pPr>
            <w:r/>
            <w:r>
              <w:rPr>
                <w:rFonts w:ascii="Arial" w:hAnsi="Arial"/>
                <w:b w:val="0"/>
                <w:sz w:val="16"/>
              </w:rPr>
              <w:t>Preserve old value/reference and create corrected record or version with reason.</w:t>
            </w:r>
          </w:p>
        </w:tc>
        <w:tc>
          <w:tcPr>
            <w:tcW w:type="dxa" w:w="3427"/>
            <w:vAlign w:val="center"/>
          </w:tcPr>
          <w:p>
            <w:pPr>
              <w:spacing w:after="0"/>
            </w:pPr>
            <w:r/>
            <w:r>
              <w:rPr>
                <w:rFonts w:ascii="Arial" w:hAnsi="Arial"/>
                <w:b w:val="0"/>
                <w:sz w:val="16"/>
              </w:rPr>
              <w:t>Trigger governed reassessment where required.</w:t>
            </w:r>
          </w:p>
        </w:tc>
      </w:tr>
    </w:tbl>
    <w:p/>
    <w:p>
      <w:pPr>
        <w:spacing w:after="100" w:line="252" w:lineRule="auto"/>
      </w:pPr>
      <w:r>
        <w:t>Events and queued jobs should communicate completed facts, not become alternate decision engines. An AssessmentCreated event may deliver a notification or update a report, but a listener must not silently recalculate and overwrite the assessment.</w:t>
      </w:r>
    </w:p>
    <w:p>
      <w:pPr>
        <w:pStyle w:val="Heading1"/>
      </w:pPr>
      <w:r>
        <w:t>15. Configuration and Version Registry</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pPr>
              <w:spacing w:after="0"/>
            </w:pPr>
            <w:r/>
            <w:r>
              <w:rPr>
                <w:rFonts w:ascii="Arial" w:hAnsi="Arial"/>
                <w:b/>
                <w:sz w:val="16"/>
              </w:rPr>
              <w:t>Configuration group</w:t>
            </w:r>
          </w:p>
        </w:tc>
        <w:tc>
          <w:tcPr>
            <w:tcW w:type="dxa" w:w="3427"/>
            <w:vAlign w:val="center"/>
            <w:shd w:fill="D9EAF7"/>
          </w:tcPr>
          <w:p>
            <w:pPr>
              <w:spacing w:after="0"/>
            </w:pPr>
            <w:r/>
            <w:r>
              <w:rPr>
                <w:rFonts w:ascii="Arial" w:hAnsi="Arial"/>
                <w:b/>
                <w:sz w:val="16"/>
              </w:rPr>
              <w:t>Examples</w:t>
            </w:r>
          </w:p>
        </w:tc>
        <w:tc>
          <w:tcPr>
            <w:tcW w:type="dxa" w:w="3427"/>
            <w:vAlign w:val="center"/>
            <w:shd w:fill="D9EAF7"/>
          </w:tcPr>
          <w:p>
            <w:pPr>
              <w:spacing w:after="0"/>
            </w:pPr>
            <w:r/>
            <w:r>
              <w:rPr>
                <w:rFonts w:ascii="Arial" w:hAnsi="Arial"/>
                <w:b/>
                <w:sz w:val="16"/>
              </w:rPr>
              <w:t>Control</w:t>
            </w:r>
          </w:p>
        </w:tc>
      </w:tr>
      <w:tr>
        <w:tc>
          <w:tcPr>
            <w:tcW w:type="dxa" w:w="3427"/>
            <w:vAlign w:val="center"/>
          </w:tcPr>
          <w:p>
            <w:pPr>
              <w:spacing w:after="0"/>
            </w:pPr>
            <w:r/>
            <w:r>
              <w:rPr>
                <w:rFonts w:ascii="Arial" w:hAnsi="Arial"/>
                <w:b w:val="0"/>
                <w:sz w:val="16"/>
              </w:rPr>
              <w:t>Application</w:t>
            </w:r>
          </w:p>
        </w:tc>
        <w:tc>
          <w:tcPr>
            <w:tcW w:type="dxa" w:w="3427"/>
            <w:vAlign w:val="center"/>
          </w:tcPr>
          <w:p>
            <w:pPr>
              <w:spacing w:after="0"/>
            </w:pPr>
            <w:r/>
            <w:r>
              <w:rPr>
                <w:rFonts w:ascii="Arial" w:hAnsi="Arial"/>
                <w:b w:val="0"/>
                <w:sz w:val="16"/>
              </w:rPr>
              <w:t>Environment, URL, debug, timezone, session, queue, mail.</w:t>
            </w:r>
          </w:p>
        </w:tc>
        <w:tc>
          <w:tcPr>
            <w:tcW w:type="dxa" w:w="3427"/>
            <w:vAlign w:val="center"/>
          </w:tcPr>
          <w:p>
            <w:pPr>
              <w:spacing w:after="0"/>
            </w:pPr>
            <w:r/>
            <w:r>
              <w:rPr>
                <w:rFonts w:ascii="Arial" w:hAnsi="Arial"/>
                <w:b w:val="0"/>
                <w:sz w:val="16"/>
              </w:rPr>
              <w:t>Environment-specific; secrets outside source control.</w:t>
            </w:r>
          </w:p>
        </w:tc>
      </w:tr>
      <w:tr>
        <w:tc>
          <w:tcPr>
            <w:tcW w:type="dxa" w:w="3427"/>
            <w:vAlign w:val="center"/>
          </w:tcPr>
          <w:p>
            <w:pPr>
              <w:spacing w:after="0"/>
            </w:pPr>
            <w:r/>
            <w:r>
              <w:rPr>
                <w:rFonts w:ascii="Arial" w:hAnsi="Arial"/>
                <w:b w:val="0"/>
                <w:sz w:val="16"/>
              </w:rPr>
              <w:t>Python runtime</w:t>
            </w:r>
          </w:p>
        </w:tc>
        <w:tc>
          <w:tcPr>
            <w:tcW w:type="dxa" w:w="3427"/>
            <w:vAlign w:val="center"/>
          </w:tcPr>
          <w:p>
            <w:pPr>
              <w:spacing w:after="0"/>
            </w:pPr>
            <w:r/>
            <w:r>
              <w:rPr>
                <w:rFonts w:ascii="Arial" w:hAnsi="Arial"/>
                <w:b w:val="0"/>
                <w:sz w:val="16"/>
              </w:rPr>
              <w:t>Interpreter path, entry point, timeout, working directory.</w:t>
            </w:r>
          </w:p>
        </w:tc>
        <w:tc>
          <w:tcPr>
            <w:tcW w:type="dxa" w:w="3427"/>
            <w:vAlign w:val="center"/>
          </w:tcPr>
          <w:p>
            <w:pPr>
              <w:spacing w:after="0"/>
            </w:pPr>
            <w:r/>
            <w:r>
              <w:rPr>
                <w:rFonts w:ascii="Arial" w:hAnsi="Arial"/>
                <w:b w:val="0"/>
                <w:sz w:val="16"/>
              </w:rPr>
              <w:t>Validated at startup/health check; no user control.</w:t>
            </w:r>
          </w:p>
        </w:tc>
      </w:tr>
      <w:tr>
        <w:tc>
          <w:tcPr>
            <w:tcW w:type="dxa" w:w="3427"/>
            <w:vAlign w:val="center"/>
          </w:tcPr>
          <w:p>
            <w:pPr>
              <w:spacing w:after="0"/>
            </w:pPr>
            <w:r/>
            <w:r>
              <w:rPr>
                <w:rFonts w:ascii="Arial" w:hAnsi="Arial"/>
                <w:b w:val="0"/>
                <w:sz w:val="16"/>
              </w:rPr>
              <w:t>Model registry</w:t>
            </w:r>
          </w:p>
        </w:tc>
        <w:tc>
          <w:tcPr>
            <w:tcW w:type="dxa" w:w="3427"/>
            <w:vAlign w:val="center"/>
          </w:tcPr>
          <w:p>
            <w:pPr>
              <w:spacing w:after="0"/>
            </w:pPr>
            <w:r/>
            <w:r>
              <w:rPr>
                <w:rFonts w:ascii="Arial" w:hAnsi="Arial"/>
                <w:b w:val="0"/>
                <w:sz w:val="16"/>
              </w:rPr>
              <w:t>Artifact path, hash, model version, preprocessing version, schema version.</w:t>
            </w:r>
          </w:p>
        </w:tc>
        <w:tc>
          <w:tcPr>
            <w:tcW w:type="dxa" w:w="3427"/>
            <w:vAlign w:val="center"/>
          </w:tcPr>
          <w:p>
            <w:pPr>
              <w:spacing w:after="0"/>
            </w:pPr>
            <w:r/>
            <w:r>
              <w:rPr>
                <w:rFonts w:ascii="Arial" w:hAnsi="Arial"/>
                <w:b w:val="0"/>
                <w:sz w:val="16"/>
              </w:rPr>
              <w:t>Approved immutable release metadata.</w:t>
            </w:r>
          </w:p>
        </w:tc>
      </w:tr>
      <w:tr>
        <w:tc>
          <w:tcPr>
            <w:tcW w:type="dxa" w:w="3427"/>
            <w:vAlign w:val="center"/>
          </w:tcPr>
          <w:p>
            <w:pPr>
              <w:spacing w:after="0"/>
            </w:pPr>
            <w:r/>
            <w:r>
              <w:rPr>
                <w:rFonts w:ascii="Arial" w:hAnsi="Arial"/>
                <w:b w:val="0"/>
                <w:sz w:val="16"/>
              </w:rPr>
              <w:t>Clinical logic</w:t>
            </w:r>
          </w:p>
        </w:tc>
        <w:tc>
          <w:tcPr>
            <w:tcW w:type="dxa" w:w="3427"/>
            <w:vAlign w:val="center"/>
          </w:tcPr>
          <w:p>
            <w:pPr>
              <w:spacing w:after="0"/>
            </w:pPr>
            <w:r/>
            <w:r>
              <w:rPr>
                <w:rFonts w:ascii="Arial" w:hAnsi="Arial"/>
                <w:b w:val="0"/>
                <w:sz w:val="16"/>
              </w:rPr>
              <w:t>Rule-set version, completeness policy, escalation mapping.</w:t>
            </w:r>
          </w:p>
        </w:tc>
        <w:tc>
          <w:tcPr>
            <w:tcW w:type="dxa" w:w="3427"/>
            <w:vAlign w:val="center"/>
          </w:tcPr>
          <w:p>
            <w:pPr>
              <w:spacing w:after="0"/>
            </w:pPr>
            <w:r/>
            <w:r>
              <w:rPr>
                <w:rFonts w:ascii="Arial" w:hAnsi="Arial"/>
                <w:b w:val="0"/>
                <w:sz w:val="16"/>
              </w:rPr>
              <w:t>Code or controlled data with clinical approval; no ad hoc .env thresholds.</w:t>
            </w:r>
          </w:p>
        </w:tc>
      </w:tr>
      <w:tr>
        <w:tc>
          <w:tcPr>
            <w:tcW w:type="dxa" w:w="3427"/>
            <w:vAlign w:val="center"/>
          </w:tcPr>
          <w:p>
            <w:pPr>
              <w:spacing w:after="0"/>
            </w:pPr>
            <w:r/>
            <w:r>
              <w:rPr>
                <w:rFonts w:ascii="Arial" w:hAnsi="Arial"/>
                <w:b w:val="0"/>
                <w:sz w:val="16"/>
              </w:rPr>
              <w:t>Communication</w:t>
            </w:r>
          </w:p>
        </w:tc>
        <w:tc>
          <w:tcPr>
            <w:tcW w:type="dxa" w:w="3427"/>
            <w:vAlign w:val="center"/>
          </w:tcPr>
          <w:p>
            <w:pPr>
              <w:spacing w:after="0"/>
            </w:pPr>
            <w:r/>
            <w:r>
              <w:rPr>
                <w:rFonts w:ascii="Arial" w:hAnsi="Arial"/>
                <w:b w:val="0"/>
                <w:sz w:val="16"/>
              </w:rPr>
              <w:t>Recommendation and explanation template versions.</w:t>
            </w:r>
          </w:p>
        </w:tc>
        <w:tc>
          <w:tcPr>
            <w:tcW w:type="dxa" w:w="3427"/>
            <w:vAlign w:val="center"/>
          </w:tcPr>
          <w:p>
            <w:pPr>
              <w:spacing w:after="0"/>
            </w:pPr>
            <w:r/>
            <w:r>
              <w:rPr>
                <w:rFonts w:ascii="Arial" w:hAnsi="Arial"/>
                <w:b w:val="0"/>
                <w:sz w:val="16"/>
              </w:rPr>
              <w:t>Governed and tested with rules.</w:t>
            </w:r>
          </w:p>
        </w:tc>
      </w:tr>
      <w:tr>
        <w:tc>
          <w:tcPr>
            <w:tcW w:type="dxa" w:w="3427"/>
            <w:vAlign w:val="center"/>
          </w:tcPr>
          <w:p>
            <w:pPr>
              <w:spacing w:after="0"/>
            </w:pPr>
            <w:r/>
            <w:r>
              <w:rPr>
                <w:rFonts w:ascii="Arial" w:hAnsi="Arial"/>
                <w:b w:val="0"/>
                <w:sz w:val="16"/>
              </w:rPr>
              <w:t>Referral</w:t>
            </w:r>
          </w:p>
        </w:tc>
        <w:tc>
          <w:tcPr>
            <w:tcW w:type="dxa" w:w="3427"/>
            <w:vAlign w:val="center"/>
          </w:tcPr>
          <w:p>
            <w:pPr>
              <w:spacing w:after="0"/>
            </w:pPr>
            <w:r/>
            <w:r>
              <w:rPr>
                <w:rFonts w:ascii="Arial" w:hAnsi="Arial"/>
                <w:b w:val="0"/>
                <w:sz w:val="16"/>
              </w:rPr>
              <w:t>Facility directory, contacts, service capability, contingency route.</w:t>
            </w:r>
          </w:p>
        </w:tc>
        <w:tc>
          <w:tcPr>
            <w:tcW w:type="dxa" w:w="3427"/>
            <w:vAlign w:val="center"/>
          </w:tcPr>
          <w:p>
            <w:pPr>
              <w:spacing w:after="0"/>
            </w:pPr>
            <w:r/>
            <w:r>
              <w:rPr>
                <w:rFonts w:ascii="Arial" w:hAnsi="Arial"/>
                <w:b w:val="0"/>
                <w:sz w:val="16"/>
              </w:rPr>
              <w:t>Operational owner and review date.</w:t>
            </w:r>
          </w:p>
        </w:tc>
      </w:tr>
      <w:tr>
        <w:tc>
          <w:tcPr>
            <w:tcW w:type="dxa" w:w="3427"/>
            <w:vAlign w:val="center"/>
          </w:tcPr>
          <w:p>
            <w:pPr>
              <w:spacing w:after="0"/>
            </w:pPr>
            <w:r/>
            <w:r>
              <w:rPr>
                <w:rFonts w:ascii="Arial" w:hAnsi="Arial"/>
                <w:b w:val="0"/>
                <w:sz w:val="16"/>
              </w:rPr>
              <w:t>Observability</w:t>
            </w:r>
          </w:p>
        </w:tc>
        <w:tc>
          <w:tcPr>
            <w:tcW w:type="dxa" w:w="3427"/>
            <w:vAlign w:val="center"/>
          </w:tcPr>
          <w:p>
            <w:pPr>
              <w:spacing w:after="0"/>
            </w:pPr>
            <w:r/>
            <w:r>
              <w:rPr>
                <w:rFonts w:ascii="Arial" w:hAnsi="Arial"/>
                <w:b w:val="0"/>
                <w:sz w:val="16"/>
              </w:rPr>
              <w:t>Log channels, correlation IDs, alert thresholds, retention.</w:t>
            </w:r>
          </w:p>
        </w:tc>
        <w:tc>
          <w:tcPr>
            <w:tcW w:type="dxa" w:w="3427"/>
            <w:vAlign w:val="center"/>
          </w:tcPr>
          <w:p>
            <w:pPr>
              <w:spacing w:after="0"/>
            </w:pPr>
            <w:r/>
            <w:r>
              <w:rPr>
                <w:rFonts w:ascii="Arial" w:hAnsi="Arial"/>
                <w:b w:val="0"/>
                <w:sz w:val="16"/>
              </w:rPr>
              <w:t>Minimize sensitive content and restrict access.</w:t>
            </w:r>
          </w:p>
        </w:tc>
      </w:tr>
    </w:tbl>
    <w:p/>
    <w:p>
      <w:pPr>
        <w:pStyle w:val="Heading1"/>
      </w:pPr>
      <w:r>
        <w:t>16. Observability and Health Architecture</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pPr>
              <w:spacing w:after="0"/>
            </w:pPr>
            <w:r/>
            <w:r>
              <w:rPr>
                <w:rFonts w:ascii="Arial" w:hAnsi="Arial"/>
                <w:b/>
                <w:sz w:val="16"/>
              </w:rPr>
              <w:t>Signal</w:t>
            </w:r>
          </w:p>
        </w:tc>
        <w:tc>
          <w:tcPr>
            <w:tcW w:type="dxa" w:w="3427"/>
            <w:vAlign w:val="center"/>
            <w:shd w:fill="D9EAF7"/>
          </w:tcPr>
          <w:p>
            <w:pPr>
              <w:spacing w:after="0"/>
            </w:pPr>
            <w:r/>
            <w:r>
              <w:rPr>
                <w:rFonts w:ascii="Arial" w:hAnsi="Arial"/>
                <w:b/>
                <w:sz w:val="16"/>
              </w:rPr>
              <w:t>Purpose</w:t>
            </w:r>
          </w:p>
        </w:tc>
        <w:tc>
          <w:tcPr>
            <w:tcW w:type="dxa" w:w="3427"/>
            <w:vAlign w:val="center"/>
            <w:shd w:fill="D9EAF7"/>
          </w:tcPr>
          <w:p>
            <w:pPr>
              <w:spacing w:after="0"/>
            </w:pPr>
            <w:r/>
            <w:r>
              <w:rPr>
                <w:rFonts w:ascii="Arial" w:hAnsi="Arial"/>
                <w:b/>
                <w:sz w:val="16"/>
              </w:rPr>
              <w:t>Example data</w:t>
            </w:r>
          </w:p>
        </w:tc>
      </w:tr>
      <w:tr>
        <w:tc>
          <w:tcPr>
            <w:tcW w:type="dxa" w:w="3427"/>
            <w:vAlign w:val="center"/>
          </w:tcPr>
          <w:p>
            <w:pPr>
              <w:spacing w:after="0"/>
            </w:pPr>
            <w:r/>
            <w:r>
              <w:rPr>
                <w:rFonts w:ascii="Arial" w:hAnsi="Arial"/>
                <w:b w:val="0"/>
                <w:sz w:val="16"/>
              </w:rPr>
              <w:t>Request correlation</w:t>
            </w:r>
          </w:p>
        </w:tc>
        <w:tc>
          <w:tcPr>
            <w:tcW w:type="dxa" w:w="3427"/>
            <w:vAlign w:val="center"/>
          </w:tcPr>
          <w:p>
            <w:pPr>
              <w:spacing w:after="0"/>
            </w:pPr>
            <w:r/>
            <w:r>
              <w:rPr>
                <w:rFonts w:ascii="Arial" w:hAnsi="Arial"/>
                <w:b w:val="0"/>
                <w:sz w:val="16"/>
              </w:rPr>
              <w:t>Reconstruct one user request across Laravel, Python, database, and queue.</w:t>
            </w:r>
          </w:p>
        </w:tc>
        <w:tc>
          <w:tcPr>
            <w:tcW w:type="dxa" w:w="3427"/>
            <w:vAlign w:val="center"/>
          </w:tcPr>
          <w:p>
            <w:pPr>
              <w:spacing w:after="0"/>
            </w:pPr>
            <w:r/>
            <w:r>
              <w:rPr>
                <w:rFonts w:ascii="Arial" w:hAnsi="Arial"/>
                <w:b w:val="0"/>
                <w:sz w:val="16"/>
              </w:rPr>
              <w:t>Correlation ID, route, actor ID, timestamps.</w:t>
            </w:r>
          </w:p>
        </w:tc>
      </w:tr>
      <w:tr>
        <w:tc>
          <w:tcPr>
            <w:tcW w:type="dxa" w:w="3427"/>
            <w:vAlign w:val="center"/>
          </w:tcPr>
          <w:p>
            <w:pPr>
              <w:spacing w:after="0"/>
            </w:pPr>
            <w:r/>
            <w:r>
              <w:rPr>
                <w:rFonts w:ascii="Arial" w:hAnsi="Arial"/>
                <w:b w:val="0"/>
                <w:sz w:val="16"/>
              </w:rPr>
              <w:t>Inference health</w:t>
            </w:r>
          </w:p>
        </w:tc>
        <w:tc>
          <w:tcPr>
            <w:tcW w:type="dxa" w:w="3427"/>
            <w:vAlign w:val="center"/>
          </w:tcPr>
          <w:p>
            <w:pPr>
              <w:spacing w:after="0"/>
            </w:pPr>
            <w:r/>
            <w:r>
              <w:rPr>
                <w:rFonts w:ascii="Arial" w:hAnsi="Arial"/>
                <w:b w:val="0"/>
                <w:sz w:val="16"/>
              </w:rPr>
              <w:t>Detect Python/model failures and latency.</w:t>
            </w:r>
          </w:p>
        </w:tc>
        <w:tc>
          <w:tcPr>
            <w:tcW w:type="dxa" w:w="3427"/>
            <w:vAlign w:val="center"/>
          </w:tcPr>
          <w:p>
            <w:pPr>
              <w:spacing w:after="0"/>
            </w:pPr>
            <w:r/>
            <w:r>
              <w:rPr>
                <w:rFonts w:ascii="Arial" w:hAnsi="Arial"/>
                <w:b w:val="0"/>
                <w:sz w:val="16"/>
              </w:rPr>
              <w:t>Exit code, duration, model/schema version, sanitized error class.</w:t>
            </w:r>
          </w:p>
        </w:tc>
      </w:tr>
      <w:tr>
        <w:tc>
          <w:tcPr>
            <w:tcW w:type="dxa" w:w="3427"/>
            <w:vAlign w:val="center"/>
          </w:tcPr>
          <w:p>
            <w:pPr>
              <w:spacing w:after="0"/>
            </w:pPr>
            <w:r/>
            <w:r>
              <w:rPr>
                <w:rFonts w:ascii="Arial" w:hAnsi="Arial"/>
                <w:b w:val="0"/>
                <w:sz w:val="16"/>
              </w:rPr>
              <w:t>Assessment metrics</w:t>
            </w:r>
          </w:p>
        </w:tc>
        <w:tc>
          <w:tcPr>
            <w:tcW w:type="dxa" w:w="3427"/>
            <w:vAlign w:val="center"/>
          </w:tcPr>
          <w:p>
            <w:pPr>
              <w:spacing w:after="0"/>
            </w:pPr>
            <w:r/>
            <w:r>
              <w:rPr>
                <w:rFonts w:ascii="Arial" w:hAnsi="Arial"/>
                <w:b w:val="0"/>
                <w:sz w:val="16"/>
              </w:rPr>
              <w:t>Monitor system behavior without treating metrics as clinical outcomes.</w:t>
            </w:r>
          </w:p>
        </w:tc>
        <w:tc>
          <w:tcPr>
            <w:tcW w:type="dxa" w:w="3427"/>
            <w:vAlign w:val="center"/>
          </w:tcPr>
          <w:p>
            <w:pPr>
              <w:spacing w:after="0"/>
            </w:pPr>
            <w:r/>
            <w:r>
              <w:rPr>
                <w:rFonts w:ascii="Arial" w:hAnsi="Arial"/>
                <w:b w:val="0"/>
                <w:sz w:val="16"/>
              </w:rPr>
              <w:t>HIGH/LOW/INCOMPLETE counts, invalid ML rate, completion time.</w:t>
            </w:r>
          </w:p>
        </w:tc>
      </w:tr>
      <w:tr>
        <w:tc>
          <w:tcPr>
            <w:tcW w:type="dxa" w:w="3427"/>
            <w:vAlign w:val="center"/>
          </w:tcPr>
          <w:p>
            <w:pPr>
              <w:spacing w:after="0"/>
            </w:pPr>
            <w:r/>
            <w:r>
              <w:rPr>
                <w:rFonts w:ascii="Arial" w:hAnsi="Arial"/>
                <w:b w:val="0"/>
                <w:sz w:val="16"/>
              </w:rPr>
              <w:t>Referral operations</w:t>
            </w:r>
          </w:p>
        </w:tc>
        <w:tc>
          <w:tcPr>
            <w:tcW w:type="dxa" w:w="3427"/>
            <w:vAlign w:val="center"/>
          </w:tcPr>
          <w:p>
            <w:pPr>
              <w:spacing w:after="0"/>
            </w:pPr>
            <w:r/>
            <w:r>
              <w:rPr>
                <w:rFonts w:ascii="Arial" w:hAnsi="Arial"/>
                <w:b w:val="0"/>
                <w:sz w:val="16"/>
              </w:rPr>
              <w:t>Identify delay and closure problems.</w:t>
            </w:r>
          </w:p>
        </w:tc>
        <w:tc>
          <w:tcPr>
            <w:tcW w:type="dxa" w:w="3427"/>
            <w:vAlign w:val="center"/>
          </w:tcPr>
          <w:p>
            <w:pPr>
              <w:spacing w:after="0"/>
            </w:pPr>
            <w:r/>
            <w:r>
              <w:rPr>
                <w:rFonts w:ascii="Arial" w:hAnsi="Arial"/>
                <w:b w:val="0"/>
                <w:sz w:val="16"/>
              </w:rPr>
              <w:t>Time to creation/contact, acceptance, refusal, attendance, failed contact.</w:t>
            </w:r>
          </w:p>
        </w:tc>
      </w:tr>
      <w:tr>
        <w:tc>
          <w:tcPr>
            <w:tcW w:type="dxa" w:w="3427"/>
            <w:vAlign w:val="center"/>
          </w:tcPr>
          <w:p>
            <w:pPr>
              <w:spacing w:after="0"/>
            </w:pPr>
            <w:r/>
            <w:r>
              <w:rPr>
                <w:rFonts w:ascii="Arial" w:hAnsi="Arial"/>
                <w:b w:val="0"/>
                <w:sz w:val="16"/>
              </w:rPr>
              <w:t>Security events</w:t>
            </w:r>
          </w:p>
        </w:tc>
        <w:tc>
          <w:tcPr>
            <w:tcW w:type="dxa" w:w="3427"/>
            <w:vAlign w:val="center"/>
          </w:tcPr>
          <w:p>
            <w:pPr>
              <w:spacing w:after="0"/>
            </w:pPr>
            <w:r/>
            <w:r>
              <w:rPr>
                <w:rFonts w:ascii="Arial" w:hAnsi="Arial"/>
                <w:b w:val="0"/>
                <w:sz w:val="16"/>
              </w:rPr>
              <w:t>Detect misuse or attack.</w:t>
            </w:r>
          </w:p>
        </w:tc>
        <w:tc>
          <w:tcPr>
            <w:tcW w:type="dxa" w:w="3427"/>
            <w:vAlign w:val="center"/>
          </w:tcPr>
          <w:p>
            <w:pPr>
              <w:spacing w:after="0"/>
            </w:pPr>
            <w:r/>
            <w:r>
              <w:rPr>
                <w:rFonts w:ascii="Arial" w:hAnsi="Arial"/>
                <w:b w:val="0"/>
                <w:sz w:val="16"/>
              </w:rPr>
              <w:t>Failed login, authorization denial, unusual export, admin change.</w:t>
            </w:r>
          </w:p>
        </w:tc>
      </w:tr>
      <w:tr>
        <w:tc>
          <w:tcPr>
            <w:tcW w:type="dxa" w:w="3427"/>
            <w:vAlign w:val="center"/>
          </w:tcPr>
          <w:p>
            <w:pPr>
              <w:spacing w:after="0"/>
            </w:pPr>
            <w:r/>
            <w:r>
              <w:rPr>
                <w:rFonts w:ascii="Arial" w:hAnsi="Arial"/>
                <w:b w:val="0"/>
                <w:sz w:val="16"/>
              </w:rPr>
              <w:t>Queue health</w:t>
            </w:r>
          </w:p>
        </w:tc>
        <w:tc>
          <w:tcPr>
            <w:tcW w:type="dxa" w:w="3427"/>
            <w:vAlign w:val="center"/>
          </w:tcPr>
          <w:p>
            <w:pPr>
              <w:spacing w:after="0"/>
            </w:pPr>
            <w:r/>
            <w:r>
              <w:rPr>
                <w:rFonts w:ascii="Arial" w:hAnsi="Arial"/>
                <w:b w:val="0"/>
                <w:sz w:val="16"/>
              </w:rPr>
              <w:t>Detect delayed emails/reports.</w:t>
            </w:r>
          </w:p>
        </w:tc>
        <w:tc>
          <w:tcPr>
            <w:tcW w:type="dxa" w:w="3427"/>
            <w:vAlign w:val="center"/>
          </w:tcPr>
          <w:p>
            <w:pPr>
              <w:spacing w:after="0"/>
            </w:pPr>
            <w:r/>
            <w:r>
              <w:rPr>
                <w:rFonts w:ascii="Arial" w:hAnsi="Arial"/>
                <w:b w:val="0"/>
                <w:sz w:val="16"/>
              </w:rPr>
              <w:t>Queue depth, age, failures, retries.</w:t>
            </w:r>
          </w:p>
        </w:tc>
      </w:tr>
      <w:tr>
        <w:tc>
          <w:tcPr>
            <w:tcW w:type="dxa" w:w="3427"/>
            <w:vAlign w:val="center"/>
          </w:tcPr>
          <w:p>
            <w:pPr>
              <w:spacing w:after="0"/>
            </w:pPr>
            <w:r/>
            <w:r>
              <w:rPr>
                <w:rFonts w:ascii="Arial" w:hAnsi="Arial"/>
                <w:b w:val="0"/>
                <w:sz w:val="16"/>
              </w:rPr>
              <w:t>Database and backup health</w:t>
            </w:r>
          </w:p>
        </w:tc>
        <w:tc>
          <w:tcPr>
            <w:tcW w:type="dxa" w:w="3427"/>
            <w:vAlign w:val="center"/>
          </w:tcPr>
          <w:p>
            <w:pPr>
              <w:spacing w:after="0"/>
            </w:pPr>
            <w:r/>
            <w:r>
              <w:rPr>
                <w:rFonts w:ascii="Arial" w:hAnsi="Arial"/>
                <w:b w:val="0"/>
                <w:sz w:val="16"/>
              </w:rPr>
              <w:t>Maintain availability and recoverability.</w:t>
            </w:r>
          </w:p>
        </w:tc>
        <w:tc>
          <w:tcPr>
            <w:tcW w:type="dxa" w:w="3427"/>
            <w:vAlign w:val="center"/>
          </w:tcPr>
          <w:p>
            <w:pPr>
              <w:spacing w:after="0"/>
            </w:pPr>
            <w:r/>
            <w:r>
              <w:rPr>
                <w:rFonts w:ascii="Arial" w:hAnsi="Arial"/>
                <w:b w:val="0"/>
                <w:sz w:val="16"/>
              </w:rPr>
              <w:t>Connectivity, migration version, backup age, restore-test status.</w:t>
            </w:r>
          </w:p>
        </w:tc>
      </w:tr>
      <w:tr>
        <w:tc>
          <w:tcPr>
            <w:tcW w:type="dxa" w:w="3427"/>
            <w:vAlign w:val="center"/>
          </w:tcPr>
          <w:p>
            <w:pPr>
              <w:spacing w:after="0"/>
            </w:pPr>
            <w:r/>
            <w:r>
              <w:rPr>
                <w:rFonts w:ascii="Arial" w:hAnsi="Arial"/>
                <w:b w:val="0"/>
                <w:sz w:val="16"/>
              </w:rPr>
              <w:t>Release identity</w:t>
            </w:r>
          </w:p>
        </w:tc>
        <w:tc>
          <w:tcPr>
            <w:tcW w:type="dxa" w:w="3427"/>
            <w:vAlign w:val="center"/>
          </w:tcPr>
          <w:p>
            <w:pPr>
              <w:spacing w:after="0"/>
            </w:pPr>
            <w:r/>
            <w:r>
              <w:rPr>
                <w:rFonts w:ascii="Arial" w:hAnsi="Arial"/>
                <w:b w:val="0"/>
                <w:sz w:val="16"/>
              </w:rPr>
              <w:t>Know exact running system.</w:t>
            </w:r>
          </w:p>
        </w:tc>
        <w:tc>
          <w:tcPr>
            <w:tcW w:type="dxa" w:w="3427"/>
            <w:vAlign w:val="center"/>
          </w:tcPr>
          <w:p>
            <w:pPr>
              <w:spacing w:after="0"/>
            </w:pPr>
            <w:r/>
            <w:r>
              <w:rPr>
                <w:rFonts w:ascii="Arial" w:hAnsi="Arial"/>
                <w:b w:val="0"/>
                <w:sz w:val="16"/>
              </w:rPr>
              <w:t>Git tag/commit, rules, model, schema, template, and migration versions.</w:t>
            </w:r>
          </w:p>
        </w:tc>
      </w:tr>
    </w:tbl>
    <w:p/>
    <w:p>
      <w:pPr>
        <w:pStyle w:val="Heading1"/>
      </w:pPr>
      <w:r>
        <w:t>17. Recommended Project Structure</w:t>
      </w:r>
    </w:p>
    <w:p>
      <w:r>
        <w:rPr>
          <w:b/>
        </w:rPr>
        <w:t>Figure 5. Suggested source-code organization</w:t>
      </w:r>
    </w:p>
    <w:tbl>
      <w:tblPr>
        <w:tblStyle w:val="TableGrid"/>
        <w:tblW w:type="auto" w:w="0"/>
        <w:jc w:val="center"/>
        <w:tblLook w:firstColumn="1" w:firstRow="1" w:lastColumn="0" w:lastRow="0" w:noHBand="0" w:noVBand="1" w:val="04A0"/>
      </w:tblPr>
      <w:tblGrid>
        <w:gridCol w:w="10282"/>
      </w:tblGrid>
      <w:tr>
        <w:tc>
          <w:tcPr>
            <w:tcW w:type="dxa" w:w="10282"/>
            <w:shd w:fill="F3F6F8"/>
          </w:tcPr>
          <w:p>
            <w:pPr>
              <w:spacing w:after="0"/>
            </w:pPr>
            <w:r/>
            <w:r>
              <w:rPr>
                <w:rFonts w:ascii="Consolas" w:hAnsi="Consolas"/>
                <w:sz w:val="15"/>
              </w:rPr>
              <w:t>app/</w:t>
              <w:br/>
              <w:t xml:space="preserve">  Domain/</w:t>
              <w:br/>
              <w:t xml:space="preserve">    Assessment/</w:t>
              <w:br/>
              <w:t xml:space="preserve">      AssessmentService.php</w:t>
              <w:br/>
              <w:t xml:space="preserve">      SnapshotBuilder.php</w:t>
              <w:br/>
              <w:t xml:space="preserve">      CompletenessEvaluator.php</w:t>
              <w:br/>
              <w:t xml:space="preserve">      RuleEngine.php</w:t>
              <w:br/>
              <w:t xml:space="preserve">      DecisionResolver.php</w:t>
              <w:br/>
              <w:t xml:space="preserve">      EscalationService.php</w:t>
              <w:br/>
              <w:t xml:space="preserve">      DTO/AssessmentResult.php</w:t>
              <w:br/>
              <w:t xml:space="preserve">    Explainability/</w:t>
              <w:br/>
              <w:t xml:space="preserve">      ExplanationBuilder.php</w:t>
              <w:br/>
              <w:t xml:space="preserve">      RecommendationLibrary.php</w:t>
              <w:br/>
              <w:t xml:space="preserve">    Referral/</w:t>
              <w:br/>
              <w:t xml:space="preserve">      ReferralService.php</w:t>
              <w:br/>
              <w:t xml:space="preserve">    Pregnancy/</w:t>
              <w:br/>
              <w:t xml:space="preserve">      DeliveryService.php</w:t>
              <w:br/>
              <w:t xml:space="preserve">      NewPregnancyService.php</w:t>
              <w:br/>
              <w:t xml:space="preserve">  Contracts/</w:t>
              <w:br/>
              <w:t xml:space="preserve">    MlInferenceClient.php</w:t>
              <w:br/>
              <w:t xml:space="preserve">    VersionRegistry.php</w:t>
              <w:br/>
              <w:t xml:space="preserve">  Infrastructure/</w:t>
              <w:br/>
              <w:t xml:space="preserve">    MachineLearning/PythonInferenceAdapter.php</w:t>
              <w:br/>
              <w:t xml:space="preserve">    Persistence/...</w:t>
              <w:br/>
              <w:t xml:space="preserve">  Http/</w:t>
              <w:br/>
              <w:t xml:space="preserve">    Controllers/</w:t>
              <w:br/>
              <w:t xml:space="preserve">    Requests/</w:t>
              <w:br/>
              <w:t xml:space="preserve">    Middleware/</w:t>
              <w:br/>
              <w:t xml:space="preserve">  Policies/</w:t>
              <w:br/>
              <w:t xml:space="preserve">  Events/</w:t>
              <w:br/>
              <w:t xml:space="preserve">  Listeners/</w:t>
              <w:br/>
              <w:t xml:space="preserve">  Jobs/</w:t>
              <w:br/>
              <w:t xml:space="preserve">  Models/</w:t>
              <w:br/>
              <w:t>config/</w:t>
              <w:br/>
              <w:t xml:space="preserve">  cdss.php</w:t>
              <w:br/>
              <w:t>python/</w:t>
              <w:br/>
              <w:t xml:space="preserve">  predict.py</w:t>
              <w:br/>
              <w:t xml:space="preserve">  artifacts/  (deployment-controlled, not public)</w:t>
              <w:br/>
              <w:t>tests/</w:t>
              <w:br/>
              <w:t xml:space="preserve">  Unit/Domain/</w:t>
              <w:br/>
              <w:t xml:space="preserve">  Feature/Assessment/</w:t>
              <w:br/>
              <w:t xml:space="preserve">  Integration/Python/</w:t>
              <w:br/>
              <w:t xml:space="preserve">  ClinicalScenarios/</w:t>
            </w:r>
          </w:p>
        </w:tc>
      </w:tr>
    </w:tbl>
    <w:p/>
    <w:p>
      <w:pPr>
        <w:spacing w:after="100" w:line="252" w:lineRule="auto"/>
      </w:pPr>
      <w:r>
        <w:t>This structure is illustrative rather than mandatory. Existing controllers and models may be refactored incrementally, but the responsibility boundaries and central decision authority are mandatory architecture goals.</w:t>
      </w:r>
    </w:p>
    <w:p>
      <w:pPr>
        <w:pStyle w:val="Heading1"/>
      </w:pPr>
      <w:r>
        <w:t>18. Architectural Invariants</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0"/>
            </w:pPr>
            <w:r/>
            <w:r>
              <w:rPr>
                <w:rFonts w:ascii="Arial" w:hAnsi="Arial"/>
                <w:b/>
                <w:sz w:val="16"/>
              </w:rPr>
              <w:t>Invariant ID</w:t>
            </w:r>
          </w:p>
        </w:tc>
        <w:tc>
          <w:tcPr>
            <w:tcW w:type="dxa" w:w="5141"/>
            <w:vAlign w:val="center"/>
            <w:shd w:fill="D9EAF7"/>
          </w:tcPr>
          <w:p>
            <w:pPr>
              <w:spacing w:after="0"/>
            </w:pPr>
            <w:r/>
            <w:r>
              <w:rPr>
                <w:rFonts w:ascii="Arial" w:hAnsi="Arial"/>
                <w:b/>
                <w:sz w:val="16"/>
              </w:rPr>
              <w:t>Invariant</w:t>
            </w:r>
          </w:p>
        </w:tc>
      </w:tr>
      <w:tr>
        <w:tc>
          <w:tcPr>
            <w:tcW w:type="dxa" w:w="5141"/>
            <w:vAlign w:val="center"/>
          </w:tcPr>
          <w:p>
            <w:pPr>
              <w:spacing w:after="0"/>
            </w:pPr>
            <w:r/>
            <w:r>
              <w:rPr>
                <w:rFonts w:ascii="Arial" w:hAnsi="Arial"/>
                <w:b w:val="0"/>
                <w:sz w:val="16"/>
              </w:rPr>
              <w:t>ARC-01</w:t>
            </w:r>
          </w:p>
        </w:tc>
        <w:tc>
          <w:tcPr>
            <w:tcW w:type="dxa" w:w="5141"/>
            <w:vAlign w:val="center"/>
          </w:tcPr>
          <w:p>
            <w:pPr>
              <w:spacing w:after="0"/>
            </w:pPr>
            <w:r/>
            <w:r>
              <w:rPr>
                <w:rFonts w:ascii="Arial" w:hAnsi="Arial"/>
                <w:b w:val="0"/>
                <w:sz w:val="16"/>
              </w:rPr>
              <w:t>The browser never invokes Python directly.</w:t>
            </w:r>
          </w:p>
        </w:tc>
      </w:tr>
      <w:tr>
        <w:tc>
          <w:tcPr>
            <w:tcW w:type="dxa" w:w="5141"/>
            <w:vAlign w:val="center"/>
          </w:tcPr>
          <w:p>
            <w:pPr>
              <w:spacing w:after="0"/>
            </w:pPr>
            <w:r/>
            <w:r>
              <w:rPr>
                <w:rFonts w:ascii="Arial" w:hAnsi="Arial"/>
                <w:b w:val="0"/>
                <w:sz w:val="16"/>
              </w:rPr>
              <w:t>ARC-02</w:t>
            </w:r>
          </w:p>
        </w:tc>
        <w:tc>
          <w:tcPr>
            <w:tcW w:type="dxa" w:w="5141"/>
            <w:vAlign w:val="center"/>
          </w:tcPr>
          <w:p>
            <w:pPr>
              <w:spacing w:after="0"/>
            </w:pPr>
            <w:r/>
            <w:r>
              <w:rPr>
                <w:rFonts w:ascii="Arial" w:hAnsi="Arial"/>
                <w:b w:val="0"/>
                <w:sz w:val="16"/>
              </w:rPr>
              <w:t>Python never writes clinical records or determines referral completion.</w:t>
            </w:r>
          </w:p>
        </w:tc>
      </w:tr>
      <w:tr>
        <w:tc>
          <w:tcPr>
            <w:tcW w:type="dxa" w:w="5141"/>
            <w:vAlign w:val="center"/>
          </w:tcPr>
          <w:p>
            <w:pPr>
              <w:spacing w:after="0"/>
            </w:pPr>
            <w:r/>
            <w:r>
              <w:rPr>
                <w:rFonts w:ascii="Arial" w:hAnsi="Arial"/>
                <w:b w:val="0"/>
                <w:sz w:val="16"/>
              </w:rPr>
              <w:t>ARC-03</w:t>
            </w:r>
          </w:p>
        </w:tc>
        <w:tc>
          <w:tcPr>
            <w:tcW w:type="dxa" w:w="5141"/>
            <w:vAlign w:val="center"/>
          </w:tcPr>
          <w:p>
            <w:pPr>
              <w:spacing w:after="0"/>
            </w:pPr>
            <w:r/>
            <w:r>
              <w:rPr>
                <w:rFonts w:ascii="Arial" w:hAnsi="Arial"/>
                <w:b w:val="0"/>
                <w:sz w:val="16"/>
              </w:rPr>
              <w:t>Controllers do not duplicate final risk logic.</w:t>
            </w:r>
          </w:p>
        </w:tc>
      </w:tr>
      <w:tr>
        <w:tc>
          <w:tcPr>
            <w:tcW w:type="dxa" w:w="5141"/>
            <w:vAlign w:val="center"/>
          </w:tcPr>
          <w:p>
            <w:pPr>
              <w:spacing w:after="0"/>
            </w:pPr>
            <w:r/>
            <w:r>
              <w:rPr>
                <w:rFonts w:ascii="Arial" w:hAnsi="Arial"/>
                <w:b w:val="0"/>
                <w:sz w:val="16"/>
              </w:rPr>
              <w:t>ARC-04</w:t>
            </w:r>
          </w:p>
        </w:tc>
        <w:tc>
          <w:tcPr>
            <w:tcW w:type="dxa" w:w="5141"/>
            <w:vAlign w:val="center"/>
          </w:tcPr>
          <w:p>
            <w:pPr>
              <w:spacing w:after="0"/>
            </w:pPr>
            <w:r/>
            <w:r>
              <w:rPr>
                <w:rFonts w:ascii="Arial" w:hAnsi="Arial"/>
                <w:b w:val="0"/>
                <w:sz w:val="16"/>
              </w:rPr>
              <w:t>A deterministic HIGH cannot be cancelled by ML LOW.</w:t>
            </w:r>
          </w:p>
        </w:tc>
      </w:tr>
      <w:tr>
        <w:tc>
          <w:tcPr>
            <w:tcW w:type="dxa" w:w="5141"/>
            <w:vAlign w:val="center"/>
          </w:tcPr>
          <w:p>
            <w:pPr>
              <w:spacing w:after="0"/>
            </w:pPr>
            <w:r/>
            <w:r>
              <w:rPr>
                <w:rFonts w:ascii="Arial" w:hAnsi="Arial"/>
                <w:b w:val="0"/>
                <w:sz w:val="16"/>
              </w:rPr>
              <w:t>ARC-05</w:t>
            </w:r>
          </w:p>
        </w:tc>
        <w:tc>
          <w:tcPr>
            <w:tcW w:type="dxa" w:w="5141"/>
            <w:vAlign w:val="center"/>
          </w:tcPr>
          <w:p>
            <w:pPr>
              <w:spacing w:after="0"/>
            </w:pPr>
            <w:r/>
            <w:r>
              <w:rPr>
                <w:rFonts w:ascii="Arial" w:hAnsi="Arial"/>
                <w:b w:val="0"/>
                <w:sz w:val="16"/>
              </w:rPr>
              <w:t>Missing or invalid required information cannot become LOW.</w:t>
            </w:r>
          </w:p>
        </w:tc>
      </w:tr>
      <w:tr>
        <w:tc>
          <w:tcPr>
            <w:tcW w:type="dxa" w:w="5141"/>
            <w:vAlign w:val="center"/>
          </w:tcPr>
          <w:p>
            <w:pPr>
              <w:spacing w:after="0"/>
            </w:pPr>
            <w:r/>
            <w:r>
              <w:rPr>
                <w:rFonts w:ascii="Arial" w:hAnsi="Arial"/>
                <w:b w:val="0"/>
                <w:sz w:val="16"/>
              </w:rPr>
              <w:t>ARC-06</w:t>
            </w:r>
          </w:p>
        </w:tc>
        <w:tc>
          <w:tcPr>
            <w:tcW w:type="dxa" w:w="5141"/>
            <w:vAlign w:val="center"/>
          </w:tcPr>
          <w:p>
            <w:pPr>
              <w:spacing w:after="0"/>
            </w:pPr>
            <w:r/>
            <w:r>
              <w:rPr>
                <w:rFonts w:ascii="Arial" w:hAnsi="Arial"/>
                <w:b w:val="0"/>
                <w:sz w:val="16"/>
              </w:rPr>
              <w:t>Every assessment belongs to exactly one pregnancy episode.</w:t>
            </w:r>
          </w:p>
        </w:tc>
      </w:tr>
      <w:tr>
        <w:tc>
          <w:tcPr>
            <w:tcW w:type="dxa" w:w="5141"/>
            <w:vAlign w:val="center"/>
          </w:tcPr>
          <w:p>
            <w:pPr>
              <w:spacing w:after="0"/>
            </w:pPr>
            <w:r/>
            <w:r>
              <w:rPr>
                <w:rFonts w:ascii="Arial" w:hAnsi="Arial"/>
                <w:b w:val="0"/>
                <w:sz w:val="16"/>
              </w:rPr>
              <w:t>ARC-07</w:t>
            </w:r>
          </w:p>
        </w:tc>
        <w:tc>
          <w:tcPr>
            <w:tcW w:type="dxa" w:w="5141"/>
            <w:vAlign w:val="center"/>
          </w:tcPr>
          <w:p>
            <w:pPr>
              <w:spacing w:after="0"/>
            </w:pPr>
            <w:r/>
            <w:r>
              <w:rPr>
                <w:rFonts w:ascii="Arial" w:hAnsi="Arial"/>
                <w:b w:val="0"/>
                <w:sz w:val="16"/>
              </w:rPr>
              <w:t>Reassessment creates a new immutable assessment version.</w:t>
            </w:r>
          </w:p>
        </w:tc>
      </w:tr>
      <w:tr>
        <w:tc>
          <w:tcPr>
            <w:tcW w:type="dxa" w:w="5141"/>
            <w:vAlign w:val="center"/>
          </w:tcPr>
          <w:p>
            <w:pPr>
              <w:spacing w:after="0"/>
            </w:pPr>
            <w:r/>
            <w:r>
              <w:rPr>
                <w:rFonts w:ascii="Arial" w:hAnsi="Arial"/>
                <w:b w:val="0"/>
                <w:sz w:val="16"/>
              </w:rPr>
              <w:t>ARC-08</w:t>
            </w:r>
          </w:p>
        </w:tc>
        <w:tc>
          <w:tcPr>
            <w:tcW w:type="dxa" w:w="5141"/>
            <w:vAlign w:val="center"/>
          </w:tcPr>
          <w:p>
            <w:pPr>
              <w:spacing w:after="0"/>
            </w:pPr>
            <w:r/>
            <w:r>
              <w:rPr>
                <w:rFonts w:ascii="Arial" w:hAnsi="Arial"/>
                <w:b w:val="0"/>
                <w:sz w:val="16"/>
              </w:rPr>
              <w:t>Delivered records reject active-care mutations server-side.</w:t>
            </w:r>
          </w:p>
        </w:tc>
      </w:tr>
      <w:tr>
        <w:tc>
          <w:tcPr>
            <w:tcW w:type="dxa" w:w="5141"/>
            <w:vAlign w:val="center"/>
          </w:tcPr>
          <w:p>
            <w:pPr>
              <w:spacing w:after="0"/>
            </w:pPr>
            <w:r/>
            <w:r>
              <w:rPr>
                <w:rFonts w:ascii="Arial" w:hAnsi="Arial"/>
                <w:b w:val="0"/>
                <w:sz w:val="16"/>
              </w:rPr>
              <w:t>ARC-09</w:t>
            </w:r>
          </w:p>
        </w:tc>
        <w:tc>
          <w:tcPr>
            <w:tcW w:type="dxa" w:w="5141"/>
            <w:vAlign w:val="center"/>
          </w:tcPr>
          <w:p>
            <w:pPr>
              <w:spacing w:after="0"/>
            </w:pPr>
            <w:r/>
            <w:r>
              <w:rPr>
                <w:rFonts w:ascii="Arial" w:hAnsi="Arial"/>
                <w:b w:val="0"/>
                <w:sz w:val="16"/>
              </w:rPr>
              <w:t>A new pregnancy creates a separate workflow and history chain.</w:t>
            </w:r>
          </w:p>
        </w:tc>
      </w:tr>
      <w:tr>
        <w:tc>
          <w:tcPr>
            <w:tcW w:type="dxa" w:w="5141"/>
            <w:vAlign w:val="center"/>
          </w:tcPr>
          <w:p>
            <w:pPr>
              <w:spacing w:after="0"/>
            </w:pPr>
            <w:r/>
            <w:r>
              <w:rPr>
                <w:rFonts w:ascii="Arial" w:hAnsi="Arial"/>
                <w:b w:val="0"/>
                <w:sz w:val="16"/>
              </w:rPr>
              <w:t>ARC-10</w:t>
            </w:r>
          </w:p>
        </w:tc>
        <w:tc>
          <w:tcPr>
            <w:tcW w:type="dxa" w:w="5141"/>
            <w:vAlign w:val="center"/>
          </w:tcPr>
          <w:p>
            <w:pPr>
              <w:spacing w:after="0"/>
            </w:pPr>
            <w:r/>
            <w:r>
              <w:rPr>
                <w:rFonts w:ascii="Arial" w:hAnsi="Arial"/>
                <w:b w:val="0"/>
                <w:sz w:val="16"/>
              </w:rPr>
              <w:t>Email, print, queues, and reports are downstream and cannot alter clinical truth.</w:t>
            </w:r>
          </w:p>
        </w:tc>
      </w:tr>
      <w:tr>
        <w:tc>
          <w:tcPr>
            <w:tcW w:type="dxa" w:w="5141"/>
            <w:vAlign w:val="center"/>
          </w:tcPr>
          <w:p>
            <w:pPr>
              <w:spacing w:after="0"/>
            </w:pPr>
            <w:r/>
            <w:r>
              <w:rPr>
                <w:rFonts w:ascii="Arial" w:hAnsi="Arial"/>
                <w:b w:val="0"/>
                <w:sz w:val="16"/>
              </w:rPr>
              <w:t>ARC-11</w:t>
            </w:r>
          </w:p>
        </w:tc>
        <w:tc>
          <w:tcPr>
            <w:tcW w:type="dxa" w:w="5141"/>
            <w:vAlign w:val="center"/>
          </w:tcPr>
          <w:p>
            <w:pPr>
              <w:spacing w:after="0"/>
            </w:pPr>
            <w:r/>
            <w:r>
              <w:rPr>
                <w:rFonts w:ascii="Arial" w:hAnsi="Arial"/>
                <w:b w:val="0"/>
                <w:sz w:val="16"/>
              </w:rPr>
              <w:t>ML output is accepted only through a strict versioned contract.</w:t>
            </w:r>
          </w:p>
        </w:tc>
      </w:tr>
      <w:tr>
        <w:tc>
          <w:tcPr>
            <w:tcW w:type="dxa" w:w="5141"/>
            <w:vAlign w:val="center"/>
          </w:tcPr>
          <w:p>
            <w:pPr>
              <w:spacing w:after="0"/>
            </w:pPr>
            <w:r/>
            <w:r>
              <w:rPr>
                <w:rFonts w:ascii="Arial" w:hAnsi="Arial"/>
                <w:b w:val="0"/>
                <w:sz w:val="16"/>
              </w:rPr>
              <w:t>ARC-12</w:t>
            </w:r>
          </w:p>
        </w:tc>
        <w:tc>
          <w:tcPr>
            <w:tcW w:type="dxa" w:w="5141"/>
            <w:vAlign w:val="center"/>
          </w:tcPr>
          <w:p>
            <w:pPr>
              <w:spacing w:after="0"/>
            </w:pPr>
            <w:r/>
            <w:r>
              <w:rPr>
                <w:rFonts w:ascii="Arial" w:hAnsi="Arial"/>
                <w:b w:val="0"/>
                <w:sz w:val="16"/>
              </w:rPr>
              <w:t>Technical failure is visible and never converted to LOW.</w:t>
            </w:r>
          </w:p>
        </w:tc>
      </w:tr>
      <w:tr>
        <w:tc>
          <w:tcPr>
            <w:tcW w:type="dxa" w:w="5141"/>
            <w:vAlign w:val="center"/>
          </w:tcPr>
          <w:p>
            <w:pPr>
              <w:spacing w:after="0"/>
            </w:pPr>
            <w:r/>
            <w:r>
              <w:rPr>
                <w:rFonts w:ascii="Arial" w:hAnsi="Arial"/>
                <w:b w:val="0"/>
                <w:sz w:val="16"/>
              </w:rPr>
              <w:t>ARC-13</w:t>
            </w:r>
          </w:p>
        </w:tc>
        <w:tc>
          <w:tcPr>
            <w:tcW w:type="dxa" w:w="5141"/>
            <w:vAlign w:val="center"/>
          </w:tcPr>
          <w:p>
            <w:pPr>
              <w:spacing w:after="0"/>
            </w:pPr>
            <w:r/>
            <w:r>
              <w:rPr>
                <w:rFonts w:ascii="Arial" w:hAnsi="Arial"/>
                <w:b w:val="0"/>
                <w:sz w:val="16"/>
              </w:rPr>
              <w:t>Every safety-relevant result is attributable to inputs, versions, actor, and time.</w:t>
            </w:r>
          </w:p>
        </w:tc>
      </w:tr>
      <w:tr>
        <w:tc>
          <w:tcPr>
            <w:tcW w:type="dxa" w:w="5141"/>
            <w:vAlign w:val="center"/>
          </w:tcPr>
          <w:p>
            <w:pPr>
              <w:spacing w:after="0"/>
            </w:pPr>
            <w:r/>
            <w:r>
              <w:rPr>
                <w:rFonts w:ascii="Arial" w:hAnsi="Arial"/>
                <w:b w:val="0"/>
                <w:sz w:val="16"/>
              </w:rPr>
              <w:t>ARC-14</w:t>
            </w:r>
          </w:p>
        </w:tc>
        <w:tc>
          <w:tcPr>
            <w:tcW w:type="dxa" w:w="5141"/>
            <w:vAlign w:val="center"/>
          </w:tcPr>
          <w:p>
            <w:pPr>
              <w:spacing w:after="0"/>
            </w:pPr>
            <w:r/>
            <w:r>
              <w:rPr>
                <w:rFonts w:ascii="Arial" w:hAnsi="Arial"/>
                <w:b w:val="0"/>
                <w:sz w:val="16"/>
              </w:rPr>
              <w:t>Urgent manual action remains possible during digital failure.</w:t>
            </w:r>
          </w:p>
        </w:tc>
      </w:tr>
      <w:tr>
        <w:tc>
          <w:tcPr>
            <w:tcW w:type="dxa" w:w="5141"/>
            <w:vAlign w:val="center"/>
          </w:tcPr>
          <w:p>
            <w:pPr>
              <w:spacing w:after="0"/>
            </w:pPr>
            <w:r/>
            <w:r>
              <w:rPr>
                <w:rFonts w:ascii="Arial" w:hAnsi="Arial"/>
                <w:b w:val="0"/>
                <w:sz w:val="16"/>
              </w:rPr>
              <w:t>ARC-15</w:t>
            </w:r>
          </w:p>
        </w:tc>
        <w:tc>
          <w:tcPr>
            <w:tcW w:type="dxa" w:w="5141"/>
            <w:vAlign w:val="center"/>
          </w:tcPr>
          <w:p>
            <w:pPr>
              <w:spacing w:after="0"/>
            </w:pPr>
            <w:r/>
            <w:r>
              <w:rPr>
                <w:rFonts w:ascii="Arial" w:hAnsi="Arial"/>
                <w:b w:val="0"/>
                <w:sz w:val="16"/>
              </w:rPr>
              <w:t>Authorization is enforced server-side for every sensitive operation.</w:t>
            </w:r>
          </w:p>
        </w:tc>
      </w:tr>
    </w:tbl>
    <w:p/>
    <w:p>
      <w:pPr>
        <w:pStyle w:val="Heading1"/>
      </w:pPr>
      <w:r>
        <w:t>19. Architecture Validation Scenarios</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pPr>
              <w:spacing w:after="0"/>
            </w:pPr>
            <w:r/>
            <w:r>
              <w:rPr>
                <w:rFonts w:ascii="Arial" w:hAnsi="Arial"/>
                <w:b/>
                <w:sz w:val="16"/>
              </w:rPr>
              <w:t>Test ID</w:t>
            </w:r>
          </w:p>
        </w:tc>
        <w:tc>
          <w:tcPr>
            <w:tcW w:type="dxa" w:w="3427"/>
            <w:vAlign w:val="center"/>
            <w:shd w:fill="D9EAF7"/>
          </w:tcPr>
          <w:p>
            <w:pPr>
              <w:spacing w:after="0"/>
            </w:pPr>
            <w:r/>
            <w:r>
              <w:rPr>
                <w:rFonts w:ascii="Arial" w:hAnsi="Arial"/>
                <w:b/>
                <w:sz w:val="16"/>
              </w:rPr>
              <w:t>Scenario</w:t>
            </w:r>
          </w:p>
        </w:tc>
        <w:tc>
          <w:tcPr>
            <w:tcW w:type="dxa" w:w="3427"/>
            <w:vAlign w:val="center"/>
            <w:shd w:fill="D9EAF7"/>
          </w:tcPr>
          <w:p>
            <w:pPr>
              <w:spacing w:after="0"/>
            </w:pPr>
            <w:r/>
            <w:r>
              <w:rPr>
                <w:rFonts w:ascii="Arial" w:hAnsi="Arial"/>
                <w:b/>
                <w:sz w:val="16"/>
              </w:rPr>
              <w:t>Expected architectural result</w:t>
            </w:r>
          </w:p>
        </w:tc>
      </w:tr>
      <w:tr>
        <w:tc>
          <w:tcPr>
            <w:tcW w:type="dxa" w:w="3427"/>
            <w:vAlign w:val="center"/>
          </w:tcPr>
          <w:p>
            <w:pPr>
              <w:spacing w:after="0"/>
            </w:pPr>
            <w:r/>
            <w:r>
              <w:rPr>
                <w:rFonts w:ascii="Arial" w:hAnsi="Arial"/>
                <w:b w:val="0"/>
                <w:sz w:val="16"/>
              </w:rPr>
              <w:t>ARCH-01</w:t>
            </w:r>
          </w:p>
        </w:tc>
        <w:tc>
          <w:tcPr>
            <w:tcW w:type="dxa" w:w="3427"/>
            <w:vAlign w:val="center"/>
          </w:tcPr>
          <w:p>
            <w:pPr>
              <w:spacing w:after="0"/>
            </w:pPr>
            <w:r/>
            <w:r>
              <w:rPr>
                <w:rFonts w:ascii="Arial" w:hAnsi="Arial"/>
                <w:b w:val="0"/>
                <w:sz w:val="16"/>
              </w:rPr>
              <w:t>Direct browser request to Python endpoint</w:t>
            </w:r>
          </w:p>
        </w:tc>
        <w:tc>
          <w:tcPr>
            <w:tcW w:type="dxa" w:w="3427"/>
            <w:vAlign w:val="center"/>
          </w:tcPr>
          <w:p>
            <w:pPr>
              <w:spacing w:after="0"/>
            </w:pPr>
            <w:r/>
            <w:r>
              <w:rPr>
                <w:rFonts w:ascii="Arial" w:hAnsi="Arial"/>
                <w:b w:val="0"/>
                <w:sz w:val="16"/>
              </w:rPr>
              <w:t>No endpoint exists; request cannot bypass Laravel.</w:t>
            </w:r>
          </w:p>
        </w:tc>
      </w:tr>
      <w:tr>
        <w:tc>
          <w:tcPr>
            <w:tcW w:type="dxa" w:w="3427"/>
            <w:vAlign w:val="center"/>
          </w:tcPr>
          <w:p>
            <w:pPr>
              <w:spacing w:after="0"/>
            </w:pPr>
            <w:r/>
            <w:r>
              <w:rPr>
                <w:rFonts w:ascii="Arial" w:hAnsi="Arial"/>
                <w:b w:val="0"/>
                <w:sz w:val="16"/>
              </w:rPr>
              <w:t>ARCH-02</w:t>
            </w:r>
          </w:p>
        </w:tc>
        <w:tc>
          <w:tcPr>
            <w:tcW w:type="dxa" w:w="3427"/>
            <w:vAlign w:val="center"/>
          </w:tcPr>
          <w:p>
            <w:pPr>
              <w:spacing w:after="0"/>
            </w:pPr>
            <w:r/>
            <w:r>
              <w:rPr>
                <w:rFonts w:ascii="Arial" w:hAnsi="Arial"/>
                <w:b w:val="0"/>
                <w:sz w:val="16"/>
              </w:rPr>
              <w:t>Controller attempts to calculate risk independently</w:t>
            </w:r>
          </w:p>
        </w:tc>
        <w:tc>
          <w:tcPr>
            <w:tcW w:type="dxa" w:w="3427"/>
            <w:vAlign w:val="center"/>
          </w:tcPr>
          <w:p>
            <w:pPr>
              <w:spacing w:after="0"/>
            </w:pPr>
            <w:r/>
            <w:r>
              <w:rPr>
                <w:rFonts w:ascii="Arial" w:hAnsi="Arial"/>
                <w:b w:val="0"/>
                <w:sz w:val="16"/>
              </w:rPr>
              <w:t>Code review/architecture test fails.</w:t>
            </w:r>
          </w:p>
        </w:tc>
      </w:tr>
      <w:tr>
        <w:tc>
          <w:tcPr>
            <w:tcW w:type="dxa" w:w="3427"/>
            <w:vAlign w:val="center"/>
          </w:tcPr>
          <w:p>
            <w:pPr>
              <w:spacing w:after="0"/>
            </w:pPr>
            <w:r/>
            <w:r>
              <w:rPr>
                <w:rFonts w:ascii="Arial" w:hAnsi="Arial"/>
                <w:b w:val="0"/>
                <w:sz w:val="16"/>
              </w:rPr>
              <w:t>ARCH-03</w:t>
            </w:r>
          </w:p>
        </w:tc>
        <w:tc>
          <w:tcPr>
            <w:tcW w:type="dxa" w:w="3427"/>
            <w:vAlign w:val="center"/>
          </w:tcPr>
          <w:p>
            <w:pPr>
              <w:spacing w:after="0"/>
            </w:pPr>
            <w:r/>
            <w:r>
              <w:rPr>
                <w:rFonts w:ascii="Arial" w:hAnsi="Arial"/>
                <w:b w:val="0"/>
                <w:sz w:val="16"/>
              </w:rPr>
              <w:t>Rule HIGH and Python returns LOW</w:t>
            </w:r>
          </w:p>
        </w:tc>
        <w:tc>
          <w:tcPr>
            <w:tcW w:type="dxa" w:w="3427"/>
            <w:vAlign w:val="center"/>
          </w:tcPr>
          <w:p>
            <w:pPr>
              <w:spacing w:after="0"/>
            </w:pPr>
            <w:r/>
            <w:r>
              <w:rPr>
                <w:rFonts w:ascii="Arial" w:hAnsi="Arial"/>
                <w:b w:val="0"/>
                <w:sz w:val="16"/>
              </w:rPr>
              <w:t>Central resolver returns HIGH.</w:t>
            </w:r>
          </w:p>
        </w:tc>
      </w:tr>
      <w:tr>
        <w:tc>
          <w:tcPr>
            <w:tcW w:type="dxa" w:w="3427"/>
            <w:vAlign w:val="center"/>
          </w:tcPr>
          <w:p>
            <w:pPr>
              <w:spacing w:after="0"/>
            </w:pPr>
            <w:r/>
            <w:r>
              <w:rPr>
                <w:rFonts w:ascii="Arial" w:hAnsi="Arial"/>
                <w:b w:val="0"/>
                <w:sz w:val="16"/>
              </w:rPr>
              <w:t>ARCH-04</w:t>
            </w:r>
          </w:p>
        </w:tc>
        <w:tc>
          <w:tcPr>
            <w:tcW w:type="dxa" w:w="3427"/>
            <w:vAlign w:val="center"/>
          </w:tcPr>
          <w:p>
            <w:pPr>
              <w:spacing w:after="0"/>
            </w:pPr>
            <w:r/>
            <w:r>
              <w:rPr>
                <w:rFonts w:ascii="Arial" w:hAnsi="Arial"/>
                <w:b w:val="0"/>
                <w:sz w:val="16"/>
              </w:rPr>
              <w:t>Python returns MODERATE</w:t>
            </w:r>
          </w:p>
        </w:tc>
        <w:tc>
          <w:tcPr>
            <w:tcW w:type="dxa" w:w="3427"/>
            <w:vAlign w:val="center"/>
          </w:tcPr>
          <w:p>
            <w:pPr>
              <w:spacing w:after="0"/>
            </w:pPr>
            <w:r/>
            <w:r>
              <w:rPr>
                <w:rFonts w:ascii="Arial" w:hAnsi="Arial"/>
                <w:b w:val="0"/>
                <w:sz w:val="16"/>
              </w:rPr>
              <w:t>Output rejected; INCOMPLETE unless rule HIGH.</w:t>
            </w:r>
          </w:p>
        </w:tc>
      </w:tr>
      <w:tr>
        <w:tc>
          <w:tcPr>
            <w:tcW w:type="dxa" w:w="3427"/>
            <w:vAlign w:val="center"/>
          </w:tcPr>
          <w:p>
            <w:pPr>
              <w:spacing w:after="0"/>
            </w:pPr>
            <w:r/>
            <w:r>
              <w:rPr>
                <w:rFonts w:ascii="Arial" w:hAnsi="Arial"/>
                <w:b w:val="0"/>
                <w:sz w:val="16"/>
              </w:rPr>
              <w:t>ARCH-05</w:t>
            </w:r>
          </w:p>
        </w:tc>
        <w:tc>
          <w:tcPr>
            <w:tcW w:type="dxa" w:w="3427"/>
            <w:vAlign w:val="center"/>
          </w:tcPr>
          <w:p>
            <w:pPr>
              <w:spacing w:after="0"/>
            </w:pPr>
            <w:r/>
            <w:r>
              <w:rPr>
                <w:rFonts w:ascii="Arial" w:hAnsi="Arial"/>
                <w:b w:val="0"/>
                <w:sz w:val="16"/>
              </w:rPr>
              <w:t>Python hangs</w:t>
            </w:r>
          </w:p>
        </w:tc>
        <w:tc>
          <w:tcPr>
            <w:tcW w:type="dxa" w:w="3427"/>
            <w:vAlign w:val="center"/>
          </w:tcPr>
          <w:p>
            <w:pPr>
              <w:spacing w:after="0"/>
            </w:pPr>
            <w:r/>
            <w:r>
              <w:rPr>
                <w:rFonts w:ascii="Arial" w:hAnsi="Arial"/>
                <w:b w:val="0"/>
                <w:sz w:val="16"/>
              </w:rPr>
              <w:t>Timeout; request fails safely or returns governed incomplete result.</w:t>
            </w:r>
          </w:p>
        </w:tc>
      </w:tr>
      <w:tr>
        <w:tc>
          <w:tcPr>
            <w:tcW w:type="dxa" w:w="3427"/>
            <w:vAlign w:val="center"/>
          </w:tcPr>
          <w:p>
            <w:pPr>
              <w:spacing w:after="0"/>
            </w:pPr>
            <w:r/>
            <w:r>
              <w:rPr>
                <w:rFonts w:ascii="Arial" w:hAnsi="Arial"/>
                <w:b w:val="0"/>
                <w:sz w:val="16"/>
              </w:rPr>
              <w:t>ARCH-06</w:t>
            </w:r>
          </w:p>
        </w:tc>
        <w:tc>
          <w:tcPr>
            <w:tcW w:type="dxa" w:w="3427"/>
            <w:vAlign w:val="center"/>
          </w:tcPr>
          <w:p>
            <w:pPr>
              <w:spacing w:after="0"/>
            </w:pPr>
            <w:r/>
            <w:r>
              <w:rPr>
                <w:rFonts w:ascii="Arial" w:hAnsi="Arial"/>
                <w:b w:val="0"/>
                <w:sz w:val="16"/>
              </w:rPr>
              <w:t>Model hash differs from registry</w:t>
            </w:r>
          </w:p>
        </w:tc>
        <w:tc>
          <w:tcPr>
            <w:tcW w:type="dxa" w:w="3427"/>
            <w:vAlign w:val="center"/>
          </w:tcPr>
          <w:p>
            <w:pPr>
              <w:spacing w:after="0"/>
            </w:pPr>
            <w:r/>
            <w:r>
              <w:rPr>
                <w:rFonts w:ascii="Arial" w:hAnsi="Arial"/>
                <w:b w:val="0"/>
                <w:sz w:val="16"/>
              </w:rPr>
              <w:t>Inference/health gate fails.</w:t>
            </w:r>
          </w:p>
        </w:tc>
      </w:tr>
      <w:tr>
        <w:tc>
          <w:tcPr>
            <w:tcW w:type="dxa" w:w="3427"/>
            <w:vAlign w:val="center"/>
          </w:tcPr>
          <w:p>
            <w:pPr>
              <w:spacing w:after="0"/>
            </w:pPr>
            <w:r/>
            <w:r>
              <w:rPr>
                <w:rFonts w:ascii="Arial" w:hAnsi="Arial"/>
                <w:b w:val="0"/>
                <w:sz w:val="16"/>
              </w:rPr>
              <w:t>ARCH-07</w:t>
            </w:r>
          </w:p>
        </w:tc>
        <w:tc>
          <w:tcPr>
            <w:tcW w:type="dxa" w:w="3427"/>
            <w:vAlign w:val="center"/>
          </w:tcPr>
          <w:p>
            <w:pPr>
              <w:spacing w:after="0"/>
            </w:pPr>
            <w:r/>
            <w:r>
              <w:rPr>
                <w:rFonts w:ascii="Arial" w:hAnsi="Arial"/>
                <w:b w:val="0"/>
                <w:sz w:val="16"/>
              </w:rPr>
              <w:t>Database save fails after inference</w:t>
            </w:r>
          </w:p>
        </w:tc>
        <w:tc>
          <w:tcPr>
            <w:tcW w:type="dxa" w:w="3427"/>
            <w:vAlign w:val="center"/>
          </w:tcPr>
          <w:p>
            <w:pPr>
              <w:spacing w:after="0"/>
            </w:pPr>
            <w:r/>
            <w:r>
              <w:rPr>
                <w:rFonts w:ascii="Arial" w:hAnsi="Arial"/>
                <w:b w:val="0"/>
                <w:sz w:val="16"/>
              </w:rPr>
              <w:t>Transaction rolls back; no orphan current result.</w:t>
            </w:r>
          </w:p>
        </w:tc>
      </w:tr>
      <w:tr>
        <w:tc>
          <w:tcPr>
            <w:tcW w:type="dxa" w:w="3427"/>
            <w:vAlign w:val="center"/>
          </w:tcPr>
          <w:p>
            <w:pPr>
              <w:spacing w:after="0"/>
            </w:pPr>
            <w:r/>
            <w:r>
              <w:rPr>
                <w:rFonts w:ascii="Arial" w:hAnsi="Arial"/>
                <w:b w:val="0"/>
                <w:sz w:val="16"/>
              </w:rPr>
              <w:t>ARCH-08</w:t>
            </w:r>
          </w:p>
        </w:tc>
        <w:tc>
          <w:tcPr>
            <w:tcW w:type="dxa" w:w="3427"/>
            <w:vAlign w:val="center"/>
          </w:tcPr>
          <w:p>
            <w:pPr>
              <w:spacing w:after="0"/>
            </w:pPr>
            <w:r/>
            <w:r>
              <w:rPr>
                <w:rFonts w:ascii="Arial" w:hAnsi="Arial"/>
                <w:b w:val="0"/>
                <w:sz w:val="16"/>
              </w:rPr>
              <w:t>Email job fails</w:t>
            </w:r>
          </w:p>
        </w:tc>
        <w:tc>
          <w:tcPr>
            <w:tcW w:type="dxa" w:w="3427"/>
            <w:vAlign w:val="center"/>
          </w:tcPr>
          <w:p>
            <w:pPr>
              <w:spacing w:after="0"/>
            </w:pPr>
            <w:r/>
            <w:r>
              <w:rPr>
                <w:rFonts w:ascii="Arial" w:hAnsi="Arial"/>
                <w:b w:val="0"/>
                <w:sz w:val="16"/>
              </w:rPr>
              <w:t>Assessment/referral unchanged; failure visible.</w:t>
            </w:r>
          </w:p>
        </w:tc>
      </w:tr>
      <w:tr>
        <w:tc>
          <w:tcPr>
            <w:tcW w:type="dxa" w:w="3427"/>
            <w:vAlign w:val="center"/>
          </w:tcPr>
          <w:p>
            <w:pPr>
              <w:spacing w:after="0"/>
            </w:pPr>
            <w:r/>
            <w:r>
              <w:rPr>
                <w:rFonts w:ascii="Arial" w:hAnsi="Arial"/>
                <w:b w:val="0"/>
                <w:sz w:val="16"/>
              </w:rPr>
              <w:t>ARCH-09</w:t>
            </w:r>
          </w:p>
        </w:tc>
        <w:tc>
          <w:tcPr>
            <w:tcW w:type="dxa" w:w="3427"/>
            <w:vAlign w:val="center"/>
          </w:tcPr>
          <w:p>
            <w:pPr>
              <w:spacing w:after="0"/>
            </w:pPr>
            <w:r/>
            <w:r>
              <w:rPr>
                <w:rFonts w:ascii="Arial" w:hAnsi="Arial"/>
                <w:b w:val="0"/>
                <w:sz w:val="16"/>
              </w:rPr>
              <w:t>Wrong pregnancy ID submitted</w:t>
            </w:r>
          </w:p>
        </w:tc>
        <w:tc>
          <w:tcPr>
            <w:tcW w:type="dxa" w:w="3427"/>
            <w:vAlign w:val="center"/>
          </w:tcPr>
          <w:p>
            <w:pPr>
              <w:spacing w:after="0"/>
            </w:pPr>
            <w:r/>
            <w:r>
              <w:rPr>
                <w:rFonts w:ascii="Arial" w:hAnsi="Arial"/>
                <w:b w:val="0"/>
                <w:sz w:val="16"/>
              </w:rPr>
              <w:t>Authorization/episode scoping blocks or corrects lookup.</w:t>
            </w:r>
          </w:p>
        </w:tc>
      </w:tr>
      <w:tr>
        <w:tc>
          <w:tcPr>
            <w:tcW w:type="dxa" w:w="3427"/>
            <w:vAlign w:val="center"/>
          </w:tcPr>
          <w:p>
            <w:pPr>
              <w:spacing w:after="0"/>
            </w:pPr>
            <w:r/>
            <w:r>
              <w:rPr>
                <w:rFonts w:ascii="Arial" w:hAnsi="Arial"/>
                <w:b w:val="0"/>
                <w:sz w:val="16"/>
              </w:rPr>
              <w:t>ARCH-10</w:t>
            </w:r>
          </w:p>
        </w:tc>
        <w:tc>
          <w:tcPr>
            <w:tcW w:type="dxa" w:w="3427"/>
            <w:vAlign w:val="center"/>
          </w:tcPr>
          <w:p>
            <w:pPr>
              <w:spacing w:after="0"/>
            </w:pPr>
            <w:r/>
            <w:r>
              <w:rPr>
                <w:rFonts w:ascii="Arial" w:hAnsi="Arial"/>
                <w:b w:val="0"/>
                <w:sz w:val="16"/>
              </w:rPr>
              <w:t>Delivered patient visit creation</w:t>
            </w:r>
          </w:p>
        </w:tc>
        <w:tc>
          <w:tcPr>
            <w:tcW w:type="dxa" w:w="3427"/>
            <w:vAlign w:val="center"/>
          </w:tcPr>
          <w:p>
            <w:pPr>
              <w:spacing w:after="0"/>
            </w:pPr>
            <w:r/>
            <w:r>
              <w:rPr>
                <w:rFonts w:ascii="Arial" w:hAnsi="Arial"/>
                <w:b w:val="0"/>
                <w:sz w:val="16"/>
              </w:rPr>
              <w:t>Server-side guard blocks.</w:t>
            </w:r>
          </w:p>
        </w:tc>
      </w:tr>
      <w:tr>
        <w:tc>
          <w:tcPr>
            <w:tcW w:type="dxa" w:w="3427"/>
            <w:vAlign w:val="center"/>
          </w:tcPr>
          <w:p>
            <w:pPr>
              <w:spacing w:after="0"/>
            </w:pPr>
            <w:r/>
            <w:r>
              <w:rPr>
                <w:rFonts w:ascii="Arial" w:hAnsi="Arial"/>
                <w:b w:val="0"/>
                <w:sz w:val="16"/>
              </w:rPr>
              <w:t>ARCH-11</w:t>
            </w:r>
          </w:p>
        </w:tc>
        <w:tc>
          <w:tcPr>
            <w:tcW w:type="dxa" w:w="3427"/>
            <w:vAlign w:val="center"/>
          </w:tcPr>
          <w:p>
            <w:pPr>
              <w:spacing w:after="0"/>
            </w:pPr>
            <w:r/>
            <w:r>
              <w:rPr>
                <w:rFonts w:ascii="Arial" w:hAnsi="Arial"/>
                <w:b w:val="0"/>
                <w:sz w:val="16"/>
              </w:rPr>
              <w:t>Start new pregnancy</w:t>
            </w:r>
          </w:p>
        </w:tc>
        <w:tc>
          <w:tcPr>
            <w:tcW w:type="dxa" w:w="3427"/>
            <w:vAlign w:val="center"/>
          </w:tcPr>
          <w:p>
            <w:pPr>
              <w:spacing w:after="0"/>
            </w:pPr>
            <w:r/>
            <w:r>
              <w:rPr>
                <w:rFonts w:ascii="Arial" w:hAnsi="Arial"/>
                <w:b w:val="0"/>
                <w:sz w:val="16"/>
              </w:rPr>
              <w:t>Separate episode and assessment chain.</w:t>
            </w:r>
          </w:p>
        </w:tc>
      </w:tr>
      <w:tr>
        <w:tc>
          <w:tcPr>
            <w:tcW w:type="dxa" w:w="3427"/>
            <w:vAlign w:val="center"/>
          </w:tcPr>
          <w:p>
            <w:pPr>
              <w:spacing w:after="0"/>
            </w:pPr>
            <w:r/>
            <w:r>
              <w:rPr>
                <w:rFonts w:ascii="Arial" w:hAnsi="Arial"/>
                <w:b w:val="0"/>
                <w:sz w:val="16"/>
              </w:rPr>
              <w:t>ARCH-12</w:t>
            </w:r>
          </w:p>
        </w:tc>
        <w:tc>
          <w:tcPr>
            <w:tcW w:type="dxa" w:w="3427"/>
            <w:vAlign w:val="center"/>
          </w:tcPr>
          <w:p>
            <w:pPr>
              <w:spacing w:after="0"/>
            </w:pPr>
            <w:r/>
            <w:r>
              <w:rPr>
                <w:rFonts w:ascii="Arial" w:hAnsi="Arial"/>
                <w:b w:val="0"/>
                <w:sz w:val="16"/>
              </w:rPr>
              <w:t>Historical source record later edited</w:t>
            </w:r>
          </w:p>
        </w:tc>
        <w:tc>
          <w:tcPr>
            <w:tcW w:type="dxa" w:w="3427"/>
            <w:vAlign w:val="center"/>
          </w:tcPr>
          <w:p>
            <w:pPr>
              <w:spacing w:after="0"/>
            </w:pPr>
            <w:r/>
            <w:r>
              <w:rPr>
                <w:rFonts w:ascii="Arial" w:hAnsi="Arial"/>
                <w:b w:val="0"/>
                <w:sz w:val="16"/>
              </w:rPr>
              <w:t>Old assessment snapshot remains reconstructable.</w:t>
            </w:r>
          </w:p>
        </w:tc>
      </w:tr>
      <w:tr>
        <w:tc>
          <w:tcPr>
            <w:tcW w:type="dxa" w:w="3427"/>
            <w:vAlign w:val="center"/>
          </w:tcPr>
          <w:p>
            <w:pPr>
              <w:spacing w:after="0"/>
            </w:pPr>
            <w:r/>
            <w:r>
              <w:rPr>
                <w:rFonts w:ascii="Arial" w:hAnsi="Arial"/>
                <w:b w:val="0"/>
                <w:sz w:val="16"/>
              </w:rPr>
              <w:t>ARCH-13</w:t>
            </w:r>
          </w:p>
        </w:tc>
        <w:tc>
          <w:tcPr>
            <w:tcW w:type="dxa" w:w="3427"/>
            <w:vAlign w:val="center"/>
          </w:tcPr>
          <w:p>
            <w:pPr>
              <w:spacing w:after="0"/>
            </w:pPr>
            <w:r/>
            <w:r>
              <w:rPr>
                <w:rFonts w:ascii="Arial" w:hAnsi="Arial"/>
                <w:b w:val="0"/>
                <w:sz w:val="16"/>
              </w:rPr>
              <w:t>User opens unauthorized patient URL</w:t>
            </w:r>
          </w:p>
        </w:tc>
        <w:tc>
          <w:tcPr>
            <w:tcW w:type="dxa" w:w="3427"/>
            <w:vAlign w:val="center"/>
          </w:tcPr>
          <w:p>
            <w:pPr>
              <w:spacing w:after="0"/>
            </w:pPr>
            <w:r/>
            <w:r>
              <w:rPr>
                <w:rFonts w:ascii="Arial" w:hAnsi="Arial"/>
                <w:b w:val="0"/>
                <w:sz w:val="16"/>
              </w:rPr>
              <w:t>Denied without data disclosure.</w:t>
            </w:r>
          </w:p>
        </w:tc>
      </w:tr>
      <w:tr>
        <w:tc>
          <w:tcPr>
            <w:tcW w:type="dxa" w:w="3427"/>
            <w:vAlign w:val="center"/>
          </w:tcPr>
          <w:p>
            <w:pPr>
              <w:spacing w:after="0"/>
            </w:pPr>
            <w:r/>
            <w:r>
              <w:rPr>
                <w:rFonts w:ascii="Arial" w:hAnsi="Arial"/>
                <w:b w:val="0"/>
                <w:sz w:val="16"/>
              </w:rPr>
              <w:t>ARCH-14</w:t>
            </w:r>
          </w:p>
        </w:tc>
        <w:tc>
          <w:tcPr>
            <w:tcW w:type="dxa" w:w="3427"/>
            <w:vAlign w:val="center"/>
          </w:tcPr>
          <w:p>
            <w:pPr>
              <w:spacing w:after="0"/>
            </w:pPr>
            <w:r/>
            <w:r>
              <w:rPr>
                <w:rFonts w:ascii="Arial" w:hAnsi="Arial"/>
                <w:b w:val="0"/>
                <w:sz w:val="16"/>
              </w:rPr>
              <w:t>Queue listener recalculates final state</w:t>
            </w:r>
          </w:p>
        </w:tc>
        <w:tc>
          <w:tcPr>
            <w:tcW w:type="dxa" w:w="3427"/>
            <w:vAlign w:val="center"/>
          </w:tcPr>
          <w:p>
            <w:pPr>
              <w:spacing w:after="0"/>
            </w:pPr>
            <w:r/>
            <w:r>
              <w:rPr>
                <w:rFonts w:ascii="Arial" w:hAnsi="Arial"/>
                <w:b w:val="0"/>
                <w:sz w:val="16"/>
              </w:rPr>
              <w:t>Prohibited architecture; test fails.</w:t>
            </w:r>
          </w:p>
        </w:tc>
      </w:tr>
      <w:tr>
        <w:tc>
          <w:tcPr>
            <w:tcW w:type="dxa" w:w="3427"/>
            <w:vAlign w:val="center"/>
          </w:tcPr>
          <w:p>
            <w:pPr>
              <w:spacing w:after="0"/>
            </w:pPr>
            <w:r/>
            <w:r>
              <w:rPr>
                <w:rFonts w:ascii="Arial" w:hAnsi="Arial"/>
                <w:b w:val="0"/>
                <w:sz w:val="16"/>
              </w:rPr>
              <w:t>ARCH-15</w:t>
            </w:r>
          </w:p>
        </w:tc>
        <w:tc>
          <w:tcPr>
            <w:tcW w:type="dxa" w:w="3427"/>
            <w:vAlign w:val="center"/>
          </w:tcPr>
          <w:p>
            <w:pPr>
              <w:spacing w:after="0"/>
            </w:pPr>
            <w:r/>
            <w:r>
              <w:rPr>
                <w:rFonts w:ascii="Arial" w:hAnsi="Arial"/>
                <w:b w:val="0"/>
                <w:sz w:val="16"/>
              </w:rPr>
              <w:t>Urgent referral during email outage</w:t>
            </w:r>
          </w:p>
        </w:tc>
        <w:tc>
          <w:tcPr>
            <w:tcW w:type="dxa" w:w="3427"/>
            <w:vAlign w:val="center"/>
          </w:tcPr>
          <w:p>
            <w:pPr>
              <w:spacing w:after="0"/>
            </w:pPr>
            <w:r/>
            <w:r>
              <w:rPr>
                <w:rFonts w:ascii="Arial" w:hAnsi="Arial"/>
                <w:b w:val="0"/>
                <w:sz w:val="16"/>
              </w:rPr>
              <w:t>Urgency and manual contact workflow continue.</w:t>
            </w:r>
          </w:p>
        </w:tc>
      </w:tr>
      <w:tr>
        <w:tc>
          <w:tcPr>
            <w:tcW w:type="dxa" w:w="3427"/>
            <w:vAlign w:val="center"/>
          </w:tcPr>
          <w:p>
            <w:pPr>
              <w:spacing w:after="0"/>
            </w:pPr>
            <w:r/>
            <w:r>
              <w:rPr>
                <w:rFonts w:ascii="Arial" w:hAnsi="Arial"/>
                <w:b w:val="0"/>
                <w:sz w:val="16"/>
              </w:rPr>
              <w:t>ARCH-16</w:t>
            </w:r>
          </w:p>
        </w:tc>
        <w:tc>
          <w:tcPr>
            <w:tcW w:type="dxa" w:w="3427"/>
            <w:vAlign w:val="center"/>
          </w:tcPr>
          <w:p>
            <w:pPr>
              <w:spacing w:after="0"/>
            </w:pPr>
            <w:r/>
            <w:r>
              <w:rPr>
                <w:rFonts w:ascii="Arial" w:hAnsi="Arial"/>
                <w:b w:val="0"/>
                <w:sz w:val="16"/>
              </w:rPr>
              <w:t>System offline in emergency</w:t>
            </w:r>
          </w:p>
        </w:tc>
        <w:tc>
          <w:tcPr>
            <w:tcW w:type="dxa" w:w="3427"/>
            <w:vAlign w:val="center"/>
          </w:tcPr>
          <w:p>
            <w:pPr>
              <w:spacing w:after="0"/>
            </w:pPr>
            <w:r/>
            <w:r>
              <w:rPr>
                <w:rFonts w:ascii="Arial" w:hAnsi="Arial"/>
                <w:b w:val="0"/>
                <w:sz w:val="16"/>
              </w:rPr>
              <w:t>Manual protocol used; later audited documentation.</w:t>
            </w:r>
          </w:p>
        </w:tc>
      </w:tr>
      <w:tr>
        <w:tc>
          <w:tcPr>
            <w:tcW w:type="dxa" w:w="3427"/>
            <w:vAlign w:val="center"/>
          </w:tcPr>
          <w:p>
            <w:pPr>
              <w:spacing w:after="0"/>
            </w:pPr>
            <w:r/>
            <w:r>
              <w:rPr>
                <w:rFonts w:ascii="Arial" w:hAnsi="Arial"/>
                <w:b w:val="0"/>
                <w:sz w:val="16"/>
              </w:rPr>
              <w:t>ARCH-17</w:t>
            </w:r>
          </w:p>
        </w:tc>
        <w:tc>
          <w:tcPr>
            <w:tcW w:type="dxa" w:w="3427"/>
            <w:vAlign w:val="center"/>
          </w:tcPr>
          <w:p>
            <w:pPr>
              <w:spacing w:after="0"/>
            </w:pPr>
            <w:r/>
            <w:r>
              <w:rPr>
                <w:rFonts w:ascii="Arial" w:hAnsi="Arial"/>
                <w:b w:val="0"/>
                <w:sz w:val="16"/>
              </w:rPr>
              <w:t>Screen and print use different assessment versions</w:t>
            </w:r>
          </w:p>
        </w:tc>
        <w:tc>
          <w:tcPr>
            <w:tcW w:type="dxa" w:w="3427"/>
            <w:vAlign w:val="center"/>
          </w:tcPr>
          <w:p>
            <w:pPr>
              <w:spacing w:after="0"/>
            </w:pPr>
            <w:r/>
            <w:r>
              <w:rPr>
                <w:rFonts w:ascii="Arial" w:hAnsi="Arial"/>
                <w:b w:val="0"/>
                <w:sz w:val="16"/>
              </w:rPr>
              <w:t>Consistency validation fails.</w:t>
            </w:r>
          </w:p>
        </w:tc>
      </w:tr>
      <w:tr>
        <w:tc>
          <w:tcPr>
            <w:tcW w:type="dxa" w:w="3427"/>
            <w:vAlign w:val="center"/>
          </w:tcPr>
          <w:p>
            <w:pPr>
              <w:spacing w:after="0"/>
            </w:pPr>
            <w:r/>
            <w:r>
              <w:rPr>
                <w:rFonts w:ascii="Arial" w:hAnsi="Arial"/>
                <w:b w:val="0"/>
                <w:sz w:val="16"/>
              </w:rPr>
              <w:t>ARCH-18</w:t>
            </w:r>
          </w:p>
        </w:tc>
        <w:tc>
          <w:tcPr>
            <w:tcW w:type="dxa" w:w="3427"/>
            <w:vAlign w:val="center"/>
          </w:tcPr>
          <w:p>
            <w:pPr>
              <w:spacing w:after="0"/>
            </w:pPr>
            <w:r/>
            <w:r>
              <w:rPr>
                <w:rFonts w:ascii="Arial" w:hAnsi="Arial"/>
                <w:b w:val="0"/>
                <w:sz w:val="16"/>
              </w:rPr>
              <w:t>Unexpected rule exception</w:t>
            </w:r>
          </w:p>
        </w:tc>
        <w:tc>
          <w:tcPr>
            <w:tcW w:type="dxa" w:w="3427"/>
            <w:vAlign w:val="center"/>
          </w:tcPr>
          <w:p>
            <w:pPr>
              <w:spacing w:after="0"/>
            </w:pPr>
            <w:r/>
            <w:r>
              <w:rPr>
                <w:rFonts w:ascii="Arial" w:hAnsi="Arial"/>
                <w:b w:val="0"/>
                <w:sz w:val="16"/>
              </w:rPr>
              <w:t>No LOW; error contained and logged.</w:t>
            </w:r>
          </w:p>
        </w:tc>
      </w:tr>
      <w:tr>
        <w:tc>
          <w:tcPr>
            <w:tcW w:type="dxa" w:w="3427"/>
            <w:vAlign w:val="center"/>
          </w:tcPr>
          <w:p>
            <w:pPr>
              <w:spacing w:after="0"/>
            </w:pPr>
            <w:r/>
            <w:r>
              <w:rPr>
                <w:rFonts w:ascii="Arial" w:hAnsi="Arial"/>
                <w:b w:val="0"/>
                <w:sz w:val="16"/>
              </w:rPr>
              <w:t>ARCH-19</w:t>
            </w:r>
          </w:p>
        </w:tc>
        <w:tc>
          <w:tcPr>
            <w:tcW w:type="dxa" w:w="3427"/>
            <w:vAlign w:val="center"/>
          </w:tcPr>
          <w:p>
            <w:pPr>
              <w:spacing w:after="0"/>
            </w:pPr>
            <w:r/>
            <w:r>
              <w:rPr>
                <w:rFonts w:ascii="Arial" w:hAnsi="Arial"/>
                <w:b w:val="0"/>
                <w:sz w:val="16"/>
              </w:rPr>
              <w:t>Audit reconstruction requested</w:t>
            </w:r>
          </w:p>
        </w:tc>
        <w:tc>
          <w:tcPr>
            <w:tcW w:type="dxa" w:w="3427"/>
            <w:vAlign w:val="center"/>
          </w:tcPr>
          <w:p>
            <w:pPr>
              <w:spacing w:after="0"/>
            </w:pPr>
            <w:r/>
            <w:r>
              <w:rPr>
                <w:rFonts w:ascii="Arial" w:hAnsi="Arial"/>
                <w:b w:val="0"/>
                <w:sz w:val="16"/>
              </w:rPr>
              <w:t>Inputs, rules, model, versions, messages, actor, and actions reproducible.</w:t>
            </w:r>
          </w:p>
        </w:tc>
      </w:tr>
      <w:tr>
        <w:tc>
          <w:tcPr>
            <w:tcW w:type="dxa" w:w="3427"/>
            <w:vAlign w:val="center"/>
          </w:tcPr>
          <w:p>
            <w:pPr>
              <w:spacing w:after="0"/>
            </w:pPr>
            <w:r/>
            <w:r>
              <w:rPr>
                <w:rFonts w:ascii="Arial" w:hAnsi="Arial"/>
                <w:b w:val="0"/>
                <w:sz w:val="16"/>
              </w:rPr>
              <w:t>ARCH-20</w:t>
            </w:r>
          </w:p>
        </w:tc>
        <w:tc>
          <w:tcPr>
            <w:tcW w:type="dxa" w:w="3427"/>
            <w:vAlign w:val="center"/>
          </w:tcPr>
          <w:p>
            <w:pPr>
              <w:spacing w:after="0"/>
            </w:pPr>
            <w:r/>
            <w:r>
              <w:rPr>
                <w:rFonts w:ascii="Arial" w:hAnsi="Arial"/>
                <w:b w:val="0"/>
                <w:sz w:val="16"/>
              </w:rPr>
              <w:t>Future scale requires separate ML service</w:t>
            </w:r>
          </w:p>
        </w:tc>
        <w:tc>
          <w:tcPr>
            <w:tcW w:type="dxa" w:w="3427"/>
            <w:vAlign w:val="center"/>
          </w:tcPr>
          <w:p>
            <w:pPr>
              <w:spacing w:after="0"/>
            </w:pPr>
            <w:r/>
            <w:r>
              <w:rPr>
                <w:rFonts w:ascii="Arial" w:hAnsi="Arial"/>
                <w:b w:val="0"/>
                <w:sz w:val="16"/>
              </w:rPr>
              <w:t>Adapter interface permits migration without changing decision rules.</w:t>
            </w:r>
          </w:p>
        </w:tc>
      </w:tr>
    </w:tbl>
    <w:p/>
    <w:p>
      <w:pPr>
        <w:pStyle w:val="Heading1"/>
      </w:pPr>
      <w:r>
        <w:t>20. Implementation Phasing</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pPr>
              <w:spacing w:after="0"/>
            </w:pPr>
            <w:r/>
            <w:r>
              <w:rPr>
                <w:rFonts w:ascii="Arial" w:hAnsi="Arial"/>
                <w:b/>
                <w:sz w:val="16"/>
              </w:rPr>
              <w:t>Phase</w:t>
            </w:r>
          </w:p>
        </w:tc>
        <w:tc>
          <w:tcPr>
            <w:tcW w:type="dxa" w:w="3427"/>
            <w:vAlign w:val="center"/>
            <w:shd w:fill="D9EAF7"/>
          </w:tcPr>
          <w:p>
            <w:pPr>
              <w:spacing w:after="0"/>
            </w:pPr>
            <w:r/>
            <w:r>
              <w:rPr>
                <w:rFonts w:ascii="Arial" w:hAnsi="Arial"/>
                <w:b/>
                <w:sz w:val="16"/>
              </w:rPr>
              <w:t>Goal</w:t>
            </w:r>
          </w:p>
        </w:tc>
        <w:tc>
          <w:tcPr>
            <w:tcW w:type="dxa" w:w="3427"/>
            <w:vAlign w:val="center"/>
            <w:shd w:fill="D9EAF7"/>
          </w:tcPr>
          <w:p>
            <w:pPr>
              <w:spacing w:after="0"/>
            </w:pPr>
            <w:r/>
            <w:r>
              <w:rPr>
                <w:rFonts w:ascii="Arial" w:hAnsi="Arial"/>
                <w:b/>
                <w:sz w:val="16"/>
              </w:rPr>
              <w:t>Exit evidence</w:t>
            </w:r>
          </w:p>
        </w:tc>
      </w:tr>
      <w:tr>
        <w:tc>
          <w:tcPr>
            <w:tcW w:type="dxa" w:w="3427"/>
            <w:vAlign w:val="center"/>
          </w:tcPr>
          <w:p>
            <w:pPr>
              <w:spacing w:after="0"/>
            </w:pPr>
            <w:r/>
            <w:r>
              <w:rPr>
                <w:rFonts w:ascii="Arial" w:hAnsi="Arial"/>
                <w:b w:val="0"/>
                <w:sz w:val="16"/>
              </w:rPr>
              <w:t>A. Baseline inventory</w:t>
            </w:r>
          </w:p>
        </w:tc>
        <w:tc>
          <w:tcPr>
            <w:tcW w:type="dxa" w:w="3427"/>
            <w:vAlign w:val="center"/>
          </w:tcPr>
          <w:p>
            <w:pPr>
              <w:spacing w:after="0"/>
            </w:pPr>
            <w:r/>
            <w:r>
              <w:rPr>
                <w:rFonts w:ascii="Arial" w:hAnsi="Arial"/>
                <w:b w:val="0"/>
                <w:sz w:val="16"/>
              </w:rPr>
              <w:t>Map current controllers, models, routes, Python script, schema, and duplicated logic.</w:t>
            </w:r>
          </w:p>
        </w:tc>
        <w:tc>
          <w:tcPr>
            <w:tcW w:type="dxa" w:w="3427"/>
            <w:vAlign w:val="center"/>
          </w:tcPr>
          <w:p>
            <w:pPr>
              <w:spacing w:after="0"/>
            </w:pPr>
            <w:r/>
            <w:r>
              <w:rPr>
                <w:rFonts w:ascii="Arial" w:hAnsi="Arial"/>
                <w:b w:val="0"/>
                <w:sz w:val="16"/>
              </w:rPr>
              <w:t>Architecture gap list and dependency map.</w:t>
            </w:r>
          </w:p>
        </w:tc>
      </w:tr>
      <w:tr>
        <w:tc>
          <w:tcPr>
            <w:tcW w:type="dxa" w:w="3427"/>
            <w:vAlign w:val="center"/>
          </w:tcPr>
          <w:p>
            <w:pPr>
              <w:spacing w:after="0"/>
            </w:pPr>
            <w:r/>
            <w:r>
              <w:rPr>
                <w:rFonts w:ascii="Arial" w:hAnsi="Arial"/>
                <w:b w:val="0"/>
                <w:sz w:val="16"/>
              </w:rPr>
              <w:t>B. Central decision service</w:t>
            </w:r>
          </w:p>
        </w:tc>
        <w:tc>
          <w:tcPr>
            <w:tcW w:type="dxa" w:w="3427"/>
            <w:vAlign w:val="center"/>
          </w:tcPr>
          <w:p>
            <w:pPr>
              <w:spacing w:after="0"/>
            </w:pPr>
            <w:r/>
            <w:r>
              <w:rPr>
                <w:rFonts w:ascii="Arial" w:hAnsi="Arial"/>
                <w:b w:val="0"/>
                <w:sz w:val="16"/>
              </w:rPr>
              <w:t>Move completeness, rules, ML validation, resolution, explanation, and persistence behind one service.</w:t>
            </w:r>
          </w:p>
        </w:tc>
        <w:tc>
          <w:tcPr>
            <w:tcW w:type="dxa" w:w="3427"/>
            <w:vAlign w:val="center"/>
          </w:tcPr>
          <w:p>
            <w:pPr>
              <w:spacing w:after="0"/>
            </w:pPr>
            <w:r/>
            <w:r>
              <w:rPr>
                <w:rFonts w:ascii="Arial" w:hAnsi="Arial"/>
                <w:b w:val="0"/>
                <w:sz w:val="16"/>
              </w:rPr>
              <w:t>Unit and feature tests pass; old paths removed.</w:t>
            </w:r>
          </w:p>
        </w:tc>
      </w:tr>
      <w:tr>
        <w:tc>
          <w:tcPr>
            <w:tcW w:type="dxa" w:w="3427"/>
            <w:vAlign w:val="center"/>
          </w:tcPr>
          <w:p>
            <w:pPr>
              <w:spacing w:after="0"/>
            </w:pPr>
            <w:r/>
            <w:r>
              <w:rPr>
                <w:rFonts w:ascii="Arial" w:hAnsi="Arial"/>
                <w:b w:val="0"/>
                <w:sz w:val="16"/>
              </w:rPr>
              <w:t>C. Versioned snapshots</w:t>
            </w:r>
          </w:p>
        </w:tc>
        <w:tc>
          <w:tcPr>
            <w:tcW w:type="dxa" w:w="3427"/>
            <w:vAlign w:val="center"/>
          </w:tcPr>
          <w:p>
            <w:pPr>
              <w:spacing w:after="0"/>
            </w:pPr>
            <w:r/>
            <w:r>
              <w:rPr>
                <w:rFonts w:ascii="Arial" w:hAnsi="Arial"/>
                <w:b w:val="0"/>
                <w:sz w:val="16"/>
              </w:rPr>
              <w:t>Add assessment provenance and immutable history.</w:t>
            </w:r>
          </w:p>
        </w:tc>
        <w:tc>
          <w:tcPr>
            <w:tcW w:type="dxa" w:w="3427"/>
            <w:vAlign w:val="center"/>
          </w:tcPr>
          <w:p>
            <w:pPr>
              <w:spacing w:after="0"/>
            </w:pPr>
            <w:r/>
            <w:r>
              <w:rPr>
                <w:rFonts w:ascii="Arial" w:hAnsi="Arial"/>
                <w:b w:val="0"/>
                <w:sz w:val="16"/>
              </w:rPr>
              <w:t>Reconstruction tests and migration verification.</w:t>
            </w:r>
          </w:p>
        </w:tc>
      </w:tr>
      <w:tr>
        <w:tc>
          <w:tcPr>
            <w:tcW w:type="dxa" w:w="3427"/>
            <w:vAlign w:val="center"/>
          </w:tcPr>
          <w:p>
            <w:pPr>
              <w:spacing w:after="0"/>
            </w:pPr>
            <w:r/>
            <w:r>
              <w:rPr>
                <w:rFonts w:ascii="Arial" w:hAnsi="Arial"/>
                <w:b w:val="0"/>
                <w:sz w:val="16"/>
              </w:rPr>
              <w:t>D. Referral and lifecycle services</w:t>
            </w:r>
          </w:p>
        </w:tc>
        <w:tc>
          <w:tcPr>
            <w:tcW w:type="dxa" w:w="3427"/>
            <w:vAlign w:val="center"/>
          </w:tcPr>
          <w:p>
            <w:pPr>
              <w:spacing w:after="0"/>
            </w:pPr>
            <w:r/>
            <w:r>
              <w:rPr>
                <w:rFonts w:ascii="Arial" w:hAnsi="Arial"/>
                <w:b w:val="0"/>
                <w:sz w:val="16"/>
              </w:rPr>
              <w:t>Centralize referral, delivery lock, and new-pregnancy behavior.</w:t>
            </w:r>
          </w:p>
        </w:tc>
        <w:tc>
          <w:tcPr>
            <w:tcW w:type="dxa" w:w="3427"/>
            <w:vAlign w:val="center"/>
          </w:tcPr>
          <w:p>
            <w:pPr>
              <w:spacing w:after="0"/>
            </w:pPr>
            <w:r/>
            <w:r>
              <w:rPr>
                <w:rFonts w:ascii="Arial" w:hAnsi="Arial"/>
                <w:b w:val="0"/>
                <w:sz w:val="16"/>
              </w:rPr>
              <w:t>Workflow tests pass.</w:t>
            </w:r>
          </w:p>
        </w:tc>
      </w:tr>
      <w:tr>
        <w:tc>
          <w:tcPr>
            <w:tcW w:type="dxa" w:w="3427"/>
            <w:vAlign w:val="center"/>
          </w:tcPr>
          <w:p>
            <w:pPr>
              <w:spacing w:after="0"/>
            </w:pPr>
            <w:r/>
            <w:r>
              <w:rPr>
                <w:rFonts w:ascii="Arial" w:hAnsi="Arial"/>
                <w:b w:val="0"/>
                <w:sz w:val="16"/>
              </w:rPr>
              <w:t>E. Security and observability</w:t>
            </w:r>
          </w:p>
        </w:tc>
        <w:tc>
          <w:tcPr>
            <w:tcW w:type="dxa" w:w="3427"/>
            <w:vAlign w:val="center"/>
          </w:tcPr>
          <w:p>
            <w:pPr>
              <w:spacing w:after="0"/>
            </w:pPr>
            <w:r/>
            <w:r>
              <w:rPr>
                <w:rFonts w:ascii="Arial" w:hAnsi="Arial"/>
                <w:b w:val="0"/>
                <w:sz w:val="16"/>
              </w:rPr>
              <w:t>Policies, structured logging, correlation, health, secrets, and access review.</w:t>
            </w:r>
          </w:p>
        </w:tc>
        <w:tc>
          <w:tcPr>
            <w:tcW w:type="dxa" w:w="3427"/>
            <w:vAlign w:val="center"/>
          </w:tcPr>
          <w:p>
            <w:pPr>
              <w:spacing w:after="0"/>
            </w:pPr>
            <w:r/>
            <w:r>
              <w:rPr>
                <w:rFonts w:ascii="Arial" w:hAnsi="Arial"/>
                <w:b w:val="0"/>
                <w:sz w:val="16"/>
              </w:rPr>
              <w:t>Security acceptance and audit evidence.</w:t>
            </w:r>
          </w:p>
        </w:tc>
      </w:tr>
      <w:tr>
        <w:tc>
          <w:tcPr>
            <w:tcW w:type="dxa" w:w="3427"/>
            <w:vAlign w:val="center"/>
          </w:tcPr>
          <w:p>
            <w:pPr>
              <w:spacing w:after="0"/>
            </w:pPr>
            <w:r/>
            <w:r>
              <w:rPr>
                <w:rFonts w:ascii="Arial" w:hAnsi="Arial"/>
                <w:b w:val="0"/>
                <w:sz w:val="16"/>
              </w:rPr>
              <w:t>F. Operational hardening</w:t>
            </w:r>
          </w:p>
        </w:tc>
        <w:tc>
          <w:tcPr>
            <w:tcW w:type="dxa" w:w="3427"/>
            <w:vAlign w:val="center"/>
          </w:tcPr>
          <w:p>
            <w:pPr>
              <w:spacing w:after="0"/>
            </w:pPr>
            <w:r/>
            <w:r>
              <w:rPr>
                <w:rFonts w:ascii="Arial" w:hAnsi="Arial"/>
                <w:b w:val="0"/>
                <w:sz w:val="16"/>
              </w:rPr>
              <w:t>Queues, scheduler, backup, deployment, V&amp;V, and maintenance alignment.</w:t>
            </w:r>
          </w:p>
        </w:tc>
        <w:tc>
          <w:tcPr>
            <w:tcW w:type="dxa" w:w="3427"/>
            <w:vAlign w:val="center"/>
          </w:tcPr>
          <w:p>
            <w:pPr>
              <w:spacing w:after="0"/>
            </w:pPr>
            <w:r/>
            <w:r>
              <w:rPr>
                <w:rFonts w:ascii="Arial" w:hAnsi="Arial"/>
                <w:b w:val="0"/>
                <w:sz w:val="16"/>
              </w:rPr>
              <w:t>Parts 9-12 readiness gates satisfied.</w:t>
            </w:r>
          </w:p>
        </w:tc>
      </w:tr>
    </w:tbl>
    <w:p/>
    <w:p>
      <w:pPr>
        <w:pStyle w:val="Heading1"/>
      </w:pPr>
      <w:r>
        <w:t>21. Relationship to Document 6 Parts 2-12</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pPr>
              <w:spacing w:after="0"/>
            </w:pPr>
            <w:r/>
            <w:r>
              <w:rPr>
                <w:rFonts w:ascii="Arial" w:hAnsi="Arial"/>
                <w:b/>
                <w:sz w:val="16"/>
              </w:rPr>
              <w:t>Part</w:t>
            </w:r>
          </w:p>
        </w:tc>
        <w:tc>
          <w:tcPr>
            <w:tcW w:type="dxa" w:w="3427"/>
            <w:vAlign w:val="center"/>
            <w:shd w:fill="D9EAF7"/>
          </w:tcPr>
          <w:p>
            <w:pPr>
              <w:spacing w:after="0"/>
            </w:pPr>
            <w:r/>
            <w:r>
              <w:rPr>
                <w:rFonts w:ascii="Arial" w:hAnsi="Arial"/>
                <w:b/>
                <w:sz w:val="16"/>
              </w:rPr>
              <w:t>Planned or existing focus</w:t>
            </w:r>
          </w:p>
        </w:tc>
        <w:tc>
          <w:tcPr>
            <w:tcW w:type="dxa" w:w="3427"/>
            <w:vAlign w:val="center"/>
            <w:shd w:fill="D9EAF7"/>
          </w:tcPr>
          <w:p>
            <w:pPr>
              <w:spacing w:after="0"/>
            </w:pPr>
            <w:r/>
            <w:r>
              <w:rPr>
                <w:rFonts w:ascii="Arial" w:hAnsi="Arial"/>
                <w:b/>
                <w:sz w:val="16"/>
              </w:rPr>
              <w:t>Dependency on Part 1</w:t>
            </w:r>
          </w:p>
        </w:tc>
      </w:tr>
      <w:tr>
        <w:tc>
          <w:tcPr>
            <w:tcW w:type="dxa" w:w="3427"/>
            <w:vAlign w:val="center"/>
          </w:tcPr>
          <w:p>
            <w:pPr>
              <w:spacing w:after="0"/>
            </w:pPr>
            <w:r/>
            <w:r>
              <w:rPr>
                <w:rFonts w:ascii="Arial" w:hAnsi="Arial"/>
                <w:b w:val="0"/>
                <w:sz w:val="16"/>
              </w:rPr>
              <w:t>Part 2</w:t>
            </w:r>
          </w:p>
        </w:tc>
        <w:tc>
          <w:tcPr>
            <w:tcW w:type="dxa" w:w="3427"/>
            <w:vAlign w:val="center"/>
          </w:tcPr>
          <w:p>
            <w:pPr>
              <w:spacing w:after="0"/>
            </w:pPr>
            <w:r/>
            <w:r>
              <w:rPr>
                <w:rFonts w:ascii="Arial" w:hAnsi="Arial"/>
                <w:b w:val="0"/>
                <w:sz w:val="16"/>
              </w:rPr>
              <w:t>Data Architecture</w:t>
            </w:r>
          </w:p>
        </w:tc>
        <w:tc>
          <w:tcPr>
            <w:tcW w:type="dxa" w:w="3427"/>
            <w:vAlign w:val="center"/>
          </w:tcPr>
          <w:p>
            <w:pPr>
              <w:spacing w:after="0"/>
            </w:pPr>
            <w:r/>
            <w:r>
              <w:rPr>
                <w:rFonts w:ascii="Arial" w:hAnsi="Arial"/>
                <w:b w:val="0"/>
                <w:sz w:val="16"/>
              </w:rPr>
              <w:t>Expands entity, relationship, snapshot, constraint, and retention design.</w:t>
            </w:r>
          </w:p>
        </w:tc>
      </w:tr>
      <w:tr>
        <w:tc>
          <w:tcPr>
            <w:tcW w:type="dxa" w:w="3427"/>
            <w:vAlign w:val="center"/>
          </w:tcPr>
          <w:p>
            <w:pPr>
              <w:spacing w:after="0"/>
            </w:pPr>
            <w:r/>
            <w:r>
              <w:rPr>
                <w:rFonts w:ascii="Arial" w:hAnsi="Arial"/>
                <w:b w:val="0"/>
                <w:sz w:val="16"/>
              </w:rPr>
              <w:t>Part 3</w:t>
            </w:r>
          </w:p>
        </w:tc>
        <w:tc>
          <w:tcPr>
            <w:tcW w:type="dxa" w:w="3427"/>
            <w:vAlign w:val="center"/>
          </w:tcPr>
          <w:p>
            <w:pPr>
              <w:spacing w:after="0"/>
            </w:pPr>
            <w:r/>
            <w:r>
              <w:rPr>
                <w:rFonts w:ascii="Arial" w:hAnsi="Arial"/>
                <w:b w:val="0"/>
                <w:sz w:val="16"/>
              </w:rPr>
              <w:t>Assessment Engine Architecture</w:t>
            </w:r>
          </w:p>
        </w:tc>
        <w:tc>
          <w:tcPr>
            <w:tcW w:type="dxa" w:w="3427"/>
            <w:vAlign w:val="center"/>
          </w:tcPr>
          <w:p>
            <w:pPr>
              <w:spacing w:after="0"/>
            </w:pPr>
            <w:r/>
            <w:r>
              <w:rPr>
                <w:rFonts w:ascii="Arial" w:hAnsi="Arial"/>
                <w:b w:val="0"/>
                <w:sz w:val="16"/>
              </w:rPr>
              <w:t>Expands the central decision pipeline and rule-model orchestration.</w:t>
            </w:r>
          </w:p>
        </w:tc>
      </w:tr>
      <w:tr>
        <w:tc>
          <w:tcPr>
            <w:tcW w:type="dxa" w:w="3427"/>
            <w:vAlign w:val="center"/>
          </w:tcPr>
          <w:p>
            <w:pPr>
              <w:spacing w:after="0"/>
            </w:pPr>
            <w:r/>
            <w:r>
              <w:rPr>
                <w:rFonts w:ascii="Arial" w:hAnsi="Arial"/>
                <w:b w:val="0"/>
                <w:sz w:val="16"/>
              </w:rPr>
              <w:t>Part 4</w:t>
            </w:r>
          </w:p>
        </w:tc>
        <w:tc>
          <w:tcPr>
            <w:tcW w:type="dxa" w:w="3427"/>
            <w:vAlign w:val="center"/>
          </w:tcPr>
          <w:p>
            <w:pPr>
              <w:spacing w:after="0"/>
            </w:pPr>
            <w:r/>
            <w:r>
              <w:rPr>
                <w:rFonts w:ascii="Arial" w:hAnsi="Arial"/>
                <w:b w:val="0"/>
                <w:sz w:val="16"/>
              </w:rPr>
              <w:t>Explainability Engine</w:t>
            </w:r>
          </w:p>
        </w:tc>
        <w:tc>
          <w:tcPr>
            <w:tcW w:type="dxa" w:w="3427"/>
            <w:vAlign w:val="center"/>
          </w:tcPr>
          <w:p>
            <w:pPr>
              <w:spacing w:after="0"/>
            </w:pPr>
            <w:r/>
            <w:r>
              <w:rPr>
                <w:rFonts w:ascii="Arial" w:hAnsi="Arial"/>
                <w:b w:val="0"/>
                <w:sz w:val="16"/>
              </w:rPr>
              <w:t>Expands reasons, evidence, audience layers, and provenance.</w:t>
            </w:r>
          </w:p>
        </w:tc>
      </w:tr>
      <w:tr>
        <w:tc>
          <w:tcPr>
            <w:tcW w:type="dxa" w:w="3427"/>
            <w:vAlign w:val="center"/>
          </w:tcPr>
          <w:p>
            <w:pPr>
              <w:spacing w:after="0"/>
            </w:pPr>
            <w:r/>
            <w:r>
              <w:rPr>
                <w:rFonts w:ascii="Arial" w:hAnsi="Arial"/>
                <w:b w:val="0"/>
                <w:sz w:val="16"/>
              </w:rPr>
              <w:t>Part 5</w:t>
            </w:r>
          </w:p>
        </w:tc>
        <w:tc>
          <w:tcPr>
            <w:tcW w:type="dxa" w:w="3427"/>
            <w:vAlign w:val="center"/>
          </w:tcPr>
          <w:p>
            <w:pPr>
              <w:spacing w:after="0"/>
            </w:pPr>
            <w:r/>
            <w:r>
              <w:rPr>
                <w:rFonts w:ascii="Arial" w:hAnsi="Arial"/>
                <w:b w:val="0"/>
                <w:sz w:val="16"/>
              </w:rPr>
              <w:t>Recommendation Engine</w:t>
            </w:r>
          </w:p>
        </w:tc>
        <w:tc>
          <w:tcPr>
            <w:tcW w:type="dxa" w:w="3427"/>
            <w:vAlign w:val="center"/>
          </w:tcPr>
          <w:p>
            <w:pPr>
              <w:spacing w:after="0"/>
            </w:pPr>
            <w:r/>
            <w:r>
              <w:rPr>
                <w:rFonts w:ascii="Arial" w:hAnsi="Arial"/>
                <w:b w:val="0"/>
                <w:sz w:val="16"/>
              </w:rPr>
              <w:t>Expands action library, escalation wording, and safety-net logic.</w:t>
            </w:r>
          </w:p>
        </w:tc>
      </w:tr>
      <w:tr>
        <w:tc>
          <w:tcPr>
            <w:tcW w:type="dxa" w:w="3427"/>
            <w:vAlign w:val="center"/>
          </w:tcPr>
          <w:p>
            <w:pPr>
              <w:spacing w:after="0"/>
            </w:pPr>
            <w:r/>
            <w:r>
              <w:rPr>
                <w:rFonts w:ascii="Arial" w:hAnsi="Arial"/>
                <w:b w:val="0"/>
                <w:sz w:val="16"/>
              </w:rPr>
              <w:t>Part 6</w:t>
            </w:r>
          </w:p>
        </w:tc>
        <w:tc>
          <w:tcPr>
            <w:tcW w:type="dxa" w:w="3427"/>
            <w:vAlign w:val="center"/>
          </w:tcPr>
          <w:p>
            <w:pPr>
              <w:spacing w:after="0"/>
            </w:pPr>
            <w:r/>
            <w:r>
              <w:rPr>
                <w:rFonts w:ascii="Arial" w:hAnsi="Arial"/>
                <w:b w:val="0"/>
                <w:sz w:val="16"/>
              </w:rPr>
              <w:t>Workflow Engine</w:t>
            </w:r>
          </w:p>
        </w:tc>
        <w:tc>
          <w:tcPr>
            <w:tcW w:type="dxa" w:w="3427"/>
            <w:vAlign w:val="center"/>
          </w:tcPr>
          <w:p>
            <w:pPr>
              <w:spacing w:after="0"/>
            </w:pPr>
            <w:r/>
            <w:r>
              <w:rPr>
                <w:rFonts w:ascii="Arial" w:hAnsi="Arial"/>
                <w:b w:val="0"/>
                <w:sz w:val="16"/>
              </w:rPr>
              <w:t>Expands patient, visit, referral, delivery, and new-pregnancy state machines.</w:t>
            </w:r>
          </w:p>
        </w:tc>
      </w:tr>
      <w:tr>
        <w:tc>
          <w:tcPr>
            <w:tcW w:type="dxa" w:w="3427"/>
            <w:vAlign w:val="center"/>
          </w:tcPr>
          <w:p>
            <w:pPr>
              <w:spacing w:after="0"/>
            </w:pPr>
            <w:r/>
            <w:r>
              <w:rPr>
                <w:rFonts w:ascii="Arial" w:hAnsi="Arial"/>
                <w:b w:val="0"/>
                <w:sz w:val="16"/>
              </w:rPr>
              <w:t>Part 7</w:t>
            </w:r>
          </w:p>
        </w:tc>
        <w:tc>
          <w:tcPr>
            <w:tcW w:type="dxa" w:w="3427"/>
            <w:vAlign w:val="center"/>
          </w:tcPr>
          <w:p>
            <w:pPr>
              <w:spacing w:after="0"/>
            </w:pPr>
            <w:r/>
            <w:r>
              <w:rPr>
                <w:rFonts w:ascii="Arial" w:hAnsi="Arial"/>
                <w:b w:val="0"/>
                <w:sz w:val="16"/>
              </w:rPr>
              <w:t>Security Architecture</w:t>
            </w:r>
          </w:p>
        </w:tc>
        <w:tc>
          <w:tcPr>
            <w:tcW w:type="dxa" w:w="3427"/>
            <w:vAlign w:val="center"/>
          </w:tcPr>
          <w:p>
            <w:pPr>
              <w:spacing w:after="0"/>
            </w:pPr>
            <w:r/>
            <w:r>
              <w:rPr>
                <w:rFonts w:ascii="Arial" w:hAnsi="Arial"/>
                <w:b w:val="0"/>
                <w:sz w:val="16"/>
              </w:rPr>
              <w:t>Expands identity, access, privacy, logging, secrets, and incident controls.</w:t>
            </w:r>
          </w:p>
        </w:tc>
      </w:tr>
      <w:tr>
        <w:tc>
          <w:tcPr>
            <w:tcW w:type="dxa" w:w="3427"/>
            <w:vAlign w:val="center"/>
          </w:tcPr>
          <w:p>
            <w:pPr>
              <w:spacing w:after="0"/>
            </w:pPr>
            <w:r/>
            <w:r>
              <w:rPr>
                <w:rFonts w:ascii="Arial" w:hAnsi="Arial"/>
                <w:b w:val="0"/>
                <w:sz w:val="16"/>
              </w:rPr>
              <w:t>Part 8</w:t>
            </w:r>
          </w:p>
        </w:tc>
        <w:tc>
          <w:tcPr>
            <w:tcW w:type="dxa" w:w="3427"/>
            <w:vAlign w:val="center"/>
          </w:tcPr>
          <w:p>
            <w:pPr>
              <w:spacing w:after="0"/>
            </w:pPr>
            <w:r/>
            <w:r>
              <w:rPr>
                <w:rFonts w:ascii="Arial" w:hAnsi="Arial"/>
                <w:b w:val="0"/>
                <w:sz w:val="16"/>
              </w:rPr>
              <w:t>System Integration Framework</w:t>
            </w:r>
          </w:p>
        </w:tc>
        <w:tc>
          <w:tcPr>
            <w:tcW w:type="dxa" w:w="3427"/>
            <w:vAlign w:val="center"/>
          </w:tcPr>
          <w:p>
            <w:pPr>
              <w:spacing w:after="0"/>
            </w:pPr>
            <w:r/>
            <w:r>
              <w:rPr>
                <w:rFonts w:ascii="Arial" w:hAnsi="Arial"/>
                <w:b w:val="0"/>
                <w:sz w:val="16"/>
              </w:rPr>
              <w:t>Expands Laravel-Python, mail, print, queue, reporting, and future API contracts.</w:t>
            </w:r>
          </w:p>
        </w:tc>
      </w:tr>
      <w:tr>
        <w:tc>
          <w:tcPr>
            <w:tcW w:type="dxa" w:w="3427"/>
            <w:vAlign w:val="center"/>
          </w:tcPr>
          <w:p>
            <w:pPr>
              <w:spacing w:after="0"/>
            </w:pPr>
            <w:r/>
            <w:r>
              <w:rPr>
                <w:rFonts w:ascii="Arial" w:hAnsi="Arial"/>
                <w:b w:val="0"/>
                <w:sz w:val="16"/>
              </w:rPr>
              <w:t>Part 9</w:t>
            </w:r>
          </w:p>
        </w:tc>
        <w:tc>
          <w:tcPr>
            <w:tcW w:type="dxa" w:w="3427"/>
            <w:vAlign w:val="center"/>
          </w:tcPr>
          <w:p>
            <w:pPr>
              <w:spacing w:after="0"/>
            </w:pPr>
            <w:r/>
            <w:r>
              <w:rPr>
                <w:rFonts w:ascii="Arial" w:hAnsi="Arial"/>
                <w:b w:val="0"/>
                <w:sz w:val="16"/>
              </w:rPr>
              <w:t>Deployment Guide</w:t>
            </w:r>
          </w:p>
        </w:tc>
        <w:tc>
          <w:tcPr>
            <w:tcW w:type="dxa" w:w="3427"/>
            <w:vAlign w:val="center"/>
          </w:tcPr>
          <w:p>
            <w:pPr>
              <w:spacing w:after="0"/>
            </w:pPr>
            <w:r/>
            <w:r>
              <w:rPr>
                <w:rFonts w:ascii="Arial" w:hAnsi="Arial"/>
                <w:b w:val="0"/>
                <w:sz w:val="16"/>
              </w:rPr>
              <w:t>Moves the approved architecture into controlled environments.</w:t>
            </w:r>
          </w:p>
        </w:tc>
      </w:tr>
      <w:tr>
        <w:tc>
          <w:tcPr>
            <w:tcW w:type="dxa" w:w="3427"/>
            <w:vAlign w:val="center"/>
          </w:tcPr>
          <w:p>
            <w:pPr>
              <w:spacing w:after="0"/>
            </w:pPr>
            <w:r/>
            <w:r>
              <w:rPr>
                <w:rFonts w:ascii="Arial" w:hAnsi="Arial"/>
                <w:b w:val="0"/>
                <w:sz w:val="16"/>
              </w:rPr>
              <w:t>Part 10</w:t>
            </w:r>
          </w:p>
        </w:tc>
        <w:tc>
          <w:tcPr>
            <w:tcW w:type="dxa" w:w="3427"/>
            <w:vAlign w:val="center"/>
          </w:tcPr>
          <w:p>
            <w:pPr>
              <w:spacing w:after="0"/>
            </w:pPr>
            <w:r/>
            <w:r>
              <w:rPr>
                <w:rFonts w:ascii="Arial" w:hAnsi="Arial"/>
                <w:b w:val="0"/>
                <w:sz w:val="16"/>
              </w:rPr>
              <w:t>Verification and Validation</w:t>
            </w:r>
          </w:p>
        </w:tc>
        <w:tc>
          <w:tcPr>
            <w:tcW w:type="dxa" w:w="3427"/>
            <w:vAlign w:val="center"/>
          </w:tcPr>
          <w:p>
            <w:pPr>
              <w:spacing w:after="0"/>
            </w:pPr>
            <w:r/>
            <w:r>
              <w:rPr>
                <w:rFonts w:ascii="Arial" w:hAnsi="Arial"/>
                <w:b w:val="0"/>
                <w:sz w:val="16"/>
              </w:rPr>
              <w:t>Tests requirements and architecture invariants.</w:t>
            </w:r>
          </w:p>
        </w:tc>
      </w:tr>
      <w:tr>
        <w:tc>
          <w:tcPr>
            <w:tcW w:type="dxa" w:w="3427"/>
            <w:vAlign w:val="center"/>
          </w:tcPr>
          <w:p>
            <w:pPr>
              <w:spacing w:after="0"/>
            </w:pPr>
            <w:r/>
            <w:r>
              <w:rPr>
                <w:rFonts w:ascii="Arial" w:hAnsi="Arial"/>
                <w:b w:val="0"/>
                <w:sz w:val="16"/>
              </w:rPr>
              <w:t>Part 11</w:t>
            </w:r>
          </w:p>
        </w:tc>
        <w:tc>
          <w:tcPr>
            <w:tcW w:type="dxa" w:w="3427"/>
            <w:vAlign w:val="center"/>
          </w:tcPr>
          <w:p>
            <w:pPr>
              <w:spacing w:after="0"/>
            </w:pPr>
            <w:r/>
            <w:r>
              <w:rPr>
                <w:rFonts w:ascii="Arial" w:hAnsi="Arial"/>
                <w:b w:val="0"/>
                <w:sz w:val="16"/>
              </w:rPr>
              <w:t>Maintenance and Evolution</w:t>
            </w:r>
          </w:p>
        </w:tc>
        <w:tc>
          <w:tcPr>
            <w:tcW w:type="dxa" w:w="3427"/>
            <w:vAlign w:val="center"/>
          </w:tcPr>
          <w:p>
            <w:pPr>
              <w:spacing w:after="0"/>
            </w:pPr>
            <w:r/>
            <w:r>
              <w:rPr>
                <w:rFonts w:ascii="Arial" w:hAnsi="Arial"/>
                <w:b w:val="0"/>
                <w:sz w:val="16"/>
              </w:rPr>
              <w:t>Controls later changes, drift, CAPA, and retirement.</w:t>
            </w:r>
          </w:p>
        </w:tc>
      </w:tr>
      <w:tr>
        <w:tc>
          <w:tcPr>
            <w:tcW w:type="dxa" w:w="3427"/>
            <w:vAlign w:val="center"/>
          </w:tcPr>
          <w:p>
            <w:pPr>
              <w:spacing w:after="0"/>
            </w:pPr>
            <w:r/>
            <w:r>
              <w:rPr>
                <w:rFonts w:ascii="Arial" w:hAnsi="Arial"/>
                <w:b w:val="0"/>
                <w:sz w:val="16"/>
              </w:rPr>
              <w:t>Part 12</w:t>
            </w:r>
          </w:p>
        </w:tc>
        <w:tc>
          <w:tcPr>
            <w:tcW w:type="dxa" w:w="3427"/>
            <w:vAlign w:val="center"/>
          </w:tcPr>
          <w:p>
            <w:pPr>
              <w:spacing w:after="0"/>
            </w:pPr>
            <w:r/>
            <w:r>
              <w:rPr>
                <w:rFonts w:ascii="Arial" w:hAnsi="Arial"/>
                <w:b w:val="0"/>
                <w:sz w:val="16"/>
              </w:rPr>
              <w:t>Complete Implementation Guide</w:t>
            </w:r>
          </w:p>
        </w:tc>
        <w:tc>
          <w:tcPr>
            <w:tcW w:type="dxa" w:w="3427"/>
            <w:vAlign w:val="center"/>
          </w:tcPr>
          <w:p>
            <w:pPr>
              <w:spacing w:after="0"/>
            </w:pPr>
            <w:r/>
            <w:r>
              <w:rPr>
                <w:rFonts w:ascii="Arial" w:hAnsi="Arial"/>
                <w:b w:val="0"/>
                <w:sz w:val="16"/>
              </w:rPr>
              <w:t>Consolidates the full technical baseline and readiness decision.</w:t>
            </w:r>
          </w:p>
        </w:tc>
      </w:tr>
    </w:tbl>
    <w:p/>
    <w:p>
      <w:pPr>
        <w:pStyle w:val="Heading1"/>
      </w:pPr>
      <w:r>
        <w:t>22. Panel Defense Questions and Model Answers</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0"/>
            </w:pPr>
            <w:r/>
            <w:r>
              <w:rPr>
                <w:rFonts w:ascii="Arial" w:hAnsi="Arial"/>
                <w:b/>
                <w:sz w:val="16"/>
              </w:rPr>
              <w:t>Question</w:t>
            </w:r>
          </w:p>
        </w:tc>
        <w:tc>
          <w:tcPr>
            <w:tcW w:type="dxa" w:w="5141"/>
            <w:vAlign w:val="center"/>
            <w:shd w:fill="D9EAF7"/>
          </w:tcPr>
          <w:p>
            <w:pPr>
              <w:spacing w:after="0"/>
            </w:pPr>
            <w:r/>
            <w:r>
              <w:rPr>
                <w:rFonts w:ascii="Arial" w:hAnsi="Arial"/>
                <w:b/>
                <w:sz w:val="16"/>
              </w:rPr>
              <w:t>Model answer</w:t>
            </w:r>
          </w:p>
        </w:tc>
      </w:tr>
      <w:tr>
        <w:tc>
          <w:tcPr>
            <w:tcW w:type="dxa" w:w="5141"/>
            <w:vAlign w:val="center"/>
          </w:tcPr>
          <w:p>
            <w:pPr>
              <w:spacing w:after="0"/>
            </w:pPr>
            <w:r/>
            <w:r>
              <w:rPr>
                <w:rFonts w:ascii="Arial" w:hAnsi="Arial"/>
                <w:b w:val="0"/>
                <w:sz w:val="16"/>
              </w:rPr>
              <w:t>Why did you choose a modular monolith instead of microservices?</w:t>
            </w:r>
          </w:p>
        </w:tc>
        <w:tc>
          <w:tcPr>
            <w:tcW w:type="dxa" w:w="5141"/>
            <w:vAlign w:val="center"/>
          </w:tcPr>
          <w:p>
            <w:pPr>
              <w:spacing w:after="0"/>
            </w:pPr>
            <w:r/>
            <w:r>
              <w:rPr>
                <w:rFonts w:ascii="Arial" w:hAnsi="Arial"/>
                <w:b w:val="0"/>
                <w:sz w:val="16"/>
              </w:rPr>
              <w:t>It provides clear boundaries and testability without the deployment, security, network, and distributed-transaction burden that is disproportionate for a small clinic and capstone team.</w:t>
            </w:r>
          </w:p>
        </w:tc>
      </w:tr>
      <w:tr>
        <w:tc>
          <w:tcPr>
            <w:tcW w:type="dxa" w:w="5141"/>
            <w:vAlign w:val="center"/>
          </w:tcPr>
          <w:p>
            <w:pPr>
              <w:spacing w:after="0"/>
            </w:pPr>
            <w:r/>
            <w:r>
              <w:rPr>
                <w:rFonts w:ascii="Arial" w:hAnsi="Arial"/>
                <w:b w:val="0"/>
                <w:sz w:val="16"/>
              </w:rPr>
              <w:t>Why is Laravel the application boundary?</w:t>
            </w:r>
          </w:p>
        </w:tc>
        <w:tc>
          <w:tcPr>
            <w:tcW w:type="dxa" w:w="5141"/>
            <w:vAlign w:val="center"/>
          </w:tcPr>
          <w:p>
            <w:pPr>
              <w:spacing w:after="0"/>
            </w:pPr>
            <w:r/>
            <w:r>
              <w:rPr>
                <w:rFonts w:ascii="Arial" w:hAnsi="Arial"/>
                <w:b w:val="0"/>
                <w:sz w:val="16"/>
              </w:rPr>
              <w:t>It already owns authentication, authorization, validation, workflow, persistence, audit, and UI, so keeping final orchestration there prevents bypass and inconsistent logic.</w:t>
            </w:r>
          </w:p>
        </w:tc>
      </w:tr>
      <w:tr>
        <w:tc>
          <w:tcPr>
            <w:tcW w:type="dxa" w:w="5141"/>
            <w:vAlign w:val="center"/>
          </w:tcPr>
          <w:p>
            <w:pPr>
              <w:spacing w:after="0"/>
            </w:pPr>
            <w:r/>
            <w:r>
              <w:rPr>
                <w:rFonts w:ascii="Arial" w:hAnsi="Arial"/>
                <w:b w:val="0"/>
                <w:sz w:val="16"/>
              </w:rPr>
              <w:t>Why cannot Python decide the final risk?</w:t>
            </w:r>
          </w:p>
        </w:tc>
        <w:tc>
          <w:tcPr>
            <w:tcW w:type="dxa" w:w="5141"/>
            <w:vAlign w:val="center"/>
          </w:tcPr>
          <w:p>
            <w:pPr>
              <w:spacing w:after="0"/>
            </w:pPr>
            <w:r/>
            <w:r>
              <w:rPr>
                <w:rFonts w:ascii="Arial" w:hAnsi="Arial"/>
                <w:b w:val="0"/>
                <w:sz w:val="16"/>
              </w:rPr>
              <w:t>The model is only one bounded contributor. Completeness, deterministic safety rules, precedence, escalation, and clinical workflow must remain independently testable and explainable.</w:t>
            </w:r>
          </w:p>
        </w:tc>
      </w:tr>
      <w:tr>
        <w:tc>
          <w:tcPr>
            <w:tcW w:type="dxa" w:w="5141"/>
            <w:vAlign w:val="center"/>
          </w:tcPr>
          <w:p>
            <w:pPr>
              <w:spacing w:after="0"/>
            </w:pPr>
            <w:r/>
            <w:r>
              <w:rPr>
                <w:rFonts w:ascii="Arial" w:hAnsi="Arial"/>
                <w:b w:val="0"/>
                <w:sz w:val="16"/>
              </w:rPr>
              <w:t>Why not place all logic in the controller?</w:t>
            </w:r>
          </w:p>
        </w:tc>
        <w:tc>
          <w:tcPr>
            <w:tcW w:type="dxa" w:w="5141"/>
            <w:vAlign w:val="center"/>
          </w:tcPr>
          <w:p>
            <w:pPr>
              <w:spacing w:after="0"/>
            </w:pPr>
            <w:r/>
            <w:r>
              <w:rPr>
                <w:rFonts w:ascii="Arial" w:hAnsi="Arial"/>
                <w:b w:val="0"/>
                <w:sz w:val="16"/>
              </w:rPr>
              <w:t>Controllers should manage HTTP concerns. Central services prevent duplication, support unit testing, preserve transactions, and make governance possible.</w:t>
            </w:r>
          </w:p>
        </w:tc>
      </w:tr>
      <w:tr>
        <w:tc>
          <w:tcPr>
            <w:tcW w:type="dxa" w:w="5141"/>
            <w:vAlign w:val="center"/>
          </w:tcPr>
          <w:p>
            <w:pPr>
              <w:spacing w:after="0"/>
            </w:pPr>
            <w:r/>
            <w:r>
              <w:rPr>
                <w:rFonts w:ascii="Arial" w:hAnsi="Arial"/>
                <w:b w:val="0"/>
                <w:sz w:val="16"/>
              </w:rPr>
              <w:t>What happens if Python fails?</w:t>
            </w:r>
          </w:p>
        </w:tc>
        <w:tc>
          <w:tcPr>
            <w:tcW w:type="dxa" w:w="5141"/>
            <w:vAlign w:val="center"/>
          </w:tcPr>
          <w:p>
            <w:pPr>
              <w:spacing w:after="0"/>
            </w:pPr>
            <w:r/>
            <w:r>
              <w:rPr>
                <w:rFonts w:ascii="Arial" w:hAnsi="Arial"/>
                <w:b w:val="0"/>
                <w:sz w:val="16"/>
              </w:rPr>
              <w:t>The failure is visible. Deterministic HIGH remains HIGH; otherwise the result is INCOMPLETE when a valid ML result is required.</w:t>
            </w:r>
          </w:p>
        </w:tc>
      </w:tr>
      <w:tr>
        <w:tc>
          <w:tcPr>
            <w:tcW w:type="dxa" w:w="5141"/>
            <w:vAlign w:val="center"/>
          </w:tcPr>
          <w:p>
            <w:pPr>
              <w:spacing w:after="0"/>
            </w:pPr>
            <w:r/>
            <w:r>
              <w:rPr>
                <w:rFonts w:ascii="Arial" w:hAnsi="Arial"/>
                <w:b w:val="0"/>
                <w:sz w:val="16"/>
              </w:rPr>
              <w:t>How do you preserve historical decisions?</w:t>
            </w:r>
          </w:p>
        </w:tc>
        <w:tc>
          <w:tcPr>
            <w:tcW w:type="dxa" w:w="5141"/>
            <w:vAlign w:val="center"/>
          </w:tcPr>
          <w:p>
            <w:pPr>
              <w:spacing w:after="0"/>
            </w:pPr>
            <w:r/>
            <w:r>
              <w:rPr>
                <w:rFonts w:ascii="Arial" w:hAnsi="Arial"/>
                <w:b w:val="0"/>
                <w:sz w:val="16"/>
              </w:rPr>
              <w:t>Each result stores an immutable snapshot and exact rule, model, preprocessing, recommendation, template, actor, and time.</w:t>
            </w:r>
          </w:p>
        </w:tc>
      </w:tr>
      <w:tr>
        <w:tc>
          <w:tcPr>
            <w:tcW w:type="dxa" w:w="5141"/>
            <w:vAlign w:val="center"/>
          </w:tcPr>
          <w:p>
            <w:pPr>
              <w:spacing w:after="0"/>
            </w:pPr>
            <w:r/>
            <w:r>
              <w:rPr>
                <w:rFonts w:ascii="Arial" w:hAnsi="Arial"/>
                <w:b w:val="0"/>
                <w:sz w:val="16"/>
              </w:rPr>
              <w:t>Can email failure stop referral?</w:t>
            </w:r>
          </w:p>
        </w:tc>
        <w:tc>
          <w:tcPr>
            <w:tcW w:type="dxa" w:w="5141"/>
            <w:vAlign w:val="center"/>
          </w:tcPr>
          <w:p>
            <w:pPr>
              <w:spacing w:after="0"/>
            </w:pPr>
            <w:r/>
            <w:r>
              <w:rPr>
                <w:rFonts w:ascii="Arial" w:hAnsi="Arial"/>
                <w:b w:val="0"/>
                <w:sz w:val="16"/>
              </w:rPr>
              <w:t>No. Email is downstream and non-emergency. The referral remains active and staff use direct or manual communication.</w:t>
            </w:r>
          </w:p>
        </w:tc>
      </w:tr>
      <w:tr>
        <w:tc>
          <w:tcPr>
            <w:tcW w:type="dxa" w:w="5141"/>
            <w:vAlign w:val="center"/>
          </w:tcPr>
          <w:p>
            <w:pPr>
              <w:spacing w:after="0"/>
            </w:pPr>
            <w:r/>
            <w:r>
              <w:rPr>
                <w:rFonts w:ascii="Arial" w:hAnsi="Arial"/>
                <w:b w:val="0"/>
                <w:sz w:val="16"/>
              </w:rPr>
              <w:t>How does the architecture prevent wrong-pregnancy data?</w:t>
            </w:r>
          </w:p>
        </w:tc>
        <w:tc>
          <w:tcPr>
            <w:tcW w:type="dxa" w:w="5141"/>
            <w:vAlign w:val="center"/>
          </w:tcPr>
          <w:p>
            <w:pPr>
              <w:spacing w:after="0"/>
            </w:pPr>
            <w:r/>
            <w:r>
              <w:rPr>
                <w:rFonts w:ascii="Arial" w:hAnsi="Arial"/>
                <w:b w:val="0"/>
                <w:sz w:val="16"/>
              </w:rPr>
              <w:t>Every lookup and assessment is scoped to one pregnancy episode, validated server-side, and stored with episode identifiers.</w:t>
            </w:r>
          </w:p>
        </w:tc>
      </w:tr>
      <w:tr>
        <w:tc>
          <w:tcPr>
            <w:tcW w:type="dxa" w:w="5141"/>
            <w:vAlign w:val="center"/>
          </w:tcPr>
          <w:p>
            <w:pPr>
              <w:spacing w:after="0"/>
            </w:pPr>
            <w:r/>
            <w:r>
              <w:rPr>
                <w:rFonts w:ascii="Arial" w:hAnsi="Arial"/>
                <w:b w:val="0"/>
                <w:sz w:val="16"/>
              </w:rPr>
              <w:t>How can the architecture scale later?</w:t>
            </w:r>
          </w:p>
        </w:tc>
        <w:tc>
          <w:tcPr>
            <w:tcW w:type="dxa" w:w="5141"/>
            <w:vAlign w:val="center"/>
          </w:tcPr>
          <w:p>
            <w:pPr>
              <w:spacing w:after="0"/>
            </w:pPr>
            <w:r/>
            <w:r>
              <w:rPr>
                <w:rFonts w:ascii="Arial" w:hAnsi="Arial"/>
                <w:b w:val="0"/>
                <w:sz w:val="16"/>
              </w:rPr>
              <w:t>Internal interfaces allow the Python adapter, queues, reporting, or storage to be replaced without changing the core decision contract.</w:t>
            </w:r>
          </w:p>
        </w:tc>
      </w:tr>
      <w:tr>
        <w:tc>
          <w:tcPr>
            <w:tcW w:type="dxa" w:w="5141"/>
            <w:vAlign w:val="center"/>
          </w:tcPr>
          <w:p>
            <w:pPr>
              <w:spacing w:after="0"/>
            </w:pPr>
            <w:r/>
            <w:r>
              <w:rPr>
                <w:rFonts w:ascii="Arial" w:hAnsi="Arial"/>
                <w:b w:val="0"/>
                <w:sz w:val="16"/>
              </w:rPr>
              <w:t>What is the most important architecture invariant?</w:t>
            </w:r>
          </w:p>
        </w:tc>
        <w:tc>
          <w:tcPr>
            <w:tcW w:type="dxa" w:w="5141"/>
            <w:vAlign w:val="center"/>
          </w:tcPr>
          <w:p>
            <w:pPr>
              <w:spacing w:after="0"/>
            </w:pPr>
            <w:r/>
            <w:r>
              <w:rPr>
                <w:rFonts w:ascii="Arial" w:hAnsi="Arial"/>
                <w:b w:val="0"/>
                <w:sz w:val="16"/>
              </w:rPr>
              <w:t>No component may convert a known HIGH or missing/invalid information into a false LOW.</w:t>
            </w:r>
          </w:p>
        </w:tc>
      </w:tr>
    </w:tbl>
    <w:p/>
    <w:p>
      <w:pPr>
        <w:pStyle w:val="Heading1"/>
      </w:pPr>
      <w:r>
        <w:t>23. Authoritative Architecture Specification</w:t>
      </w:r>
    </w:p>
    <w:p>
      <w:pPr>
        <w:pStyle w:val="ListNumber"/>
        <w:spacing w:after="40"/>
      </w:pPr>
      <w:r>
        <w:t>Laravel shall remain the only externally accessible application boundary for the baseline system.</w:t>
      </w:r>
    </w:p>
    <w:p>
      <w:pPr>
        <w:pStyle w:val="ListNumber"/>
        <w:spacing w:after="40"/>
      </w:pPr>
      <w:r>
        <w:t>The final risk state shall be produced by one centralized Clinical Decision Service.</w:t>
      </w:r>
    </w:p>
    <w:p>
      <w:pPr>
        <w:pStyle w:val="ListNumber"/>
        <w:spacing w:after="40"/>
      </w:pPr>
      <w:r>
        <w:t>Deterministic rules, ML inference, resolution, escalation, explanation, and persistence shall remain separable and testable components.</w:t>
      </w:r>
    </w:p>
    <w:p>
      <w:pPr>
        <w:pStyle w:val="ListNumber"/>
        <w:spacing w:after="40"/>
      </w:pPr>
      <w:r>
        <w:t>Python shall be invoked through a strict local adapter without direct browser or database access.</w:t>
      </w:r>
    </w:p>
    <w:p>
      <w:pPr>
        <w:pStyle w:val="ListNumber"/>
        <w:spacing w:after="40"/>
      </w:pPr>
      <w:r>
        <w:t>MySQL shall store authoritative records, immutable assessment snapshots, versions, referrals, and audit evidence.</w:t>
      </w:r>
    </w:p>
    <w:p>
      <w:pPr>
        <w:pStyle w:val="ListNumber"/>
        <w:spacing w:after="40"/>
      </w:pPr>
      <w:r>
        <w:t>Controllers, views, mailers, queues, and reports shall not independently calculate or alter the final state.</w:t>
      </w:r>
    </w:p>
    <w:p>
      <w:pPr>
        <w:pStyle w:val="ListNumber"/>
        <w:spacing w:after="40"/>
      </w:pPr>
      <w:r>
        <w:t>Every safety-relevant operation shall enforce authentication, authorization, validation, transaction integrity, and auditability.</w:t>
      </w:r>
    </w:p>
    <w:p>
      <w:pPr>
        <w:pStyle w:val="ListNumber"/>
        <w:spacing w:after="40"/>
      </w:pPr>
      <w:r>
        <w:t>Failures shall be contained and visible; no error path shall default to LOW.</w:t>
      </w:r>
    </w:p>
    <w:p>
      <w:pPr>
        <w:pStyle w:val="ListNumber"/>
        <w:spacing w:after="40"/>
      </w:pPr>
      <w:r>
        <w:t>Delivered pregnancy history shall be protected and new pregnancies shall use separate episode chains.</w:t>
      </w:r>
    </w:p>
    <w:p>
      <w:pPr>
        <w:pStyle w:val="ListNumber"/>
        <w:spacing w:after="40"/>
      </w:pPr>
      <w:r>
        <w:t>The architecture shall preserve manual and emergency continuity when digital services are unavailable.</w:t>
      </w:r>
    </w:p>
    <w:p>
      <w:pPr>
        <w:pStyle w:val="Heading1"/>
      </w:pPr>
      <w:r>
        <w:t>24. References</w:t>
      </w:r>
    </w:p>
    <w:p>
      <w:pPr>
        <w:pStyle w:val="ListBullet"/>
        <w:spacing w:after="40"/>
      </w:pPr>
      <w:r>
        <w:t>Laravel. Laravel 12.x Documentation: Request Lifecycle, Service Container, Service Providers, Validation, Authorization, Database Transactions, Queues, Task Scheduling, Logging, and Deployment. https://laravel.com/docs/12.x</w:t>
      </w:r>
    </w:p>
    <w:p>
      <w:pPr>
        <w:pStyle w:val="ListBullet"/>
        <w:spacing w:after="40"/>
      </w:pPr>
      <w:r>
        <w:t>Python Software Foundation. Python 3 Documentation: subprocess - Subprocess management and Security Considerations. https://docs.python.org/3/library/subprocess.html</w:t>
      </w:r>
    </w:p>
    <w:p>
      <w:pPr>
        <w:pStyle w:val="ListBullet"/>
        <w:spacing w:after="40"/>
      </w:pPr>
      <w:r>
        <w:t>Python Software Foundation. Python Security Considerations. https://docs.python.org/3/library/security_warnings.html</w:t>
      </w:r>
    </w:p>
    <w:p>
      <w:pPr>
        <w:pStyle w:val="ListBullet"/>
        <w:spacing w:after="40"/>
      </w:pPr>
      <w:r>
        <w:t>National Institute of Standards and Technology. SP 800-218, Secure Software Development Framework (SSDF) Version 1.1. 2022. https://doi.org/10.6028/NIST.SP.800-218</w:t>
      </w:r>
    </w:p>
    <w:p>
      <w:pPr>
        <w:pStyle w:val="ListBullet"/>
        <w:spacing w:after="40"/>
      </w:pPr>
      <w:r>
        <w:t>OWASP Foundation. Application Security Verification Standard and OWASP Cheat Sheet Series. https://owasp.org</w:t>
      </w:r>
    </w:p>
    <w:p>
      <w:pPr>
        <w:pStyle w:val="ListBullet"/>
        <w:spacing w:after="40"/>
      </w:pPr>
      <w:r>
        <w:t>World Health Organization. Ethics and governance of artificial intelligence for health. 2021.</w:t>
      </w:r>
    </w:p>
    <w:p>
      <w:pPr>
        <w:pStyle w:val="ListBullet"/>
        <w:spacing w:after="40"/>
      </w:pPr>
      <w:r>
        <w:t>World Health Organization. Regulatory considerations on artificial intelligence for health. 2023.</w:t>
      </w:r>
    </w:p>
    <w:p>
      <w:pPr>
        <w:pStyle w:val="ListBullet"/>
        <w:spacing w:after="40"/>
      </w:pPr>
      <w:r>
        <w:t>World Health Organization. Digital Adaptation Kit for Antenatal Care. 2021.</w:t>
      </w:r>
    </w:p>
    <w:p>
      <w:pPr>
        <w:pStyle w:val="ListBullet"/>
        <w:spacing w:after="40"/>
      </w:pPr>
      <w:r>
        <w:t>National Privacy Commission, Philippines. Implementing Rules and Regulations of the Data Privacy Act of 2012.</w:t>
      </w:r>
    </w:p>
    <w:p>
      <w:pPr>
        <w:pStyle w:val="ListBullet"/>
        <w:spacing w:after="40"/>
      </w:pPr>
      <w:r>
        <w:t>Department of Health, Philippines. Administrative Order No. 2007-0039: Regulation of Birthing Homes.</w:t>
      </w:r>
    </w:p>
    <w:p>
      <w:pPr>
        <w:pStyle w:val="Heading1"/>
      </w:pPr>
      <w:r>
        <w:t>Appendix A. Architecture Review Checklist</w:t>
      </w:r>
    </w:p>
    <w:p>
      <w:pPr>
        <w:pStyle w:val="ListBullet"/>
        <w:spacing w:after="40"/>
      </w:pPr>
      <w:r>
        <w:t>All externally accessible routes terminate in Laravel and require appropriate controls.</w:t>
      </w:r>
    </w:p>
    <w:p>
      <w:pPr>
        <w:pStyle w:val="ListBullet"/>
        <w:spacing w:after="40"/>
      </w:pPr>
      <w:r>
        <w:t>Clinical decision logic is centralized and not duplicated in controllers or views.</w:t>
      </w:r>
    </w:p>
    <w:p>
      <w:pPr>
        <w:pStyle w:val="ListBullet"/>
        <w:spacing w:after="40"/>
      </w:pPr>
      <w:r>
        <w:t>Python adapter uses an explicit executable, strict input/output schema, timeout, and safe failure.</w:t>
      </w:r>
    </w:p>
    <w:p>
      <w:pPr>
        <w:pStyle w:val="ListBullet"/>
        <w:spacing w:after="40"/>
      </w:pPr>
      <w:r>
        <w:t>Model and preprocessing artifact versions and hashes are known.</w:t>
      </w:r>
    </w:p>
    <w:p>
      <w:pPr>
        <w:pStyle w:val="ListBullet"/>
        <w:spacing w:after="40"/>
      </w:pPr>
      <w:r>
        <w:t>Assessment snapshots and historical versions are immutable and reconstructable.</w:t>
      </w:r>
    </w:p>
    <w:p>
      <w:pPr>
        <w:pStyle w:val="ListBullet"/>
        <w:spacing w:after="40"/>
      </w:pPr>
      <w:r>
        <w:t>Patient and pregnancy episode scoping is enforced server-side.</w:t>
      </w:r>
    </w:p>
    <w:p>
      <w:pPr>
        <w:pStyle w:val="ListBullet"/>
        <w:spacing w:after="40"/>
      </w:pPr>
      <w:r>
        <w:t>Delivered-record guards and new-pregnancy separation are tested.</w:t>
      </w:r>
    </w:p>
    <w:p>
      <w:pPr>
        <w:pStyle w:val="ListBullet"/>
        <w:spacing w:after="40"/>
      </w:pPr>
      <w:r>
        <w:t>Email, print, queue, and reports are downstream only.</w:t>
      </w:r>
    </w:p>
    <w:p>
      <w:pPr>
        <w:pStyle w:val="ListBullet"/>
        <w:spacing w:after="40"/>
      </w:pPr>
      <w:r>
        <w:t>Authorization, transaction, audit, and observability boundaries are documented.</w:t>
      </w:r>
    </w:p>
    <w:p>
      <w:pPr>
        <w:pStyle w:val="ListBullet"/>
        <w:spacing w:after="40"/>
      </w:pPr>
      <w:r>
        <w:t>Downtime and emergency workflows do not depend on digital completion.</w:t>
      </w:r>
    </w:p>
    <w:p>
      <w:pPr>
        <w:pStyle w:val="ListBullet"/>
        <w:spacing w:after="40"/>
      </w:pPr>
      <w:r>
        <w:t>Architecture invariants map to automated or manual validation evidence.</w:t>
      </w:r>
    </w:p>
    <w:p>
      <w:pPr>
        <w:pStyle w:val="ListBullet"/>
        <w:spacing w:after="40"/>
      </w:pPr>
      <w:r>
        <w:t>Parts 2-8 use the same component names and responsibility boundaries.</w:t>
      </w:r>
    </w:p>
    <w:p>
      <w:pPr>
        <w:pStyle w:val="Heading1"/>
      </w:pPr>
      <w:r>
        <w:t>Appendix B. Architecture Decision Record Summary</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pPr>
              <w:spacing w:after="0"/>
            </w:pPr>
            <w:r/>
            <w:r>
              <w:rPr>
                <w:rFonts w:ascii="Arial" w:hAnsi="Arial"/>
                <w:b/>
                <w:sz w:val="16"/>
              </w:rPr>
              <w:t>ADR</w:t>
            </w:r>
          </w:p>
        </w:tc>
        <w:tc>
          <w:tcPr>
            <w:tcW w:type="dxa" w:w="3427"/>
            <w:vAlign w:val="center"/>
            <w:shd w:fill="D9EAF7"/>
          </w:tcPr>
          <w:p>
            <w:pPr>
              <w:spacing w:after="0"/>
            </w:pPr>
            <w:r/>
            <w:r>
              <w:rPr>
                <w:rFonts w:ascii="Arial" w:hAnsi="Arial"/>
                <w:b/>
                <w:sz w:val="16"/>
              </w:rPr>
              <w:t>Decision</w:t>
            </w:r>
          </w:p>
        </w:tc>
        <w:tc>
          <w:tcPr>
            <w:tcW w:type="dxa" w:w="3427"/>
            <w:vAlign w:val="center"/>
            <w:shd w:fill="D9EAF7"/>
          </w:tcPr>
          <w:p>
            <w:pPr>
              <w:spacing w:after="0"/>
            </w:pPr>
            <w:r/>
            <w:r>
              <w:rPr>
                <w:rFonts w:ascii="Arial" w:hAnsi="Arial"/>
                <w:b/>
                <w:sz w:val="16"/>
              </w:rPr>
              <w:t>Status</w:t>
            </w:r>
          </w:p>
        </w:tc>
      </w:tr>
      <w:tr>
        <w:tc>
          <w:tcPr>
            <w:tcW w:type="dxa" w:w="3427"/>
            <w:vAlign w:val="center"/>
          </w:tcPr>
          <w:p>
            <w:pPr>
              <w:spacing w:after="0"/>
            </w:pPr>
            <w:r/>
            <w:r>
              <w:rPr>
                <w:rFonts w:ascii="Arial" w:hAnsi="Arial"/>
                <w:b w:val="0"/>
                <w:sz w:val="16"/>
              </w:rPr>
              <w:t>ADR-001</w:t>
            </w:r>
          </w:p>
        </w:tc>
        <w:tc>
          <w:tcPr>
            <w:tcW w:type="dxa" w:w="3427"/>
            <w:vAlign w:val="center"/>
          </w:tcPr>
          <w:p>
            <w:pPr>
              <w:spacing w:after="0"/>
            </w:pPr>
            <w:r/>
            <w:r>
              <w:rPr>
                <w:rFonts w:ascii="Arial" w:hAnsi="Arial"/>
                <w:b w:val="0"/>
                <w:sz w:val="16"/>
              </w:rPr>
              <w:t>Use Laravel-centered layered modular monolith.</w:t>
            </w:r>
          </w:p>
        </w:tc>
        <w:tc>
          <w:tcPr>
            <w:tcW w:type="dxa" w:w="3427"/>
            <w:vAlign w:val="center"/>
          </w:tcPr>
          <w:p>
            <w:pPr>
              <w:spacing w:after="0"/>
            </w:pPr>
            <w:r/>
            <w:r>
              <w:rPr>
                <w:rFonts w:ascii="Arial" w:hAnsi="Arial"/>
                <w:b w:val="0"/>
                <w:sz w:val="16"/>
              </w:rPr>
              <w:t>Accepted</w:t>
            </w:r>
          </w:p>
        </w:tc>
      </w:tr>
      <w:tr>
        <w:tc>
          <w:tcPr>
            <w:tcW w:type="dxa" w:w="3427"/>
            <w:vAlign w:val="center"/>
          </w:tcPr>
          <w:p>
            <w:pPr>
              <w:spacing w:after="0"/>
            </w:pPr>
            <w:r/>
            <w:r>
              <w:rPr>
                <w:rFonts w:ascii="Arial" w:hAnsi="Arial"/>
                <w:b w:val="0"/>
                <w:sz w:val="16"/>
              </w:rPr>
              <w:t>ADR-002</w:t>
            </w:r>
          </w:p>
        </w:tc>
        <w:tc>
          <w:tcPr>
            <w:tcW w:type="dxa" w:w="3427"/>
            <w:vAlign w:val="center"/>
          </w:tcPr>
          <w:p>
            <w:pPr>
              <w:spacing w:after="0"/>
            </w:pPr>
            <w:r/>
            <w:r>
              <w:rPr>
                <w:rFonts w:ascii="Arial" w:hAnsi="Arial"/>
                <w:b w:val="0"/>
                <w:sz w:val="16"/>
              </w:rPr>
              <w:t>Centralize final assessment in Clinical Decision Service.</w:t>
            </w:r>
          </w:p>
        </w:tc>
        <w:tc>
          <w:tcPr>
            <w:tcW w:type="dxa" w:w="3427"/>
            <w:vAlign w:val="center"/>
          </w:tcPr>
          <w:p>
            <w:pPr>
              <w:spacing w:after="0"/>
            </w:pPr>
            <w:r/>
            <w:r>
              <w:rPr>
                <w:rFonts w:ascii="Arial" w:hAnsi="Arial"/>
                <w:b w:val="0"/>
                <w:sz w:val="16"/>
              </w:rPr>
              <w:t>Accepted</w:t>
            </w:r>
          </w:p>
        </w:tc>
      </w:tr>
      <w:tr>
        <w:tc>
          <w:tcPr>
            <w:tcW w:type="dxa" w:w="3427"/>
            <w:vAlign w:val="center"/>
          </w:tcPr>
          <w:p>
            <w:pPr>
              <w:spacing w:after="0"/>
            </w:pPr>
            <w:r/>
            <w:r>
              <w:rPr>
                <w:rFonts w:ascii="Arial" w:hAnsi="Arial"/>
                <w:b w:val="0"/>
                <w:sz w:val="16"/>
              </w:rPr>
              <w:t>ADR-003</w:t>
            </w:r>
          </w:p>
        </w:tc>
        <w:tc>
          <w:tcPr>
            <w:tcW w:type="dxa" w:w="3427"/>
            <w:vAlign w:val="center"/>
          </w:tcPr>
          <w:p>
            <w:pPr>
              <w:spacing w:after="0"/>
            </w:pPr>
            <w:r/>
            <w:r>
              <w:rPr>
                <w:rFonts w:ascii="Arial" w:hAnsi="Arial"/>
                <w:b w:val="0"/>
                <w:sz w:val="16"/>
              </w:rPr>
              <w:t>Use Python as bounded local inference adapter.</w:t>
            </w:r>
          </w:p>
        </w:tc>
        <w:tc>
          <w:tcPr>
            <w:tcW w:type="dxa" w:w="3427"/>
            <w:vAlign w:val="center"/>
          </w:tcPr>
          <w:p>
            <w:pPr>
              <w:spacing w:after="0"/>
            </w:pPr>
            <w:r/>
            <w:r>
              <w:rPr>
                <w:rFonts w:ascii="Arial" w:hAnsi="Arial"/>
                <w:b w:val="0"/>
                <w:sz w:val="16"/>
              </w:rPr>
              <w:t>Accepted</w:t>
            </w:r>
          </w:p>
        </w:tc>
      </w:tr>
      <w:tr>
        <w:tc>
          <w:tcPr>
            <w:tcW w:type="dxa" w:w="3427"/>
            <w:vAlign w:val="center"/>
          </w:tcPr>
          <w:p>
            <w:pPr>
              <w:spacing w:after="0"/>
            </w:pPr>
            <w:r/>
            <w:r>
              <w:rPr>
                <w:rFonts w:ascii="Arial" w:hAnsi="Arial"/>
                <w:b w:val="0"/>
                <w:sz w:val="16"/>
              </w:rPr>
              <w:t>ADR-004</w:t>
            </w:r>
          </w:p>
        </w:tc>
        <w:tc>
          <w:tcPr>
            <w:tcW w:type="dxa" w:w="3427"/>
            <w:vAlign w:val="center"/>
          </w:tcPr>
          <w:p>
            <w:pPr>
              <w:spacing w:after="0"/>
            </w:pPr>
            <w:r/>
            <w:r>
              <w:rPr>
                <w:rFonts w:ascii="Arial" w:hAnsi="Arial"/>
                <w:b w:val="0"/>
                <w:sz w:val="16"/>
              </w:rPr>
              <w:t>Prohibit browser-to-Python and Python-to-database paths.</w:t>
            </w:r>
          </w:p>
        </w:tc>
        <w:tc>
          <w:tcPr>
            <w:tcW w:type="dxa" w:w="3427"/>
            <w:vAlign w:val="center"/>
          </w:tcPr>
          <w:p>
            <w:pPr>
              <w:spacing w:after="0"/>
            </w:pPr>
            <w:r/>
            <w:r>
              <w:rPr>
                <w:rFonts w:ascii="Arial" w:hAnsi="Arial"/>
                <w:b w:val="0"/>
                <w:sz w:val="16"/>
              </w:rPr>
              <w:t>Accepted</w:t>
            </w:r>
          </w:p>
        </w:tc>
      </w:tr>
      <w:tr>
        <w:tc>
          <w:tcPr>
            <w:tcW w:type="dxa" w:w="3427"/>
            <w:vAlign w:val="center"/>
          </w:tcPr>
          <w:p>
            <w:pPr>
              <w:spacing w:after="0"/>
            </w:pPr>
            <w:r/>
            <w:r>
              <w:rPr>
                <w:rFonts w:ascii="Arial" w:hAnsi="Arial"/>
                <w:b w:val="0"/>
                <w:sz w:val="16"/>
              </w:rPr>
              <w:t>ADR-005</w:t>
            </w:r>
          </w:p>
        </w:tc>
        <w:tc>
          <w:tcPr>
            <w:tcW w:type="dxa" w:w="3427"/>
            <w:vAlign w:val="center"/>
          </w:tcPr>
          <w:p>
            <w:pPr>
              <w:spacing w:after="0"/>
            </w:pPr>
            <w:r/>
            <w:r>
              <w:rPr>
                <w:rFonts w:ascii="Arial" w:hAnsi="Arial"/>
                <w:b w:val="0"/>
                <w:sz w:val="16"/>
              </w:rPr>
              <w:t>Persist immutable assessment snapshots and versions.</w:t>
            </w:r>
          </w:p>
        </w:tc>
        <w:tc>
          <w:tcPr>
            <w:tcW w:type="dxa" w:w="3427"/>
            <w:vAlign w:val="center"/>
          </w:tcPr>
          <w:p>
            <w:pPr>
              <w:spacing w:after="0"/>
            </w:pPr>
            <w:r/>
            <w:r>
              <w:rPr>
                <w:rFonts w:ascii="Arial" w:hAnsi="Arial"/>
                <w:b w:val="0"/>
                <w:sz w:val="16"/>
              </w:rPr>
              <w:t>Accepted target architecture</w:t>
            </w:r>
          </w:p>
        </w:tc>
      </w:tr>
      <w:tr>
        <w:tc>
          <w:tcPr>
            <w:tcW w:type="dxa" w:w="3427"/>
            <w:vAlign w:val="center"/>
          </w:tcPr>
          <w:p>
            <w:pPr>
              <w:spacing w:after="0"/>
            </w:pPr>
            <w:r/>
            <w:r>
              <w:rPr>
                <w:rFonts w:ascii="Arial" w:hAnsi="Arial"/>
                <w:b w:val="0"/>
                <w:sz w:val="16"/>
              </w:rPr>
              <w:t>ADR-006</w:t>
            </w:r>
          </w:p>
        </w:tc>
        <w:tc>
          <w:tcPr>
            <w:tcW w:type="dxa" w:w="3427"/>
            <w:vAlign w:val="center"/>
          </w:tcPr>
          <w:p>
            <w:pPr>
              <w:spacing w:after="0"/>
            </w:pPr>
            <w:r/>
            <w:r>
              <w:rPr>
                <w:rFonts w:ascii="Arial" w:hAnsi="Arial"/>
                <w:b w:val="0"/>
                <w:sz w:val="16"/>
              </w:rPr>
              <w:t>Use synchronous inference baseline with timeout.</w:t>
            </w:r>
          </w:p>
        </w:tc>
        <w:tc>
          <w:tcPr>
            <w:tcW w:type="dxa" w:w="3427"/>
            <w:vAlign w:val="center"/>
          </w:tcPr>
          <w:p>
            <w:pPr>
              <w:spacing w:after="0"/>
            </w:pPr>
            <w:r/>
            <w:r>
              <w:rPr>
                <w:rFonts w:ascii="Arial" w:hAnsi="Arial"/>
                <w:b w:val="0"/>
                <w:sz w:val="16"/>
              </w:rPr>
              <w:t>Accepted; revisit only through governance</w:t>
            </w:r>
          </w:p>
        </w:tc>
      </w:tr>
      <w:tr>
        <w:tc>
          <w:tcPr>
            <w:tcW w:type="dxa" w:w="3427"/>
            <w:vAlign w:val="center"/>
          </w:tcPr>
          <w:p>
            <w:pPr>
              <w:spacing w:after="0"/>
            </w:pPr>
            <w:r/>
            <w:r>
              <w:rPr>
                <w:rFonts w:ascii="Arial" w:hAnsi="Arial"/>
                <w:b w:val="0"/>
                <w:sz w:val="16"/>
              </w:rPr>
              <w:t>ADR-007</w:t>
            </w:r>
          </w:p>
        </w:tc>
        <w:tc>
          <w:tcPr>
            <w:tcW w:type="dxa" w:w="3427"/>
            <w:vAlign w:val="center"/>
          </w:tcPr>
          <w:p>
            <w:pPr>
              <w:spacing w:after="0"/>
            </w:pPr>
            <w:r/>
            <w:r>
              <w:rPr>
                <w:rFonts w:ascii="Arial" w:hAnsi="Arial"/>
                <w:b w:val="0"/>
                <w:sz w:val="16"/>
              </w:rPr>
              <w:t>Use queues only for downstream non-emergency operations.</w:t>
            </w:r>
          </w:p>
        </w:tc>
        <w:tc>
          <w:tcPr>
            <w:tcW w:type="dxa" w:w="3427"/>
            <w:vAlign w:val="center"/>
          </w:tcPr>
          <w:p>
            <w:pPr>
              <w:spacing w:after="0"/>
            </w:pPr>
            <w:r/>
            <w:r>
              <w:rPr>
                <w:rFonts w:ascii="Arial" w:hAnsi="Arial"/>
                <w:b w:val="0"/>
                <w:sz w:val="16"/>
              </w:rPr>
              <w:t>Accepted</w:t>
            </w:r>
          </w:p>
        </w:tc>
      </w:tr>
      <w:tr>
        <w:tc>
          <w:tcPr>
            <w:tcW w:type="dxa" w:w="3427"/>
            <w:vAlign w:val="center"/>
          </w:tcPr>
          <w:p>
            <w:pPr>
              <w:spacing w:after="0"/>
            </w:pPr>
            <w:r/>
            <w:r>
              <w:rPr>
                <w:rFonts w:ascii="Arial" w:hAnsi="Arial"/>
                <w:b w:val="0"/>
                <w:sz w:val="16"/>
              </w:rPr>
              <w:t>ADR-008</w:t>
            </w:r>
          </w:p>
        </w:tc>
        <w:tc>
          <w:tcPr>
            <w:tcW w:type="dxa" w:w="3427"/>
            <w:vAlign w:val="center"/>
          </w:tcPr>
          <w:p>
            <w:pPr>
              <w:spacing w:after="0"/>
            </w:pPr>
            <w:r/>
            <w:r>
              <w:rPr>
                <w:rFonts w:ascii="Arial" w:hAnsi="Arial"/>
                <w:b w:val="0"/>
                <w:sz w:val="16"/>
              </w:rPr>
              <w:t>Keep risk category separate from escalation urgency.</w:t>
            </w:r>
          </w:p>
        </w:tc>
        <w:tc>
          <w:tcPr>
            <w:tcW w:type="dxa" w:w="3427"/>
            <w:vAlign w:val="center"/>
          </w:tcPr>
          <w:p>
            <w:pPr>
              <w:spacing w:after="0"/>
            </w:pPr>
            <w:r/>
            <w:r>
              <w:rPr>
                <w:rFonts w:ascii="Arial" w:hAnsi="Arial"/>
                <w:b w:val="0"/>
                <w:sz w:val="16"/>
              </w:rPr>
              <w:t>Inherited from Document 5</w:t>
            </w:r>
          </w:p>
        </w:tc>
      </w:tr>
      <w:tr>
        <w:tc>
          <w:tcPr>
            <w:tcW w:type="dxa" w:w="3427"/>
            <w:vAlign w:val="center"/>
          </w:tcPr>
          <w:p>
            <w:pPr>
              <w:spacing w:after="0"/>
            </w:pPr>
            <w:r/>
            <w:r>
              <w:rPr>
                <w:rFonts w:ascii="Arial" w:hAnsi="Arial"/>
                <w:b w:val="0"/>
                <w:sz w:val="16"/>
              </w:rPr>
              <w:t>ADR-009</w:t>
            </w:r>
          </w:p>
        </w:tc>
        <w:tc>
          <w:tcPr>
            <w:tcW w:type="dxa" w:w="3427"/>
            <w:vAlign w:val="center"/>
          </w:tcPr>
          <w:p>
            <w:pPr>
              <w:spacing w:after="0"/>
            </w:pPr>
            <w:r/>
            <w:r>
              <w:rPr>
                <w:rFonts w:ascii="Arial" w:hAnsi="Arial"/>
                <w:b w:val="0"/>
                <w:sz w:val="16"/>
              </w:rPr>
              <w:t>Protect delivered records and separate new pregnancy episodes.</w:t>
            </w:r>
          </w:p>
        </w:tc>
        <w:tc>
          <w:tcPr>
            <w:tcW w:type="dxa" w:w="3427"/>
            <w:vAlign w:val="center"/>
          </w:tcPr>
          <w:p>
            <w:pPr>
              <w:spacing w:after="0"/>
            </w:pPr>
            <w:r/>
            <w:r>
              <w:rPr>
                <w:rFonts w:ascii="Arial" w:hAnsi="Arial"/>
                <w:b w:val="0"/>
                <w:sz w:val="16"/>
              </w:rPr>
              <w:t>Accepted</w:t>
            </w:r>
          </w:p>
        </w:tc>
      </w:tr>
      <w:tr>
        <w:tc>
          <w:tcPr>
            <w:tcW w:type="dxa" w:w="3427"/>
            <w:vAlign w:val="center"/>
          </w:tcPr>
          <w:p>
            <w:pPr>
              <w:spacing w:after="0"/>
            </w:pPr>
            <w:r/>
            <w:r>
              <w:rPr>
                <w:rFonts w:ascii="Arial" w:hAnsi="Arial"/>
                <w:b w:val="0"/>
                <w:sz w:val="16"/>
              </w:rPr>
              <w:t>ADR-010</w:t>
            </w:r>
          </w:p>
        </w:tc>
        <w:tc>
          <w:tcPr>
            <w:tcW w:type="dxa" w:w="3427"/>
            <w:vAlign w:val="center"/>
          </w:tcPr>
          <w:p>
            <w:pPr>
              <w:spacing w:after="0"/>
            </w:pPr>
            <w:r/>
            <w:r>
              <w:rPr>
                <w:rFonts w:ascii="Arial" w:hAnsi="Arial"/>
                <w:b w:val="0"/>
                <w:sz w:val="16"/>
              </w:rPr>
              <w:t>Prefer safe visible failure over fabricated LOW.</w:t>
            </w:r>
          </w:p>
        </w:tc>
        <w:tc>
          <w:tcPr>
            <w:tcW w:type="dxa" w:w="3427"/>
            <w:vAlign w:val="center"/>
          </w:tcPr>
          <w:p>
            <w:pPr>
              <w:spacing w:after="0"/>
            </w:pPr>
            <w:r/>
            <w:r>
              <w:rPr>
                <w:rFonts w:ascii="Arial" w:hAnsi="Arial"/>
                <w:b w:val="0"/>
                <w:sz w:val="16"/>
              </w:rPr>
              <w:t>Accepted invariant</w:t>
            </w:r>
          </w:p>
        </w:tc>
      </w:tr>
    </w:tbl>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5"/>
      </w:rPr>
      <w:t>DOCUMENT 6 | PART 1 | July 2026</w:t>
    </w:r>
  </w:p>
  <w:p>
    <w:pP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6"/>
      </w:rPr>
      <w:t>DOCUMENT 6 | CDSS IMPLEMENTATION GUIDE</w:t>
    </w:r>
  </w:p>
  <w:p>
    <w:pPr>
      <w:jc w:val="center"/>
    </w:pPr>
    <w:r>
      <w:rPr>
        <w:rFonts w:ascii="Arial" w:hAnsi="Arial"/>
        <w:sz w:val="15"/>
      </w:rPr>
      <w:t>Part 1 - CDSS System Architecture | Laravel + Python maternity CDSS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Arial" w:hAnsi="Arial"/>
      <w:b/>
      <w:bCs/>
      <w:color w:val="17365D"/>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Arial" w:hAnsi="Arial"/>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Arial" w:hAnsi="Arial"/>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140"/>
      <w:contextualSpacing/>
    </w:pPr>
    <w:rPr>
      <w:rFonts w:asciiTheme="majorHAnsi" w:eastAsiaTheme="majorEastAsia" w:hAnsiTheme="majorHAnsi" w:cstheme="majorBidi" w:ascii="Arial" w:hAnsi="Arial"/>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70"/>
    </w:pPr>
    <w:rPr>
      <w:rFonts w:asciiTheme="majorHAnsi" w:eastAsiaTheme="majorEastAsia" w:hAnsiTheme="majorHAnsi" w:cstheme="majorBidi" w:ascii="Arial" w:hAnsi="Arial"/>
      <w:b/>
      <w:i/>
      <w:iCs/>
      <w:color w:val="6666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28" w:line="240" w:lineRule="auto"/>
    </w:pPr>
    <w:rPr>
      <w:rFonts w:ascii="Arial" w:hAnsi="Arial"/>
      <w:b w:val="0"/>
      <w:color w:val="1F1F1F"/>
      <w:sz w:val="18"/>
    </w:rPr>
  </w:style>
  <w:style w:type="paragraph" w:customStyle="1" w:styleId="TableText">
    <w:name w:val="Table Text"/>
    <w:pPr>
      <w:spacing w:after="28" w:line="240" w:lineRule="auto"/>
    </w:pPr>
    <w:rPr>
      <w:rFonts w:ascii="Arial" w:hAnsi="Arial"/>
      <w:b w:val="0"/>
      <w:color w:val="1F1F1F"/>
      <w:sz w:val="14"/>
    </w:rPr>
  </w:style>
  <w:style w:type="paragraph" w:customStyle="1" w:styleId="TableHeader">
    <w:name w:val="Table Header"/>
    <w:pPr>
      <w:spacing w:after="28" w:line="240" w:lineRule="auto"/>
    </w:pPr>
    <w:rPr>
      <w:rFonts w:ascii="Arial" w:hAnsi="Arial"/>
      <w:b/>
      <w:color w:val="FFFFFF"/>
      <w:sz w:val="14"/>
    </w:rPr>
  </w:style>
  <w:style w:type="paragraph" w:customStyle="1" w:styleId="Reference">
    <w:name w:val="Reference"/>
    <w:pPr>
      <w:spacing w:after="28" w:line="240" w:lineRule="auto"/>
    </w:pPr>
    <w:rPr>
      <w:rFonts w:ascii="Arial" w:hAnsi="Arial"/>
      <w:b w:val="0"/>
      <w:color w:val="1F1F1F"/>
      <w:sz w:val="15"/>
    </w:rPr>
  </w:style>
  <w:style w:type="paragraph" w:customStyle="1" w:styleId="Code">
    <w:name w:val="Code"/>
    <w:pPr>
      <w:spacing w:after="28" w:line="240" w:lineRule="auto"/>
    </w:pPr>
    <w:rPr>
      <w:rFonts w:ascii="Consolas" w:hAnsi="Consolas"/>
      <w:b w:val="0"/>
      <w:color w:val="1F1F1F"/>
      <w:sz w:val="15"/>
    </w:rPr>
  </w:style>
  <w:style w:type="paragraph" w:customStyle="1" w:styleId="Flow">
    <w:name w:val="Flow"/>
    <w:pPr>
      <w:spacing w:after="28" w:line="240" w:lineRule="auto"/>
    </w:pPr>
    <w:rPr>
      <w:rFonts w:ascii="Arial" w:hAnsi="Arial"/>
      <w:b/>
      <w:color w:val="17365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aravel.com/docs/13.x/deployment" TargetMode="External"/><Relationship Id="rId12" Type="http://schemas.openxmlformats.org/officeDocument/2006/relationships/hyperlink" Target="https://laravel.com/docs/13.x/installation" TargetMode="External"/><Relationship Id="rId13" Type="http://schemas.openxmlformats.org/officeDocument/2006/relationships/hyperlink" Target="https://laravel.com/docs/13.x/configuration" TargetMode="External"/><Relationship Id="rId14" Type="http://schemas.openxmlformats.org/officeDocument/2006/relationships/hyperlink" Target="https://docs.python.org/3/library/venv.html" TargetMode="External"/><Relationship Id="rId15" Type="http://schemas.openxmlformats.org/officeDocument/2006/relationships/hyperlink" Target="https://pip.pypa.io/en/stable/topics/repeatable-installs/" TargetMode="External"/><Relationship Id="rId16" Type="http://schemas.openxmlformats.org/officeDocument/2006/relationships/hyperlink" Target="https://privacy.gov.ph/data-privacy-act/" TargetMode="External"/><Relationship Id="rId17" Type="http://schemas.openxmlformats.org/officeDocument/2006/relationships/hyperlink" Target="https://privacy.gov.ph/implementing-rules-regulations-data-privacy-act-2012/" TargetMode="External"/><Relationship Id="rId18" Type="http://schemas.openxmlformats.org/officeDocument/2006/relationships/hyperlink" Target="https://privacy.gov.ph/data-security/" TargetMode="External"/><Relationship Id="rId19" Type="http://schemas.openxmlformats.org/officeDocument/2006/relationships/hyperlink" Target="https://privacy.gov.ph/npc-phe-bulletin-no-10-protecting-patient-data-from-unauthorized-disclosure/" TargetMode="External"/><Relationship Id="rId20" Type="http://schemas.openxmlformats.org/officeDocument/2006/relationships/hyperlink" Target="https://csrc.nist.gov/pubs/sp/800/34/r1/upd1/final" TargetMode="External"/><Relationship Id="rId21" Type="http://schemas.openxmlformats.org/officeDocument/2006/relationships/hyperlink" Target="https://owasp.org/www-project-application-security-verification-standard/" TargetMode="External"/><Relationship Id="rId22" Type="http://schemas.openxmlformats.org/officeDocument/2006/relationships/hyperlink" Target="https://cheatsheetseries.owasp.org/cheatsheets/Secrets_Management_Cheat_Sheet.html" TargetMode="External"/><Relationship Id="rId23" Type="http://schemas.openxmlformats.org/officeDocument/2006/relationships/hyperlink" Target="https://cheatsheetseries.owasp.org/cheatsheets/Logging_Cheat_Sheet.html" TargetMode="External"/><Relationship Id="rId24" Type="http://schemas.openxmlformats.org/officeDocument/2006/relationships/hyperlink" Target="https://www.who.int/publications/i/item/9789240029200" TargetMode="External"/><Relationship Id="rId25" Type="http://schemas.openxmlformats.org/officeDocument/2006/relationships/hyperlink" Target="https://www.fda.gov/regulatory-information/search-fda-guidance-documents/clinical-decision-support-soft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6 Part 9 - CDSS Deployment Guide</dc:title>
  <dc:subject>Deployment specification for Laravel and Python maternity CDSS</dc:subject>
  <dc:creator>Capstone Research Team</dc:creator>
  <cp:keywords>CDSS, deployment, Laravel, Python, Random Forest, maternity, security, backup, recovery</cp:keywords>
  <dc:description>generated by python-docx</dc:description>
  <cp:lastModifiedBy/>
  <cp:revision>1</cp:revision>
  <dcterms:created xsi:type="dcterms:W3CDTF">2013-12-23T23:15:00Z</dcterms:created>
  <dcterms:modified xsi:type="dcterms:W3CDTF">2013-12-23T23:15:00Z</dcterms:modified>
  <cp:category/>
</cp:coreProperties>
</file>