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DOCUMENT 6</w:t>
      </w:r>
    </w:p>
    <w:p>
      <w:pPr>
        <w:pStyle w:val="Title"/>
        <w:jc w:val="center"/>
      </w:pPr>
      <w:r>
        <w:t>Clinical Decision Support System Implementation Guide</w:t>
      </w:r>
    </w:p>
    <w:p>
      <w:pPr>
        <w:jc w:val="center"/>
      </w:pPr>
      <w:r>
        <w:rPr>
          <w:b/>
          <w:sz w:val="22"/>
        </w:rPr>
        <w:t>PART 3</w:t>
      </w:r>
    </w:p>
    <w:p>
      <w:pPr>
        <w:pStyle w:val="Title"/>
        <w:jc w:val="center"/>
      </w:pPr>
      <w:r>
        <w:t>Assessment Engine Architecture</w:t>
      </w:r>
    </w:p>
    <w:p>
      <w:pPr>
        <w:pStyle w:val="Subtitle"/>
        <w:jc w:val="center"/>
      </w:pPr>
      <w:r>
        <w:t>Assessment Orchestration, Input Snapshot, Completeness Gate, Deterministic Rules, Random Forest Adapter, Conflict Resolution, Escalation, Explanation, Persistence, Reassessment, Failure Containment, and Testable Laravel Design</w:t>
      </w:r>
    </w:p>
    <w:p/>
    <w:tbl>
      <w:tblPr>
        <w:tblStyle w:val="TableGrid"/>
        <w:tblW w:type="auto" w:w="0"/>
        <w:tblLook w:firstColumn="1" w:firstRow="1" w:lastColumn="0" w:lastRow="0" w:noHBand="0" w:noVBand="1" w:val="04A0"/>
      </w:tblPr>
      <w:tblGrid>
        <w:gridCol w:w="10282"/>
      </w:tblGrid>
      <w:tr>
        <w:tc>
          <w:tcPr>
            <w:tcW w:type="dxa" w:w="10282"/>
            <w:shd w:fill="EAF2F8"/>
          </w:tcPr>
          <w:p>
            <w:r/>
            <w:r>
              <w:rPr>
                <w:rFonts w:ascii="Arial" w:hAnsi="Arial"/>
                <w:b/>
                <w:sz w:val="19"/>
              </w:rPr>
              <w:t>Purpose of this guide</w:t>
            </w:r>
          </w:p>
          <w:p>
            <w:pPr>
              <w:spacing w:after="0"/>
            </w:pPr>
            <w:r>
              <w:rPr>
                <w:rFonts w:ascii="Arial" w:hAnsi="Arial"/>
                <w:sz w:val="17"/>
              </w:rPr>
              <w:t>Part 3 defines the authoritative executable architecture of the maternity CDSS assessment engine. It translates the completed Risk Index Framework, system architecture, and data architecture into a centralized, deterministic, explainable, failure-aware, and auditable Laravel assessment pipeline with a bounded Python Random Forest contribution.</w:t>
            </w:r>
          </w:p>
        </w:tc>
      </w:tr>
    </w:tbl>
    <w:p/>
    <w:p>
      <w:pPr>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t>Authoritative assessment-engine implementation specification | July 2026</w:t>
      </w:r>
    </w:p>
    <w:p>
      <w:r>
        <w:br w:type="page"/>
      </w:r>
    </w:p>
    <w:p>
      <w:pPr>
        <w:pStyle w:val="Heading1"/>
      </w:pPr>
      <w:r>
        <w:t>Clinical and Engineering Safety Statement</w:t>
      </w:r>
    </w:p>
    <w:tbl>
      <w:tblPr>
        <w:tblStyle w:val="TableGrid"/>
        <w:tblW w:type="auto" w:w="0"/>
        <w:jc w:val="center"/>
        <w:tblLook w:firstColumn="1" w:firstRow="1" w:lastColumn="0" w:lastRow="0" w:noHBand="0" w:noVBand="1" w:val="04A0"/>
      </w:tblPr>
      <w:tblGrid>
        <w:gridCol w:w="10282"/>
      </w:tblGrid>
      <w:tr>
        <w:tc>
          <w:tcPr>
            <w:tcW w:type="dxa" w:w="10282"/>
            <w:shd w:fill="FFF2CC"/>
          </w:tcPr>
          <w:p>
            <w:r/>
            <w:r>
              <w:rPr>
                <w:rFonts w:ascii="Arial" w:hAnsi="Arial"/>
                <w:b/>
                <w:sz w:val="18"/>
              </w:rPr>
              <w:t>Assessment-engine boundary</w:t>
            </w:r>
          </w:p>
          <w:p>
            <w:pPr>
              <w:spacing w:after="0"/>
            </w:pPr>
            <w:r>
              <w:rPr>
                <w:rFonts w:ascii="Arial" w:hAnsi="Arial"/>
                <w:sz w:val="17"/>
              </w:rPr>
              <w:t>The engine supports structured review, referral, escalation, and documentation. It does not diagnose, prescribe, determine delivery mode, interpret ultrasound images, or replace emergency and professional care. A visible emergency or clinician judgment must bypass routine software processing. No Python, email, print, queue, controller, or view may independently create a conflicting final risk state.</w:t>
            </w:r>
          </w:p>
        </w:tc>
      </w:tr>
    </w:tbl>
    <w:p/>
    <w:p>
      <w:pPr>
        <w:pStyle w:val="Heading1"/>
      </w:pPr>
      <w:r>
        <w:t>Executive Architecture Decision</w:t>
      </w:r>
    </w:p>
    <w:p>
      <w:pPr>
        <w:spacing w:after="100" w:line="252" w:lineRule="auto"/>
      </w:pPr>
      <w:r>
        <w:t>The assessment engine shall be implemented as one centralized Clinical Decision Service inside the Laravel application boundary. Controllers initiate assessment requests but do not contain clinical thresholds. The service constructs a versioned input snapshot, verifies pregnancy ownership and data validity, evaluates completeness, executes deterministic rules, invokes the Python model through a strict adapter when permitted, resolves precedence, assigns the final assessment state and escalation level, builds explanation and recommendation objects, and persists an immutable assessment record inside a controlled transaction.</w:t>
      </w:r>
    </w:p>
    <w:p>
      <w:pPr>
        <w:spacing w:after="100" w:line="252" w:lineRule="auto"/>
      </w:pPr>
      <w:r>
        <w:t>The engine is designed as an explicit pipeline rather than one large controller method. Each stage receives and returns typed or schema-controlled objects. This makes safety rules independently testable, prevents duplicated logic, and allows failures to be classified without converting technical uncertainty into LOW. WHO SMART Guidelines support clearly labelled decision inputs and outputs and testable, software-neutral logic; the project applies that principle to its Laravel-Python implementation.</w:t>
      </w:r>
    </w:p>
    <w:tbl>
      <w:tblPr>
        <w:tblStyle w:val="TableGrid"/>
        <w:tblW w:type="auto" w:w="0"/>
        <w:jc w:val="center"/>
        <w:tblLook w:firstColumn="1" w:firstRow="1" w:lastColumn="0" w:lastRow="0" w:noHBand="0" w:noVBand="1" w:val="04A0"/>
      </w:tblPr>
      <w:tblGrid>
        <w:gridCol w:w="10282"/>
      </w:tblGrid>
      <w:tr>
        <w:tc>
          <w:tcPr>
            <w:tcW w:type="dxa" w:w="10282"/>
            <w:shd w:fill="FFF2CC"/>
          </w:tcPr>
          <w:p>
            <w:r/>
            <w:r>
              <w:rPr>
                <w:rFonts w:ascii="Arial" w:hAnsi="Arial"/>
                <w:b/>
                <w:sz w:val="18"/>
              </w:rPr>
              <w:t>Authoritative engine rule</w:t>
            </w:r>
          </w:p>
          <w:p>
            <w:pPr>
              <w:spacing w:after="0"/>
            </w:pPr>
            <w:r>
              <w:rPr>
                <w:rFonts w:ascii="Arial" w:hAnsi="Arial"/>
                <w:sz w:val="17"/>
              </w:rPr>
              <w:t>Final state resolution occurs in exactly one governed component after completeness, deterministic rules, ML validity, and precedence have been evaluated. No downstream process may reinterpret or downgrade the persisted result.</w:t>
            </w:r>
          </w:p>
        </w:tc>
      </w:tr>
    </w:tbl>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In scope</w:t>
            </w:r>
          </w:p>
        </w:tc>
        <w:tc>
          <w:tcPr>
            <w:tcW w:type="dxa" w:w="5141"/>
            <w:vAlign w:val="center"/>
            <w:shd w:fill="D9EAF7"/>
          </w:tcPr>
          <w:p>
            <w:pPr>
              <w:spacing w:after="0"/>
            </w:pPr>
            <w:r/>
            <w:r>
              <w:rPr>
                <w:rFonts w:ascii="Arial" w:hAnsi="Arial"/>
                <w:b/>
                <w:sz w:val="16"/>
              </w:rPr>
              <w:t>Outside scope</w:t>
            </w:r>
          </w:p>
        </w:tc>
      </w:tr>
      <w:tr>
        <w:tc>
          <w:tcPr>
            <w:tcW w:type="dxa" w:w="5141"/>
            <w:vAlign w:val="center"/>
          </w:tcPr>
          <w:p>
            <w:pPr>
              <w:spacing w:after="0"/>
            </w:pPr>
            <w:r/>
            <w:r>
              <w:rPr>
                <w:rFonts w:ascii="Arial" w:hAnsi="Arial"/>
                <w:b w:val="0"/>
                <w:sz w:val="16"/>
              </w:rPr>
              <w:t>Assessment request lifecycle, input snapshots, data validation, completeness, rules, ML, resolver, escalation, explanation, persistence, and reassessment.</w:t>
            </w:r>
          </w:p>
        </w:tc>
        <w:tc>
          <w:tcPr>
            <w:tcW w:type="dxa" w:w="5141"/>
            <w:vAlign w:val="center"/>
          </w:tcPr>
          <w:p>
            <w:pPr>
              <w:spacing w:after="0"/>
            </w:pPr>
            <w:r/>
            <w:r>
              <w:rPr>
                <w:rFonts w:ascii="Arial" w:hAnsi="Arial"/>
                <w:b w:val="0"/>
                <w:sz w:val="16"/>
              </w:rPr>
              <w:t>Creating new clinical thresholds or changing the approved Risk Index Framework.</w:t>
            </w:r>
          </w:p>
        </w:tc>
      </w:tr>
      <w:tr>
        <w:tc>
          <w:tcPr>
            <w:tcW w:type="dxa" w:w="5141"/>
            <w:vAlign w:val="center"/>
          </w:tcPr>
          <w:p>
            <w:pPr>
              <w:spacing w:after="0"/>
            </w:pPr>
            <w:r/>
            <w:r>
              <w:rPr>
                <w:rFonts w:ascii="Arial" w:hAnsi="Arial"/>
                <w:b w:val="0"/>
                <w:sz w:val="16"/>
              </w:rPr>
              <w:t>Laravel service boundaries, interfaces, data-transfer objects, failure states, transactions, idempotency, observability, and test seams.</w:t>
            </w:r>
          </w:p>
        </w:tc>
        <w:tc>
          <w:tcPr>
            <w:tcW w:type="dxa" w:w="5141"/>
            <w:vAlign w:val="center"/>
          </w:tcPr>
          <w:p>
            <w:pPr>
              <w:spacing w:after="0"/>
            </w:pPr>
            <w:r/>
            <w:r>
              <w:rPr>
                <w:rFonts w:ascii="Arial" w:hAnsi="Arial"/>
                <w:b w:val="0"/>
                <w:sz w:val="16"/>
              </w:rPr>
              <w:t>Allowing the Random Forest or controller to act as an autonomous clinical decision-maker.</w:t>
            </w:r>
          </w:p>
        </w:tc>
      </w:tr>
      <w:tr>
        <w:tc>
          <w:tcPr>
            <w:tcW w:type="dxa" w:w="5141"/>
            <w:vAlign w:val="center"/>
          </w:tcPr>
          <w:p>
            <w:pPr>
              <w:spacing w:after="0"/>
            </w:pPr>
            <w:r/>
            <w:r>
              <w:rPr>
                <w:rFonts w:ascii="Arial" w:hAnsi="Arial"/>
                <w:b w:val="0"/>
                <w:sz w:val="16"/>
              </w:rPr>
              <w:t>Compatibility with current Patient, PrenatalVisit, MedicalHistory, Ultrasound, BirthPlan, Referral, delivery, audit, and future Pregnancy Episode architecture.</w:t>
            </w:r>
          </w:p>
        </w:tc>
        <w:tc>
          <w:tcPr>
            <w:tcW w:type="dxa" w:w="5141"/>
            <w:vAlign w:val="center"/>
          </w:tcPr>
          <w:p>
            <w:pPr>
              <w:spacing w:after="0"/>
            </w:pPr>
            <w:r/>
            <w:r>
              <w:rPr>
                <w:rFonts w:ascii="Arial" w:hAnsi="Arial"/>
                <w:b w:val="0"/>
                <w:sz w:val="16"/>
              </w:rPr>
              <w:t>Interpreting raw ultrasound images, prescribing treatment, or replacing emergency protocols.</w:t>
            </w:r>
          </w:p>
        </w:tc>
      </w:tr>
      <w:tr>
        <w:tc>
          <w:tcPr>
            <w:tcW w:type="dxa" w:w="5141"/>
            <w:vAlign w:val="center"/>
          </w:tcPr>
          <w:p>
            <w:pPr>
              <w:spacing w:after="0"/>
            </w:pPr>
            <w:r/>
            <w:r>
              <w:rPr>
                <w:rFonts w:ascii="Arial" w:hAnsi="Arial"/>
                <w:b w:val="0"/>
                <w:sz w:val="16"/>
              </w:rPr>
              <w:t>Implementation requirements for Parts 4-8 and alignment with existing Parts 9-12.</w:t>
            </w:r>
          </w:p>
        </w:tc>
        <w:tc>
          <w:tcPr>
            <w:tcW w:type="dxa" w:w="5141"/>
            <w:vAlign w:val="center"/>
          </w:tcPr>
          <w:p>
            <w:pPr>
              <w:spacing w:after="0"/>
            </w:pPr>
            <w:r/>
            <w:r>
              <w:rPr>
                <w:rFonts w:ascii="Arial" w:hAnsi="Arial"/>
                <w:b w:val="0"/>
                <w:sz w:val="16"/>
              </w:rPr>
              <w:t>Claiming deployment approval, clinical effectiveness, or regulatory certification.</w:t>
            </w:r>
          </w:p>
        </w:tc>
      </w:tr>
    </w:tbl>
    <w:p>
      <w:pPr>
        <w:spacing w:after="0"/>
      </w:pPr>
    </w:p>
    <w:p>
      <w:pPr>
        <w:pStyle w:val="Heading1"/>
      </w:pPr>
      <w:r>
        <w:t>2. Assessment Engine Principles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Principle</w:t>
            </w:r>
          </w:p>
        </w:tc>
        <w:tc>
          <w:tcPr>
            <w:tcW w:type="dxa" w:w="5141"/>
            <w:vAlign w:val="center"/>
            <w:shd w:fill="D9EAF7"/>
          </w:tcPr>
          <w:p>
            <w:pPr>
              <w:spacing w:after="0"/>
            </w:pPr>
            <w:r/>
            <w:r>
              <w:rPr>
                <w:rFonts w:ascii="Arial" w:hAnsi="Arial"/>
                <w:b/>
                <w:sz w:val="16"/>
              </w:rPr>
              <w:t>Required behavior</w:t>
            </w:r>
          </w:p>
        </w:tc>
      </w:tr>
      <w:tr>
        <w:tc>
          <w:tcPr>
            <w:tcW w:type="dxa" w:w="5141"/>
            <w:vAlign w:val="center"/>
          </w:tcPr>
          <w:p>
            <w:pPr>
              <w:spacing w:after="0"/>
            </w:pPr>
            <w:r/>
            <w:r>
              <w:rPr>
                <w:rFonts w:ascii="Arial" w:hAnsi="Arial"/>
                <w:b w:val="0"/>
                <w:sz w:val="16"/>
              </w:rPr>
              <w:t>Single source of truth</w:t>
            </w:r>
          </w:p>
        </w:tc>
        <w:tc>
          <w:tcPr>
            <w:tcW w:type="dxa" w:w="5141"/>
            <w:vAlign w:val="center"/>
          </w:tcPr>
          <w:p>
            <w:pPr>
              <w:spacing w:after="0"/>
            </w:pPr>
            <w:r/>
            <w:r>
              <w:rPr>
                <w:rFonts w:ascii="Arial" w:hAnsi="Arial"/>
                <w:b w:val="0"/>
                <w:sz w:val="16"/>
              </w:rPr>
              <w:t>One Clinical Decision Service owns the final-state algorithm and versioned output contract.</w:t>
            </w:r>
          </w:p>
        </w:tc>
      </w:tr>
      <w:tr>
        <w:tc>
          <w:tcPr>
            <w:tcW w:type="dxa" w:w="5141"/>
            <w:vAlign w:val="center"/>
          </w:tcPr>
          <w:p>
            <w:pPr>
              <w:spacing w:after="0"/>
            </w:pPr>
            <w:r/>
            <w:r>
              <w:rPr>
                <w:rFonts w:ascii="Arial" w:hAnsi="Arial"/>
                <w:b w:val="0"/>
                <w:sz w:val="16"/>
              </w:rPr>
              <w:t>Deterministic safety precedence</w:t>
            </w:r>
          </w:p>
        </w:tc>
        <w:tc>
          <w:tcPr>
            <w:tcW w:type="dxa" w:w="5141"/>
            <w:vAlign w:val="center"/>
          </w:tcPr>
          <w:p>
            <w:pPr>
              <w:spacing w:after="0"/>
            </w:pPr>
            <w:r/>
            <w:r>
              <w:rPr>
                <w:rFonts w:ascii="Arial" w:hAnsi="Arial"/>
                <w:b w:val="0"/>
                <w:sz w:val="16"/>
              </w:rPr>
              <w:t>Any verified deterministic HIGH remains HIGH regardless of ML LOW, invalid output, or failure.</w:t>
            </w:r>
          </w:p>
        </w:tc>
      </w:tr>
      <w:tr>
        <w:tc>
          <w:tcPr>
            <w:tcW w:type="dxa" w:w="5141"/>
            <w:vAlign w:val="center"/>
          </w:tcPr>
          <w:p>
            <w:pPr>
              <w:spacing w:after="0"/>
            </w:pPr>
            <w:r/>
            <w:r>
              <w:rPr>
                <w:rFonts w:ascii="Arial" w:hAnsi="Arial"/>
                <w:b w:val="0"/>
                <w:sz w:val="16"/>
              </w:rPr>
              <w:t>Conservative failure</w:t>
            </w:r>
          </w:p>
        </w:tc>
        <w:tc>
          <w:tcPr>
            <w:tcW w:type="dxa" w:w="5141"/>
            <w:vAlign w:val="center"/>
          </w:tcPr>
          <w:p>
            <w:pPr>
              <w:spacing w:after="0"/>
            </w:pPr>
            <w:r/>
            <w:r>
              <w:rPr>
                <w:rFonts w:ascii="Arial" w:hAnsi="Arial"/>
                <w:b w:val="0"/>
                <w:sz w:val="16"/>
              </w:rPr>
              <w:t>Missing required evidence or invalid ML prevents LOW unless a deterministic HIGH already establishes HIGH.</w:t>
            </w:r>
          </w:p>
        </w:tc>
      </w:tr>
      <w:tr>
        <w:tc>
          <w:tcPr>
            <w:tcW w:type="dxa" w:w="5141"/>
            <w:vAlign w:val="center"/>
          </w:tcPr>
          <w:p>
            <w:pPr>
              <w:spacing w:after="0"/>
            </w:pPr>
            <w:r/>
            <w:r>
              <w:rPr>
                <w:rFonts w:ascii="Arial" w:hAnsi="Arial"/>
                <w:b w:val="0"/>
                <w:sz w:val="16"/>
              </w:rPr>
              <w:t>Snapshot before decision</w:t>
            </w:r>
          </w:p>
        </w:tc>
        <w:tc>
          <w:tcPr>
            <w:tcW w:type="dxa" w:w="5141"/>
            <w:vAlign w:val="center"/>
          </w:tcPr>
          <w:p>
            <w:pPr>
              <w:spacing w:after="0"/>
            </w:pPr>
            <w:r/>
            <w:r>
              <w:rPr>
                <w:rFonts w:ascii="Arial" w:hAnsi="Arial"/>
                <w:b w:val="0"/>
                <w:sz w:val="16"/>
              </w:rPr>
              <w:t>The engine evaluates an explicit patient-pregnancy-encounter snapshot, not changing live models during execution.</w:t>
            </w:r>
          </w:p>
        </w:tc>
      </w:tr>
      <w:tr>
        <w:tc>
          <w:tcPr>
            <w:tcW w:type="dxa" w:w="5141"/>
            <w:vAlign w:val="center"/>
          </w:tcPr>
          <w:p>
            <w:pPr>
              <w:spacing w:after="0"/>
            </w:pPr>
            <w:r/>
            <w:r>
              <w:rPr>
                <w:rFonts w:ascii="Arial" w:hAnsi="Arial"/>
                <w:b w:val="0"/>
                <w:sz w:val="16"/>
              </w:rPr>
              <w:t>Pure core, impure edges</w:t>
            </w:r>
          </w:p>
        </w:tc>
        <w:tc>
          <w:tcPr>
            <w:tcW w:type="dxa" w:w="5141"/>
            <w:vAlign w:val="center"/>
          </w:tcPr>
          <w:p>
            <w:pPr>
              <w:spacing w:after="0"/>
            </w:pPr>
            <w:r/>
            <w:r>
              <w:rPr>
                <w:rFonts w:ascii="Arial" w:hAnsi="Arial"/>
                <w:b w:val="0"/>
                <w:sz w:val="16"/>
              </w:rPr>
              <w:t>Rule evaluation and resolution should be deterministic functions; database and process I/O remain adapters.</w:t>
            </w:r>
          </w:p>
        </w:tc>
      </w:tr>
      <w:tr>
        <w:tc>
          <w:tcPr>
            <w:tcW w:type="dxa" w:w="5141"/>
            <w:vAlign w:val="center"/>
          </w:tcPr>
          <w:p>
            <w:pPr>
              <w:spacing w:after="0"/>
            </w:pPr>
            <w:r/>
            <w:r>
              <w:rPr>
                <w:rFonts w:ascii="Arial" w:hAnsi="Arial"/>
                <w:b w:val="0"/>
                <w:sz w:val="16"/>
              </w:rPr>
              <w:t>Explainability by construction</w:t>
            </w:r>
          </w:p>
        </w:tc>
        <w:tc>
          <w:tcPr>
            <w:tcW w:type="dxa" w:w="5141"/>
            <w:vAlign w:val="center"/>
          </w:tcPr>
          <w:p>
            <w:pPr>
              <w:spacing w:after="0"/>
            </w:pPr>
            <w:r/>
            <w:r>
              <w:rPr>
                <w:rFonts w:ascii="Arial" w:hAnsi="Arial"/>
                <w:b w:val="0"/>
                <w:sz w:val="16"/>
              </w:rPr>
              <w:t>Reasons, source values, limitations, versions, and action are produced during decision execution.</w:t>
            </w:r>
          </w:p>
        </w:tc>
      </w:tr>
      <w:tr>
        <w:tc>
          <w:tcPr>
            <w:tcW w:type="dxa" w:w="5141"/>
            <w:vAlign w:val="center"/>
          </w:tcPr>
          <w:p>
            <w:pPr>
              <w:spacing w:after="0"/>
            </w:pPr>
            <w:r/>
            <w:r>
              <w:rPr>
                <w:rFonts w:ascii="Arial" w:hAnsi="Arial"/>
                <w:b w:val="0"/>
                <w:sz w:val="16"/>
              </w:rPr>
              <w:t>Historical integrity</w:t>
            </w:r>
          </w:p>
        </w:tc>
        <w:tc>
          <w:tcPr>
            <w:tcW w:type="dxa" w:w="5141"/>
            <w:vAlign w:val="center"/>
          </w:tcPr>
          <w:p>
            <w:pPr>
              <w:spacing w:after="0"/>
            </w:pPr>
            <w:r/>
            <w:r>
              <w:rPr>
                <w:rFonts w:ascii="Arial" w:hAnsi="Arial"/>
                <w:b w:val="0"/>
                <w:sz w:val="16"/>
              </w:rPr>
              <w:t>Reassessment appends a new version and never rewrites a prior decision.</w:t>
            </w:r>
          </w:p>
        </w:tc>
      </w:tr>
      <w:tr>
        <w:tc>
          <w:tcPr>
            <w:tcW w:type="dxa" w:w="5141"/>
            <w:vAlign w:val="center"/>
          </w:tcPr>
          <w:p>
            <w:pPr>
              <w:spacing w:after="0"/>
            </w:pPr>
            <w:r/>
            <w:r>
              <w:rPr>
                <w:rFonts w:ascii="Arial" w:hAnsi="Arial"/>
                <w:b w:val="0"/>
                <w:sz w:val="16"/>
              </w:rPr>
              <w:t>Human authority</w:t>
            </w:r>
          </w:p>
        </w:tc>
        <w:tc>
          <w:tcPr>
            <w:tcW w:type="dxa" w:w="5141"/>
            <w:vAlign w:val="center"/>
          </w:tcPr>
          <w:p>
            <w:pPr>
              <w:spacing w:after="0"/>
            </w:pPr>
            <w:r/>
            <w:r>
              <w:rPr>
                <w:rFonts w:ascii="Arial" w:hAnsi="Arial"/>
                <w:b w:val="0"/>
                <w:sz w:val="16"/>
              </w:rPr>
              <w:t>The system records reviewer status and permits justified manual escalation without hiding original output.</w:t>
            </w:r>
          </w:p>
        </w:tc>
      </w:tr>
      <w:tr>
        <w:tc>
          <w:tcPr>
            <w:tcW w:type="dxa" w:w="5141"/>
            <w:vAlign w:val="center"/>
          </w:tcPr>
          <w:p>
            <w:pPr>
              <w:spacing w:after="0"/>
            </w:pPr>
            <w:r/>
            <w:r>
              <w:rPr>
                <w:rFonts w:ascii="Arial" w:hAnsi="Arial"/>
                <w:b w:val="0"/>
                <w:sz w:val="16"/>
              </w:rPr>
              <w:t>Failure isolation</w:t>
            </w:r>
          </w:p>
        </w:tc>
        <w:tc>
          <w:tcPr>
            <w:tcW w:type="dxa" w:w="5141"/>
            <w:vAlign w:val="center"/>
          </w:tcPr>
          <w:p>
            <w:pPr>
              <w:spacing w:after="0"/>
            </w:pPr>
            <w:r/>
            <w:r>
              <w:rPr>
                <w:rFonts w:ascii="Arial" w:hAnsi="Arial"/>
                <w:b w:val="0"/>
                <w:sz w:val="16"/>
              </w:rPr>
              <w:t>Email, printing, reporting, and referral notifications are downstream and cannot change the state.</w:t>
            </w:r>
          </w:p>
        </w:tc>
      </w:tr>
      <w:tr>
        <w:tc>
          <w:tcPr>
            <w:tcW w:type="dxa" w:w="5141"/>
            <w:vAlign w:val="center"/>
          </w:tcPr>
          <w:p>
            <w:pPr>
              <w:spacing w:after="0"/>
            </w:pPr>
            <w:r/>
            <w:r>
              <w:rPr>
                <w:rFonts w:ascii="Arial" w:hAnsi="Arial"/>
                <w:b w:val="0"/>
                <w:sz w:val="16"/>
              </w:rPr>
              <w:t>Testability</w:t>
            </w:r>
          </w:p>
        </w:tc>
        <w:tc>
          <w:tcPr>
            <w:tcW w:type="dxa" w:w="5141"/>
            <w:vAlign w:val="center"/>
          </w:tcPr>
          <w:p>
            <w:pPr>
              <w:spacing w:after="0"/>
            </w:pPr>
            <w:r/>
            <w:r>
              <w:rPr>
                <w:rFonts w:ascii="Arial" w:hAnsi="Arial"/>
                <w:b w:val="0"/>
                <w:sz w:val="16"/>
              </w:rPr>
              <w:t>Every stage has explicit inputs, outputs, exceptions, and fixtures.</w:t>
            </w:r>
          </w:p>
        </w:tc>
      </w:tr>
    </w:tbl>
    <w:p>
      <w:pPr>
        <w:spacing w:after="0"/>
      </w:pPr>
    </w:p>
    <w:p>
      <w:pPr>
        <w:pStyle w:val="Heading1"/>
      </w:pPr>
      <w:r>
        <w:t>3. End-to-End Assessment Pipeline</w:t>
      </w:r>
    </w:p>
    <w:tbl>
      <w:tblPr>
        <w:tblStyle w:val="TableGrid"/>
        <w:tblW w:type="auto" w:w="0"/>
        <w:jc w:val="center"/>
        <w:tblLook w:firstColumn="1" w:firstRow="1" w:lastColumn="0" w:lastRow="0" w:noHBand="0" w:noVBand="1" w:val="04A0"/>
      </w:tblPr>
      <w:tblGrid>
        <w:gridCol w:w="10282"/>
      </w:tblGrid>
      <w:tr>
        <w:tc>
          <w:tcPr>
            <w:tcW w:type="dxa" w:w="10282"/>
            <w:shd w:fill="FFF2CC"/>
          </w:tcPr>
          <w:p>
            <w:r/>
            <w:r>
              <w:rPr>
                <w:rFonts w:ascii="Arial" w:hAnsi="Arial"/>
                <w:b/>
                <w:sz w:val="18"/>
              </w:rPr>
              <w:t>Figure 1. Assessment execution flow</w:t>
            </w:r>
          </w:p>
          <w:p>
            <w:pPr>
              <w:spacing w:after="0"/>
            </w:pPr>
            <w:r>
              <w:rPr>
                <w:rFonts w:ascii="Arial" w:hAnsi="Arial"/>
                <w:sz w:val="17"/>
              </w:rPr>
              <w:t>AUTHORIZED REQUEST</w:t>
              <w:br/>
              <w:t xml:space="preserve">  -&gt; Verify user, patient, pregnancy, encounter, trigger</w:t>
              <w:br/>
              <w:t xml:space="preserve">  -&gt; Build immutable input snapshot</w:t>
              <w:br/>
              <w:t xml:space="preserve">  -&gt; Validate identity, units, dates, vocabularies, contradictions</w:t>
              <w:br/>
              <w:t xml:space="preserve">  -&gt; Immediate safety / manual escalation check</w:t>
              <w:br/>
              <w:t xml:space="preserve">  -&gt; Evaluate deterministic HIGH rules</w:t>
              <w:br/>
              <w:t xml:space="preserve">  -&gt; Evaluate required-record completeness and ML eligibility</w:t>
              <w:br/>
              <w:t xml:space="preserve">  -&gt; Build exact feature vector</w:t>
              <w:br/>
              <w:t xml:space="preserve">  -&gt; Invoke bounded Python Random Forest adapter</w:t>
              <w:br/>
              <w:t xml:space="preserve">  -&gt; Validate process result and strict HIGH/LOW schema</w:t>
              <w:br/>
              <w:t xml:space="preserve">  -&gt; Resolve rules + ML + completeness</w:t>
              <w:br/>
              <w:t xml:space="preserve">  -&gt; Determine E0-E4 escalation</w:t>
              <w:br/>
              <w:t xml:space="preserve">  -&gt; Generate explanation and recommendation</w:t>
              <w:br/>
              <w:t xml:space="preserve">  -&gt; Persist immutable assessment + factors + versions</w:t>
              <w:br/>
              <w:t xml:space="preserve">  -&gt; Commit transaction</w:t>
              <w:br/>
              <w:t xml:space="preserve">  -&gt; Dispatch non-clinical downstream events</w:t>
              <w:br/>
              <w:t xml:space="preserve">  -&gt; Display for authorized human review</w:t>
            </w:r>
          </w:p>
        </w:tc>
      </w:tr>
    </w:tbl>
    <w:p/>
    <w:p>
      <w:pPr>
        <w:pStyle w:val="ListNumber"/>
        <w:spacing w:after="40"/>
      </w:pPr>
      <w:r>
        <w:t>Authorize the actor and load the correct patient and current pregnancy episode.</w:t>
      </w:r>
    </w:p>
    <w:p>
      <w:pPr>
        <w:pStyle w:val="ListNumber"/>
        <w:spacing w:after="40"/>
      </w:pPr>
      <w:r>
        <w:t>Create an assessment request identifier and idempotency context.</w:t>
      </w:r>
    </w:p>
    <w:p>
      <w:pPr>
        <w:pStyle w:val="ListNumber"/>
        <w:spacing w:after="40"/>
      </w:pPr>
      <w:r>
        <w:t>Lock or consistently read the required clinical records for the snapshot.</w:t>
      </w:r>
    </w:p>
    <w:p>
      <w:pPr>
        <w:pStyle w:val="ListNumber"/>
        <w:spacing w:after="40"/>
      </w:pPr>
      <w:r>
        <w:t>Normalize only approved representations while preserving original source values.</w:t>
      </w:r>
    </w:p>
    <w:p>
      <w:pPr>
        <w:pStyle w:val="ListNumber"/>
        <w:spacing w:after="40"/>
      </w:pPr>
      <w:r>
        <w:t>Validate structure, units, dates, ownership, vocabulary, and contradictions.</w:t>
      </w:r>
    </w:p>
    <w:p>
      <w:pPr>
        <w:pStyle w:val="ListNumber"/>
        <w:spacing w:after="40"/>
      </w:pPr>
      <w:r>
        <w:t>Check manual emergency or urgent escalation before waiting for routine processing.</w:t>
      </w:r>
    </w:p>
    <w:p>
      <w:pPr>
        <w:pStyle w:val="ListNumber"/>
        <w:spacing w:after="40"/>
      </w:pPr>
      <w:r>
        <w:t>Evaluate every deterministic rule and retain all matched reason objects.</w:t>
      </w:r>
    </w:p>
    <w:p>
      <w:pPr>
        <w:pStyle w:val="ListNumber"/>
        <w:spacing w:after="40"/>
      </w:pPr>
      <w:r>
        <w:t>Evaluate completeness and determine whether ML invocation is allowed and required.</w:t>
      </w:r>
    </w:p>
    <w:p>
      <w:pPr>
        <w:pStyle w:val="ListNumber"/>
        <w:spacing w:after="40"/>
      </w:pPr>
      <w:r>
        <w:t>Construct the model feature vector using the approved schema and ordering.</w:t>
      </w:r>
    </w:p>
    <w:p>
      <w:pPr>
        <w:pStyle w:val="ListNumber"/>
        <w:spacing w:after="40"/>
      </w:pPr>
      <w:r>
        <w:t>Invoke Python with argument isolation, timeout, artifact verification, and strict output parsing.</w:t>
      </w:r>
    </w:p>
    <w:p>
      <w:pPr>
        <w:pStyle w:val="ListNumber"/>
        <w:spacing w:after="40"/>
      </w:pPr>
      <w:r>
        <w:t>Resolve final state using the authoritative precedence table.</w:t>
      </w:r>
    </w:p>
    <w:p>
      <w:pPr>
        <w:pStyle w:val="ListNumber"/>
        <w:spacing w:after="40"/>
      </w:pPr>
      <w:r>
        <w:t>Assign escalation and controlled action wording.</w:t>
      </w:r>
    </w:p>
    <w:p>
      <w:pPr>
        <w:pStyle w:val="ListNumber"/>
        <w:spacing w:after="40"/>
      </w:pPr>
      <w:r>
        <w:t>Persist the full immutable result and provenance atomically.</w:t>
      </w:r>
    </w:p>
    <w:p>
      <w:pPr>
        <w:pStyle w:val="ListNumber"/>
        <w:spacing w:after="40"/>
      </w:pPr>
      <w:r>
        <w:t>Dispatch referral, mail, print, monitoring, and audit follow-up only after commit.</w:t>
      </w:r>
    </w:p>
    <w:p>
      <w:pPr>
        <w:pStyle w:val="Heading1"/>
        <w:pageBreakBefore w:val="0"/>
      </w:pPr>
      <w:r>
        <w:t>4. Component Architecture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Component</w:t>
            </w:r>
          </w:p>
        </w:tc>
        <w:tc>
          <w:tcPr>
            <w:tcW w:type="dxa" w:w="3427"/>
            <w:vAlign w:val="center"/>
            <w:shd w:fill="D9EAF7"/>
          </w:tcPr>
          <w:p>
            <w:pPr>
              <w:spacing w:after="0"/>
            </w:pPr>
            <w:r/>
            <w:r>
              <w:rPr>
                <w:rFonts w:ascii="Arial" w:hAnsi="Arial"/>
                <w:b/>
                <w:sz w:val="16"/>
              </w:rPr>
              <w:t>Responsibility</w:t>
            </w:r>
          </w:p>
        </w:tc>
        <w:tc>
          <w:tcPr>
            <w:tcW w:type="dxa" w:w="3427"/>
            <w:vAlign w:val="center"/>
            <w:shd w:fill="D9EAF7"/>
          </w:tcPr>
          <w:p>
            <w:pPr>
              <w:spacing w:after="0"/>
            </w:pPr>
            <w:r/>
            <w:r>
              <w:rPr>
                <w:rFonts w:ascii="Arial" w:hAnsi="Arial"/>
                <w:b/>
                <w:sz w:val="16"/>
              </w:rPr>
              <w:t>Must not do</w:t>
            </w:r>
          </w:p>
        </w:tc>
      </w:tr>
      <w:tr>
        <w:tc>
          <w:tcPr>
            <w:tcW w:type="dxa" w:w="3427"/>
            <w:vAlign w:val="center"/>
          </w:tcPr>
          <w:p>
            <w:pPr>
              <w:spacing w:after="0"/>
            </w:pPr>
            <w:r/>
            <w:r>
              <w:rPr>
                <w:rFonts w:ascii="Arial" w:hAnsi="Arial"/>
                <w:b w:val="0"/>
                <w:sz w:val="16"/>
              </w:rPr>
              <w:t>AssessmentController</w:t>
            </w:r>
          </w:p>
        </w:tc>
        <w:tc>
          <w:tcPr>
            <w:tcW w:type="dxa" w:w="3427"/>
            <w:vAlign w:val="center"/>
          </w:tcPr>
          <w:p>
            <w:pPr>
              <w:spacing w:after="0"/>
            </w:pPr>
            <w:r/>
            <w:r>
              <w:rPr>
                <w:rFonts w:ascii="Arial" w:hAnsi="Arial"/>
                <w:b w:val="0"/>
                <w:sz w:val="16"/>
              </w:rPr>
              <w:t>Authorize HTTP request, validate trigger parameters, call service, return response.</w:t>
            </w:r>
          </w:p>
        </w:tc>
        <w:tc>
          <w:tcPr>
            <w:tcW w:type="dxa" w:w="3427"/>
            <w:vAlign w:val="center"/>
          </w:tcPr>
          <w:p>
            <w:pPr>
              <w:spacing w:after="0"/>
            </w:pPr>
            <w:r/>
            <w:r>
              <w:rPr>
                <w:rFonts w:ascii="Arial" w:hAnsi="Arial"/>
                <w:b w:val="0"/>
                <w:sz w:val="16"/>
              </w:rPr>
              <w:t>Contain clinical thresholds or manually assemble final state.</w:t>
            </w:r>
          </w:p>
        </w:tc>
      </w:tr>
      <w:tr>
        <w:tc>
          <w:tcPr>
            <w:tcW w:type="dxa" w:w="3427"/>
            <w:vAlign w:val="center"/>
          </w:tcPr>
          <w:p>
            <w:pPr>
              <w:spacing w:after="0"/>
            </w:pPr>
            <w:r/>
            <w:r>
              <w:rPr>
                <w:rFonts w:ascii="Arial" w:hAnsi="Arial"/>
                <w:b w:val="0"/>
                <w:sz w:val="16"/>
              </w:rPr>
              <w:t>ClinicalDecisionService</w:t>
            </w:r>
          </w:p>
        </w:tc>
        <w:tc>
          <w:tcPr>
            <w:tcW w:type="dxa" w:w="3427"/>
            <w:vAlign w:val="center"/>
          </w:tcPr>
          <w:p>
            <w:pPr>
              <w:spacing w:after="0"/>
            </w:pPr>
            <w:r/>
            <w:r>
              <w:rPr>
                <w:rFonts w:ascii="Arial" w:hAnsi="Arial"/>
                <w:b w:val="0"/>
                <w:sz w:val="16"/>
              </w:rPr>
              <w:t>Orchestrate the full pipeline and return the authoritative AssessmentResult.</w:t>
            </w:r>
          </w:p>
        </w:tc>
        <w:tc>
          <w:tcPr>
            <w:tcW w:type="dxa" w:w="3427"/>
            <w:vAlign w:val="center"/>
          </w:tcPr>
          <w:p>
            <w:pPr>
              <w:spacing w:after="0"/>
            </w:pPr>
            <w:r/>
            <w:r>
              <w:rPr>
                <w:rFonts w:ascii="Arial" w:hAnsi="Arial"/>
                <w:b w:val="0"/>
                <w:sz w:val="16"/>
              </w:rPr>
              <w:t>Perform hidden UI-specific logic or send email before persistence.</w:t>
            </w:r>
          </w:p>
        </w:tc>
      </w:tr>
      <w:tr>
        <w:tc>
          <w:tcPr>
            <w:tcW w:type="dxa" w:w="3427"/>
            <w:vAlign w:val="center"/>
          </w:tcPr>
          <w:p>
            <w:pPr>
              <w:spacing w:after="0"/>
            </w:pPr>
            <w:r/>
            <w:r>
              <w:rPr>
                <w:rFonts w:ascii="Arial" w:hAnsi="Arial"/>
                <w:b w:val="0"/>
                <w:sz w:val="16"/>
              </w:rPr>
              <w:t>AssessmentSnapshotBuilder</w:t>
            </w:r>
          </w:p>
        </w:tc>
        <w:tc>
          <w:tcPr>
            <w:tcW w:type="dxa" w:w="3427"/>
            <w:vAlign w:val="center"/>
          </w:tcPr>
          <w:p>
            <w:pPr>
              <w:spacing w:after="0"/>
            </w:pPr>
            <w:r/>
            <w:r>
              <w:rPr>
                <w:rFonts w:ascii="Arial" w:hAnsi="Arial"/>
                <w:b w:val="0"/>
                <w:sz w:val="16"/>
              </w:rPr>
              <w:t>Load and freeze patient, pregnancy, visit, history, ultrasound, birth plan, and metadata.</w:t>
            </w:r>
          </w:p>
        </w:tc>
        <w:tc>
          <w:tcPr>
            <w:tcW w:type="dxa" w:w="3427"/>
            <w:vAlign w:val="center"/>
          </w:tcPr>
          <w:p>
            <w:pPr>
              <w:spacing w:after="0"/>
            </w:pPr>
            <w:r/>
            <w:r>
              <w:rPr>
                <w:rFonts w:ascii="Arial" w:hAnsi="Arial"/>
                <w:b w:val="0"/>
                <w:sz w:val="16"/>
              </w:rPr>
              <w:t>Infer missing clinical meaning.</w:t>
            </w:r>
          </w:p>
        </w:tc>
      </w:tr>
      <w:tr>
        <w:tc>
          <w:tcPr>
            <w:tcW w:type="dxa" w:w="3427"/>
            <w:vAlign w:val="center"/>
          </w:tcPr>
          <w:p>
            <w:pPr>
              <w:spacing w:after="0"/>
            </w:pPr>
            <w:r/>
            <w:r>
              <w:rPr>
                <w:rFonts w:ascii="Arial" w:hAnsi="Arial"/>
                <w:b w:val="0"/>
                <w:sz w:val="16"/>
              </w:rPr>
              <w:t>ClinicalDataValidator</w:t>
            </w:r>
          </w:p>
        </w:tc>
        <w:tc>
          <w:tcPr>
            <w:tcW w:type="dxa" w:w="3427"/>
            <w:vAlign w:val="center"/>
          </w:tcPr>
          <w:p>
            <w:pPr>
              <w:spacing w:after="0"/>
            </w:pPr>
            <w:r/>
            <w:r>
              <w:rPr>
                <w:rFonts w:ascii="Arial" w:hAnsi="Arial"/>
                <w:b w:val="0"/>
                <w:sz w:val="16"/>
              </w:rPr>
              <w:t>Validate ownership, types, units, dates, vocabularies, ranges, stale/conflicting data.</w:t>
            </w:r>
          </w:p>
        </w:tc>
        <w:tc>
          <w:tcPr>
            <w:tcW w:type="dxa" w:w="3427"/>
            <w:vAlign w:val="center"/>
          </w:tcPr>
          <w:p>
            <w:pPr>
              <w:spacing w:after="0"/>
            </w:pPr>
            <w:r/>
            <w:r>
              <w:rPr>
                <w:rFonts w:ascii="Arial" w:hAnsi="Arial"/>
                <w:b w:val="0"/>
                <w:sz w:val="16"/>
              </w:rPr>
              <w:t>Convert null, malformed, or unknown values to normal.</w:t>
            </w:r>
          </w:p>
        </w:tc>
      </w:tr>
      <w:tr>
        <w:tc>
          <w:tcPr>
            <w:tcW w:type="dxa" w:w="3427"/>
            <w:vAlign w:val="center"/>
          </w:tcPr>
          <w:p>
            <w:pPr>
              <w:spacing w:after="0"/>
            </w:pPr>
            <w:r/>
            <w:r>
              <w:rPr>
                <w:rFonts w:ascii="Arial" w:hAnsi="Arial"/>
                <w:b w:val="0"/>
                <w:sz w:val="16"/>
              </w:rPr>
              <w:t>CompletenessEvaluator</w:t>
            </w:r>
          </w:p>
        </w:tc>
        <w:tc>
          <w:tcPr>
            <w:tcW w:type="dxa" w:w="3427"/>
            <w:vAlign w:val="center"/>
          </w:tcPr>
          <w:p>
            <w:pPr>
              <w:spacing w:after="0"/>
            </w:pPr>
            <w:r/>
            <w:r>
              <w:rPr>
                <w:rFonts w:ascii="Arial" w:hAnsi="Arial"/>
                <w:b w:val="0"/>
                <w:sz w:val="16"/>
              </w:rPr>
              <w:t>Return missing and invalid requirements and ML eligibility.</w:t>
            </w:r>
          </w:p>
        </w:tc>
        <w:tc>
          <w:tcPr>
            <w:tcW w:type="dxa" w:w="3427"/>
            <w:vAlign w:val="center"/>
          </w:tcPr>
          <w:p>
            <w:pPr>
              <w:spacing w:after="0"/>
            </w:pPr>
            <w:r/>
            <w:r>
              <w:rPr>
                <w:rFonts w:ascii="Arial" w:hAnsi="Arial"/>
                <w:b w:val="0"/>
                <w:sz w:val="16"/>
              </w:rPr>
              <w:t>Declare LOW.</w:t>
            </w:r>
          </w:p>
        </w:tc>
      </w:tr>
      <w:tr>
        <w:tc>
          <w:tcPr>
            <w:tcW w:type="dxa" w:w="3427"/>
            <w:vAlign w:val="center"/>
          </w:tcPr>
          <w:p>
            <w:pPr>
              <w:spacing w:after="0"/>
            </w:pPr>
            <w:r/>
            <w:r>
              <w:rPr>
                <w:rFonts w:ascii="Arial" w:hAnsi="Arial"/>
                <w:b w:val="0"/>
                <w:sz w:val="16"/>
              </w:rPr>
              <w:t>RuleEngine</w:t>
            </w:r>
          </w:p>
        </w:tc>
        <w:tc>
          <w:tcPr>
            <w:tcW w:type="dxa" w:w="3427"/>
            <w:vAlign w:val="center"/>
          </w:tcPr>
          <w:p>
            <w:pPr>
              <w:spacing w:after="0"/>
            </w:pPr>
            <w:r/>
            <w:r>
              <w:rPr>
                <w:rFonts w:ascii="Arial" w:hAnsi="Arial"/>
                <w:b w:val="0"/>
                <w:sz w:val="16"/>
              </w:rPr>
              <w:t>Evaluate versioned deterministic factors and urgent modifiers.</w:t>
            </w:r>
          </w:p>
        </w:tc>
        <w:tc>
          <w:tcPr>
            <w:tcW w:type="dxa" w:w="3427"/>
            <w:vAlign w:val="center"/>
          </w:tcPr>
          <w:p>
            <w:pPr>
              <w:spacing w:after="0"/>
            </w:pPr>
            <w:r/>
            <w:r>
              <w:rPr>
                <w:rFonts w:ascii="Arial" w:hAnsi="Arial"/>
                <w:b w:val="0"/>
                <w:sz w:val="16"/>
              </w:rPr>
              <w:t>Call Python, write the database, or suppress matched reasons.</w:t>
            </w:r>
          </w:p>
        </w:tc>
      </w:tr>
      <w:tr>
        <w:tc>
          <w:tcPr>
            <w:tcW w:type="dxa" w:w="3427"/>
            <w:vAlign w:val="center"/>
          </w:tcPr>
          <w:p>
            <w:pPr>
              <w:spacing w:after="0"/>
            </w:pPr>
            <w:r/>
            <w:r>
              <w:rPr>
                <w:rFonts w:ascii="Arial" w:hAnsi="Arial"/>
                <w:b w:val="0"/>
                <w:sz w:val="16"/>
              </w:rPr>
              <w:t>FeatureBuilder</w:t>
            </w:r>
          </w:p>
        </w:tc>
        <w:tc>
          <w:tcPr>
            <w:tcW w:type="dxa" w:w="3427"/>
            <w:vAlign w:val="center"/>
          </w:tcPr>
          <w:p>
            <w:pPr>
              <w:spacing w:after="0"/>
            </w:pPr>
            <w:r/>
            <w:r>
              <w:rPr>
                <w:rFonts w:ascii="Arial" w:hAnsi="Arial"/>
                <w:b w:val="0"/>
                <w:sz w:val="16"/>
              </w:rPr>
              <w:t>Map snapshot fields to the exact approved model schema.</w:t>
            </w:r>
          </w:p>
        </w:tc>
        <w:tc>
          <w:tcPr>
            <w:tcW w:type="dxa" w:w="3427"/>
            <w:vAlign w:val="center"/>
          </w:tcPr>
          <w:p>
            <w:pPr>
              <w:spacing w:after="0"/>
            </w:pPr>
            <w:r/>
            <w:r>
              <w:rPr>
                <w:rFonts w:ascii="Arial" w:hAnsi="Arial"/>
                <w:b w:val="0"/>
                <w:sz w:val="16"/>
              </w:rPr>
              <w:t>Reorder, invent, or silently impute unsupported values.</w:t>
            </w:r>
          </w:p>
        </w:tc>
      </w:tr>
      <w:tr>
        <w:tc>
          <w:tcPr>
            <w:tcW w:type="dxa" w:w="3427"/>
            <w:vAlign w:val="center"/>
          </w:tcPr>
          <w:p>
            <w:pPr>
              <w:spacing w:after="0"/>
            </w:pPr>
            <w:r/>
            <w:r>
              <w:rPr>
                <w:rFonts w:ascii="Arial" w:hAnsi="Arial"/>
                <w:b w:val="0"/>
                <w:sz w:val="16"/>
              </w:rPr>
              <w:t>MlInferenceAdapter</w:t>
            </w:r>
          </w:p>
        </w:tc>
        <w:tc>
          <w:tcPr>
            <w:tcW w:type="dxa" w:w="3427"/>
            <w:vAlign w:val="center"/>
          </w:tcPr>
          <w:p>
            <w:pPr>
              <w:spacing w:after="0"/>
            </w:pPr>
            <w:r/>
            <w:r>
              <w:rPr>
                <w:rFonts w:ascii="Arial" w:hAnsi="Arial"/>
                <w:b w:val="0"/>
                <w:sz w:val="16"/>
              </w:rPr>
              <w:t>Run the approved Python command and return a validated ML result or explicit failure.</w:t>
            </w:r>
          </w:p>
        </w:tc>
        <w:tc>
          <w:tcPr>
            <w:tcW w:type="dxa" w:w="3427"/>
            <w:vAlign w:val="center"/>
          </w:tcPr>
          <w:p>
            <w:pPr>
              <w:spacing w:after="0"/>
            </w:pPr>
            <w:r/>
            <w:r>
              <w:rPr>
                <w:rFonts w:ascii="Arial" w:hAnsi="Arial"/>
                <w:b w:val="0"/>
                <w:sz w:val="16"/>
              </w:rPr>
              <w:t>Access the browser or write clinical tables.</w:t>
            </w:r>
          </w:p>
        </w:tc>
      </w:tr>
      <w:tr>
        <w:tc>
          <w:tcPr>
            <w:tcW w:type="dxa" w:w="3427"/>
            <w:vAlign w:val="center"/>
          </w:tcPr>
          <w:p>
            <w:pPr>
              <w:spacing w:after="0"/>
            </w:pPr>
            <w:r/>
            <w:r>
              <w:rPr>
                <w:rFonts w:ascii="Arial" w:hAnsi="Arial"/>
                <w:b w:val="0"/>
                <w:sz w:val="16"/>
              </w:rPr>
              <w:t>DecisionResolver</w:t>
            </w:r>
          </w:p>
        </w:tc>
        <w:tc>
          <w:tcPr>
            <w:tcW w:type="dxa" w:w="3427"/>
            <w:vAlign w:val="center"/>
          </w:tcPr>
          <w:p>
            <w:pPr>
              <w:spacing w:after="0"/>
            </w:pPr>
            <w:r/>
            <w:r>
              <w:rPr>
                <w:rFonts w:ascii="Arial" w:hAnsi="Arial"/>
                <w:b w:val="0"/>
                <w:sz w:val="16"/>
              </w:rPr>
              <w:t>Apply the authoritative state precedence table.</w:t>
            </w:r>
          </w:p>
        </w:tc>
        <w:tc>
          <w:tcPr>
            <w:tcW w:type="dxa" w:w="3427"/>
            <w:vAlign w:val="center"/>
          </w:tcPr>
          <w:p>
            <w:pPr>
              <w:spacing w:after="0"/>
            </w:pPr>
            <w:r/>
            <w:r>
              <w:rPr>
                <w:rFonts w:ascii="Arial" w:hAnsi="Arial"/>
                <w:b w:val="0"/>
                <w:sz w:val="16"/>
              </w:rPr>
              <w:t>Use email/referral status or UI preference as clinical evidence.</w:t>
            </w:r>
          </w:p>
        </w:tc>
      </w:tr>
      <w:tr>
        <w:tc>
          <w:tcPr>
            <w:tcW w:type="dxa" w:w="3427"/>
            <w:vAlign w:val="center"/>
          </w:tcPr>
          <w:p>
            <w:pPr>
              <w:spacing w:after="0"/>
            </w:pPr>
            <w:r/>
            <w:r>
              <w:rPr>
                <w:rFonts w:ascii="Arial" w:hAnsi="Arial"/>
                <w:b w:val="0"/>
                <w:sz w:val="16"/>
              </w:rPr>
              <w:t>EscalationResolver</w:t>
            </w:r>
          </w:p>
        </w:tc>
        <w:tc>
          <w:tcPr>
            <w:tcW w:type="dxa" w:w="3427"/>
            <w:vAlign w:val="center"/>
          </w:tcPr>
          <w:p>
            <w:pPr>
              <w:spacing w:after="0"/>
            </w:pPr>
            <w:r/>
            <w:r>
              <w:rPr>
                <w:rFonts w:ascii="Arial" w:hAnsi="Arial"/>
                <w:b w:val="0"/>
                <w:sz w:val="16"/>
              </w:rPr>
              <w:t>Map evidence and clinician input to E0-E4.</w:t>
            </w:r>
          </w:p>
        </w:tc>
        <w:tc>
          <w:tcPr>
            <w:tcW w:type="dxa" w:w="3427"/>
            <w:vAlign w:val="center"/>
          </w:tcPr>
          <w:p>
            <w:pPr>
              <w:spacing w:after="0"/>
            </w:pPr>
            <w:r/>
            <w:r>
              <w:rPr>
                <w:rFonts w:ascii="Arial" w:hAnsi="Arial"/>
                <w:b w:val="0"/>
                <w:sz w:val="16"/>
              </w:rPr>
              <w:t>Treat all HIGH as emergency or permit ML alone to create E4.</w:t>
            </w:r>
          </w:p>
        </w:tc>
      </w:tr>
      <w:tr>
        <w:tc>
          <w:tcPr>
            <w:tcW w:type="dxa" w:w="3427"/>
            <w:vAlign w:val="center"/>
          </w:tcPr>
          <w:p>
            <w:pPr>
              <w:spacing w:after="0"/>
            </w:pPr>
            <w:r/>
            <w:r>
              <w:rPr>
                <w:rFonts w:ascii="Arial" w:hAnsi="Arial"/>
                <w:b w:val="0"/>
                <w:sz w:val="16"/>
              </w:rPr>
              <w:t>ExplanationBuilder</w:t>
            </w:r>
          </w:p>
        </w:tc>
        <w:tc>
          <w:tcPr>
            <w:tcW w:type="dxa" w:w="3427"/>
            <w:vAlign w:val="center"/>
          </w:tcPr>
          <w:p>
            <w:pPr>
              <w:spacing w:after="0"/>
            </w:pPr>
            <w:r/>
            <w:r>
              <w:rPr>
                <w:rFonts w:ascii="Arial" w:hAnsi="Arial"/>
                <w:b w:val="0"/>
                <w:sz w:val="16"/>
              </w:rPr>
              <w:t>Create reasons, limitations, source links, and precedence narrative.</w:t>
            </w:r>
          </w:p>
        </w:tc>
        <w:tc>
          <w:tcPr>
            <w:tcW w:type="dxa" w:w="3427"/>
            <w:vAlign w:val="center"/>
          </w:tcPr>
          <w:p>
            <w:pPr>
              <w:spacing w:after="0"/>
            </w:pPr>
            <w:r/>
            <w:r>
              <w:rPr>
                <w:rFonts w:ascii="Arial" w:hAnsi="Arial"/>
                <w:b w:val="0"/>
                <w:sz w:val="16"/>
              </w:rPr>
              <w:t>Claim diagnosis or causation.</w:t>
            </w:r>
          </w:p>
        </w:tc>
      </w:tr>
      <w:tr>
        <w:tc>
          <w:tcPr>
            <w:tcW w:type="dxa" w:w="3427"/>
            <w:vAlign w:val="center"/>
          </w:tcPr>
          <w:p>
            <w:pPr>
              <w:spacing w:after="0"/>
            </w:pPr>
            <w:r/>
            <w:r>
              <w:rPr>
                <w:rFonts w:ascii="Arial" w:hAnsi="Arial"/>
                <w:b w:val="0"/>
                <w:sz w:val="16"/>
              </w:rPr>
              <w:t>RecommendationBuilder</w:t>
            </w:r>
          </w:p>
        </w:tc>
        <w:tc>
          <w:tcPr>
            <w:tcW w:type="dxa" w:w="3427"/>
            <w:vAlign w:val="center"/>
          </w:tcPr>
          <w:p>
            <w:pPr>
              <w:spacing w:after="0"/>
            </w:pPr>
            <w:r/>
            <w:r>
              <w:rPr>
                <w:rFonts w:ascii="Arial" w:hAnsi="Arial"/>
                <w:b w:val="0"/>
                <w:sz w:val="16"/>
              </w:rPr>
              <w:t>Select controlled action code and wording.</w:t>
            </w:r>
          </w:p>
        </w:tc>
        <w:tc>
          <w:tcPr>
            <w:tcW w:type="dxa" w:w="3427"/>
            <w:vAlign w:val="center"/>
          </w:tcPr>
          <w:p>
            <w:pPr>
              <w:spacing w:after="0"/>
            </w:pPr>
            <w:r/>
            <w:r>
              <w:rPr>
                <w:rFonts w:ascii="Arial" w:hAnsi="Arial"/>
                <w:b w:val="0"/>
                <w:sz w:val="16"/>
              </w:rPr>
              <w:t>Generate free-form treatment advice.</w:t>
            </w:r>
          </w:p>
        </w:tc>
      </w:tr>
      <w:tr>
        <w:tc>
          <w:tcPr>
            <w:tcW w:type="dxa" w:w="3427"/>
            <w:vAlign w:val="center"/>
          </w:tcPr>
          <w:p>
            <w:pPr>
              <w:spacing w:after="0"/>
            </w:pPr>
            <w:r/>
            <w:r>
              <w:rPr>
                <w:rFonts w:ascii="Arial" w:hAnsi="Arial"/>
                <w:b w:val="0"/>
                <w:sz w:val="16"/>
              </w:rPr>
              <w:t>AssessmentRepository</w:t>
            </w:r>
          </w:p>
        </w:tc>
        <w:tc>
          <w:tcPr>
            <w:tcW w:type="dxa" w:w="3427"/>
            <w:vAlign w:val="center"/>
          </w:tcPr>
          <w:p>
            <w:pPr>
              <w:spacing w:after="0"/>
            </w:pPr>
            <w:r/>
            <w:r>
              <w:rPr>
                <w:rFonts w:ascii="Arial" w:hAnsi="Arial"/>
                <w:b w:val="0"/>
                <w:sz w:val="16"/>
              </w:rPr>
              <w:t>Persist immutable assessment, factors, model details, and versions atomically.</w:t>
            </w:r>
          </w:p>
        </w:tc>
        <w:tc>
          <w:tcPr>
            <w:tcW w:type="dxa" w:w="3427"/>
            <w:vAlign w:val="center"/>
          </w:tcPr>
          <w:p>
            <w:pPr>
              <w:spacing w:after="0"/>
            </w:pPr>
            <w:r/>
            <w:r>
              <w:rPr>
                <w:rFonts w:ascii="Arial" w:hAnsi="Arial"/>
                <w:b w:val="0"/>
                <w:sz w:val="16"/>
              </w:rPr>
              <w:t>Overwrite historical assessments.</w:t>
            </w:r>
          </w:p>
        </w:tc>
      </w:tr>
      <w:tr>
        <w:tc>
          <w:tcPr>
            <w:tcW w:type="dxa" w:w="3427"/>
            <w:vAlign w:val="center"/>
          </w:tcPr>
          <w:p>
            <w:pPr>
              <w:spacing w:after="0"/>
            </w:pPr>
            <w:r/>
            <w:r>
              <w:rPr>
                <w:rFonts w:ascii="Arial" w:hAnsi="Arial"/>
                <w:b w:val="0"/>
                <w:sz w:val="16"/>
              </w:rPr>
              <w:t>PostCommitDispatcher</w:t>
            </w:r>
          </w:p>
        </w:tc>
        <w:tc>
          <w:tcPr>
            <w:tcW w:type="dxa" w:w="3427"/>
            <w:vAlign w:val="center"/>
          </w:tcPr>
          <w:p>
            <w:pPr>
              <w:spacing w:after="0"/>
            </w:pPr>
            <w:r/>
            <w:r>
              <w:rPr>
                <w:rFonts w:ascii="Arial" w:hAnsi="Arial"/>
                <w:b w:val="0"/>
                <w:sz w:val="16"/>
              </w:rPr>
              <w:t>Dispatch notifications, referral offers, reports, and monitoring events.</w:t>
            </w:r>
          </w:p>
        </w:tc>
        <w:tc>
          <w:tcPr>
            <w:tcW w:type="dxa" w:w="3427"/>
            <w:vAlign w:val="center"/>
          </w:tcPr>
          <w:p>
            <w:pPr>
              <w:spacing w:after="0"/>
            </w:pPr>
            <w:r/>
            <w:r>
              <w:rPr>
                <w:rFonts w:ascii="Arial" w:hAnsi="Arial"/>
                <w:b w:val="0"/>
                <w:sz w:val="16"/>
              </w:rPr>
              <w:t>Alter the persisted state.</w:t>
            </w:r>
          </w:p>
        </w:tc>
      </w:tr>
    </w:tbl>
    <w:p>
      <w:pPr>
        <w:spacing w:after="0"/>
      </w:pPr>
    </w:p>
    <w:p>
      <w:pPr>
        <w:pStyle w:val="Heading1"/>
      </w:pPr>
      <w:r>
        <w:t>5. Assessment Request Contract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Field</w:t>
            </w:r>
          </w:p>
        </w:tc>
        <w:tc>
          <w:tcPr>
            <w:tcW w:type="dxa" w:w="5141"/>
            <w:vAlign w:val="center"/>
            <w:shd w:fill="D9EAF7"/>
          </w:tcPr>
          <w:p>
            <w:pPr>
              <w:spacing w:after="0"/>
            </w:pPr>
            <w:r/>
            <w:r>
              <w:rPr>
                <w:rFonts w:ascii="Arial" w:hAnsi="Arial"/>
                <w:b/>
                <w:sz w:val="16"/>
              </w:rPr>
              <w:t>Requirement</w:t>
            </w:r>
          </w:p>
        </w:tc>
      </w:tr>
      <w:tr>
        <w:tc>
          <w:tcPr>
            <w:tcW w:type="dxa" w:w="5141"/>
            <w:vAlign w:val="center"/>
          </w:tcPr>
          <w:p>
            <w:pPr>
              <w:spacing w:after="0"/>
            </w:pPr>
            <w:r/>
            <w:r>
              <w:rPr>
                <w:rFonts w:ascii="Arial" w:hAnsi="Arial"/>
                <w:b w:val="0"/>
                <w:sz w:val="16"/>
              </w:rPr>
              <w:t>patient_id</w:t>
            </w:r>
          </w:p>
        </w:tc>
        <w:tc>
          <w:tcPr>
            <w:tcW w:type="dxa" w:w="5141"/>
            <w:vAlign w:val="center"/>
          </w:tcPr>
          <w:p>
            <w:pPr>
              <w:spacing w:after="0"/>
            </w:pPr>
            <w:r/>
            <w:r>
              <w:rPr>
                <w:rFonts w:ascii="Arial" w:hAnsi="Arial"/>
                <w:b w:val="0"/>
                <w:sz w:val="16"/>
              </w:rPr>
              <w:t>Required and authorized.</w:t>
            </w:r>
          </w:p>
        </w:tc>
      </w:tr>
      <w:tr>
        <w:tc>
          <w:tcPr>
            <w:tcW w:type="dxa" w:w="5141"/>
            <w:vAlign w:val="center"/>
          </w:tcPr>
          <w:p>
            <w:pPr>
              <w:spacing w:after="0"/>
            </w:pPr>
            <w:r/>
            <w:r>
              <w:rPr>
                <w:rFonts w:ascii="Arial" w:hAnsi="Arial"/>
                <w:b w:val="0"/>
                <w:sz w:val="16"/>
              </w:rPr>
              <w:t>pregnancy_episode_id</w:t>
            </w:r>
          </w:p>
        </w:tc>
        <w:tc>
          <w:tcPr>
            <w:tcW w:type="dxa" w:w="5141"/>
            <w:vAlign w:val="center"/>
          </w:tcPr>
          <w:p>
            <w:pPr>
              <w:spacing w:after="0"/>
            </w:pPr>
            <w:r/>
            <w:r>
              <w:rPr>
                <w:rFonts w:ascii="Arial" w:hAnsi="Arial"/>
                <w:b w:val="0"/>
                <w:sz w:val="16"/>
              </w:rPr>
              <w:t>Required in target architecture; transitional lookup must resolve exactly one active episode.</w:t>
            </w:r>
          </w:p>
        </w:tc>
      </w:tr>
      <w:tr>
        <w:tc>
          <w:tcPr>
            <w:tcW w:type="dxa" w:w="5141"/>
            <w:vAlign w:val="center"/>
          </w:tcPr>
          <w:p>
            <w:pPr>
              <w:spacing w:after="0"/>
            </w:pPr>
            <w:r/>
            <w:r>
              <w:rPr>
                <w:rFonts w:ascii="Arial" w:hAnsi="Arial"/>
                <w:b w:val="0"/>
                <w:sz w:val="16"/>
              </w:rPr>
              <w:t>prenatal_visit_id</w:t>
            </w:r>
          </w:p>
        </w:tc>
        <w:tc>
          <w:tcPr>
            <w:tcW w:type="dxa" w:w="5141"/>
            <w:vAlign w:val="center"/>
          </w:tcPr>
          <w:p>
            <w:pPr>
              <w:spacing w:after="0"/>
            </w:pPr>
            <w:r/>
            <w:r>
              <w:rPr>
                <w:rFonts w:ascii="Arial" w:hAnsi="Arial"/>
                <w:b w:val="0"/>
                <w:sz w:val="16"/>
              </w:rPr>
              <w:t>Required for visit-based assessment and must belong to the same episode.</w:t>
            </w:r>
          </w:p>
        </w:tc>
      </w:tr>
      <w:tr>
        <w:tc>
          <w:tcPr>
            <w:tcW w:type="dxa" w:w="5141"/>
            <w:vAlign w:val="center"/>
          </w:tcPr>
          <w:p>
            <w:pPr>
              <w:spacing w:after="0"/>
            </w:pPr>
            <w:r/>
            <w:r>
              <w:rPr>
                <w:rFonts w:ascii="Arial" w:hAnsi="Arial"/>
                <w:b w:val="0"/>
                <w:sz w:val="16"/>
              </w:rPr>
              <w:t>trigger_type</w:t>
            </w:r>
          </w:p>
        </w:tc>
        <w:tc>
          <w:tcPr>
            <w:tcW w:type="dxa" w:w="5141"/>
            <w:vAlign w:val="center"/>
          </w:tcPr>
          <w:p>
            <w:pPr>
              <w:spacing w:after="0"/>
            </w:pPr>
            <w:r/>
            <w:r>
              <w:rPr>
                <w:rFonts w:ascii="Arial" w:hAnsi="Arial"/>
                <w:b w:val="0"/>
                <w:sz w:val="16"/>
              </w:rPr>
              <w:t>CREATE_VISIT, UPDATE_VISIT, RECORD_COMPLETED, MANUAL_REASSESSMENT, CORRECTION, or approved system trigger.</w:t>
            </w:r>
          </w:p>
        </w:tc>
      </w:tr>
      <w:tr>
        <w:tc>
          <w:tcPr>
            <w:tcW w:type="dxa" w:w="5141"/>
            <w:vAlign w:val="center"/>
          </w:tcPr>
          <w:p>
            <w:pPr>
              <w:spacing w:after="0"/>
            </w:pPr>
            <w:r/>
            <w:r>
              <w:rPr>
                <w:rFonts w:ascii="Arial" w:hAnsi="Arial"/>
                <w:b w:val="0"/>
                <w:sz w:val="16"/>
              </w:rPr>
              <w:t>requested_by</w:t>
            </w:r>
          </w:p>
        </w:tc>
        <w:tc>
          <w:tcPr>
            <w:tcW w:type="dxa" w:w="5141"/>
            <w:vAlign w:val="center"/>
          </w:tcPr>
          <w:p>
            <w:pPr>
              <w:spacing w:after="0"/>
            </w:pPr>
            <w:r/>
            <w:r>
              <w:rPr>
                <w:rFonts w:ascii="Arial" w:hAnsi="Arial"/>
                <w:b w:val="0"/>
                <w:sz w:val="16"/>
              </w:rPr>
              <w:t>Authenticated user ID or governed system actor.</w:t>
            </w:r>
          </w:p>
        </w:tc>
      </w:tr>
      <w:tr>
        <w:tc>
          <w:tcPr>
            <w:tcW w:type="dxa" w:w="5141"/>
            <w:vAlign w:val="center"/>
          </w:tcPr>
          <w:p>
            <w:pPr>
              <w:spacing w:after="0"/>
            </w:pPr>
            <w:r/>
            <w:r>
              <w:rPr>
                <w:rFonts w:ascii="Arial" w:hAnsi="Arial"/>
                <w:b w:val="0"/>
                <w:sz w:val="16"/>
              </w:rPr>
              <w:t>request_id</w:t>
            </w:r>
          </w:p>
        </w:tc>
        <w:tc>
          <w:tcPr>
            <w:tcW w:type="dxa" w:w="5141"/>
            <w:vAlign w:val="center"/>
          </w:tcPr>
          <w:p>
            <w:pPr>
              <w:spacing w:after="0"/>
            </w:pPr>
            <w:r/>
            <w:r>
              <w:rPr>
                <w:rFonts w:ascii="Arial" w:hAnsi="Arial"/>
                <w:b w:val="0"/>
                <w:sz w:val="16"/>
              </w:rPr>
              <w:t>Unique correlation identifier for logs and idempotency.</w:t>
            </w:r>
          </w:p>
        </w:tc>
      </w:tr>
      <w:tr>
        <w:tc>
          <w:tcPr>
            <w:tcW w:type="dxa" w:w="5141"/>
            <w:vAlign w:val="center"/>
          </w:tcPr>
          <w:p>
            <w:pPr>
              <w:spacing w:after="0"/>
            </w:pPr>
            <w:r/>
            <w:r>
              <w:rPr>
                <w:rFonts w:ascii="Arial" w:hAnsi="Arial"/>
                <w:b w:val="0"/>
                <w:sz w:val="16"/>
              </w:rPr>
              <w:t>manual_escalation</w:t>
            </w:r>
          </w:p>
        </w:tc>
        <w:tc>
          <w:tcPr>
            <w:tcW w:type="dxa" w:w="5141"/>
            <w:vAlign w:val="center"/>
          </w:tcPr>
          <w:p>
            <w:pPr>
              <w:spacing w:after="0"/>
            </w:pPr>
            <w:r/>
            <w:r>
              <w:rPr>
                <w:rFonts w:ascii="Arial" w:hAnsi="Arial"/>
                <w:b w:val="0"/>
                <w:sz w:val="16"/>
              </w:rPr>
              <w:t>Optional structured clinician escalation with reason and level; may only increase urgency unless a governed reassessment supports reduction.</w:t>
            </w:r>
          </w:p>
        </w:tc>
      </w:tr>
      <w:tr>
        <w:tc>
          <w:tcPr>
            <w:tcW w:type="dxa" w:w="5141"/>
            <w:vAlign w:val="center"/>
          </w:tcPr>
          <w:p>
            <w:pPr>
              <w:spacing w:after="0"/>
            </w:pPr>
            <w:r/>
            <w:r>
              <w:rPr>
                <w:rFonts w:ascii="Arial" w:hAnsi="Arial"/>
                <w:b w:val="0"/>
                <w:sz w:val="16"/>
              </w:rPr>
              <w:t>expected_versions</w:t>
            </w:r>
          </w:p>
        </w:tc>
        <w:tc>
          <w:tcPr>
            <w:tcW w:type="dxa" w:w="5141"/>
            <w:vAlign w:val="center"/>
          </w:tcPr>
          <w:p>
            <w:pPr>
              <w:spacing w:after="0"/>
            </w:pPr>
            <w:r/>
            <w:r>
              <w:rPr>
                <w:rFonts w:ascii="Arial" w:hAnsi="Arial"/>
                <w:b w:val="0"/>
                <w:sz w:val="16"/>
              </w:rPr>
              <w:t>Optional optimistic-concurrency values for critical source records.</w:t>
            </w:r>
          </w:p>
        </w:tc>
      </w:tr>
    </w:tbl>
    <w:p>
      <w:pPr>
        <w:spacing w:after="0"/>
      </w:pPr>
    </w:p>
    <w:p>
      <w:pPr>
        <w:spacing w:after="100" w:line="252" w:lineRule="auto"/>
      </w:pPr>
      <w:r>
        <w:t>The request contract contains identifiers and trigger metadata, not a client-supplied final risk result. The server reloads authoritative clinical data and never trusts hidden form fields for rule outcomes, model outputs, explanation text, or escalation.</w:t>
      </w:r>
    </w:p>
    <w:p>
      <w:pPr>
        <w:pStyle w:val="Heading1"/>
      </w:pPr>
      <w:r>
        <w:t>6. Input Snapshot Architecture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Snapshot section</w:t>
            </w:r>
          </w:p>
        </w:tc>
        <w:tc>
          <w:tcPr>
            <w:tcW w:type="dxa" w:w="5141"/>
            <w:vAlign w:val="center"/>
            <w:shd w:fill="D9EAF7"/>
          </w:tcPr>
          <w:p>
            <w:pPr>
              <w:spacing w:after="0"/>
            </w:pPr>
            <w:r/>
            <w:r>
              <w:rPr>
                <w:rFonts w:ascii="Arial" w:hAnsi="Arial"/>
                <w:b/>
                <w:sz w:val="16"/>
              </w:rPr>
              <w:t>Representative contents</w:t>
            </w:r>
          </w:p>
        </w:tc>
      </w:tr>
      <w:tr>
        <w:tc>
          <w:tcPr>
            <w:tcW w:type="dxa" w:w="5141"/>
            <w:vAlign w:val="center"/>
          </w:tcPr>
          <w:p>
            <w:pPr>
              <w:spacing w:after="0"/>
            </w:pPr>
            <w:r/>
            <w:r>
              <w:rPr>
                <w:rFonts w:ascii="Arial" w:hAnsi="Arial"/>
                <w:b w:val="0"/>
                <w:sz w:val="16"/>
              </w:rPr>
              <w:t>Identity</w:t>
            </w:r>
          </w:p>
        </w:tc>
        <w:tc>
          <w:tcPr>
            <w:tcW w:type="dxa" w:w="5141"/>
            <w:vAlign w:val="center"/>
          </w:tcPr>
          <w:p>
            <w:pPr>
              <w:spacing w:after="0"/>
            </w:pPr>
            <w:r/>
            <w:r>
              <w:rPr>
                <w:rFonts w:ascii="Arial" w:hAnsi="Arial"/>
                <w:b w:val="0"/>
                <w:sz w:val="16"/>
              </w:rPr>
              <w:t>Patient ID, pregnancy episode ID, visit ID, dates, status, source record IDs.</w:t>
            </w:r>
          </w:p>
        </w:tc>
      </w:tr>
      <w:tr>
        <w:tc>
          <w:tcPr>
            <w:tcW w:type="dxa" w:w="5141"/>
            <w:vAlign w:val="center"/>
          </w:tcPr>
          <w:p>
            <w:pPr>
              <w:spacing w:after="0"/>
            </w:pPr>
            <w:r/>
            <w:r>
              <w:rPr>
                <w:rFonts w:ascii="Arial" w:hAnsi="Arial"/>
                <w:b w:val="0"/>
                <w:sz w:val="16"/>
              </w:rPr>
              <w:t>Demographics</w:t>
            </w:r>
          </w:p>
        </w:tc>
        <w:tc>
          <w:tcPr>
            <w:tcW w:type="dxa" w:w="5141"/>
            <w:vAlign w:val="center"/>
          </w:tcPr>
          <w:p>
            <w:pPr>
              <w:spacing w:after="0"/>
            </w:pPr>
            <w:r/>
            <w:r>
              <w:rPr>
                <w:rFonts w:ascii="Arial" w:hAnsi="Arial"/>
                <w:b w:val="0"/>
                <w:sz w:val="16"/>
              </w:rPr>
              <w:t>Date of birth or calculated age with calculation date; first-pregnancy context.</w:t>
            </w:r>
          </w:p>
        </w:tc>
      </w:tr>
      <w:tr>
        <w:tc>
          <w:tcPr>
            <w:tcW w:type="dxa" w:w="5141"/>
            <w:vAlign w:val="center"/>
          </w:tcPr>
          <w:p>
            <w:pPr>
              <w:spacing w:after="0"/>
            </w:pPr>
            <w:r/>
            <w:r>
              <w:rPr>
                <w:rFonts w:ascii="Arial" w:hAnsi="Arial"/>
                <w:b w:val="0"/>
                <w:sz w:val="16"/>
              </w:rPr>
              <w:t>Medical history</w:t>
            </w:r>
          </w:p>
        </w:tc>
        <w:tc>
          <w:tcPr>
            <w:tcW w:type="dxa" w:w="5141"/>
            <w:vAlign w:val="center"/>
          </w:tcPr>
          <w:p>
            <w:pPr>
              <w:spacing w:after="0"/>
            </w:pPr>
            <w:r/>
            <w:r>
              <w:rPr>
                <w:rFonts w:ascii="Arial" w:hAnsi="Arial"/>
                <w:b w:val="0"/>
                <w:sz w:val="16"/>
              </w:rPr>
              <w:t>Diabetes, anemia, previous CS, miscarriage count, provenance and record version.</w:t>
            </w:r>
          </w:p>
        </w:tc>
      </w:tr>
      <w:tr>
        <w:tc>
          <w:tcPr>
            <w:tcW w:type="dxa" w:w="5141"/>
            <w:vAlign w:val="center"/>
          </w:tcPr>
          <w:p>
            <w:pPr>
              <w:spacing w:after="0"/>
            </w:pPr>
            <w:r/>
            <w:r>
              <w:rPr>
                <w:rFonts w:ascii="Arial" w:hAnsi="Arial"/>
                <w:b w:val="0"/>
                <w:sz w:val="16"/>
              </w:rPr>
              <w:t>Prenatal measurements</w:t>
            </w:r>
          </w:p>
        </w:tc>
        <w:tc>
          <w:tcPr>
            <w:tcW w:type="dxa" w:w="5141"/>
            <w:vAlign w:val="center"/>
          </w:tcPr>
          <w:p>
            <w:pPr>
              <w:spacing w:after="0"/>
            </w:pPr>
            <w:r/>
            <w:r>
              <w:rPr>
                <w:rFonts w:ascii="Arial" w:hAnsi="Arial"/>
                <w:b w:val="0"/>
                <w:sz w:val="16"/>
              </w:rPr>
              <w:t>Blood-pressure components, units, measurement time, validation status.</w:t>
            </w:r>
          </w:p>
        </w:tc>
      </w:tr>
      <w:tr>
        <w:tc>
          <w:tcPr>
            <w:tcW w:type="dxa" w:w="5141"/>
            <w:vAlign w:val="center"/>
          </w:tcPr>
          <w:p>
            <w:pPr>
              <w:spacing w:after="0"/>
            </w:pPr>
            <w:r/>
            <w:r>
              <w:rPr>
                <w:rFonts w:ascii="Arial" w:hAnsi="Arial"/>
                <w:b w:val="0"/>
                <w:sz w:val="16"/>
              </w:rPr>
              <w:t>Ultrasound report</w:t>
            </w:r>
          </w:p>
        </w:tc>
        <w:tc>
          <w:tcPr>
            <w:tcW w:type="dxa" w:w="5141"/>
            <w:vAlign w:val="center"/>
          </w:tcPr>
          <w:p>
            <w:pPr>
              <w:spacing w:after="0"/>
            </w:pPr>
            <w:r/>
            <w:r>
              <w:rPr>
                <w:rFonts w:ascii="Arial" w:hAnsi="Arial"/>
                <w:b w:val="0"/>
                <w:sz w:val="16"/>
              </w:rPr>
              <w:t>Presentation, amniotic-fluid category, fetal-heartbeat category, report date and source; no image interpretation.</w:t>
            </w:r>
          </w:p>
        </w:tc>
      </w:tr>
      <w:tr>
        <w:tc>
          <w:tcPr>
            <w:tcW w:type="dxa" w:w="5141"/>
            <w:vAlign w:val="center"/>
          </w:tcPr>
          <w:p>
            <w:pPr>
              <w:spacing w:after="0"/>
            </w:pPr>
            <w:r/>
            <w:r>
              <w:rPr>
                <w:rFonts w:ascii="Arial" w:hAnsi="Arial"/>
                <w:b w:val="0"/>
                <w:sz w:val="16"/>
              </w:rPr>
              <w:t>Birth plan</w:t>
            </w:r>
          </w:p>
        </w:tc>
        <w:tc>
          <w:tcPr>
            <w:tcW w:type="dxa" w:w="5141"/>
            <w:vAlign w:val="center"/>
          </w:tcPr>
          <w:p>
            <w:pPr>
              <w:spacing w:after="0"/>
            </w:pPr>
            <w:r/>
            <w:r>
              <w:rPr>
                <w:rFonts w:ascii="Arial" w:hAnsi="Arial"/>
                <w:b w:val="0"/>
                <w:sz w:val="16"/>
              </w:rPr>
              <w:t>Presence and approved completeness fields used by the current policy.</w:t>
            </w:r>
          </w:p>
        </w:tc>
      </w:tr>
      <w:tr>
        <w:tc>
          <w:tcPr>
            <w:tcW w:type="dxa" w:w="5141"/>
            <w:vAlign w:val="center"/>
          </w:tcPr>
          <w:p>
            <w:pPr>
              <w:spacing w:after="0"/>
            </w:pPr>
            <w:r/>
            <w:r>
              <w:rPr>
                <w:rFonts w:ascii="Arial" w:hAnsi="Arial"/>
                <w:b w:val="0"/>
                <w:sz w:val="16"/>
              </w:rPr>
              <w:t>Data quality</w:t>
            </w:r>
          </w:p>
        </w:tc>
        <w:tc>
          <w:tcPr>
            <w:tcW w:type="dxa" w:w="5141"/>
            <w:vAlign w:val="center"/>
          </w:tcPr>
          <w:p>
            <w:pPr>
              <w:spacing w:after="0"/>
            </w:pPr>
            <w:r/>
            <w:r>
              <w:rPr>
                <w:rFonts w:ascii="Arial" w:hAnsi="Arial"/>
                <w:b w:val="0"/>
                <w:sz w:val="16"/>
              </w:rPr>
              <w:t>Missing, invalid, stale, conflicting, unverified, and corrected indicators.</w:t>
            </w:r>
          </w:p>
        </w:tc>
      </w:tr>
      <w:tr>
        <w:tc>
          <w:tcPr>
            <w:tcW w:type="dxa" w:w="5141"/>
            <w:vAlign w:val="center"/>
          </w:tcPr>
          <w:p>
            <w:pPr>
              <w:spacing w:after="0"/>
            </w:pPr>
            <w:r/>
            <w:r>
              <w:rPr>
                <w:rFonts w:ascii="Arial" w:hAnsi="Arial"/>
                <w:b w:val="0"/>
                <w:sz w:val="16"/>
              </w:rPr>
              <w:t>Version metadata</w:t>
            </w:r>
          </w:p>
        </w:tc>
        <w:tc>
          <w:tcPr>
            <w:tcW w:type="dxa" w:w="5141"/>
            <w:vAlign w:val="center"/>
          </w:tcPr>
          <w:p>
            <w:pPr>
              <w:spacing w:after="0"/>
            </w:pPr>
            <w:r/>
            <w:r>
              <w:rPr>
                <w:rFonts w:ascii="Arial" w:hAnsi="Arial"/>
                <w:b w:val="0"/>
                <w:sz w:val="16"/>
              </w:rPr>
              <w:t>Rule set, feature schema, model artifact, preprocessing, explanation library, recommendation library, and engine version.</w:t>
            </w:r>
          </w:p>
        </w:tc>
      </w:tr>
      <w:tr>
        <w:tc>
          <w:tcPr>
            <w:tcW w:type="dxa" w:w="5141"/>
            <w:vAlign w:val="center"/>
          </w:tcPr>
          <w:p>
            <w:pPr>
              <w:spacing w:after="0"/>
            </w:pPr>
            <w:r/>
            <w:r>
              <w:rPr>
                <w:rFonts w:ascii="Arial" w:hAnsi="Arial"/>
                <w:b w:val="0"/>
                <w:sz w:val="16"/>
              </w:rPr>
              <w:t>Execution metadata</w:t>
            </w:r>
          </w:p>
        </w:tc>
        <w:tc>
          <w:tcPr>
            <w:tcW w:type="dxa" w:w="5141"/>
            <w:vAlign w:val="center"/>
          </w:tcPr>
          <w:p>
            <w:pPr>
              <w:spacing w:after="0"/>
            </w:pPr>
            <w:r/>
            <w:r>
              <w:rPr>
                <w:rFonts w:ascii="Arial" w:hAnsi="Arial"/>
                <w:b w:val="0"/>
                <w:sz w:val="16"/>
              </w:rPr>
              <w:t>Request ID, trigger, user, server time, environment, and prior current assessment ID.</w:t>
            </w:r>
          </w:p>
        </w:tc>
      </w:tr>
    </w:tbl>
    <w:p>
      <w:pPr>
        <w:spacing w:after="0"/>
      </w:pPr>
    </w:p>
    <w:p>
      <w:pPr>
        <w:pStyle w:val="ListBullet"/>
        <w:spacing w:after="40"/>
      </w:pPr>
      <w:r>
        <w:t>The snapshot is created before rule and model evaluation and remains unchanged for that execution.</w:t>
      </w:r>
    </w:p>
    <w:p>
      <w:pPr>
        <w:pStyle w:val="ListBullet"/>
        <w:spacing w:after="40"/>
      </w:pPr>
      <w:r>
        <w:t>Original source values and normalized decision values are both retained when normalization occurs.</w:t>
      </w:r>
    </w:p>
    <w:p>
      <w:pPr>
        <w:pStyle w:val="ListBullet"/>
        <w:spacing w:after="40"/>
      </w:pPr>
      <w:r>
        <w:t>Age is calculated from a date of birth and assessment date where possible; a stored age should not silently become permanent truth.</w:t>
      </w:r>
    </w:p>
    <w:p>
      <w:pPr>
        <w:pStyle w:val="ListBullet"/>
        <w:spacing w:after="40"/>
      </w:pPr>
      <w:r>
        <w:t>Every pregnancy-specific source must resolve to the same episode.</w:t>
      </w:r>
    </w:p>
    <w:p>
      <w:pPr>
        <w:pStyle w:val="ListBullet"/>
        <w:spacing w:after="40"/>
      </w:pPr>
      <w:r>
        <w:t>If snapshot construction detects ambiguous active pregnancies or cross-episode data, assessment is blocked and recorded as a data-integrity failure.</w:t>
      </w:r>
    </w:p>
    <w:p>
      <w:pPr>
        <w:pStyle w:val="ListBullet"/>
        <w:spacing w:after="40"/>
      </w:pPr>
      <w:r>
        <w:t>Large or sensitive source records are referenced only when the full value is unnecessary, but reconstruction must remain possible.</w:t>
      </w:r>
    </w:p>
    <w:p>
      <w:pPr>
        <w:pStyle w:val="Heading1"/>
      </w:pPr>
      <w:r>
        <w:t>7. Data Validation and Normalization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Validation layer</w:t>
            </w:r>
          </w:p>
        </w:tc>
        <w:tc>
          <w:tcPr>
            <w:tcW w:type="dxa" w:w="3427"/>
            <w:vAlign w:val="center"/>
            <w:shd w:fill="D9EAF7"/>
          </w:tcPr>
          <w:p>
            <w:pPr>
              <w:spacing w:after="0"/>
            </w:pPr>
            <w:r/>
            <w:r>
              <w:rPr>
                <w:rFonts w:ascii="Arial" w:hAnsi="Arial"/>
                <w:b/>
                <w:sz w:val="16"/>
              </w:rPr>
              <w:t>Examples</w:t>
            </w:r>
          </w:p>
        </w:tc>
        <w:tc>
          <w:tcPr>
            <w:tcW w:type="dxa" w:w="3427"/>
            <w:vAlign w:val="center"/>
            <w:shd w:fill="D9EAF7"/>
          </w:tcPr>
          <w:p>
            <w:pPr>
              <w:spacing w:after="0"/>
            </w:pPr>
            <w:r/>
            <w:r>
              <w:rPr>
                <w:rFonts w:ascii="Arial" w:hAnsi="Arial"/>
                <w:b/>
                <w:sz w:val="16"/>
              </w:rPr>
              <w:t>Failure behavior</w:t>
            </w:r>
          </w:p>
        </w:tc>
      </w:tr>
      <w:tr>
        <w:tc>
          <w:tcPr>
            <w:tcW w:type="dxa" w:w="3427"/>
            <w:vAlign w:val="center"/>
          </w:tcPr>
          <w:p>
            <w:pPr>
              <w:spacing w:after="0"/>
            </w:pPr>
            <w:r/>
            <w:r>
              <w:rPr>
                <w:rFonts w:ascii="Arial" w:hAnsi="Arial"/>
                <w:b w:val="0"/>
                <w:sz w:val="16"/>
              </w:rPr>
              <w:t>Ownership</w:t>
            </w:r>
          </w:p>
        </w:tc>
        <w:tc>
          <w:tcPr>
            <w:tcW w:type="dxa" w:w="3427"/>
            <w:vAlign w:val="center"/>
          </w:tcPr>
          <w:p>
            <w:pPr>
              <w:spacing w:after="0"/>
            </w:pPr>
            <w:r/>
            <w:r>
              <w:rPr>
                <w:rFonts w:ascii="Arial" w:hAnsi="Arial"/>
                <w:b w:val="0"/>
                <w:sz w:val="16"/>
              </w:rPr>
              <w:t>Visit, history, ultrasound, plan, and referral belong to the same patient and episode.</w:t>
            </w:r>
          </w:p>
        </w:tc>
        <w:tc>
          <w:tcPr>
            <w:tcW w:type="dxa" w:w="3427"/>
            <w:vAlign w:val="center"/>
          </w:tcPr>
          <w:p>
            <w:pPr>
              <w:spacing w:after="0"/>
            </w:pPr>
            <w:r/>
            <w:r>
              <w:rPr>
                <w:rFonts w:ascii="Arial" w:hAnsi="Arial"/>
                <w:b w:val="0"/>
                <w:sz w:val="16"/>
              </w:rPr>
              <w:t>Block execution; log integrity error.</w:t>
            </w:r>
          </w:p>
        </w:tc>
      </w:tr>
      <w:tr>
        <w:tc>
          <w:tcPr>
            <w:tcW w:type="dxa" w:w="3427"/>
            <w:vAlign w:val="center"/>
          </w:tcPr>
          <w:p>
            <w:pPr>
              <w:spacing w:after="0"/>
            </w:pPr>
            <w:r/>
            <w:r>
              <w:rPr>
                <w:rFonts w:ascii="Arial" w:hAnsi="Arial"/>
                <w:b w:val="0"/>
                <w:sz w:val="16"/>
              </w:rPr>
              <w:t>Type and format</w:t>
            </w:r>
          </w:p>
        </w:tc>
        <w:tc>
          <w:tcPr>
            <w:tcW w:type="dxa" w:w="3427"/>
            <w:vAlign w:val="center"/>
          </w:tcPr>
          <w:p>
            <w:pPr>
              <w:spacing w:after="0"/>
            </w:pPr>
            <w:r/>
            <w:r>
              <w:rPr>
                <w:rFonts w:ascii="Arial" w:hAnsi="Arial"/>
                <w:b w:val="0"/>
                <w:sz w:val="16"/>
              </w:rPr>
              <w:t>Numeric BP, dates, booleans, controlled strings.</w:t>
            </w:r>
          </w:p>
        </w:tc>
        <w:tc>
          <w:tcPr>
            <w:tcW w:type="dxa" w:w="3427"/>
            <w:vAlign w:val="center"/>
          </w:tcPr>
          <w:p>
            <w:pPr>
              <w:spacing w:after="0"/>
            </w:pPr>
            <w:r/>
            <w:r>
              <w:rPr>
                <w:rFonts w:ascii="Arial" w:hAnsi="Arial"/>
                <w:b w:val="0"/>
                <w:sz w:val="16"/>
              </w:rPr>
              <w:t>Mark invalid; never coerce to normal.</w:t>
            </w:r>
          </w:p>
        </w:tc>
      </w:tr>
      <w:tr>
        <w:tc>
          <w:tcPr>
            <w:tcW w:type="dxa" w:w="3427"/>
            <w:vAlign w:val="center"/>
          </w:tcPr>
          <w:p>
            <w:pPr>
              <w:spacing w:after="0"/>
            </w:pPr>
            <w:r/>
            <w:r>
              <w:rPr>
                <w:rFonts w:ascii="Arial" w:hAnsi="Arial"/>
                <w:b w:val="0"/>
                <w:sz w:val="16"/>
              </w:rPr>
              <w:t>Unit and semantics</w:t>
            </w:r>
          </w:p>
        </w:tc>
        <w:tc>
          <w:tcPr>
            <w:tcW w:type="dxa" w:w="3427"/>
            <w:vAlign w:val="center"/>
          </w:tcPr>
          <w:p>
            <w:pPr>
              <w:spacing w:after="0"/>
            </w:pPr>
            <w:r/>
            <w:r>
              <w:rPr>
                <w:rFonts w:ascii="Arial" w:hAnsi="Arial"/>
                <w:b w:val="0"/>
                <w:sz w:val="16"/>
              </w:rPr>
              <w:t>Systolic/diastolic meaning and approved unit.</w:t>
            </w:r>
          </w:p>
        </w:tc>
        <w:tc>
          <w:tcPr>
            <w:tcW w:type="dxa" w:w="3427"/>
            <w:vAlign w:val="center"/>
          </w:tcPr>
          <w:p>
            <w:pPr>
              <w:spacing w:after="0"/>
            </w:pPr>
            <w:r/>
            <w:r>
              <w:rPr>
                <w:rFonts w:ascii="Arial" w:hAnsi="Arial"/>
                <w:b w:val="0"/>
                <w:sz w:val="16"/>
              </w:rPr>
              <w:t>Reject incompatible or unknown unit.</w:t>
            </w:r>
          </w:p>
        </w:tc>
      </w:tr>
      <w:tr>
        <w:tc>
          <w:tcPr>
            <w:tcW w:type="dxa" w:w="3427"/>
            <w:vAlign w:val="center"/>
          </w:tcPr>
          <w:p>
            <w:pPr>
              <w:spacing w:after="0"/>
            </w:pPr>
            <w:r/>
            <w:r>
              <w:rPr>
                <w:rFonts w:ascii="Arial" w:hAnsi="Arial"/>
                <w:b w:val="0"/>
                <w:sz w:val="16"/>
              </w:rPr>
              <w:t>Vocabulary</w:t>
            </w:r>
          </w:p>
        </w:tc>
        <w:tc>
          <w:tcPr>
            <w:tcW w:type="dxa" w:w="3427"/>
            <w:vAlign w:val="center"/>
          </w:tcPr>
          <w:p>
            <w:pPr>
              <w:spacing w:after="0"/>
            </w:pPr>
            <w:r/>
            <w:r>
              <w:rPr>
                <w:rFonts w:ascii="Arial" w:hAnsi="Arial"/>
                <w:b w:val="0"/>
                <w:sz w:val="16"/>
              </w:rPr>
              <w:t>Cephalic/Breech/Transverse/Oblique; Low/Normal/High; approved fetal-heartbeat values.</w:t>
            </w:r>
          </w:p>
        </w:tc>
        <w:tc>
          <w:tcPr>
            <w:tcW w:type="dxa" w:w="3427"/>
            <w:vAlign w:val="center"/>
          </w:tcPr>
          <w:p>
            <w:pPr>
              <w:spacing w:after="0"/>
            </w:pPr>
            <w:r/>
            <w:r>
              <w:rPr>
                <w:rFonts w:ascii="Arial" w:hAnsi="Arial"/>
                <w:b w:val="0"/>
                <w:sz w:val="16"/>
              </w:rPr>
              <w:t>Map only through explicit versioned dictionary.</w:t>
            </w:r>
          </w:p>
        </w:tc>
      </w:tr>
      <w:tr>
        <w:tc>
          <w:tcPr>
            <w:tcW w:type="dxa" w:w="3427"/>
            <w:vAlign w:val="center"/>
          </w:tcPr>
          <w:p>
            <w:pPr>
              <w:spacing w:after="0"/>
            </w:pPr>
            <w:r/>
            <w:r>
              <w:rPr>
                <w:rFonts w:ascii="Arial" w:hAnsi="Arial"/>
                <w:b w:val="0"/>
                <w:sz w:val="16"/>
              </w:rPr>
              <w:t>Range and plausibility</w:t>
            </w:r>
          </w:p>
        </w:tc>
        <w:tc>
          <w:tcPr>
            <w:tcW w:type="dxa" w:w="3427"/>
            <w:vAlign w:val="center"/>
          </w:tcPr>
          <w:p>
            <w:pPr>
              <w:spacing w:after="0"/>
            </w:pPr>
            <w:r/>
            <w:r>
              <w:rPr>
                <w:rFonts w:ascii="Arial" w:hAnsi="Arial"/>
                <w:b w:val="0"/>
                <w:sz w:val="16"/>
              </w:rPr>
              <w:t>Malformed or impossible values versus clinically unusual but possible values.</w:t>
            </w:r>
          </w:p>
        </w:tc>
        <w:tc>
          <w:tcPr>
            <w:tcW w:type="dxa" w:w="3427"/>
            <w:vAlign w:val="center"/>
          </w:tcPr>
          <w:p>
            <w:pPr>
              <w:spacing w:after="0"/>
            </w:pPr>
            <w:r/>
            <w:r>
              <w:rPr>
                <w:rFonts w:ascii="Arial" w:hAnsi="Arial"/>
                <w:b w:val="0"/>
                <w:sz w:val="16"/>
              </w:rPr>
              <w:t>Reject malformed; unusual values require verification, not deletion.</w:t>
            </w:r>
          </w:p>
        </w:tc>
      </w:tr>
      <w:tr>
        <w:tc>
          <w:tcPr>
            <w:tcW w:type="dxa" w:w="3427"/>
            <w:vAlign w:val="center"/>
          </w:tcPr>
          <w:p>
            <w:pPr>
              <w:spacing w:after="0"/>
            </w:pPr>
            <w:r/>
            <w:r>
              <w:rPr>
                <w:rFonts w:ascii="Arial" w:hAnsi="Arial"/>
                <w:b w:val="0"/>
                <w:sz w:val="16"/>
              </w:rPr>
              <w:t>Temporal validity</w:t>
            </w:r>
          </w:p>
        </w:tc>
        <w:tc>
          <w:tcPr>
            <w:tcW w:type="dxa" w:w="3427"/>
            <w:vAlign w:val="center"/>
          </w:tcPr>
          <w:p>
            <w:pPr>
              <w:spacing w:after="0"/>
            </w:pPr>
            <w:r/>
            <w:r>
              <w:rPr>
                <w:rFonts w:ascii="Arial" w:hAnsi="Arial"/>
                <w:b w:val="0"/>
                <w:sz w:val="16"/>
              </w:rPr>
              <w:t>Record date, report date, correction time, episode dates.</w:t>
            </w:r>
          </w:p>
        </w:tc>
        <w:tc>
          <w:tcPr>
            <w:tcW w:type="dxa" w:w="3427"/>
            <w:vAlign w:val="center"/>
          </w:tcPr>
          <w:p>
            <w:pPr>
              <w:spacing w:after="0"/>
            </w:pPr>
            <w:r/>
            <w:r>
              <w:rPr>
                <w:rFonts w:ascii="Arial" w:hAnsi="Arial"/>
                <w:b w:val="0"/>
                <w:sz w:val="16"/>
              </w:rPr>
              <w:t>Mark stale or contradictory according to policy.</w:t>
            </w:r>
          </w:p>
        </w:tc>
      </w:tr>
      <w:tr>
        <w:tc>
          <w:tcPr>
            <w:tcW w:type="dxa" w:w="3427"/>
            <w:vAlign w:val="center"/>
          </w:tcPr>
          <w:p>
            <w:pPr>
              <w:spacing w:after="0"/>
            </w:pPr>
            <w:r/>
            <w:r>
              <w:rPr>
                <w:rFonts w:ascii="Arial" w:hAnsi="Arial"/>
                <w:b w:val="0"/>
                <w:sz w:val="16"/>
              </w:rPr>
              <w:t>Contradiction</w:t>
            </w:r>
          </w:p>
        </w:tc>
        <w:tc>
          <w:tcPr>
            <w:tcW w:type="dxa" w:w="3427"/>
            <w:vAlign w:val="center"/>
          </w:tcPr>
          <w:p>
            <w:pPr>
              <w:spacing w:after="0"/>
            </w:pPr>
            <w:r/>
            <w:r>
              <w:rPr>
                <w:rFonts w:ascii="Arial" w:hAnsi="Arial"/>
                <w:b w:val="0"/>
                <w:sz w:val="16"/>
              </w:rPr>
              <w:t>Two active source values disagree.</w:t>
            </w:r>
          </w:p>
        </w:tc>
        <w:tc>
          <w:tcPr>
            <w:tcW w:type="dxa" w:w="3427"/>
            <w:vAlign w:val="center"/>
          </w:tcPr>
          <w:p>
            <w:pPr>
              <w:spacing w:after="0"/>
            </w:pPr>
            <w:r/>
            <w:r>
              <w:rPr>
                <w:rFonts w:ascii="Arial" w:hAnsi="Arial"/>
                <w:b w:val="0"/>
                <w:sz w:val="16"/>
              </w:rPr>
              <w:t>Expose conflict and prevent LOW until resolved.</w:t>
            </w:r>
          </w:p>
        </w:tc>
      </w:tr>
      <w:tr>
        <w:tc>
          <w:tcPr>
            <w:tcW w:type="dxa" w:w="3427"/>
            <w:vAlign w:val="center"/>
          </w:tcPr>
          <w:p>
            <w:pPr>
              <w:spacing w:after="0"/>
            </w:pPr>
            <w:r/>
            <w:r>
              <w:rPr>
                <w:rFonts w:ascii="Arial" w:hAnsi="Arial"/>
                <w:b w:val="0"/>
                <w:sz w:val="16"/>
              </w:rPr>
              <w:t>Presence</w:t>
            </w:r>
          </w:p>
        </w:tc>
        <w:tc>
          <w:tcPr>
            <w:tcW w:type="dxa" w:w="3427"/>
            <w:vAlign w:val="center"/>
          </w:tcPr>
          <w:p>
            <w:pPr>
              <w:spacing w:after="0"/>
            </w:pPr>
            <w:r/>
            <w:r>
              <w:rPr>
                <w:rFonts w:ascii="Arial" w:hAnsi="Arial"/>
                <w:b w:val="0"/>
                <w:sz w:val="16"/>
              </w:rPr>
              <w:t>Required records and fields exist.</w:t>
            </w:r>
          </w:p>
        </w:tc>
        <w:tc>
          <w:tcPr>
            <w:tcW w:type="dxa" w:w="3427"/>
            <w:vAlign w:val="center"/>
          </w:tcPr>
          <w:p>
            <w:pPr>
              <w:spacing w:after="0"/>
            </w:pPr>
            <w:r/>
            <w:r>
              <w:rPr>
                <w:rFonts w:ascii="Arial" w:hAnsi="Arial"/>
                <w:b w:val="0"/>
                <w:sz w:val="16"/>
              </w:rPr>
              <w:t>Completeness evaluator records exact missing items.</w:t>
            </w:r>
          </w:p>
        </w:tc>
      </w:tr>
    </w:tbl>
    <w:p>
      <w:pPr>
        <w:spacing w:after="0"/>
      </w:pPr>
    </w:p>
    <w:tbl>
      <w:tblPr>
        <w:tblStyle w:val="TableGrid"/>
        <w:tblW w:type="auto" w:w="0"/>
        <w:jc w:val="center"/>
        <w:tblLook w:firstColumn="1" w:firstRow="1" w:lastColumn="0" w:lastRow="0" w:noHBand="0" w:noVBand="1" w:val="04A0"/>
      </w:tblPr>
      <w:tblGrid>
        <w:gridCol w:w="10282"/>
      </w:tblGrid>
      <w:tr>
        <w:tc>
          <w:tcPr>
            <w:tcW w:type="dxa" w:w="10282"/>
            <w:shd w:fill="FFF2CC"/>
          </w:tcPr>
          <w:p>
            <w:r/>
            <w:r>
              <w:rPr>
                <w:rFonts w:ascii="Arial" w:hAnsi="Arial"/>
                <w:b/>
                <w:sz w:val="18"/>
              </w:rPr>
              <w:t>No silent normalization</w:t>
            </w:r>
          </w:p>
          <w:p>
            <w:pPr>
              <w:spacing w:after="0"/>
            </w:pPr>
            <w:r>
              <w:rPr>
                <w:rFonts w:ascii="Arial" w:hAnsi="Arial"/>
                <w:sz w:val="17"/>
              </w:rPr>
              <w:t>Blank, null, unknown, ERROR, MODERATE, unmatched capitalization, or unsupported category must never be mapped to NORMAL or LOW. Vocabulary mapping is a versioned implementation artifact with explicit tests.</w:t>
            </w:r>
          </w:p>
        </w:tc>
      </w:tr>
    </w:tbl>
    <w:p/>
    <w:p>
      <w:pPr>
        <w:pStyle w:val="Heading1"/>
      </w:pPr>
      <w:r>
        <w:t>8. Completeness Gate</w:t>
      </w:r>
    </w:p>
    <w:p>
      <w:pPr>
        <w:spacing w:after="100" w:line="252" w:lineRule="auto"/>
      </w:pPr>
      <w:r>
        <w:t>The CompletenessEvaluator does not independently assign the final state. It produces a structured report used by the resolver. Under the current project policy, Medical History, Ultrasound, and Birth Plan are required before LOW, and the ML output must be valid. A verified deterministic HIGH may still produce HIGH while missing requirements remain visible.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Output field</w:t>
            </w:r>
          </w:p>
        </w:tc>
        <w:tc>
          <w:tcPr>
            <w:tcW w:type="dxa" w:w="5141"/>
            <w:vAlign w:val="center"/>
            <w:shd w:fill="D9EAF7"/>
          </w:tcPr>
          <w:p>
            <w:pPr>
              <w:spacing w:after="0"/>
            </w:pPr>
            <w:r/>
            <w:r>
              <w:rPr>
                <w:rFonts w:ascii="Arial" w:hAnsi="Arial"/>
                <w:b/>
                <w:sz w:val="16"/>
              </w:rPr>
              <w:t>Meaning</w:t>
            </w:r>
          </w:p>
        </w:tc>
      </w:tr>
      <w:tr>
        <w:tc>
          <w:tcPr>
            <w:tcW w:type="dxa" w:w="5141"/>
            <w:vAlign w:val="center"/>
          </w:tcPr>
          <w:p>
            <w:pPr>
              <w:spacing w:after="0"/>
            </w:pPr>
            <w:r/>
            <w:r>
              <w:rPr>
                <w:rFonts w:ascii="Arial" w:hAnsi="Arial"/>
                <w:b w:val="0"/>
                <w:sz w:val="16"/>
              </w:rPr>
              <w:t>is_complete_for_low</w:t>
            </w:r>
          </w:p>
        </w:tc>
        <w:tc>
          <w:tcPr>
            <w:tcW w:type="dxa" w:w="5141"/>
            <w:vAlign w:val="center"/>
          </w:tcPr>
          <w:p>
            <w:pPr>
              <w:spacing w:after="0"/>
            </w:pPr>
            <w:r/>
            <w:r>
              <w:rPr>
                <w:rFonts w:ascii="Arial" w:hAnsi="Arial"/>
                <w:b w:val="0"/>
                <w:sz w:val="16"/>
              </w:rPr>
              <w:t>All approved records and fields required for LOW are present and valid.</w:t>
            </w:r>
          </w:p>
        </w:tc>
      </w:tr>
      <w:tr>
        <w:tc>
          <w:tcPr>
            <w:tcW w:type="dxa" w:w="5141"/>
            <w:vAlign w:val="center"/>
          </w:tcPr>
          <w:p>
            <w:pPr>
              <w:spacing w:after="0"/>
            </w:pPr>
            <w:r/>
            <w:r>
              <w:rPr>
                <w:rFonts w:ascii="Arial" w:hAnsi="Arial"/>
                <w:b w:val="0"/>
                <w:sz w:val="16"/>
              </w:rPr>
              <w:t>is_eligible_for_ml</w:t>
            </w:r>
          </w:p>
        </w:tc>
        <w:tc>
          <w:tcPr>
            <w:tcW w:type="dxa" w:w="5141"/>
            <w:vAlign w:val="center"/>
          </w:tcPr>
          <w:p>
            <w:pPr>
              <w:spacing w:after="0"/>
            </w:pPr>
            <w:r/>
            <w:r>
              <w:rPr>
                <w:rFonts w:ascii="Arial" w:hAnsi="Arial"/>
                <w:b w:val="0"/>
                <w:sz w:val="16"/>
              </w:rPr>
              <w:t>The feature contract can be constructed without unsupported or invalid values.</w:t>
            </w:r>
          </w:p>
        </w:tc>
      </w:tr>
      <w:tr>
        <w:tc>
          <w:tcPr>
            <w:tcW w:type="dxa" w:w="5141"/>
            <w:vAlign w:val="center"/>
          </w:tcPr>
          <w:p>
            <w:pPr>
              <w:spacing w:after="0"/>
            </w:pPr>
            <w:r/>
            <w:r>
              <w:rPr>
                <w:rFonts w:ascii="Arial" w:hAnsi="Arial"/>
                <w:b w:val="0"/>
                <w:sz w:val="16"/>
              </w:rPr>
              <w:t>ml_required_for_low</w:t>
            </w:r>
          </w:p>
        </w:tc>
        <w:tc>
          <w:tcPr>
            <w:tcW w:type="dxa" w:w="5141"/>
            <w:vAlign w:val="center"/>
          </w:tcPr>
          <w:p>
            <w:pPr>
              <w:spacing w:after="0"/>
            </w:pPr>
            <w:r/>
            <w:r>
              <w:rPr>
                <w:rFonts w:ascii="Arial" w:hAnsi="Arial"/>
                <w:b w:val="0"/>
                <w:sz w:val="16"/>
              </w:rPr>
              <w:t>True under the current hybrid policy.</w:t>
            </w:r>
          </w:p>
        </w:tc>
      </w:tr>
      <w:tr>
        <w:tc>
          <w:tcPr>
            <w:tcW w:type="dxa" w:w="5141"/>
            <w:vAlign w:val="center"/>
          </w:tcPr>
          <w:p>
            <w:pPr>
              <w:spacing w:after="0"/>
            </w:pPr>
            <w:r/>
            <w:r>
              <w:rPr>
                <w:rFonts w:ascii="Arial" w:hAnsi="Arial"/>
                <w:b w:val="0"/>
                <w:sz w:val="16"/>
              </w:rPr>
              <w:t>missing_requirements</w:t>
            </w:r>
          </w:p>
        </w:tc>
        <w:tc>
          <w:tcPr>
            <w:tcW w:type="dxa" w:w="5141"/>
            <w:vAlign w:val="center"/>
          </w:tcPr>
          <w:p>
            <w:pPr>
              <w:spacing w:after="0"/>
            </w:pPr>
            <w:r/>
            <w:r>
              <w:rPr>
                <w:rFonts w:ascii="Arial" w:hAnsi="Arial"/>
                <w:b w:val="0"/>
                <w:sz w:val="16"/>
              </w:rPr>
              <w:t>Exact record or field codes not available.</w:t>
            </w:r>
          </w:p>
        </w:tc>
      </w:tr>
      <w:tr>
        <w:tc>
          <w:tcPr>
            <w:tcW w:type="dxa" w:w="5141"/>
            <w:vAlign w:val="center"/>
          </w:tcPr>
          <w:p>
            <w:pPr>
              <w:spacing w:after="0"/>
            </w:pPr>
            <w:r/>
            <w:r>
              <w:rPr>
                <w:rFonts w:ascii="Arial" w:hAnsi="Arial"/>
                <w:b w:val="0"/>
                <w:sz w:val="16"/>
              </w:rPr>
              <w:t>invalid_requirements</w:t>
            </w:r>
          </w:p>
        </w:tc>
        <w:tc>
          <w:tcPr>
            <w:tcW w:type="dxa" w:w="5141"/>
            <w:vAlign w:val="center"/>
          </w:tcPr>
          <w:p>
            <w:pPr>
              <w:spacing w:after="0"/>
            </w:pPr>
            <w:r/>
            <w:r>
              <w:rPr>
                <w:rFonts w:ascii="Arial" w:hAnsi="Arial"/>
                <w:b w:val="0"/>
                <w:sz w:val="16"/>
              </w:rPr>
              <w:t>Present but malformed, stale, contradictory, incompatible, or unverified items.</w:t>
            </w:r>
          </w:p>
        </w:tc>
      </w:tr>
      <w:tr>
        <w:tc>
          <w:tcPr>
            <w:tcW w:type="dxa" w:w="5141"/>
            <w:vAlign w:val="center"/>
          </w:tcPr>
          <w:p>
            <w:pPr>
              <w:spacing w:after="0"/>
            </w:pPr>
            <w:r/>
            <w:r>
              <w:rPr>
                <w:rFonts w:ascii="Arial" w:hAnsi="Arial"/>
                <w:b w:val="0"/>
                <w:sz w:val="16"/>
              </w:rPr>
              <w:t>limitations</w:t>
            </w:r>
          </w:p>
        </w:tc>
        <w:tc>
          <w:tcPr>
            <w:tcW w:type="dxa" w:w="5141"/>
            <w:vAlign w:val="center"/>
          </w:tcPr>
          <w:p>
            <w:pPr>
              <w:spacing w:after="0"/>
            </w:pPr>
            <w:r/>
            <w:r>
              <w:rPr>
                <w:rFonts w:ascii="Arial" w:hAnsi="Arial"/>
                <w:b w:val="0"/>
                <w:sz w:val="16"/>
              </w:rPr>
              <w:t>User-facing descriptions of uncertainty.</w:t>
            </w:r>
          </w:p>
        </w:tc>
      </w:tr>
      <w:tr>
        <w:tc>
          <w:tcPr>
            <w:tcW w:type="dxa" w:w="5141"/>
            <w:vAlign w:val="center"/>
          </w:tcPr>
          <w:p>
            <w:pPr>
              <w:spacing w:after="0"/>
            </w:pPr>
            <w:r/>
            <w:r>
              <w:rPr>
                <w:rFonts w:ascii="Arial" w:hAnsi="Arial"/>
                <w:b w:val="0"/>
                <w:sz w:val="16"/>
              </w:rPr>
              <w:t>blocking_errors</w:t>
            </w:r>
          </w:p>
        </w:tc>
        <w:tc>
          <w:tcPr>
            <w:tcW w:type="dxa" w:w="5141"/>
            <w:vAlign w:val="center"/>
          </w:tcPr>
          <w:p>
            <w:pPr>
              <w:spacing w:after="0"/>
            </w:pPr>
            <w:r/>
            <w:r>
              <w:rPr>
                <w:rFonts w:ascii="Arial" w:hAnsi="Arial"/>
                <w:b w:val="0"/>
                <w:sz w:val="16"/>
              </w:rPr>
              <w:t>Integrity or execution defects that prevent safe processing.</w:t>
            </w:r>
          </w:p>
        </w:tc>
      </w:tr>
    </w:tbl>
    <w:p>
      <w:pPr>
        <w:spacing w:after="0"/>
      </w:pPr>
    </w:p>
    <w:p>
      <w:pPr>
        <w:pStyle w:val="Heading1"/>
      </w:pPr>
      <w:r>
        <w:t>9. Deterministic Rule Engine</w:t>
      </w:r>
    </w:p>
    <w:p>
      <w:pPr>
        <w:spacing w:after="100" w:line="252" w:lineRule="auto"/>
      </w:pPr>
      <w:r>
        <w:t>The RuleEngine evaluates all approved factors and returns a collection of RuleMatch objects. It must not stop after the first match because complete reasons are required for explanation, referral, audit, and later review.</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D9EAF7"/>
          </w:tcPr>
          <w:p>
            <w:pPr>
              <w:spacing w:after="0"/>
            </w:pPr>
            <w:r/>
            <w:r>
              <w:rPr>
                <w:rFonts w:ascii="Arial" w:hAnsi="Arial"/>
                <w:b/>
                <w:sz w:val="16"/>
              </w:rPr>
              <w:t>Rule ID</w:t>
            </w:r>
          </w:p>
        </w:tc>
        <w:tc>
          <w:tcPr>
            <w:tcW w:type="dxa" w:w="2570"/>
            <w:vAlign w:val="center"/>
            <w:shd w:fill="D9EAF7"/>
          </w:tcPr>
          <w:p>
            <w:pPr>
              <w:spacing w:after="0"/>
            </w:pPr>
            <w:r/>
            <w:r>
              <w:rPr>
                <w:rFonts w:ascii="Arial" w:hAnsi="Arial"/>
                <w:b/>
                <w:sz w:val="16"/>
              </w:rPr>
              <w:t>Condition</w:t>
            </w:r>
          </w:p>
        </w:tc>
        <w:tc>
          <w:tcPr>
            <w:tcW w:type="dxa" w:w="2570"/>
            <w:vAlign w:val="center"/>
            <w:shd w:fill="D9EAF7"/>
          </w:tcPr>
          <w:p>
            <w:pPr>
              <w:spacing w:after="0"/>
            </w:pPr>
            <w:r/>
            <w:r>
              <w:rPr>
                <w:rFonts w:ascii="Arial" w:hAnsi="Arial"/>
                <w:b/>
                <w:sz w:val="16"/>
              </w:rPr>
              <w:t>Result</w:t>
            </w:r>
          </w:p>
        </w:tc>
        <w:tc>
          <w:tcPr>
            <w:tcW w:type="dxa" w:w="2570"/>
            <w:vAlign w:val="center"/>
            <w:shd w:fill="D9EAF7"/>
          </w:tcPr>
          <w:p>
            <w:pPr>
              <w:spacing w:after="0"/>
            </w:pPr>
            <w:r/>
            <w:r>
              <w:rPr>
                <w:rFonts w:ascii="Arial" w:hAnsi="Arial"/>
                <w:b/>
                <w:sz w:val="16"/>
              </w:rPr>
              <w:t>Default escalation</w:t>
            </w:r>
          </w:p>
        </w:tc>
      </w:tr>
      <w:tr>
        <w:tc>
          <w:tcPr>
            <w:tcW w:type="dxa" w:w="2570"/>
            <w:vAlign w:val="center"/>
          </w:tcPr>
          <w:p>
            <w:pPr>
              <w:spacing w:after="0"/>
            </w:pPr>
            <w:r/>
            <w:r>
              <w:rPr>
                <w:rFonts w:ascii="Arial" w:hAnsi="Arial"/>
                <w:b w:val="0"/>
                <w:sz w:val="16"/>
              </w:rPr>
              <w:t>R-AGE-01</w:t>
            </w:r>
          </w:p>
        </w:tc>
        <w:tc>
          <w:tcPr>
            <w:tcW w:type="dxa" w:w="2570"/>
            <w:vAlign w:val="center"/>
          </w:tcPr>
          <w:p>
            <w:pPr>
              <w:spacing w:after="0"/>
            </w:pPr>
            <w:r/>
            <w:r>
              <w:rPr>
                <w:rFonts w:ascii="Arial" w:hAnsi="Arial"/>
                <w:b w:val="0"/>
                <w:sz w:val="16"/>
              </w:rPr>
              <w:t>Age below 19</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E2</w:t>
            </w:r>
          </w:p>
        </w:tc>
      </w:tr>
      <w:tr>
        <w:tc>
          <w:tcPr>
            <w:tcW w:type="dxa" w:w="2570"/>
            <w:vAlign w:val="center"/>
          </w:tcPr>
          <w:p>
            <w:pPr>
              <w:spacing w:after="0"/>
            </w:pPr>
            <w:r/>
            <w:r>
              <w:rPr>
                <w:rFonts w:ascii="Arial" w:hAnsi="Arial"/>
                <w:b w:val="0"/>
                <w:sz w:val="16"/>
              </w:rPr>
              <w:t>R-AGE-02</w:t>
            </w:r>
          </w:p>
        </w:tc>
        <w:tc>
          <w:tcPr>
            <w:tcW w:type="dxa" w:w="2570"/>
            <w:vAlign w:val="center"/>
          </w:tcPr>
          <w:p>
            <w:pPr>
              <w:spacing w:after="0"/>
            </w:pPr>
            <w:r/>
            <w:r>
              <w:rPr>
                <w:rFonts w:ascii="Arial" w:hAnsi="Arial"/>
                <w:b w:val="0"/>
                <w:sz w:val="16"/>
              </w:rPr>
              <w:t>Age 35 or older with first pregnancy</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E2</w:t>
            </w:r>
          </w:p>
        </w:tc>
      </w:tr>
      <w:tr>
        <w:tc>
          <w:tcPr>
            <w:tcW w:type="dxa" w:w="2570"/>
            <w:vAlign w:val="center"/>
          </w:tcPr>
          <w:p>
            <w:pPr>
              <w:spacing w:after="0"/>
            </w:pPr>
            <w:r/>
            <w:r>
              <w:rPr>
                <w:rFonts w:ascii="Arial" w:hAnsi="Arial"/>
                <w:b w:val="0"/>
                <w:sz w:val="16"/>
              </w:rPr>
              <w:t>R-BP-01</w:t>
            </w:r>
          </w:p>
        </w:tc>
        <w:tc>
          <w:tcPr>
            <w:tcW w:type="dxa" w:w="2570"/>
            <w:vAlign w:val="center"/>
          </w:tcPr>
          <w:p>
            <w:pPr>
              <w:spacing w:after="0"/>
            </w:pPr>
            <w:r/>
            <w:r>
              <w:rPr>
                <w:rFonts w:ascii="Arial" w:hAnsi="Arial"/>
                <w:b w:val="0"/>
                <w:sz w:val="16"/>
              </w:rPr>
              <w:t>BP at or above 140/90</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E2 after verification</w:t>
            </w:r>
          </w:p>
        </w:tc>
      </w:tr>
      <w:tr>
        <w:tc>
          <w:tcPr>
            <w:tcW w:type="dxa" w:w="2570"/>
            <w:vAlign w:val="center"/>
          </w:tcPr>
          <w:p>
            <w:pPr>
              <w:spacing w:after="0"/>
            </w:pPr>
            <w:r/>
            <w:r>
              <w:rPr>
                <w:rFonts w:ascii="Arial" w:hAnsi="Arial"/>
                <w:b w:val="0"/>
                <w:sz w:val="16"/>
              </w:rPr>
              <w:t>R-BP-02</w:t>
            </w:r>
          </w:p>
        </w:tc>
        <w:tc>
          <w:tcPr>
            <w:tcW w:type="dxa" w:w="2570"/>
            <w:vAlign w:val="center"/>
          </w:tcPr>
          <w:p>
            <w:pPr>
              <w:spacing w:after="0"/>
            </w:pPr>
            <w:r/>
            <w:r>
              <w:rPr>
                <w:rFonts w:ascii="Arial" w:hAnsi="Arial"/>
                <w:b w:val="0"/>
                <w:sz w:val="16"/>
              </w:rPr>
              <w:t>BP at or above 160/110</w:t>
            </w:r>
          </w:p>
        </w:tc>
        <w:tc>
          <w:tcPr>
            <w:tcW w:type="dxa" w:w="2570"/>
            <w:vAlign w:val="center"/>
          </w:tcPr>
          <w:p>
            <w:pPr>
              <w:spacing w:after="0"/>
            </w:pPr>
            <w:r/>
            <w:r>
              <w:rPr>
                <w:rFonts w:ascii="Arial" w:hAnsi="Arial"/>
                <w:b w:val="0"/>
                <w:sz w:val="16"/>
              </w:rPr>
              <w:t>HIGH with urgent reason</w:t>
            </w:r>
          </w:p>
        </w:tc>
        <w:tc>
          <w:tcPr>
            <w:tcW w:type="dxa" w:w="2570"/>
            <w:vAlign w:val="center"/>
          </w:tcPr>
          <w:p>
            <w:pPr>
              <w:spacing w:after="0"/>
            </w:pPr>
            <w:r/>
            <w:r>
              <w:rPr>
                <w:rFonts w:ascii="Arial" w:hAnsi="Arial"/>
                <w:b w:val="0"/>
                <w:sz w:val="16"/>
              </w:rPr>
              <w:t>At least E3</w:t>
            </w:r>
          </w:p>
        </w:tc>
      </w:tr>
      <w:tr>
        <w:tc>
          <w:tcPr>
            <w:tcW w:type="dxa" w:w="2570"/>
            <w:vAlign w:val="center"/>
          </w:tcPr>
          <w:p>
            <w:pPr>
              <w:spacing w:after="0"/>
            </w:pPr>
            <w:r/>
            <w:r>
              <w:rPr>
                <w:rFonts w:ascii="Arial" w:hAnsi="Arial"/>
                <w:b w:val="0"/>
                <w:sz w:val="16"/>
              </w:rPr>
              <w:t>R-MED-01</w:t>
            </w:r>
          </w:p>
        </w:tc>
        <w:tc>
          <w:tcPr>
            <w:tcW w:type="dxa" w:w="2570"/>
            <w:vAlign w:val="center"/>
          </w:tcPr>
          <w:p>
            <w:pPr>
              <w:spacing w:after="0"/>
            </w:pPr>
            <w:r/>
            <w:r>
              <w:rPr>
                <w:rFonts w:ascii="Arial" w:hAnsi="Arial"/>
                <w:b w:val="0"/>
                <w:sz w:val="16"/>
              </w:rPr>
              <w:t>Diabetes present</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E2</w:t>
            </w:r>
          </w:p>
        </w:tc>
      </w:tr>
      <w:tr>
        <w:tc>
          <w:tcPr>
            <w:tcW w:type="dxa" w:w="2570"/>
            <w:vAlign w:val="center"/>
          </w:tcPr>
          <w:p>
            <w:pPr>
              <w:spacing w:after="0"/>
            </w:pPr>
            <w:r/>
            <w:r>
              <w:rPr>
                <w:rFonts w:ascii="Arial" w:hAnsi="Arial"/>
                <w:b w:val="0"/>
                <w:sz w:val="16"/>
              </w:rPr>
              <w:t>R-MED-02</w:t>
            </w:r>
          </w:p>
        </w:tc>
        <w:tc>
          <w:tcPr>
            <w:tcW w:type="dxa" w:w="2570"/>
            <w:vAlign w:val="center"/>
          </w:tcPr>
          <w:p>
            <w:pPr>
              <w:spacing w:after="0"/>
            </w:pPr>
            <w:r/>
            <w:r>
              <w:rPr>
                <w:rFonts w:ascii="Arial" w:hAnsi="Arial"/>
                <w:b w:val="0"/>
                <w:sz w:val="16"/>
              </w:rPr>
              <w:t>Anemia present</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E2; clinician may increase urgency</w:t>
            </w:r>
          </w:p>
        </w:tc>
      </w:tr>
      <w:tr>
        <w:tc>
          <w:tcPr>
            <w:tcW w:type="dxa" w:w="2570"/>
            <w:vAlign w:val="center"/>
          </w:tcPr>
          <w:p>
            <w:pPr>
              <w:spacing w:after="0"/>
            </w:pPr>
            <w:r/>
            <w:r>
              <w:rPr>
                <w:rFonts w:ascii="Arial" w:hAnsi="Arial"/>
                <w:b w:val="0"/>
                <w:sz w:val="16"/>
              </w:rPr>
              <w:t>R-OBS-01</w:t>
            </w:r>
          </w:p>
        </w:tc>
        <w:tc>
          <w:tcPr>
            <w:tcW w:type="dxa" w:w="2570"/>
            <w:vAlign w:val="center"/>
          </w:tcPr>
          <w:p>
            <w:pPr>
              <w:spacing w:after="0"/>
            </w:pPr>
            <w:r/>
            <w:r>
              <w:rPr>
                <w:rFonts w:ascii="Arial" w:hAnsi="Arial"/>
                <w:b w:val="0"/>
                <w:sz w:val="16"/>
              </w:rPr>
              <w:t>Previous caesarean section</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E2</w:t>
            </w:r>
          </w:p>
        </w:tc>
      </w:tr>
      <w:tr>
        <w:tc>
          <w:tcPr>
            <w:tcW w:type="dxa" w:w="2570"/>
            <w:vAlign w:val="center"/>
          </w:tcPr>
          <w:p>
            <w:pPr>
              <w:spacing w:after="0"/>
            </w:pPr>
            <w:r/>
            <w:r>
              <w:rPr>
                <w:rFonts w:ascii="Arial" w:hAnsi="Arial"/>
                <w:b w:val="0"/>
                <w:sz w:val="16"/>
              </w:rPr>
              <w:t>R-OBS-02</w:t>
            </w:r>
          </w:p>
        </w:tc>
        <w:tc>
          <w:tcPr>
            <w:tcW w:type="dxa" w:w="2570"/>
            <w:vAlign w:val="center"/>
          </w:tcPr>
          <w:p>
            <w:pPr>
              <w:spacing w:after="0"/>
            </w:pPr>
            <w:r/>
            <w:r>
              <w:rPr>
                <w:rFonts w:ascii="Arial" w:hAnsi="Arial"/>
                <w:b w:val="0"/>
                <w:sz w:val="16"/>
              </w:rPr>
              <w:t>Three or more miscarriages</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E2</w:t>
            </w:r>
          </w:p>
        </w:tc>
      </w:tr>
      <w:tr>
        <w:tc>
          <w:tcPr>
            <w:tcW w:type="dxa" w:w="2570"/>
            <w:vAlign w:val="center"/>
          </w:tcPr>
          <w:p>
            <w:pPr>
              <w:spacing w:after="0"/>
            </w:pPr>
            <w:r/>
            <w:r>
              <w:rPr>
                <w:rFonts w:ascii="Arial" w:hAnsi="Arial"/>
                <w:b w:val="0"/>
                <w:sz w:val="16"/>
              </w:rPr>
              <w:t>R-US-01</w:t>
            </w:r>
          </w:p>
        </w:tc>
        <w:tc>
          <w:tcPr>
            <w:tcW w:type="dxa" w:w="2570"/>
            <w:vAlign w:val="center"/>
          </w:tcPr>
          <w:p>
            <w:pPr>
              <w:spacing w:after="0"/>
            </w:pPr>
            <w:r/>
            <w:r>
              <w:rPr>
                <w:rFonts w:ascii="Arial" w:hAnsi="Arial"/>
                <w:b w:val="0"/>
                <w:sz w:val="16"/>
              </w:rPr>
              <w:t>Breech, transverse, or oblique presentation</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E2</w:t>
            </w:r>
          </w:p>
        </w:tc>
      </w:tr>
      <w:tr>
        <w:tc>
          <w:tcPr>
            <w:tcW w:type="dxa" w:w="2570"/>
            <w:vAlign w:val="center"/>
          </w:tcPr>
          <w:p>
            <w:pPr>
              <w:spacing w:after="0"/>
            </w:pPr>
            <w:r/>
            <w:r>
              <w:rPr>
                <w:rFonts w:ascii="Arial" w:hAnsi="Arial"/>
                <w:b w:val="0"/>
                <w:sz w:val="16"/>
              </w:rPr>
              <w:t>R-US-02</w:t>
            </w:r>
          </w:p>
        </w:tc>
        <w:tc>
          <w:tcPr>
            <w:tcW w:type="dxa" w:w="2570"/>
            <w:vAlign w:val="center"/>
          </w:tcPr>
          <w:p>
            <w:pPr>
              <w:spacing w:after="0"/>
            </w:pPr>
            <w:r/>
            <w:r>
              <w:rPr>
                <w:rFonts w:ascii="Arial" w:hAnsi="Arial"/>
                <w:b w:val="0"/>
                <w:sz w:val="16"/>
              </w:rPr>
              <w:t>Low or high amniotic fluid</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E2</w:t>
            </w:r>
          </w:p>
        </w:tc>
      </w:tr>
      <w:tr>
        <w:tc>
          <w:tcPr>
            <w:tcW w:type="dxa" w:w="2570"/>
            <w:vAlign w:val="center"/>
          </w:tcPr>
          <w:p>
            <w:pPr>
              <w:spacing w:after="0"/>
            </w:pPr>
            <w:r/>
            <w:r>
              <w:rPr>
                <w:rFonts w:ascii="Arial" w:hAnsi="Arial"/>
                <w:b w:val="0"/>
                <w:sz w:val="16"/>
              </w:rPr>
              <w:t>R-US-03</w:t>
            </w:r>
          </w:p>
        </w:tc>
        <w:tc>
          <w:tcPr>
            <w:tcW w:type="dxa" w:w="2570"/>
            <w:vAlign w:val="center"/>
          </w:tcPr>
          <w:p>
            <w:pPr>
              <w:spacing w:after="0"/>
            </w:pPr>
            <w:r/>
            <w:r>
              <w:rPr>
                <w:rFonts w:ascii="Arial" w:hAnsi="Arial"/>
                <w:b w:val="0"/>
                <w:sz w:val="16"/>
              </w:rPr>
              <w:t>Weak, abnormal, or absent fetal heartbeat</w:t>
            </w:r>
          </w:p>
        </w:tc>
        <w:tc>
          <w:tcPr>
            <w:tcW w:type="dxa" w:w="2570"/>
            <w:vAlign w:val="center"/>
          </w:tcPr>
          <w:p>
            <w:pPr>
              <w:spacing w:after="0"/>
            </w:pPr>
            <w:r/>
            <w:r>
              <w:rPr>
                <w:rFonts w:ascii="Arial" w:hAnsi="Arial"/>
                <w:b w:val="0"/>
                <w:sz w:val="16"/>
              </w:rPr>
              <w:t>HIGH</w:t>
            </w:r>
          </w:p>
        </w:tc>
        <w:tc>
          <w:tcPr>
            <w:tcW w:type="dxa" w:w="2570"/>
            <w:vAlign w:val="center"/>
          </w:tcPr>
          <w:p>
            <w:pPr>
              <w:spacing w:after="0"/>
            </w:pPr>
            <w:r/>
            <w:r>
              <w:rPr>
                <w:rFonts w:ascii="Arial" w:hAnsi="Arial"/>
                <w:b w:val="0"/>
                <w:sz w:val="16"/>
              </w:rPr>
              <w:t>At least E3 and immediate verification</w:t>
            </w:r>
          </w:p>
        </w:tc>
      </w:tr>
    </w:tbl>
    <w:p>
      <w:pPr>
        <w:spacing w:after="0"/>
      </w:pP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RuleMatch field</w:t>
            </w:r>
          </w:p>
        </w:tc>
        <w:tc>
          <w:tcPr>
            <w:tcW w:type="dxa" w:w="5141"/>
            <w:vAlign w:val="center"/>
            <w:shd w:fill="D9EAF7"/>
          </w:tcPr>
          <w:p>
            <w:pPr>
              <w:spacing w:after="0"/>
            </w:pPr>
            <w:r/>
            <w:r>
              <w:rPr>
                <w:rFonts w:ascii="Arial" w:hAnsi="Arial"/>
                <w:b/>
                <w:sz w:val="16"/>
              </w:rPr>
              <w:t>Required content</w:t>
            </w:r>
          </w:p>
        </w:tc>
      </w:tr>
      <w:tr>
        <w:tc>
          <w:tcPr>
            <w:tcW w:type="dxa" w:w="5141"/>
            <w:vAlign w:val="center"/>
          </w:tcPr>
          <w:p>
            <w:pPr>
              <w:spacing w:after="0"/>
            </w:pPr>
            <w:r/>
            <w:r>
              <w:rPr>
                <w:rFonts w:ascii="Arial" w:hAnsi="Arial"/>
                <w:b w:val="0"/>
                <w:sz w:val="16"/>
              </w:rPr>
              <w:t>rule_id</w:t>
            </w:r>
          </w:p>
        </w:tc>
        <w:tc>
          <w:tcPr>
            <w:tcW w:type="dxa" w:w="5141"/>
            <w:vAlign w:val="center"/>
          </w:tcPr>
          <w:p>
            <w:pPr>
              <w:spacing w:after="0"/>
            </w:pPr>
            <w:r/>
            <w:r>
              <w:rPr>
                <w:rFonts w:ascii="Arial" w:hAnsi="Arial"/>
                <w:b w:val="0"/>
                <w:sz w:val="16"/>
              </w:rPr>
              <w:t>Stable identifier.</w:t>
            </w:r>
          </w:p>
        </w:tc>
      </w:tr>
      <w:tr>
        <w:tc>
          <w:tcPr>
            <w:tcW w:type="dxa" w:w="5141"/>
            <w:vAlign w:val="center"/>
          </w:tcPr>
          <w:p>
            <w:pPr>
              <w:spacing w:after="0"/>
            </w:pPr>
            <w:r/>
            <w:r>
              <w:rPr>
                <w:rFonts w:ascii="Arial" w:hAnsi="Arial"/>
                <w:b w:val="0"/>
                <w:sz w:val="16"/>
              </w:rPr>
              <w:t>rule_version</w:t>
            </w:r>
          </w:p>
        </w:tc>
        <w:tc>
          <w:tcPr>
            <w:tcW w:type="dxa" w:w="5141"/>
            <w:vAlign w:val="center"/>
          </w:tcPr>
          <w:p>
            <w:pPr>
              <w:spacing w:after="0"/>
            </w:pPr>
            <w:r/>
            <w:r>
              <w:rPr>
                <w:rFonts w:ascii="Arial" w:hAnsi="Arial"/>
                <w:b w:val="0"/>
                <w:sz w:val="16"/>
              </w:rPr>
              <w:t>Effective rule-set version.</w:t>
            </w:r>
          </w:p>
        </w:tc>
      </w:tr>
      <w:tr>
        <w:tc>
          <w:tcPr>
            <w:tcW w:type="dxa" w:w="5141"/>
            <w:vAlign w:val="center"/>
          </w:tcPr>
          <w:p>
            <w:pPr>
              <w:spacing w:after="0"/>
            </w:pPr>
            <w:r/>
            <w:r>
              <w:rPr>
                <w:rFonts w:ascii="Arial" w:hAnsi="Arial"/>
                <w:b w:val="0"/>
                <w:sz w:val="16"/>
              </w:rPr>
              <w:t>matched</w:t>
            </w:r>
          </w:p>
        </w:tc>
        <w:tc>
          <w:tcPr>
            <w:tcW w:type="dxa" w:w="5141"/>
            <w:vAlign w:val="center"/>
          </w:tcPr>
          <w:p>
            <w:pPr>
              <w:spacing w:after="0"/>
            </w:pPr>
            <w:r/>
            <w:r>
              <w:rPr>
                <w:rFonts w:ascii="Arial" w:hAnsi="Arial"/>
                <w:b w:val="0"/>
                <w:sz w:val="16"/>
              </w:rPr>
              <w:t>Boolean or emitted only for matches according to storage policy.</w:t>
            </w:r>
          </w:p>
        </w:tc>
      </w:tr>
      <w:tr>
        <w:tc>
          <w:tcPr>
            <w:tcW w:type="dxa" w:w="5141"/>
            <w:vAlign w:val="center"/>
          </w:tcPr>
          <w:p>
            <w:pPr>
              <w:spacing w:after="0"/>
            </w:pPr>
            <w:r/>
            <w:r>
              <w:rPr>
                <w:rFonts w:ascii="Arial" w:hAnsi="Arial"/>
                <w:b w:val="0"/>
                <w:sz w:val="16"/>
              </w:rPr>
              <w:t>source_record</w:t>
            </w:r>
          </w:p>
        </w:tc>
        <w:tc>
          <w:tcPr>
            <w:tcW w:type="dxa" w:w="5141"/>
            <w:vAlign w:val="center"/>
          </w:tcPr>
          <w:p>
            <w:pPr>
              <w:spacing w:after="0"/>
            </w:pPr>
            <w:r/>
            <w:r>
              <w:rPr>
                <w:rFonts w:ascii="Arial" w:hAnsi="Arial"/>
                <w:b w:val="0"/>
                <w:sz w:val="16"/>
              </w:rPr>
              <w:t>Record and field used.</w:t>
            </w:r>
          </w:p>
        </w:tc>
      </w:tr>
      <w:tr>
        <w:tc>
          <w:tcPr>
            <w:tcW w:type="dxa" w:w="5141"/>
            <w:vAlign w:val="center"/>
          </w:tcPr>
          <w:p>
            <w:pPr>
              <w:spacing w:after="0"/>
            </w:pPr>
            <w:r/>
            <w:r>
              <w:rPr>
                <w:rFonts w:ascii="Arial" w:hAnsi="Arial"/>
                <w:b w:val="0"/>
                <w:sz w:val="16"/>
              </w:rPr>
              <w:t>observed_value</w:t>
            </w:r>
          </w:p>
        </w:tc>
        <w:tc>
          <w:tcPr>
            <w:tcW w:type="dxa" w:w="5141"/>
            <w:vAlign w:val="center"/>
          </w:tcPr>
          <w:p>
            <w:pPr>
              <w:spacing w:after="0"/>
            </w:pPr>
            <w:r/>
            <w:r>
              <w:rPr>
                <w:rFonts w:ascii="Arial" w:hAnsi="Arial"/>
                <w:b w:val="0"/>
                <w:sz w:val="16"/>
              </w:rPr>
              <w:t>Exact value and unit or category.</w:t>
            </w:r>
          </w:p>
        </w:tc>
      </w:tr>
      <w:tr>
        <w:tc>
          <w:tcPr>
            <w:tcW w:type="dxa" w:w="5141"/>
            <w:vAlign w:val="center"/>
          </w:tcPr>
          <w:p>
            <w:pPr>
              <w:spacing w:after="0"/>
            </w:pPr>
            <w:r/>
            <w:r>
              <w:rPr>
                <w:rFonts w:ascii="Arial" w:hAnsi="Arial"/>
                <w:b w:val="0"/>
                <w:sz w:val="16"/>
              </w:rPr>
              <w:t>threshold_or_condition</w:t>
            </w:r>
          </w:p>
        </w:tc>
        <w:tc>
          <w:tcPr>
            <w:tcW w:type="dxa" w:w="5141"/>
            <w:vAlign w:val="center"/>
          </w:tcPr>
          <w:p>
            <w:pPr>
              <w:spacing w:after="0"/>
            </w:pPr>
            <w:r/>
            <w:r>
              <w:rPr>
                <w:rFonts w:ascii="Arial" w:hAnsi="Arial"/>
                <w:b w:val="0"/>
                <w:sz w:val="16"/>
              </w:rPr>
              <w:t>Human-readable and machine-readable basis.</w:t>
            </w:r>
          </w:p>
        </w:tc>
      </w:tr>
      <w:tr>
        <w:tc>
          <w:tcPr>
            <w:tcW w:type="dxa" w:w="5141"/>
            <w:vAlign w:val="center"/>
          </w:tcPr>
          <w:p>
            <w:pPr>
              <w:spacing w:after="0"/>
            </w:pPr>
            <w:r/>
            <w:r>
              <w:rPr>
                <w:rFonts w:ascii="Arial" w:hAnsi="Arial"/>
                <w:b w:val="0"/>
                <w:sz w:val="16"/>
              </w:rPr>
              <w:t>reason_code</w:t>
            </w:r>
          </w:p>
        </w:tc>
        <w:tc>
          <w:tcPr>
            <w:tcW w:type="dxa" w:w="5141"/>
            <w:vAlign w:val="center"/>
          </w:tcPr>
          <w:p>
            <w:pPr>
              <w:spacing w:after="0"/>
            </w:pPr>
            <w:r/>
            <w:r>
              <w:rPr>
                <w:rFonts w:ascii="Arial" w:hAnsi="Arial"/>
                <w:b w:val="0"/>
                <w:sz w:val="16"/>
              </w:rPr>
              <w:t>Controlled explanation/referral code.</w:t>
            </w:r>
          </w:p>
        </w:tc>
      </w:tr>
      <w:tr>
        <w:tc>
          <w:tcPr>
            <w:tcW w:type="dxa" w:w="5141"/>
            <w:vAlign w:val="center"/>
          </w:tcPr>
          <w:p>
            <w:pPr>
              <w:spacing w:after="0"/>
            </w:pPr>
            <w:r/>
            <w:r>
              <w:rPr>
                <w:rFonts w:ascii="Arial" w:hAnsi="Arial"/>
                <w:b w:val="0"/>
                <w:sz w:val="16"/>
              </w:rPr>
              <w:t>default_escalation</w:t>
            </w:r>
          </w:p>
        </w:tc>
        <w:tc>
          <w:tcPr>
            <w:tcW w:type="dxa" w:w="5141"/>
            <w:vAlign w:val="center"/>
          </w:tcPr>
          <w:p>
            <w:pPr>
              <w:spacing w:after="0"/>
            </w:pPr>
            <w:r/>
            <w:r>
              <w:rPr>
                <w:rFonts w:ascii="Arial" w:hAnsi="Arial"/>
                <w:b w:val="0"/>
                <w:sz w:val="16"/>
              </w:rPr>
              <w:t>E2, E3, or governed mapping.</w:t>
            </w:r>
          </w:p>
        </w:tc>
      </w:tr>
      <w:tr>
        <w:tc>
          <w:tcPr>
            <w:tcW w:type="dxa" w:w="5141"/>
            <w:vAlign w:val="center"/>
          </w:tcPr>
          <w:p>
            <w:pPr>
              <w:spacing w:after="0"/>
            </w:pPr>
            <w:r/>
            <w:r>
              <w:rPr>
                <w:rFonts w:ascii="Arial" w:hAnsi="Arial"/>
                <w:b w:val="0"/>
                <w:sz w:val="16"/>
              </w:rPr>
              <w:t>limitations</w:t>
            </w:r>
          </w:p>
        </w:tc>
        <w:tc>
          <w:tcPr>
            <w:tcW w:type="dxa" w:w="5141"/>
            <w:vAlign w:val="center"/>
          </w:tcPr>
          <w:p>
            <w:pPr>
              <w:spacing w:after="0"/>
            </w:pPr>
            <w:r/>
            <w:r>
              <w:rPr>
                <w:rFonts w:ascii="Arial" w:hAnsi="Arial"/>
                <w:b w:val="0"/>
                <w:sz w:val="16"/>
              </w:rPr>
              <w:t>Verification, severity, or source limitation.</w:t>
            </w:r>
          </w:p>
        </w:tc>
      </w:tr>
      <w:tr>
        <w:tc>
          <w:tcPr>
            <w:tcW w:type="dxa" w:w="5141"/>
            <w:vAlign w:val="center"/>
          </w:tcPr>
          <w:p>
            <w:pPr>
              <w:spacing w:after="0"/>
            </w:pPr>
            <w:r/>
            <w:r>
              <w:rPr>
                <w:rFonts w:ascii="Arial" w:hAnsi="Arial"/>
                <w:b w:val="0"/>
                <w:sz w:val="16"/>
              </w:rPr>
              <w:t>evidence_reference</w:t>
            </w:r>
          </w:p>
        </w:tc>
        <w:tc>
          <w:tcPr>
            <w:tcW w:type="dxa" w:w="5141"/>
            <w:vAlign w:val="center"/>
          </w:tcPr>
          <w:p>
            <w:pPr>
              <w:spacing w:after="0"/>
            </w:pPr>
            <w:r/>
            <w:r>
              <w:rPr>
                <w:rFonts w:ascii="Arial" w:hAnsi="Arial"/>
                <w:b w:val="0"/>
                <w:sz w:val="16"/>
              </w:rPr>
              <w:t>Link to approved internal clinical specification.</w:t>
            </w:r>
          </w:p>
        </w:tc>
      </w:tr>
    </w:tbl>
    <w:p>
      <w:pPr>
        <w:spacing w:after="0"/>
      </w:pPr>
    </w:p>
    <w:p>
      <w:pPr>
        <w:pStyle w:val="Heading1"/>
      </w:pPr>
      <w:r>
        <w:t>10. ML Eligibility and Feature Builder</w:t>
      </w:r>
    </w:p>
    <w:p>
      <w:pPr>
        <w:pStyle w:val="ListBullet"/>
        <w:spacing w:after="40"/>
      </w:pPr>
      <w:r>
        <w:t>The FeatureBuilder runs only after snapshot validation and uses a versioned ordered schema.</w:t>
      </w:r>
    </w:p>
    <w:p>
      <w:pPr>
        <w:pStyle w:val="ListBullet"/>
        <w:spacing w:after="40"/>
      </w:pPr>
      <w:r>
        <w:t>Feature names, types, categories, encodings, missingness policy, and order are fixed for each model version.</w:t>
      </w:r>
    </w:p>
    <w:p>
      <w:pPr>
        <w:pStyle w:val="ListBullet"/>
        <w:spacing w:after="40"/>
      </w:pPr>
      <w:r>
        <w:t>The builder never reads directly from the HTTP request or presentation layer.</w:t>
      </w:r>
    </w:p>
    <w:p>
      <w:pPr>
        <w:pStyle w:val="ListBullet"/>
        <w:spacing w:after="40"/>
      </w:pPr>
      <w:r>
        <w:t>Unsupported values cause an explicit feature-contract failure; they are not guessed.</w:t>
      </w:r>
    </w:p>
    <w:p>
      <w:pPr>
        <w:pStyle w:val="ListBullet"/>
        <w:spacing w:after="40"/>
      </w:pPr>
      <w:r>
        <w:t>The exact feature vector or a reconstructable protected representation is attached to the assessment.</w:t>
      </w:r>
    </w:p>
    <w:p>
      <w:pPr>
        <w:pStyle w:val="ListBullet"/>
        <w:spacing w:after="40"/>
      </w:pPr>
      <w:r>
        <w:t>No target, future outcome, referral status, or post-assessment information may enter inference.</w:t>
      </w:r>
    </w:p>
    <w:p>
      <w:pPr>
        <w:pStyle w:val="ListBullet"/>
        <w:spacing w:after="40"/>
      </w:pPr>
      <w:r>
        <w:t>Feature transformations must be the same transformations validated during model development.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Feature contract control</w:t>
            </w:r>
          </w:p>
        </w:tc>
        <w:tc>
          <w:tcPr>
            <w:tcW w:type="dxa" w:w="5141"/>
            <w:vAlign w:val="center"/>
            <w:shd w:fill="D9EAF7"/>
          </w:tcPr>
          <w:p>
            <w:pPr>
              <w:spacing w:after="0"/>
            </w:pPr>
            <w:r/>
            <w:r>
              <w:rPr>
                <w:rFonts w:ascii="Arial" w:hAnsi="Arial"/>
                <w:b/>
                <w:sz w:val="16"/>
              </w:rPr>
              <w:t>Implementation requirement</w:t>
            </w:r>
          </w:p>
        </w:tc>
      </w:tr>
      <w:tr>
        <w:tc>
          <w:tcPr>
            <w:tcW w:type="dxa" w:w="5141"/>
            <w:vAlign w:val="center"/>
          </w:tcPr>
          <w:p>
            <w:pPr>
              <w:spacing w:after="0"/>
            </w:pPr>
            <w:r/>
            <w:r>
              <w:rPr>
                <w:rFonts w:ascii="Arial" w:hAnsi="Arial"/>
                <w:b w:val="0"/>
                <w:sz w:val="16"/>
              </w:rPr>
              <w:t>schema_version</w:t>
            </w:r>
          </w:p>
        </w:tc>
        <w:tc>
          <w:tcPr>
            <w:tcW w:type="dxa" w:w="5141"/>
            <w:vAlign w:val="center"/>
          </w:tcPr>
          <w:p>
            <w:pPr>
              <w:spacing w:after="0"/>
            </w:pPr>
            <w:r/>
            <w:r>
              <w:rPr>
                <w:rFonts w:ascii="Arial" w:hAnsi="Arial"/>
                <w:b w:val="0"/>
                <w:sz w:val="16"/>
              </w:rPr>
              <w:t>Stored with every inference.</w:t>
            </w:r>
          </w:p>
        </w:tc>
      </w:tr>
      <w:tr>
        <w:tc>
          <w:tcPr>
            <w:tcW w:type="dxa" w:w="5141"/>
            <w:vAlign w:val="center"/>
          </w:tcPr>
          <w:p>
            <w:pPr>
              <w:spacing w:after="0"/>
            </w:pPr>
            <w:r/>
            <w:r>
              <w:rPr>
                <w:rFonts w:ascii="Arial" w:hAnsi="Arial"/>
                <w:b w:val="0"/>
                <w:sz w:val="16"/>
              </w:rPr>
              <w:t>ordered_names</w:t>
            </w:r>
          </w:p>
        </w:tc>
        <w:tc>
          <w:tcPr>
            <w:tcW w:type="dxa" w:w="5141"/>
            <w:vAlign w:val="center"/>
          </w:tcPr>
          <w:p>
            <w:pPr>
              <w:spacing w:after="0"/>
            </w:pPr>
            <w:r/>
            <w:r>
              <w:rPr>
                <w:rFonts w:ascii="Arial" w:hAnsi="Arial"/>
                <w:b w:val="0"/>
                <w:sz w:val="16"/>
              </w:rPr>
              <w:t>Compared with the approved model metadata.</w:t>
            </w:r>
          </w:p>
        </w:tc>
      </w:tr>
      <w:tr>
        <w:tc>
          <w:tcPr>
            <w:tcW w:type="dxa" w:w="5141"/>
            <w:vAlign w:val="center"/>
          </w:tcPr>
          <w:p>
            <w:pPr>
              <w:spacing w:after="0"/>
            </w:pPr>
            <w:r/>
            <w:r>
              <w:rPr>
                <w:rFonts w:ascii="Arial" w:hAnsi="Arial"/>
                <w:b w:val="0"/>
                <w:sz w:val="16"/>
              </w:rPr>
              <w:t>data types</w:t>
            </w:r>
          </w:p>
        </w:tc>
        <w:tc>
          <w:tcPr>
            <w:tcW w:type="dxa" w:w="5141"/>
            <w:vAlign w:val="center"/>
          </w:tcPr>
          <w:p>
            <w:pPr>
              <w:spacing w:after="0"/>
            </w:pPr>
            <w:r/>
            <w:r>
              <w:rPr>
                <w:rFonts w:ascii="Arial" w:hAnsi="Arial"/>
                <w:b w:val="0"/>
                <w:sz w:val="16"/>
              </w:rPr>
              <w:t>Strict numeric, boolean, or categorical validation.</w:t>
            </w:r>
          </w:p>
        </w:tc>
      </w:tr>
      <w:tr>
        <w:tc>
          <w:tcPr>
            <w:tcW w:type="dxa" w:w="5141"/>
            <w:vAlign w:val="center"/>
          </w:tcPr>
          <w:p>
            <w:pPr>
              <w:spacing w:after="0"/>
            </w:pPr>
            <w:r/>
            <w:r>
              <w:rPr>
                <w:rFonts w:ascii="Arial" w:hAnsi="Arial"/>
                <w:b w:val="0"/>
                <w:sz w:val="16"/>
              </w:rPr>
              <w:t>category map</w:t>
            </w:r>
          </w:p>
        </w:tc>
        <w:tc>
          <w:tcPr>
            <w:tcW w:type="dxa" w:w="5141"/>
            <w:vAlign w:val="center"/>
          </w:tcPr>
          <w:p>
            <w:pPr>
              <w:spacing w:after="0"/>
            </w:pPr>
            <w:r/>
            <w:r>
              <w:rPr>
                <w:rFonts w:ascii="Arial" w:hAnsi="Arial"/>
                <w:b w:val="0"/>
                <w:sz w:val="16"/>
              </w:rPr>
              <w:t>Versioned and tested.</w:t>
            </w:r>
          </w:p>
        </w:tc>
      </w:tr>
      <w:tr>
        <w:tc>
          <w:tcPr>
            <w:tcW w:type="dxa" w:w="5141"/>
            <w:vAlign w:val="center"/>
          </w:tcPr>
          <w:p>
            <w:pPr>
              <w:spacing w:after="0"/>
            </w:pPr>
            <w:r/>
            <w:r>
              <w:rPr>
                <w:rFonts w:ascii="Arial" w:hAnsi="Arial"/>
                <w:b w:val="0"/>
                <w:sz w:val="16"/>
              </w:rPr>
              <w:t>missingness</w:t>
            </w:r>
          </w:p>
        </w:tc>
        <w:tc>
          <w:tcPr>
            <w:tcW w:type="dxa" w:w="5141"/>
            <w:vAlign w:val="center"/>
          </w:tcPr>
          <w:p>
            <w:pPr>
              <w:spacing w:after="0"/>
            </w:pPr>
            <w:r/>
            <w:r>
              <w:rPr>
                <w:rFonts w:ascii="Arial" w:hAnsi="Arial"/>
                <w:b w:val="0"/>
                <w:sz w:val="16"/>
              </w:rPr>
              <w:t>Explicitly allowed or blocking; never hidden.</w:t>
            </w:r>
          </w:p>
        </w:tc>
      </w:tr>
      <w:tr>
        <w:tc>
          <w:tcPr>
            <w:tcW w:type="dxa" w:w="5141"/>
            <w:vAlign w:val="center"/>
          </w:tcPr>
          <w:p>
            <w:pPr>
              <w:spacing w:after="0"/>
            </w:pPr>
            <w:r/>
            <w:r>
              <w:rPr>
                <w:rFonts w:ascii="Arial" w:hAnsi="Arial"/>
                <w:b w:val="0"/>
                <w:sz w:val="16"/>
              </w:rPr>
              <w:t>artifact compatibility</w:t>
            </w:r>
          </w:p>
        </w:tc>
        <w:tc>
          <w:tcPr>
            <w:tcW w:type="dxa" w:w="5141"/>
            <w:vAlign w:val="center"/>
          </w:tcPr>
          <w:p>
            <w:pPr>
              <w:spacing w:after="0"/>
            </w:pPr>
            <w:r/>
            <w:r>
              <w:rPr>
                <w:rFonts w:ascii="Arial" w:hAnsi="Arial"/>
                <w:b w:val="0"/>
                <w:sz w:val="16"/>
              </w:rPr>
              <w:t>Model hash and preprocessing version must match.</w:t>
            </w:r>
          </w:p>
        </w:tc>
      </w:tr>
      <w:tr>
        <w:tc>
          <w:tcPr>
            <w:tcW w:type="dxa" w:w="5141"/>
            <w:vAlign w:val="center"/>
          </w:tcPr>
          <w:p>
            <w:pPr>
              <w:spacing w:after="0"/>
            </w:pPr>
            <w:r/>
            <w:r>
              <w:rPr>
                <w:rFonts w:ascii="Arial" w:hAnsi="Arial"/>
                <w:b w:val="0"/>
                <w:sz w:val="16"/>
              </w:rPr>
              <w:t>provenance</w:t>
            </w:r>
          </w:p>
        </w:tc>
        <w:tc>
          <w:tcPr>
            <w:tcW w:type="dxa" w:w="5141"/>
            <w:vAlign w:val="center"/>
          </w:tcPr>
          <w:p>
            <w:pPr>
              <w:spacing w:after="0"/>
            </w:pPr>
            <w:r/>
            <w:r>
              <w:rPr>
                <w:rFonts w:ascii="Arial" w:hAnsi="Arial"/>
                <w:b w:val="0"/>
                <w:sz w:val="16"/>
              </w:rPr>
              <w:t>Every feature maps back to source record and field.</w:t>
            </w:r>
          </w:p>
        </w:tc>
      </w:tr>
    </w:tbl>
    <w:p>
      <w:pPr>
        <w:spacing w:after="0"/>
      </w:pPr>
    </w:p>
    <w:p>
      <w:pPr>
        <w:pStyle w:val="Heading1"/>
      </w:pPr>
      <w:r>
        <w:t>11. Python Random Forest Adapter</w:t>
      </w:r>
    </w:p>
    <w:p>
      <w:pPr>
        <w:spacing w:after="100" w:line="252" w:lineRule="auto"/>
      </w:pPr>
      <w:r>
        <w:t>Laravel remains the trusted application boundary. The adapter invokes a local Python process using controlled executable and script paths, passes a serialized feature payload through a safe channel, enforces a short timeout, and accepts only a strict response schema. Laravel process controls support bounded execution and timeout handling; the engine must catch timeout and process exceptions and convert them to explicit ML-unavailable results rather than application crashes.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Adapter concern</w:t>
            </w:r>
          </w:p>
        </w:tc>
        <w:tc>
          <w:tcPr>
            <w:tcW w:type="dxa" w:w="5141"/>
            <w:vAlign w:val="center"/>
            <w:shd w:fill="D9EAF7"/>
          </w:tcPr>
          <w:p>
            <w:pPr>
              <w:spacing w:after="0"/>
            </w:pPr>
            <w:r/>
            <w:r>
              <w:rPr>
                <w:rFonts w:ascii="Arial" w:hAnsi="Arial"/>
                <w:b/>
                <w:sz w:val="16"/>
              </w:rPr>
              <w:t>Required behavior</w:t>
            </w:r>
          </w:p>
        </w:tc>
      </w:tr>
      <w:tr>
        <w:tc>
          <w:tcPr>
            <w:tcW w:type="dxa" w:w="5141"/>
            <w:vAlign w:val="center"/>
          </w:tcPr>
          <w:p>
            <w:pPr>
              <w:spacing w:after="0"/>
            </w:pPr>
            <w:r/>
            <w:r>
              <w:rPr>
                <w:rFonts w:ascii="Arial" w:hAnsi="Arial"/>
                <w:b w:val="0"/>
                <w:sz w:val="16"/>
              </w:rPr>
              <w:t>Command construction</w:t>
            </w:r>
          </w:p>
        </w:tc>
        <w:tc>
          <w:tcPr>
            <w:tcW w:type="dxa" w:w="5141"/>
            <w:vAlign w:val="center"/>
          </w:tcPr>
          <w:p>
            <w:pPr>
              <w:spacing w:after="0"/>
            </w:pPr>
            <w:r/>
            <w:r>
              <w:rPr>
                <w:rFonts w:ascii="Arial" w:hAnsi="Arial"/>
                <w:b w:val="0"/>
                <w:sz w:val="16"/>
              </w:rPr>
              <w:t>Use fixed configured paths and argument isolation; never concatenate patient input into a shell command.</w:t>
            </w:r>
          </w:p>
        </w:tc>
      </w:tr>
      <w:tr>
        <w:tc>
          <w:tcPr>
            <w:tcW w:type="dxa" w:w="5141"/>
            <w:vAlign w:val="center"/>
          </w:tcPr>
          <w:p>
            <w:pPr>
              <w:spacing w:after="0"/>
            </w:pPr>
            <w:r/>
            <w:r>
              <w:rPr>
                <w:rFonts w:ascii="Arial" w:hAnsi="Arial"/>
                <w:b w:val="0"/>
                <w:sz w:val="16"/>
              </w:rPr>
              <w:t>Input</w:t>
            </w:r>
          </w:p>
        </w:tc>
        <w:tc>
          <w:tcPr>
            <w:tcW w:type="dxa" w:w="5141"/>
            <w:vAlign w:val="center"/>
          </w:tcPr>
          <w:p>
            <w:pPr>
              <w:spacing w:after="0"/>
            </w:pPr>
            <w:r/>
            <w:r>
              <w:rPr>
                <w:rFonts w:ascii="Arial" w:hAnsi="Arial"/>
                <w:b w:val="0"/>
                <w:sz w:val="16"/>
              </w:rPr>
              <w:t>Structured JSON with schema version and features; avoid identifiable fields not needed for inference.</w:t>
            </w:r>
          </w:p>
        </w:tc>
      </w:tr>
      <w:tr>
        <w:tc>
          <w:tcPr>
            <w:tcW w:type="dxa" w:w="5141"/>
            <w:vAlign w:val="center"/>
          </w:tcPr>
          <w:p>
            <w:pPr>
              <w:spacing w:after="0"/>
            </w:pPr>
            <w:r/>
            <w:r>
              <w:rPr>
                <w:rFonts w:ascii="Arial" w:hAnsi="Arial"/>
                <w:b w:val="0"/>
                <w:sz w:val="16"/>
              </w:rPr>
              <w:t>Timeout</w:t>
            </w:r>
          </w:p>
        </w:tc>
        <w:tc>
          <w:tcPr>
            <w:tcW w:type="dxa" w:w="5141"/>
            <w:vAlign w:val="center"/>
          </w:tcPr>
          <w:p>
            <w:pPr>
              <w:spacing w:after="0"/>
            </w:pPr>
            <w:r/>
            <w:r>
              <w:rPr>
                <w:rFonts w:ascii="Arial" w:hAnsi="Arial"/>
                <w:b w:val="0"/>
                <w:sz w:val="16"/>
              </w:rPr>
              <w:t>Short, configurable, non-infinite timeout appropriate to local inference.</w:t>
            </w:r>
          </w:p>
        </w:tc>
      </w:tr>
      <w:tr>
        <w:tc>
          <w:tcPr>
            <w:tcW w:type="dxa" w:w="5141"/>
            <w:vAlign w:val="center"/>
          </w:tcPr>
          <w:p>
            <w:pPr>
              <w:spacing w:after="0"/>
            </w:pPr>
            <w:r/>
            <w:r>
              <w:rPr>
                <w:rFonts w:ascii="Arial" w:hAnsi="Arial"/>
                <w:b w:val="0"/>
                <w:sz w:val="16"/>
              </w:rPr>
              <w:t>Exit status</w:t>
            </w:r>
          </w:p>
        </w:tc>
        <w:tc>
          <w:tcPr>
            <w:tcW w:type="dxa" w:w="5141"/>
            <w:vAlign w:val="center"/>
          </w:tcPr>
          <w:p>
            <w:pPr>
              <w:spacing w:after="0"/>
            </w:pPr>
            <w:r/>
            <w:r>
              <w:rPr>
                <w:rFonts w:ascii="Arial" w:hAnsi="Arial"/>
                <w:b w:val="0"/>
                <w:sz w:val="16"/>
              </w:rPr>
              <w:t>Non-zero exit is ML failure.</w:t>
            </w:r>
          </w:p>
        </w:tc>
      </w:tr>
      <w:tr>
        <w:tc>
          <w:tcPr>
            <w:tcW w:type="dxa" w:w="5141"/>
            <w:vAlign w:val="center"/>
          </w:tcPr>
          <w:p>
            <w:pPr>
              <w:spacing w:after="0"/>
            </w:pPr>
            <w:r/>
            <w:r>
              <w:rPr>
                <w:rFonts w:ascii="Arial" w:hAnsi="Arial"/>
                <w:b w:val="0"/>
                <w:sz w:val="16"/>
              </w:rPr>
              <w:t>Standard output</w:t>
            </w:r>
          </w:p>
        </w:tc>
        <w:tc>
          <w:tcPr>
            <w:tcW w:type="dxa" w:w="5141"/>
            <w:vAlign w:val="center"/>
          </w:tcPr>
          <w:p>
            <w:pPr>
              <w:spacing w:after="0"/>
            </w:pPr>
            <w:r/>
            <w:r>
              <w:rPr>
                <w:rFonts w:ascii="Arial" w:hAnsi="Arial"/>
                <w:b w:val="0"/>
                <w:sz w:val="16"/>
              </w:rPr>
              <w:t>One strict JSON object; reject extra uncontrolled text when parser safety requires.</w:t>
            </w:r>
          </w:p>
        </w:tc>
      </w:tr>
      <w:tr>
        <w:tc>
          <w:tcPr>
            <w:tcW w:type="dxa" w:w="5141"/>
            <w:vAlign w:val="center"/>
          </w:tcPr>
          <w:p>
            <w:pPr>
              <w:spacing w:after="0"/>
            </w:pPr>
            <w:r/>
            <w:r>
              <w:rPr>
                <w:rFonts w:ascii="Arial" w:hAnsi="Arial"/>
                <w:b w:val="0"/>
                <w:sz w:val="16"/>
              </w:rPr>
              <w:t>Standard error</w:t>
            </w:r>
          </w:p>
        </w:tc>
        <w:tc>
          <w:tcPr>
            <w:tcW w:type="dxa" w:w="5141"/>
            <w:vAlign w:val="center"/>
          </w:tcPr>
          <w:p>
            <w:pPr>
              <w:spacing w:after="0"/>
            </w:pPr>
            <w:r/>
            <w:r>
              <w:rPr>
                <w:rFonts w:ascii="Arial" w:hAnsi="Arial"/>
                <w:b w:val="0"/>
                <w:sz w:val="16"/>
              </w:rPr>
              <w:t>Captured for protected diagnostics without exposing patient data to users.</w:t>
            </w:r>
          </w:p>
        </w:tc>
      </w:tr>
      <w:tr>
        <w:tc>
          <w:tcPr>
            <w:tcW w:type="dxa" w:w="5141"/>
            <w:vAlign w:val="center"/>
          </w:tcPr>
          <w:p>
            <w:pPr>
              <w:spacing w:after="0"/>
            </w:pPr>
            <w:r/>
            <w:r>
              <w:rPr>
                <w:rFonts w:ascii="Arial" w:hAnsi="Arial"/>
                <w:b w:val="0"/>
                <w:sz w:val="16"/>
              </w:rPr>
              <w:t>Response class</w:t>
            </w:r>
          </w:p>
        </w:tc>
        <w:tc>
          <w:tcPr>
            <w:tcW w:type="dxa" w:w="5141"/>
            <w:vAlign w:val="center"/>
          </w:tcPr>
          <w:p>
            <w:pPr>
              <w:spacing w:after="0"/>
            </w:pPr>
            <w:r/>
            <w:r>
              <w:rPr>
                <w:rFonts w:ascii="Arial" w:hAnsi="Arial"/>
                <w:b w:val="0"/>
                <w:sz w:val="16"/>
              </w:rPr>
              <w:t>Exactly HIGH or LOW; blank, MODERATE, ERROR, or unknown is invalid.</w:t>
            </w:r>
          </w:p>
        </w:tc>
      </w:tr>
      <w:tr>
        <w:tc>
          <w:tcPr>
            <w:tcW w:type="dxa" w:w="5141"/>
            <w:vAlign w:val="center"/>
          </w:tcPr>
          <w:p>
            <w:pPr>
              <w:spacing w:after="0"/>
            </w:pPr>
            <w:r/>
            <w:r>
              <w:rPr>
                <w:rFonts w:ascii="Arial" w:hAnsi="Arial"/>
                <w:b w:val="0"/>
                <w:sz w:val="16"/>
              </w:rPr>
              <w:t>Artifact verification</w:t>
            </w:r>
          </w:p>
        </w:tc>
        <w:tc>
          <w:tcPr>
            <w:tcW w:type="dxa" w:w="5141"/>
            <w:vAlign w:val="center"/>
          </w:tcPr>
          <w:p>
            <w:pPr>
              <w:spacing w:after="0"/>
            </w:pPr>
            <w:r/>
            <w:r>
              <w:rPr>
                <w:rFonts w:ascii="Arial" w:hAnsi="Arial"/>
                <w:b w:val="0"/>
                <w:sz w:val="16"/>
              </w:rPr>
              <w:t>Approved model hash/version and compatible environment known before acceptance.</w:t>
            </w:r>
          </w:p>
        </w:tc>
      </w:tr>
      <w:tr>
        <w:tc>
          <w:tcPr>
            <w:tcW w:type="dxa" w:w="5141"/>
            <w:vAlign w:val="center"/>
          </w:tcPr>
          <w:p>
            <w:pPr>
              <w:spacing w:after="0"/>
            </w:pPr>
            <w:r/>
            <w:r>
              <w:rPr>
                <w:rFonts w:ascii="Arial" w:hAnsi="Arial"/>
                <w:b w:val="0"/>
                <w:sz w:val="16"/>
              </w:rPr>
              <w:t>Persistence security</w:t>
            </w:r>
          </w:p>
        </w:tc>
        <w:tc>
          <w:tcPr>
            <w:tcW w:type="dxa" w:w="5141"/>
            <w:vAlign w:val="center"/>
          </w:tcPr>
          <w:p>
            <w:pPr>
              <w:spacing w:after="0"/>
            </w:pPr>
            <w:r/>
            <w:r>
              <w:rPr>
                <w:rFonts w:ascii="Arial" w:hAnsi="Arial"/>
                <w:b w:val="0"/>
                <w:sz w:val="16"/>
              </w:rPr>
              <w:t>Only trusted artifacts are loaded; pickle/joblib-like formats require trusted source and compatible package versions.</w:t>
            </w:r>
          </w:p>
        </w:tc>
      </w:tr>
      <w:tr>
        <w:tc>
          <w:tcPr>
            <w:tcW w:type="dxa" w:w="5141"/>
            <w:vAlign w:val="center"/>
          </w:tcPr>
          <w:p>
            <w:pPr>
              <w:spacing w:after="0"/>
            </w:pPr>
            <w:r/>
            <w:r>
              <w:rPr>
                <w:rFonts w:ascii="Arial" w:hAnsi="Arial"/>
                <w:b w:val="0"/>
                <w:sz w:val="16"/>
              </w:rPr>
              <w:t>Database access</w:t>
            </w:r>
          </w:p>
        </w:tc>
        <w:tc>
          <w:tcPr>
            <w:tcW w:type="dxa" w:w="5141"/>
            <w:vAlign w:val="center"/>
          </w:tcPr>
          <w:p>
            <w:pPr>
              <w:spacing w:after="0"/>
            </w:pPr>
            <w:r/>
            <w:r>
              <w:rPr>
                <w:rFonts w:ascii="Arial" w:hAnsi="Arial"/>
                <w:b w:val="0"/>
                <w:sz w:val="16"/>
              </w:rPr>
              <w:t>Python has no authority to write clinical records.</w:t>
            </w:r>
          </w:p>
        </w:tc>
      </w:tr>
      <w:tr>
        <w:tc>
          <w:tcPr>
            <w:tcW w:type="dxa" w:w="5141"/>
            <w:vAlign w:val="center"/>
          </w:tcPr>
          <w:p>
            <w:pPr>
              <w:spacing w:after="0"/>
            </w:pPr>
            <w:r/>
            <w:r>
              <w:rPr>
                <w:rFonts w:ascii="Arial" w:hAnsi="Arial"/>
                <w:b w:val="0"/>
                <w:sz w:val="16"/>
              </w:rPr>
              <w:t>Logging</w:t>
            </w:r>
          </w:p>
        </w:tc>
        <w:tc>
          <w:tcPr>
            <w:tcW w:type="dxa" w:w="5141"/>
            <w:vAlign w:val="center"/>
          </w:tcPr>
          <w:p>
            <w:pPr>
              <w:spacing w:after="0"/>
            </w:pPr>
            <w:r/>
            <w:r>
              <w:rPr>
                <w:rFonts w:ascii="Arial" w:hAnsi="Arial"/>
                <w:b w:val="0"/>
                <w:sz w:val="16"/>
              </w:rPr>
              <w:t>Correlation ID, duration, artifact version, status, and sanitized failure code.</w:t>
            </w:r>
          </w:p>
        </w:tc>
      </w:tr>
    </w:tbl>
    <w:p>
      <w:pPr>
        <w:spacing w:after="0"/>
      </w:pPr>
    </w:p>
    <w:tbl>
      <w:tblPr>
        <w:tblStyle w:val="TableGrid"/>
        <w:tblW w:type="auto" w:w="0"/>
        <w:jc w:val="center"/>
        <w:tblLook w:firstColumn="1" w:firstRow="1" w:lastColumn="0" w:lastRow="0" w:noHBand="0" w:noVBand="1" w:val="04A0"/>
      </w:tblPr>
      <w:tblGrid>
        <w:gridCol w:w="10282"/>
      </w:tblGrid>
      <w:tr>
        <w:tc>
          <w:tcPr>
            <w:tcW w:type="dxa" w:w="10282"/>
            <w:shd w:fill="FFF2CC"/>
          </w:tcPr>
          <w:p>
            <w:r/>
            <w:r>
              <w:rPr>
                <w:rFonts w:ascii="Arial" w:hAnsi="Arial"/>
                <w:b/>
                <w:sz w:val="18"/>
              </w:rPr>
              <w:t>Strict response example</w:t>
            </w:r>
          </w:p>
          <w:p>
            <w:pPr>
              <w:spacing w:after="0"/>
            </w:pPr>
            <w:r>
              <w:rPr>
                <w:rFonts w:ascii="Arial" w:hAnsi="Arial"/>
                <w:sz w:val="17"/>
              </w:rPr>
              <w:t>{</w:t>
              <w:br/>
              <w:t xml:space="preserve">  "status": "OK",</w:t>
              <w:br/>
              <w:t xml:space="preserve">  "prediction": "HIGH | LOW",</w:t>
              <w:br/>
              <w:t xml:space="preserve">  "model_version": "rf-...",</w:t>
              <w:br/>
              <w:t xml:space="preserve">  "schema_version": "features-...",</w:t>
              <w:br/>
              <w:t xml:space="preserve">  "artifact_hash": "...",</w:t>
              <w:br/>
              <w:t xml:space="preserve">  "explanation_payload": { ... optional validated fields ... }</w:t>
              <w:br/>
              <w:t>}</w:t>
              <w:br/>
              <w:t>Any incompatible, missing, malformed, or untrusted field causes ML_INVALID or ML_UNAVAILABLE.</w:t>
            </w:r>
          </w:p>
        </w:tc>
      </w:tr>
    </w:tbl>
    <w:p/>
    <w:p>
      <w:pPr>
        <w:pStyle w:val="Heading1"/>
      </w:pPr>
      <w:r>
        <w:t>12. Decision Resolver</w:t>
      </w:r>
    </w:p>
    <w:p>
      <w:pPr>
        <w:spacing w:after="100" w:line="252" w:lineRule="auto"/>
      </w:pPr>
      <w:r>
        <w:t>The resolver is a pure decision component. It receives deterministic matches, completeness status, ML result, and approved manual escalation metadata. It returns the final state and resolution basis without performing database or process I/O.</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D9EAF7"/>
          </w:tcPr>
          <w:p>
            <w:pPr>
              <w:spacing w:after="0"/>
            </w:pPr>
            <w:r/>
            <w:r>
              <w:rPr>
                <w:rFonts w:ascii="Arial" w:hAnsi="Arial"/>
                <w:b/>
                <w:sz w:val="16"/>
              </w:rPr>
              <w:t>Deterministic HIGH</w:t>
            </w:r>
          </w:p>
        </w:tc>
        <w:tc>
          <w:tcPr>
            <w:tcW w:type="dxa" w:w="2056"/>
            <w:vAlign w:val="center"/>
            <w:shd w:fill="D9EAF7"/>
          </w:tcPr>
          <w:p>
            <w:pPr>
              <w:spacing w:after="0"/>
            </w:pPr>
            <w:r/>
            <w:r>
              <w:rPr>
                <w:rFonts w:ascii="Arial" w:hAnsi="Arial"/>
                <w:b/>
                <w:sz w:val="16"/>
              </w:rPr>
              <w:t>Completeness for LOW</w:t>
            </w:r>
          </w:p>
        </w:tc>
        <w:tc>
          <w:tcPr>
            <w:tcW w:type="dxa" w:w="2056"/>
            <w:vAlign w:val="center"/>
            <w:shd w:fill="D9EAF7"/>
          </w:tcPr>
          <w:p>
            <w:pPr>
              <w:spacing w:after="0"/>
            </w:pPr>
            <w:r/>
            <w:r>
              <w:rPr>
                <w:rFonts w:ascii="Arial" w:hAnsi="Arial"/>
                <w:b/>
                <w:sz w:val="16"/>
              </w:rPr>
              <w:t>ML result</w:t>
            </w:r>
          </w:p>
        </w:tc>
        <w:tc>
          <w:tcPr>
            <w:tcW w:type="dxa" w:w="2056"/>
            <w:vAlign w:val="center"/>
            <w:shd w:fill="D9EAF7"/>
          </w:tcPr>
          <w:p>
            <w:pPr>
              <w:spacing w:after="0"/>
            </w:pPr>
            <w:r/>
            <w:r>
              <w:rPr>
                <w:rFonts w:ascii="Arial" w:hAnsi="Arial"/>
                <w:b/>
                <w:sz w:val="16"/>
              </w:rPr>
              <w:t>Final state</w:t>
            </w:r>
          </w:p>
        </w:tc>
        <w:tc>
          <w:tcPr>
            <w:tcW w:type="dxa" w:w="2056"/>
            <w:vAlign w:val="center"/>
            <w:shd w:fill="D9EAF7"/>
          </w:tcPr>
          <w:p>
            <w:pPr>
              <w:spacing w:after="0"/>
            </w:pPr>
            <w:r/>
            <w:r>
              <w:rPr>
                <w:rFonts w:ascii="Arial" w:hAnsi="Arial"/>
                <w:b/>
                <w:sz w:val="16"/>
              </w:rPr>
              <w:t>Resolution basis</w:t>
            </w:r>
          </w:p>
        </w:tc>
      </w:tr>
      <w:tr>
        <w:tc>
          <w:tcPr>
            <w:tcW w:type="dxa" w:w="2056"/>
            <w:vAlign w:val="center"/>
          </w:tcPr>
          <w:p>
            <w:pPr>
              <w:spacing w:after="0"/>
            </w:pPr>
            <w:r/>
            <w:r>
              <w:rPr>
                <w:rFonts w:ascii="Arial" w:hAnsi="Arial"/>
                <w:b w:val="0"/>
                <w:sz w:val="16"/>
              </w:rPr>
              <w:t>Yes</w:t>
            </w:r>
          </w:p>
        </w:tc>
        <w:tc>
          <w:tcPr>
            <w:tcW w:type="dxa" w:w="2056"/>
            <w:vAlign w:val="center"/>
          </w:tcPr>
          <w:p>
            <w:pPr>
              <w:spacing w:after="0"/>
            </w:pPr>
            <w:r/>
            <w:r>
              <w:rPr>
                <w:rFonts w:ascii="Arial" w:hAnsi="Arial"/>
                <w:b w:val="0"/>
                <w:sz w:val="16"/>
              </w:rPr>
              <w:t>Any</w:t>
            </w:r>
          </w:p>
        </w:tc>
        <w:tc>
          <w:tcPr>
            <w:tcW w:type="dxa" w:w="2056"/>
            <w:vAlign w:val="center"/>
          </w:tcPr>
          <w:p>
            <w:pPr>
              <w:spacing w:after="0"/>
            </w:pPr>
            <w:r/>
            <w:r>
              <w:rPr>
                <w:rFonts w:ascii="Arial" w:hAnsi="Arial"/>
                <w:b w:val="0"/>
                <w:sz w:val="16"/>
              </w:rPr>
              <w:t>LOW/HIGH/invalid/unavailable</w:t>
            </w:r>
          </w:p>
        </w:tc>
        <w:tc>
          <w:tcPr>
            <w:tcW w:type="dxa" w:w="2056"/>
            <w:vAlign w:val="center"/>
          </w:tcPr>
          <w:p>
            <w:pPr>
              <w:spacing w:after="0"/>
            </w:pPr>
            <w:r/>
            <w:r>
              <w:rPr>
                <w:rFonts w:ascii="Arial" w:hAnsi="Arial"/>
                <w:b w:val="0"/>
                <w:sz w:val="16"/>
              </w:rPr>
              <w:t>HIGH</w:t>
            </w:r>
          </w:p>
        </w:tc>
        <w:tc>
          <w:tcPr>
            <w:tcW w:type="dxa" w:w="2056"/>
            <w:vAlign w:val="center"/>
          </w:tcPr>
          <w:p>
            <w:pPr>
              <w:spacing w:after="0"/>
            </w:pPr>
            <w:r/>
            <w:r>
              <w:rPr>
                <w:rFonts w:ascii="Arial" w:hAnsi="Arial"/>
                <w:b w:val="0"/>
                <w:sz w:val="16"/>
              </w:rPr>
              <w:t>RULE_HIGH_PRECEDENCE</w:t>
            </w:r>
          </w:p>
        </w:tc>
      </w:tr>
      <w:tr>
        <w:tc>
          <w:tcPr>
            <w:tcW w:type="dxa" w:w="2056"/>
            <w:vAlign w:val="center"/>
          </w:tcPr>
          <w:p>
            <w:pPr>
              <w:spacing w:after="0"/>
            </w:pPr>
            <w:r/>
            <w:r>
              <w:rPr>
                <w:rFonts w:ascii="Arial" w:hAnsi="Arial"/>
                <w:b w:val="0"/>
                <w:sz w:val="16"/>
              </w:rPr>
              <w:t>No</w:t>
            </w:r>
          </w:p>
        </w:tc>
        <w:tc>
          <w:tcPr>
            <w:tcW w:type="dxa" w:w="2056"/>
            <w:vAlign w:val="center"/>
          </w:tcPr>
          <w:p>
            <w:pPr>
              <w:spacing w:after="0"/>
            </w:pPr>
            <w:r/>
            <w:r>
              <w:rPr>
                <w:rFonts w:ascii="Arial" w:hAnsi="Arial"/>
                <w:b w:val="0"/>
                <w:sz w:val="16"/>
              </w:rPr>
              <w:t>Complete</w:t>
            </w:r>
          </w:p>
        </w:tc>
        <w:tc>
          <w:tcPr>
            <w:tcW w:type="dxa" w:w="2056"/>
            <w:vAlign w:val="center"/>
          </w:tcPr>
          <w:p>
            <w:pPr>
              <w:spacing w:after="0"/>
            </w:pPr>
            <w:r/>
            <w:r>
              <w:rPr>
                <w:rFonts w:ascii="Arial" w:hAnsi="Arial"/>
                <w:b w:val="0"/>
                <w:sz w:val="16"/>
              </w:rPr>
              <w:t>HIGH</w:t>
            </w:r>
          </w:p>
        </w:tc>
        <w:tc>
          <w:tcPr>
            <w:tcW w:type="dxa" w:w="2056"/>
            <w:vAlign w:val="center"/>
          </w:tcPr>
          <w:p>
            <w:pPr>
              <w:spacing w:after="0"/>
            </w:pPr>
            <w:r/>
            <w:r>
              <w:rPr>
                <w:rFonts w:ascii="Arial" w:hAnsi="Arial"/>
                <w:b w:val="0"/>
                <w:sz w:val="16"/>
              </w:rPr>
              <w:t>HIGH</w:t>
            </w:r>
          </w:p>
        </w:tc>
        <w:tc>
          <w:tcPr>
            <w:tcW w:type="dxa" w:w="2056"/>
            <w:vAlign w:val="center"/>
          </w:tcPr>
          <w:p>
            <w:pPr>
              <w:spacing w:after="0"/>
            </w:pPr>
            <w:r/>
            <w:r>
              <w:rPr>
                <w:rFonts w:ascii="Arial" w:hAnsi="Arial"/>
                <w:b w:val="0"/>
                <w:sz w:val="16"/>
              </w:rPr>
              <w:t>ML_HIGH</w:t>
            </w:r>
          </w:p>
        </w:tc>
      </w:tr>
      <w:tr>
        <w:tc>
          <w:tcPr>
            <w:tcW w:type="dxa" w:w="2056"/>
            <w:vAlign w:val="center"/>
          </w:tcPr>
          <w:p>
            <w:pPr>
              <w:spacing w:after="0"/>
            </w:pPr>
            <w:r/>
            <w:r>
              <w:rPr>
                <w:rFonts w:ascii="Arial" w:hAnsi="Arial"/>
                <w:b w:val="0"/>
                <w:sz w:val="16"/>
              </w:rPr>
              <w:t>No</w:t>
            </w:r>
          </w:p>
        </w:tc>
        <w:tc>
          <w:tcPr>
            <w:tcW w:type="dxa" w:w="2056"/>
            <w:vAlign w:val="center"/>
          </w:tcPr>
          <w:p>
            <w:pPr>
              <w:spacing w:after="0"/>
            </w:pPr>
            <w:r/>
            <w:r>
              <w:rPr>
                <w:rFonts w:ascii="Arial" w:hAnsi="Arial"/>
                <w:b w:val="0"/>
                <w:sz w:val="16"/>
              </w:rPr>
              <w:t>Complete</w:t>
            </w:r>
          </w:p>
        </w:tc>
        <w:tc>
          <w:tcPr>
            <w:tcW w:type="dxa" w:w="2056"/>
            <w:vAlign w:val="center"/>
          </w:tcPr>
          <w:p>
            <w:pPr>
              <w:spacing w:after="0"/>
            </w:pPr>
            <w:r/>
            <w:r>
              <w:rPr>
                <w:rFonts w:ascii="Arial" w:hAnsi="Arial"/>
                <w:b w:val="0"/>
                <w:sz w:val="16"/>
              </w:rPr>
              <w:t>LOW</w:t>
            </w:r>
          </w:p>
        </w:tc>
        <w:tc>
          <w:tcPr>
            <w:tcW w:type="dxa" w:w="2056"/>
            <w:vAlign w:val="center"/>
          </w:tcPr>
          <w:p>
            <w:pPr>
              <w:spacing w:after="0"/>
            </w:pPr>
            <w:r/>
            <w:r>
              <w:rPr>
                <w:rFonts w:ascii="Arial" w:hAnsi="Arial"/>
                <w:b w:val="0"/>
                <w:sz w:val="16"/>
              </w:rPr>
              <w:t>LOW</w:t>
            </w:r>
          </w:p>
        </w:tc>
        <w:tc>
          <w:tcPr>
            <w:tcW w:type="dxa" w:w="2056"/>
            <w:vAlign w:val="center"/>
          </w:tcPr>
          <w:p>
            <w:pPr>
              <w:spacing w:after="0"/>
            </w:pPr>
            <w:r/>
            <w:r>
              <w:rPr>
                <w:rFonts w:ascii="Arial" w:hAnsi="Arial"/>
                <w:b w:val="0"/>
                <w:sz w:val="16"/>
              </w:rPr>
              <w:t>COMPLETE_VALID_ML_LOW</w:t>
            </w:r>
          </w:p>
        </w:tc>
      </w:tr>
      <w:tr>
        <w:tc>
          <w:tcPr>
            <w:tcW w:type="dxa" w:w="2056"/>
            <w:vAlign w:val="center"/>
          </w:tcPr>
          <w:p>
            <w:pPr>
              <w:spacing w:after="0"/>
            </w:pPr>
            <w:r/>
            <w:r>
              <w:rPr>
                <w:rFonts w:ascii="Arial" w:hAnsi="Arial"/>
                <w:b w:val="0"/>
                <w:sz w:val="16"/>
              </w:rPr>
              <w:t>No</w:t>
            </w:r>
          </w:p>
        </w:tc>
        <w:tc>
          <w:tcPr>
            <w:tcW w:type="dxa" w:w="2056"/>
            <w:vAlign w:val="center"/>
          </w:tcPr>
          <w:p>
            <w:pPr>
              <w:spacing w:after="0"/>
            </w:pPr>
            <w:r/>
            <w:r>
              <w:rPr>
                <w:rFonts w:ascii="Arial" w:hAnsi="Arial"/>
                <w:b w:val="0"/>
                <w:sz w:val="16"/>
              </w:rPr>
              <w:t>Complete</w:t>
            </w:r>
          </w:p>
        </w:tc>
        <w:tc>
          <w:tcPr>
            <w:tcW w:type="dxa" w:w="2056"/>
            <w:vAlign w:val="center"/>
          </w:tcPr>
          <w:p>
            <w:pPr>
              <w:spacing w:after="0"/>
            </w:pPr>
            <w:r/>
            <w:r>
              <w:rPr>
                <w:rFonts w:ascii="Arial" w:hAnsi="Arial"/>
                <w:b w:val="0"/>
                <w:sz w:val="16"/>
              </w:rPr>
              <w:t>Invalid/unavailable</w:t>
            </w:r>
          </w:p>
        </w:tc>
        <w:tc>
          <w:tcPr>
            <w:tcW w:type="dxa" w:w="2056"/>
            <w:vAlign w:val="center"/>
          </w:tcPr>
          <w:p>
            <w:pPr>
              <w:spacing w:after="0"/>
            </w:pPr>
            <w:r/>
            <w:r>
              <w:rPr>
                <w:rFonts w:ascii="Arial" w:hAnsi="Arial"/>
                <w:b w:val="0"/>
                <w:sz w:val="16"/>
              </w:rPr>
              <w:t>ASSESSMENT INCOMPLETE</w:t>
            </w:r>
          </w:p>
        </w:tc>
        <w:tc>
          <w:tcPr>
            <w:tcW w:type="dxa" w:w="2056"/>
            <w:vAlign w:val="center"/>
          </w:tcPr>
          <w:p>
            <w:pPr>
              <w:spacing w:after="0"/>
            </w:pPr>
            <w:r/>
            <w:r>
              <w:rPr>
                <w:rFonts w:ascii="Arial" w:hAnsi="Arial"/>
                <w:b w:val="0"/>
                <w:sz w:val="16"/>
              </w:rPr>
              <w:t>ML_NOT_VALID</w:t>
            </w:r>
          </w:p>
        </w:tc>
      </w:tr>
      <w:tr>
        <w:tc>
          <w:tcPr>
            <w:tcW w:type="dxa" w:w="2056"/>
            <w:vAlign w:val="center"/>
          </w:tcPr>
          <w:p>
            <w:pPr>
              <w:spacing w:after="0"/>
            </w:pPr>
            <w:r/>
            <w:r>
              <w:rPr>
                <w:rFonts w:ascii="Arial" w:hAnsi="Arial"/>
                <w:b w:val="0"/>
                <w:sz w:val="16"/>
              </w:rPr>
              <w:t>No</w:t>
            </w:r>
          </w:p>
        </w:tc>
        <w:tc>
          <w:tcPr>
            <w:tcW w:type="dxa" w:w="2056"/>
            <w:vAlign w:val="center"/>
          </w:tcPr>
          <w:p>
            <w:pPr>
              <w:spacing w:after="0"/>
            </w:pPr>
            <w:r/>
            <w:r>
              <w:rPr>
                <w:rFonts w:ascii="Arial" w:hAnsi="Arial"/>
                <w:b w:val="0"/>
                <w:sz w:val="16"/>
              </w:rPr>
              <w:t>Incomplete</w:t>
            </w:r>
          </w:p>
        </w:tc>
        <w:tc>
          <w:tcPr>
            <w:tcW w:type="dxa" w:w="2056"/>
            <w:vAlign w:val="center"/>
          </w:tcPr>
          <w:p>
            <w:pPr>
              <w:spacing w:after="0"/>
            </w:pPr>
            <w:r/>
            <w:r>
              <w:rPr>
                <w:rFonts w:ascii="Arial" w:hAnsi="Arial"/>
                <w:b w:val="0"/>
                <w:sz w:val="16"/>
              </w:rPr>
              <w:t>Any</w:t>
            </w:r>
          </w:p>
        </w:tc>
        <w:tc>
          <w:tcPr>
            <w:tcW w:type="dxa" w:w="2056"/>
            <w:vAlign w:val="center"/>
          </w:tcPr>
          <w:p>
            <w:pPr>
              <w:spacing w:after="0"/>
            </w:pPr>
            <w:r/>
            <w:r>
              <w:rPr>
                <w:rFonts w:ascii="Arial" w:hAnsi="Arial"/>
                <w:b w:val="0"/>
                <w:sz w:val="16"/>
              </w:rPr>
              <w:t>ASSESSMENT INCOMPLETE</w:t>
            </w:r>
          </w:p>
        </w:tc>
        <w:tc>
          <w:tcPr>
            <w:tcW w:type="dxa" w:w="2056"/>
            <w:vAlign w:val="center"/>
          </w:tcPr>
          <w:p>
            <w:pPr>
              <w:spacing w:after="0"/>
            </w:pPr>
            <w:r/>
            <w:r>
              <w:rPr>
                <w:rFonts w:ascii="Arial" w:hAnsi="Arial"/>
                <w:b w:val="0"/>
                <w:sz w:val="16"/>
              </w:rPr>
              <w:t>REQUIRED_EVIDENCE_INCOMPLETE</w:t>
            </w:r>
          </w:p>
        </w:tc>
      </w:tr>
    </w:tbl>
    <w:p>
      <w:pPr>
        <w:spacing w:after="0"/>
      </w:pPr>
    </w:p>
    <w:p>
      <w:pPr>
        <w:pStyle w:val="ListBullet"/>
        <w:spacing w:after="40"/>
      </w:pPr>
      <w:r>
        <w:t>The resolver preserves all rule matches and ML status even when one source determines the state.</w:t>
      </w:r>
    </w:p>
    <w:p>
      <w:pPr>
        <w:pStyle w:val="ListBullet"/>
        <w:spacing w:after="40"/>
      </w:pPr>
      <w:r>
        <w:t>Multiple HIGH factors do not create a new unsupported severity category or numerical score.</w:t>
      </w:r>
    </w:p>
    <w:p>
      <w:pPr>
        <w:pStyle w:val="ListBullet"/>
        <w:spacing w:after="40"/>
      </w:pPr>
      <w:r>
        <w:t>Manual clinician escalation may increase E-level and add a human reason without deleting the engine result.</w:t>
      </w:r>
    </w:p>
    <w:p>
      <w:pPr>
        <w:pStyle w:val="ListBullet"/>
        <w:spacing w:after="40"/>
      </w:pPr>
      <w:r>
        <w:t>De-escalation requires a new governed reassessment with new verified evidence; it is not a direct edit.</w:t>
      </w:r>
    </w:p>
    <w:p>
      <w:pPr>
        <w:pStyle w:val="ListBullet"/>
        <w:spacing w:after="40"/>
      </w:pPr>
      <w:r>
        <w:t>Referral acceptance, refusal, completion, email delivery, or print status never enters state resolution.</w:t>
      </w:r>
    </w:p>
    <w:p>
      <w:pPr>
        <w:pStyle w:val="Heading1"/>
      </w:pPr>
      <w:r>
        <w:t>13. Escalation Resolution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Level</w:t>
            </w:r>
          </w:p>
        </w:tc>
        <w:tc>
          <w:tcPr>
            <w:tcW w:type="dxa" w:w="5141"/>
            <w:vAlign w:val="center"/>
            <w:shd w:fill="D9EAF7"/>
          </w:tcPr>
          <w:p>
            <w:pPr>
              <w:spacing w:after="0"/>
            </w:pPr>
            <w:r/>
            <w:r>
              <w:rPr>
                <w:rFonts w:ascii="Arial" w:hAnsi="Arial"/>
                <w:b/>
                <w:sz w:val="16"/>
              </w:rPr>
              <w:t>Engine use</w:t>
            </w:r>
          </w:p>
        </w:tc>
      </w:tr>
      <w:tr>
        <w:tc>
          <w:tcPr>
            <w:tcW w:type="dxa" w:w="5141"/>
            <w:vAlign w:val="center"/>
          </w:tcPr>
          <w:p>
            <w:pPr>
              <w:spacing w:after="0"/>
            </w:pPr>
            <w:r/>
            <w:r>
              <w:rPr>
                <w:rFonts w:ascii="Arial" w:hAnsi="Arial"/>
                <w:b w:val="0"/>
                <w:sz w:val="16"/>
              </w:rPr>
              <w:t>E0</w:t>
            </w:r>
          </w:p>
        </w:tc>
        <w:tc>
          <w:tcPr>
            <w:tcW w:type="dxa" w:w="5141"/>
            <w:vAlign w:val="center"/>
          </w:tcPr>
          <w:p>
            <w:pPr>
              <w:spacing w:after="0"/>
            </w:pPr>
            <w:r/>
            <w:r>
              <w:rPr>
                <w:rFonts w:ascii="Arial" w:hAnsi="Arial"/>
                <w:b w:val="0"/>
                <w:sz w:val="16"/>
              </w:rPr>
              <w:t>Complete LOW pathway and routine follow-up.</w:t>
            </w:r>
          </w:p>
        </w:tc>
      </w:tr>
      <w:tr>
        <w:tc>
          <w:tcPr>
            <w:tcW w:type="dxa" w:w="5141"/>
            <w:vAlign w:val="center"/>
          </w:tcPr>
          <w:p>
            <w:pPr>
              <w:spacing w:after="0"/>
            </w:pPr>
            <w:r/>
            <w:r>
              <w:rPr>
                <w:rFonts w:ascii="Arial" w:hAnsi="Arial"/>
                <w:b w:val="0"/>
                <w:sz w:val="16"/>
              </w:rPr>
              <w:t>E1</w:t>
            </w:r>
          </w:p>
        </w:tc>
        <w:tc>
          <w:tcPr>
            <w:tcW w:type="dxa" w:w="5141"/>
            <w:vAlign w:val="center"/>
          </w:tcPr>
          <w:p>
            <w:pPr>
              <w:spacing w:after="0"/>
            </w:pPr>
            <w:r/>
            <w:r>
              <w:rPr>
                <w:rFonts w:ascii="Arial" w:hAnsi="Arial"/>
                <w:b w:val="0"/>
                <w:sz w:val="16"/>
              </w:rPr>
              <w:t>Incomplete or concerning data without a verified referral-level factor.</w:t>
            </w:r>
          </w:p>
        </w:tc>
      </w:tr>
      <w:tr>
        <w:tc>
          <w:tcPr>
            <w:tcW w:type="dxa" w:w="5141"/>
            <w:vAlign w:val="center"/>
          </w:tcPr>
          <w:p>
            <w:pPr>
              <w:spacing w:after="0"/>
            </w:pPr>
            <w:r/>
            <w:r>
              <w:rPr>
                <w:rFonts w:ascii="Arial" w:hAnsi="Arial"/>
                <w:b w:val="0"/>
                <w:sz w:val="16"/>
              </w:rPr>
              <w:t>E2</w:t>
            </w:r>
          </w:p>
        </w:tc>
        <w:tc>
          <w:tcPr>
            <w:tcW w:type="dxa" w:w="5141"/>
            <w:vAlign w:val="center"/>
          </w:tcPr>
          <w:p>
            <w:pPr>
              <w:spacing w:after="0"/>
            </w:pPr>
            <w:r/>
            <w:r>
              <w:rPr>
                <w:rFonts w:ascii="Arial" w:hAnsi="Arial"/>
                <w:b w:val="0"/>
                <w:sz w:val="16"/>
              </w:rPr>
              <w:t>Stable HIGH factor requiring higher-level assessment or delivery planning.</w:t>
            </w:r>
          </w:p>
        </w:tc>
      </w:tr>
      <w:tr>
        <w:tc>
          <w:tcPr>
            <w:tcW w:type="dxa" w:w="5141"/>
            <w:vAlign w:val="center"/>
          </w:tcPr>
          <w:p>
            <w:pPr>
              <w:spacing w:after="0"/>
            </w:pPr>
            <w:r/>
            <w:r>
              <w:rPr>
                <w:rFonts w:ascii="Arial" w:hAnsi="Arial"/>
                <w:b w:val="0"/>
                <w:sz w:val="16"/>
              </w:rPr>
              <w:t>E3</w:t>
            </w:r>
          </w:p>
        </w:tc>
        <w:tc>
          <w:tcPr>
            <w:tcW w:type="dxa" w:w="5141"/>
            <w:vAlign w:val="center"/>
          </w:tcPr>
          <w:p>
            <w:pPr>
              <w:spacing w:after="0"/>
            </w:pPr>
            <w:r/>
            <w:r>
              <w:rPr>
                <w:rFonts w:ascii="Arial" w:hAnsi="Arial"/>
                <w:b w:val="0"/>
                <w:sz w:val="16"/>
              </w:rPr>
              <w:t>Urgent referral such as severe BP or urgent fetal-heartbeat concern.</w:t>
            </w:r>
          </w:p>
        </w:tc>
      </w:tr>
      <w:tr>
        <w:tc>
          <w:tcPr>
            <w:tcW w:type="dxa" w:w="5141"/>
            <w:vAlign w:val="center"/>
          </w:tcPr>
          <w:p>
            <w:pPr>
              <w:spacing w:after="0"/>
            </w:pPr>
            <w:r/>
            <w:r>
              <w:rPr>
                <w:rFonts w:ascii="Arial" w:hAnsi="Arial"/>
                <w:b w:val="0"/>
                <w:sz w:val="16"/>
              </w:rPr>
              <w:t>E4</w:t>
            </w:r>
          </w:p>
        </w:tc>
        <w:tc>
          <w:tcPr>
            <w:tcW w:type="dxa" w:w="5141"/>
            <w:vAlign w:val="center"/>
          </w:tcPr>
          <w:p>
            <w:pPr>
              <w:spacing w:after="0"/>
            </w:pPr>
            <w:r/>
            <w:r>
              <w:rPr>
                <w:rFonts w:ascii="Arial" w:hAnsi="Arial"/>
                <w:b w:val="0"/>
                <w:sz w:val="16"/>
              </w:rPr>
              <w:t>Manual or separately validated emergency logic; bypass routine workflow.</w:t>
            </w:r>
          </w:p>
        </w:tc>
      </w:tr>
    </w:tbl>
    <w:p>
      <w:pPr>
        <w:spacing w:after="0"/>
      </w:pPr>
    </w:p>
    <w:p>
      <w:pPr>
        <w:spacing w:after="100" w:line="252" w:lineRule="auto"/>
      </w:pPr>
      <w:r>
        <w:t>The current encoded engine supports E0-E3 mappings and manual E4. E4 should not be generated solely from an ML prediction. Emergency logic requires separately approved protocols and must remain available even if the assessment engine is offline.</w:t>
      </w:r>
    </w:p>
    <w:p>
      <w:pPr>
        <w:pStyle w:val="Heading1"/>
      </w:pPr>
      <w:r>
        <w:t>14. Explanation and Recommendation Assembly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Output object</w:t>
            </w:r>
          </w:p>
        </w:tc>
        <w:tc>
          <w:tcPr>
            <w:tcW w:type="dxa" w:w="5141"/>
            <w:vAlign w:val="center"/>
            <w:shd w:fill="D9EAF7"/>
          </w:tcPr>
          <w:p>
            <w:pPr>
              <w:spacing w:after="0"/>
            </w:pPr>
            <w:r/>
            <w:r>
              <w:rPr>
                <w:rFonts w:ascii="Arial" w:hAnsi="Arial"/>
                <w:b/>
                <w:sz w:val="16"/>
              </w:rPr>
              <w:t>Minimum content</w:t>
            </w:r>
          </w:p>
        </w:tc>
      </w:tr>
      <w:tr>
        <w:tc>
          <w:tcPr>
            <w:tcW w:type="dxa" w:w="5141"/>
            <w:vAlign w:val="center"/>
          </w:tcPr>
          <w:p>
            <w:pPr>
              <w:spacing w:after="0"/>
            </w:pPr>
            <w:r/>
            <w:r>
              <w:rPr>
                <w:rFonts w:ascii="Arial" w:hAnsi="Arial"/>
                <w:b w:val="0"/>
                <w:sz w:val="16"/>
              </w:rPr>
              <w:t>Explanation</w:t>
            </w:r>
          </w:p>
        </w:tc>
        <w:tc>
          <w:tcPr>
            <w:tcW w:type="dxa" w:w="5141"/>
            <w:vAlign w:val="center"/>
          </w:tcPr>
          <w:p>
            <w:pPr>
              <w:spacing w:after="0"/>
            </w:pPr>
            <w:r/>
            <w:r>
              <w:rPr>
                <w:rFonts w:ascii="Arial" w:hAnsi="Arial"/>
                <w:b w:val="0"/>
                <w:sz w:val="16"/>
              </w:rPr>
              <w:t>Final state, resolution basis, all rule reasons, ML contribution/status, missing or invalid items, source values, limitations, precedence narrative, versions.</w:t>
            </w:r>
          </w:p>
        </w:tc>
      </w:tr>
      <w:tr>
        <w:tc>
          <w:tcPr>
            <w:tcW w:type="dxa" w:w="5141"/>
            <w:vAlign w:val="center"/>
          </w:tcPr>
          <w:p>
            <w:pPr>
              <w:spacing w:after="0"/>
            </w:pPr>
            <w:r/>
            <w:r>
              <w:rPr>
                <w:rFonts w:ascii="Arial" w:hAnsi="Arial"/>
                <w:b w:val="0"/>
                <w:sz w:val="16"/>
              </w:rPr>
              <w:t>Recommendation</w:t>
            </w:r>
          </w:p>
        </w:tc>
        <w:tc>
          <w:tcPr>
            <w:tcW w:type="dxa" w:w="5141"/>
            <w:vAlign w:val="center"/>
          </w:tcPr>
          <w:p>
            <w:pPr>
              <w:spacing w:after="0"/>
            </w:pPr>
            <w:r/>
            <w:r>
              <w:rPr>
                <w:rFonts w:ascii="Arial" w:hAnsi="Arial"/>
                <w:b w:val="0"/>
                <w:sz w:val="16"/>
              </w:rPr>
              <w:t>Controlled action code, E-level, staff wording, patient counseling points, referral requirement, scope notice, return precautions, follow-up.</w:t>
            </w:r>
          </w:p>
        </w:tc>
      </w:tr>
      <w:tr>
        <w:tc>
          <w:tcPr>
            <w:tcW w:type="dxa" w:w="5141"/>
            <w:vAlign w:val="center"/>
          </w:tcPr>
          <w:p>
            <w:pPr>
              <w:spacing w:after="0"/>
            </w:pPr>
            <w:r/>
            <w:r>
              <w:rPr>
                <w:rFonts w:ascii="Arial" w:hAnsi="Arial"/>
                <w:b w:val="0"/>
                <w:sz w:val="16"/>
              </w:rPr>
              <w:t>Review metadata</w:t>
            </w:r>
          </w:p>
        </w:tc>
        <w:tc>
          <w:tcPr>
            <w:tcW w:type="dxa" w:w="5141"/>
            <w:vAlign w:val="center"/>
          </w:tcPr>
          <w:p>
            <w:pPr>
              <w:spacing w:after="0"/>
            </w:pPr>
            <w:r/>
            <w:r>
              <w:rPr>
                <w:rFonts w:ascii="Arial" w:hAnsi="Arial"/>
                <w:b w:val="0"/>
                <w:sz w:val="16"/>
              </w:rPr>
              <w:t>Generated status, reviewer status, manual escalation or override, user, time.</w:t>
            </w:r>
          </w:p>
        </w:tc>
      </w:tr>
      <w:tr>
        <w:tc>
          <w:tcPr>
            <w:tcW w:type="dxa" w:w="5141"/>
            <w:vAlign w:val="center"/>
          </w:tcPr>
          <w:p>
            <w:pPr>
              <w:spacing w:after="0"/>
            </w:pPr>
            <w:r/>
            <w:r>
              <w:rPr>
                <w:rFonts w:ascii="Arial" w:hAnsi="Arial"/>
                <w:b w:val="0"/>
                <w:sz w:val="16"/>
              </w:rPr>
              <w:t>Channel payload</w:t>
            </w:r>
          </w:p>
        </w:tc>
        <w:tc>
          <w:tcPr>
            <w:tcW w:type="dxa" w:w="5141"/>
            <w:vAlign w:val="center"/>
          </w:tcPr>
          <w:p>
            <w:pPr>
              <w:spacing w:after="0"/>
            </w:pPr>
            <w:r/>
            <w:r>
              <w:rPr>
                <w:rFonts w:ascii="Arial" w:hAnsi="Arial"/>
                <w:b w:val="0"/>
                <w:sz w:val="16"/>
              </w:rPr>
              <w:t>Canonical message object used by screen, print, email, and referral views.</w:t>
            </w:r>
          </w:p>
        </w:tc>
      </w:tr>
    </w:tbl>
    <w:p>
      <w:pPr>
        <w:spacing w:after="0"/>
      </w:pPr>
    </w:p>
    <w:p>
      <w:pPr>
        <w:pStyle w:val="ListBullet"/>
        <w:spacing w:after="40"/>
      </w:pPr>
      <w:r>
        <w:t>Explanation text is generated from controlled templates and structured reasons rather than from unreviewed free text.</w:t>
      </w:r>
    </w:p>
    <w:p>
      <w:pPr>
        <w:pStyle w:val="ListBullet"/>
        <w:spacing w:after="40"/>
      </w:pPr>
      <w:r>
        <w:t>LOW includes snapshot limitations and return precautions.</w:t>
      </w:r>
    </w:p>
    <w:p>
      <w:pPr>
        <w:pStyle w:val="ListBullet"/>
        <w:spacing w:after="40"/>
      </w:pPr>
      <w:r>
        <w:t>INCOMPLETE names exact missing or invalid evidence and never uses reassuring wording.</w:t>
      </w:r>
    </w:p>
    <w:p>
      <w:pPr>
        <w:pStyle w:val="ListBullet"/>
        <w:spacing w:after="40"/>
      </w:pPr>
      <w:r>
        <w:t>HIGH states the factor, value, action, urgency, and lying-in scope boundary.</w:t>
      </w:r>
    </w:p>
    <w:p>
      <w:pPr>
        <w:pStyle w:val="ListBullet"/>
        <w:spacing w:after="40"/>
      </w:pPr>
      <w:r>
        <w:t>Rule HIGH plus ML LOW explicitly explains rule precedence.</w:t>
      </w:r>
    </w:p>
    <w:p>
      <w:pPr>
        <w:pStyle w:val="ListBullet"/>
        <w:spacing w:after="40"/>
      </w:pPr>
      <w:r>
        <w:t>ML-only HIGH is described as a model-supported concern, not an AI diagnosis.</w:t>
      </w:r>
    </w:p>
    <w:p>
      <w:pPr>
        <w:pStyle w:val="Heading1"/>
      </w:pPr>
      <w:r>
        <w:t>15. Persistence and Transaction Boundary</w:t>
      </w:r>
    </w:p>
    <w:p>
      <w:pPr>
        <w:spacing w:after="100" w:line="252" w:lineRule="auto"/>
      </w:pPr>
      <w:r>
        <w:t>The service persists the assessment only after the result object is fully assembled. Laravel database transactions should protect the assessment header, factors, ML execution, explanation, recommendation, current-version pointer, and audit event from partial commit. Downstream notifications are dispatched after commit so a mail failure cannot roll back or modify the clinical result.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Transaction step</w:t>
            </w:r>
          </w:p>
        </w:tc>
        <w:tc>
          <w:tcPr>
            <w:tcW w:type="dxa" w:w="5141"/>
            <w:vAlign w:val="center"/>
            <w:shd w:fill="D9EAF7"/>
          </w:tcPr>
          <w:p>
            <w:pPr>
              <w:spacing w:after="0"/>
            </w:pPr>
            <w:r/>
            <w:r>
              <w:rPr>
                <w:rFonts w:ascii="Arial" w:hAnsi="Arial"/>
                <w:b/>
                <w:sz w:val="16"/>
              </w:rPr>
              <w:t>Required effect</w:t>
            </w:r>
          </w:p>
        </w:tc>
      </w:tr>
      <w:tr>
        <w:tc>
          <w:tcPr>
            <w:tcW w:type="dxa" w:w="5141"/>
            <w:vAlign w:val="center"/>
          </w:tcPr>
          <w:p>
            <w:pPr>
              <w:spacing w:after="0"/>
            </w:pPr>
            <w:r/>
            <w:r>
              <w:rPr>
                <w:rFonts w:ascii="Arial" w:hAnsi="Arial"/>
                <w:b w:val="0"/>
                <w:sz w:val="16"/>
              </w:rPr>
              <w:t>Create assessment row</w:t>
            </w:r>
          </w:p>
        </w:tc>
        <w:tc>
          <w:tcPr>
            <w:tcW w:type="dxa" w:w="5141"/>
            <w:vAlign w:val="center"/>
          </w:tcPr>
          <w:p>
            <w:pPr>
              <w:spacing w:after="0"/>
            </w:pPr>
            <w:r/>
            <w:r>
              <w:rPr>
                <w:rFonts w:ascii="Arial" w:hAnsi="Arial"/>
                <w:b w:val="0"/>
                <w:sz w:val="16"/>
              </w:rPr>
              <w:t>New immutable version linked to patient, pregnancy, visit, trigger, and prior assessment.</w:t>
            </w:r>
          </w:p>
        </w:tc>
      </w:tr>
      <w:tr>
        <w:tc>
          <w:tcPr>
            <w:tcW w:type="dxa" w:w="5141"/>
            <w:vAlign w:val="center"/>
          </w:tcPr>
          <w:p>
            <w:pPr>
              <w:spacing w:after="0"/>
            </w:pPr>
            <w:r/>
            <w:r>
              <w:rPr>
                <w:rFonts w:ascii="Arial" w:hAnsi="Arial"/>
                <w:b w:val="0"/>
                <w:sz w:val="16"/>
              </w:rPr>
              <w:t>Store input snapshot/provenance</w:t>
            </w:r>
          </w:p>
        </w:tc>
        <w:tc>
          <w:tcPr>
            <w:tcW w:type="dxa" w:w="5141"/>
            <w:vAlign w:val="center"/>
          </w:tcPr>
          <w:p>
            <w:pPr>
              <w:spacing w:after="0"/>
            </w:pPr>
            <w:r/>
            <w:r>
              <w:rPr>
                <w:rFonts w:ascii="Arial" w:hAnsi="Arial"/>
                <w:b w:val="0"/>
                <w:sz w:val="16"/>
              </w:rPr>
              <w:t>Exact values or reconstructable protected snapshot.</w:t>
            </w:r>
          </w:p>
        </w:tc>
      </w:tr>
      <w:tr>
        <w:tc>
          <w:tcPr>
            <w:tcW w:type="dxa" w:w="5141"/>
            <w:vAlign w:val="center"/>
          </w:tcPr>
          <w:p>
            <w:pPr>
              <w:spacing w:after="0"/>
            </w:pPr>
            <w:r/>
            <w:r>
              <w:rPr>
                <w:rFonts w:ascii="Arial" w:hAnsi="Arial"/>
                <w:b w:val="0"/>
                <w:sz w:val="16"/>
              </w:rPr>
              <w:t>Store rule matches</w:t>
            </w:r>
          </w:p>
        </w:tc>
        <w:tc>
          <w:tcPr>
            <w:tcW w:type="dxa" w:w="5141"/>
            <w:vAlign w:val="center"/>
          </w:tcPr>
          <w:p>
            <w:pPr>
              <w:spacing w:after="0"/>
            </w:pPr>
            <w:r/>
            <w:r>
              <w:rPr>
                <w:rFonts w:ascii="Arial" w:hAnsi="Arial"/>
                <w:b w:val="0"/>
                <w:sz w:val="16"/>
              </w:rPr>
              <w:t>All matched reasons and versions.</w:t>
            </w:r>
          </w:p>
        </w:tc>
      </w:tr>
      <w:tr>
        <w:tc>
          <w:tcPr>
            <w:tcW w:type="dxa" w:w="5141"/>
            <w:vAlign w:val="center"/>
          </w:tcPr>
          <w:p>
            <w:pPr>
              <w:spacing w:after="0"/>
            </w:pPr>
            <w:r/>
            <w:r>
              <w:rPr>
                <w:rFonts w:ascii="Arial" w:hAnsi="Arial"/>
                <w:b w:val="0"/>
                <w:sz w:val="16"/>
              </w:rPr>
              <w:t>Store ML execution</w:t>
            </w:r>
          </w:p>
        </w:tc>
        <w:tc>
          <w:tcPr>
            <w:tcW w:type="dxa" w:w="5141"/>
            <w:vAlign w:val="center"/>
          </w:tcPr>
          <w:p>
            <w:pPr>
              <w:spacing w:after="0"/>
            </w:pPr>
            <w:r/>
            <w:r>
              <w:rPr>
                <w:rFonts w:ascii="Arial" w:hAnsi="Arial"/>
                <w:b w:val="0"/>
                <w:sz w:val="16"/>
              </w:rPr>
              <w:t>Status, prediction, schema, model, hash, duration, and sanitized error.</w:t>
            </w:r>
          </w:p>
        </w:tc>
      </w:tr>
      <w:tr>
        <w:tc>
          <w:tcPr>
            <w:tcW w:type="dxa" w:w="5141"/>
            <w:vAlign w:val="center"/>
          </w:tcPr>
          <w:p>
            <w:pPr>
              <w:spacing w:after="0"/>
            </w:pPr>
            <w:r/>
            <w:r>
              <w:rPr>
                <w:rFonts w:ascii="Arial" w:hAnsi="Arial"/>
                <w:b w:val="0"/>
                <w:sz w:val="16"/>
              </w:rPr>
              <w:t>Store resolution</w:t>
            </w:r>
          </w:p>
        </w:tc>
        <w:tc>
          <w:tcPr>
            <w:tcW w:type="dxa" w:w="5141"/>
            <w:vAlign w:val="center"/>
          </w:tcPr>
          <w:p>
            <w:pPr>
              <w:spacing w:after="0"/>
            </w:pPr>
            <w:r/>
            <w:r>
              <w:rPr>
                <w:rFonts w:ascii="Arial" w:hAnsi="Arial"/>
                <w:b w:val="0"/>
                <w:sz w:val="16"/>
              </w:rPr>
              <w:t>Final state, basis, escalation, limitations.</w:t>
            </w:r>
          </w:p>
        </w:tc>
      </w:tr>
      <w:tr>
        <w:tc>
          <w:tcPr>
            <w:tcW w:type="dxa" w:w="5141"/>
            <w:vAlign w:val="center"/>
          </w:tcPr>
          <w:p>
            <w:pPr>
              <w:spacing w:after="0"/>
            </w:pPr>
            <w:r/>
            <w:r>
              <w:rPr>
                <w:rFonts w:ascii="Arial" w:hAnsi="Arial"/>
                <w:b w:val="0"/>
                <w:sz w:val="16"/>
              </w:rPr>
              <w:t>Store explanation/recommendation</w:t>
            </w:r>
          </w:p>
        </w:tc>
        <w:tc>
          <w:tcPr>
            <w:tcW w:type="dxa" w:w="5141"/>
            <w:vAlign w:val="center"/>
          </w:tcPr>
          <w:p>
            <w:pPr>
              <w:spacing w:after="0"/>
            </w:pPr>
            <w:r/>
            <w:r>
              <w:rPr>
                <w:rFonts w:ascii="Arial" w:hAnsi="Arial"/>
                <w:b w:val="0"/>
                <w:sz w:val="16"/>
              </w:rPr>
              <w:t>Canonical versioned output.</w:t>
            </w:r>
          </w:p>
        </w:tc>
      </w:tr>
      <w:tr>
        <w:tc>
          <w:tcPr>
            <w:tcW w:type="dxa" w:w="5141"/>
            <w:vAlign w:val="center"/>
          </w:tcPr>
          <w:p>
            <w:pPr>
              <w:spacing w:after="0"/>
            </w:pPr>
            <w:r/>
            <w:r>
              <w:rPr>
                <w:rFonts w:ascii="Arial" w:hAnsi="Arial"/>
                <w:b w:val="0"/>
                <w:sz w:val="16"/>
              </w:rPr>
              <w:t>Update current pointer</w:t>
            </w:r>
          </w:p>
        </w:tc>
        <w:tc>
          <w:tcPr>
            <w:tcW w:type="dxa" w:w="5141"/>
            <w:vAlign w:val="center"/>
          </w:tcPr>
          <w:p>
            <w:pPr>
              <w:spacing w:after="0"/>
            </w:pPr>
            <w:r/>
            <w:r>
              <w:rPr>
                <w:rFonts w:ascii="Arial" w:hAnsi="Arial"/>
                <w:b w:val="0"/>
                <w:sz w:val="16"/>
              </w:rPr>
              <w:t>Only after the new assessment is complete.</w:t>
            </w:r>
          </w:p>
        </w:tc>
      </w:tr>
      <w:tr>
        <w:tc>
          <w:tcPr>
            <w:tcW w:type="dxa" w:w="5141"/>
            <w:vAlign w:val="center"/>
          </w:tcPr>
          <w:p>
            <w:pPr>
              <w:spacing w:after="0"/>
            </w:pPr>
            <w:r/>
            <w:r>
              <w:rPr>
                <w:rFonts w:ascii="Arial" w:hAnsi="Arial"/>
                <w:b w:val="0"/>
                <w:sz w:val="16"/>
              </w:rPr>
              <w:t>Audit</w:t>
            </w:r>
          </w:p>
        </w:tc>
        <w:tc>
          <w:tcPr>
            <w:tcW w:type="dxa" w:w="5141"/>
            <w:vAlign w:val="center"/>
          </w:tcPr>
          <w:p>
            <w:pPr>
              <w:spacing w:after="0"/>
            </w:pPr>
            <w:r/>
            <w:r>
              <w:rPr>
                <w:rFonts w:ascii="Arial" w:hAnsi="Arial"/>
                <w:b w:val="0"/>
                <w:sz w:val="16"/>
              </w:rPr>
              <w:t>Actor, request ID, trigger, and immutable creation event.</w:t>
            </w:r>
          </w:p>
        </w:tc>
      </w:tr>
      <w:tr>
        <w:tc>
          <w:tcPr>
            <w:tcW w:type="dxa" w:w="5141"/>
            <w:vAlign w:val="center"/>
          </w:tcPr>
          <w:p>
            <w:pPr>
              <w:spacing w:after="0"/>
            </w:pPr>
            <w:r/>
            <w:r>
              <w:rPr>
                <w:rFonts w:ascii="Arial" w:hAnsi="Arial"/>
                <w:b w:val="0"/>
                <w:sz w:val="16"/>
              </w:rPr>
              <w:t>Commit</w:t>
            </w:r>
          </w:p>
        </w:tc>
        <w:tc>
          <w:tcPr>
            <w:tcW w:type="dxa" w:w="5141"/>
            <w:vAlign w:val="center"/>
          </w:tcPr>
          <w:p>
            <w:pPr>
              <w:spacing w:after="0"/>
            </w:pPr>
            <w:r/>
            <w:r>
              <w:rPr>
                <w:rFonts w:ascii="Arial" w:hAnsi="Arial"/>
                <w:b w:val="0"/>
                <w:sz w:val="16"/>
              </w:rPr>
              <w:t>No partial assessment becomes current.</w:t>
            </w:r>
          </w:p>
        </w:tc>
      </w:tr>
      <w:tr>
        <w:tc>
          <w:tcPr>
            <w:tcW w:type="dxa" w:w="5141"/>
            <w:vAlign w:val="center"/>
          </w:tcPr>
          <w:p>
            <w:pPr>
              <w:spacing w:after="0"/>
            </w:pPr>
            <w:r/>
            <w:r>
              <w:rPr>
                <w:rFonts w:ascii="Arial" w:hAnsi="Arial"/>
                <w:b w:val="0"/>
                <w:sz w:val="16"/>
              </w:rPr>
              <w:t>After commit</w:t>
            </w:r>
          </w:p>
        </w:tc>
        <w:tc>
          <w:tcPr>
            <w:tcW w:type="dxa" w:w="5141"/>
            <w:vAlign w:val="center"/>
          </w:tcPr>
          <w:p>
            <w:pPr>
              <w:spacing w:after="0"/>
            </w:pPr>
            <w:r/>
            <w:r>
              <w:rPr>
                <w:rFonts w:ascii="Arial" w:hAnsi="Arial"/>
                <w:b w:val="0"/>
                <w:sz w:val="16"/>
              </w:rPr>
              <w:t>Dispatch referral offer, mail, print preparation, and monitoring events.</w:t>
            </w:r>
          </w:p>
        </w:tc>
      </w:tr>
    </w:tbl>
    <w:p>
      <w:pPr>
        <w:spacing w:after="0"/>
      </w:pPr>
    </w:p>
    <w:p>
      <w:pPr>
        <w:pStyle w:val="Heading1"/>
      </w:pPr>
      <w:r>
        <w:t>16. Idempotency, Concurrency, and Reassessment</w:t>
      </w:r>
    </w:p>
    <w:p>
      <w:pPr>
        <w:pStyle w:val="ListBullet"/>
        <w:spacing w:after="40"/>
      </w:pPr>
      <w:r>
        <w:t>A repeated request with the same idempotency key and unchanged source versions returns or references the same completed assessment rather than creating duplicates.</w:t>
      </w:r>
    </w:p>
    <w:p>
      <w:pPr>
        <w:pStyle w:val="ListBullet"/>
        <w:spacing w:after="40"/>
      </w:pPr>
      <w:r>
        <w:t>Concurrent edits are detected through timestamps, version columns, or a comparable optimistic-concurrency strategy.</w:t>
      </w:r>
    </w:p>
    <w:p>
      <w:pPr>
        <w:pStyle w:val="ListBullet"/>
        <w:spacing w:after="40"/>
      </w:pPr>
      <w:r>
        <w:t>If a source record changes during snapshot construction, execution restarts or fails visibly rather than mixing versions.</w:t>
      </w:r>
    </w:p>
    <w:p>
      <w:pPr>
        <w:pStyle w:val="ListBullet"/>
        <w:spacing w:after="40"/>
      </w:pPr>
      <w:r>
        <w:t>Only one assessment version is marked current for one episode and assessment context, while prior versions remain accessible.</w:t>
      </w:r>
    </w:p>
    <w:p>
      <w:pPr>
        <w:pStyle w:val="ListBullet"/>
        <w:spacing w:after="40"/>
      </w:pPr>
      <w:r>
        <w:t>Recalculation after Medical History, Ultrasound, or Birth Plan completion creates a new assessment version.</w:t>
      </w:r>
    </w:p>
    <w:p>
      <w:pPr>
        <w:pStyle w:val="ListBullet"/>
        <w:spacing w:after="40"/>
      </w:pPr>
      <w:r>
        <w:t>Editing delivered pregnancy records is blocked by server-side guards; authorized historical corrections use a separate audited workflow.</w:t>
      </w:r>
    </w:p>
    <w:p>
      <w:pPr>
        <w:pStyle w:val="ListBullet"/>
        <w:spacing w:after="40"/>
      </w:pPr>
      <w:r>
        <w:t>A new pregnancy starts a new episode and does not reuse the prior assessment chain.</w:t>
      </w:r>
    </w:p>
    <w:p>
      <w:pPr>
        <w:pStyle w:val="Heading1"/>
      </w:pPr>
      <w:r>
        <w:t>17. Failure Taxonomy and Safe Responses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Failure code</w:t>
            </w:r>
          </w:p>
        </w:tc>
        <w:tc>
          <w:tcPr>
            <w:tcW w:type="dxa" w:w="3427"/>
            <w:vAlign w:val="center"/>
            <w:shd w:fill="D9EAF7"/>
          </w:tcPr>
          <w:p>
            <w:pPr>
              <w:spacing w:after="0"/>
            </w:pPr>
            <w:r/>
            <w:r>
              <w:rPr>
                <w:rFonts w:ascii="Arial" w:hAnsi="Arial"/>
                <w:b/>
                <w:sz w:val="16"/>
              </w:rPr>
              <w:t>Example</w:t>
            </w:r>
          </w:p>
        </w:tc>
        <w:tc>
          <w:tcPr>
            <w:tcW w:type="dxa" w:w="3427"/>
            <w:vAlign w:val="center"/>
            <w:shd w:fill="D9EAF7"/>
          </w:tcPr>
          <w:p>
            <w:pPr>
              <w:spacing w:after="0"/>
            </w:pPr>
            <w:r/>
            <w:r>
              <w:rPr>
                <w:rFonts w:ascii="Arial" w:hAnsi="Arial"/>
                <w:b/>
                <w:sz w:val="16"/>
              </w:rPr>
              <w:t>Safe engine response</w:t>
            </w:r>
          </w:p>
        </w:tc>
      </w:tr>
      <w:tr>
        <w:tc>
          <w:tcPr>
            <w:tcW w:type="dxa" w:w="3427"/>
            <w:vAlign w:val="center"/>
          </w:tcPr>
          <w:p>
            <w:pPr>
              <w:spacing w:after="0"/>
            </w:pPr>
            <w:r/>
            <w:r>
              <w:rPr>
                <w:rFonts w:ascii="Arial" w:hAnsi="Arial"/>
                <w:b w:val="0"/>
                <w:sz w:val="16"/>
              </w:rPr>
              <w:t>DATA_OWNERSHIP_ERROR</w:t>
            </w:r>
          </w:p>
        </w:tc>
        <w:tc>
          <w:tcPr>
            <w:tcW w:type="dxa" w:w="3427"/>
            <w:vAlign w:val="center"/>
          </w:tcPr>
          <w:p>
            <w:pPr>
              <w:spacing w:after="0"/>
            </w:pPr>
            <w:r/>
            <w:r>
              <w:rPr>
                <w:rFonts w:ascii="Arial" w:hAnsi="Arial"/>
                <w:b w:val="0"/>
                <w:sz w:val="16"/>
              </w:rPr>
              <w:t>Record belongs to another patient or episode.</w:t>
            </w:r>
          </w:p>
        </w:tc>
        <w:tc>
          <w:tcPr>
            <w:tcW w:type="dxa" w:w="3427"/>
            <w:vAlign w:val="center"/>
          </w:tcPr>
          <w:p>
            <w:pPr>
              <w:spacing w:after="0"/>
            </w:pPr>
            <w:r/>
            <w:r>
              <w:rPr>
                <w:rFonts w:ascii="Arial" w:hAnsi="Arial"/>
                <w:b w:val="0"/>
                <w:sz w:val="16"/>
              </w:rPr>
              <w:t>Block; no assessment current update; security/integrity log.</w:t>
            </w:r>
          </w:p>
        </w:tc>
      </w:tr>
      <w:tr>
        <w:tc>
          <w:tcPr>
            <w:tcW w:type="dxa" w:w="3427"/>
            <w:vAlign w:val="center"/>
          </w:tcPr>
          <w:p>
            <w:pPr>
              <w:spacing w:after="0"/>
            </w:pPr>
            <w:r/>
            <w:r>
              <w:rPr>
                <w:rFonts w:ascii="Arial" w:hAnsi="Arial"/>
                <w:b w:val="0"/>
                <w:sz w:val="16"/>
              </w:rPr>
              <w:t>DATA_INVALID</w:t>
            </w:r>
          </w:p>
        </w:tc>
        <w:tc>
          <w:tcPr>
            <w:tcW w:type="dxa" w:w="3427"/>
            <w:vAlign w:val="center"/>
          </w:tcPr>
          <w:p>
            <w:pPr>
              <w:spacing w:after="0"/>
            </w:pPr>
            <w:r/>
            <w:r>
              <w:rPr>
                <w:rFonts w:ascii="Arial" w:hAnsi="Arial"/>
                <w:b w:val="0"/>
                <w:sz w:val="16"/>
              </w:rPr>
              <w:t>Malformed BP or unsupported vocabulary.</w:t>
            </w:r>
          </w:p>
        </w:tc>
        <w:tc>
          <w:tcPr>
            <w:tcW w:type="dxa" w:w="3427"/>
            <w:vAlign w:val="center"/>
          </w:tcPr>
          <w:p>
            <w:pPr>
              <w:spacing w:after="0"/>
            </w:pPr>
            <w:r/>
            <w:r>
              <w:rPr>
                <w:rFonts w:ascii="Arial" w:hAnsi="Arial"/>
                <w:b w:val="0"/>
                <w:sz w:val="16"/>
              </w:rPr>
              <w:t>INCOMPLETE when safe to persist; list invalid fields.</w:t>
            </w:r>
          </w:p>
        </w:tc>
      </w:tr>
      <w:tr>
        <w:tc>
          <w:tcPr>
            <w:tcW w:type="dxa" w:w="3427"/>
            <w:vAlign w:val="center"/>
          </w:tcPr>
          <w:p>
            <w:pPr>
              <w:spacing w:after="0"/>
            </w:pPr>
            <w:r/>
            <w:r>
              <w:rPr>
                <w:rFonts w:ascii="Arial" w:hAnsi="Arial"/>
                <w:b w:val="0"/>
                <w:sz w:val="16"/>
              </w:rPr>
              <w:t>DATA_CONFLICT</w:t>
            </w:r>
          </w:p>
        </w:tc>
        <w:tc>
          <w:tcPr>
            <w:tcW w:type="dxa" w:w="3427"/>
            <w:vAlign w:val="center"/>
          </w:tcPr>
          <w:p>
            <w:pPr>
              <w:spacing w:after="0"/>
            </w:pPr>
            <w:r/>
            <w:r>
              <w:rPr>
                <w:rFonts w:ascii="Arial" w:hAnsi="Arial"/>
                <w:b w:val="0"/>
                <w:sz w:val="16"/>
              </w:rPr>
              <w:t>Two active values disagree.</w:t>
            </w:r>
          </w:p>
        </w:tc>
        <w:tc>
          <w:tcPr>
            <w:tcW w:type="dxa" w:w="3427"/>
            <w:vAlign w:val="center"/>
          </w:tcPr>
          <w:p>
            <w:pPr>
              <w:spacing w:after="0"/>
            </w:pPr>
            <w:r/>
            <w:r>
              <w:rPr>
                <w:rFonts w:ascii="Arial" w:hAnsi="Arial"/>
                <w:b w:val="0"/>
                <w:sz w:val="16"/>
              </w:rPr>
              <w:t>INCOMPLETE unless deterministic HIGH is already verified; conflict visible.</w:t>
            </w:r>
          </w:p>
        </w:tc>
      </w:tr>
      <w:tr>
        <w:tc>
          <w:tcPr>
            <w:tcW w:type="dxa" w:w="3427"/>
            <w:vAlign w:val="center"/>
          </w:tcPr>
          <w:p>
            <w:pPr>
              <w:spacing w:after="0"/>
            </w:pPr>
            <w:r/>
            <w:r>
              <w:rPr>
                <w:rFonts w:ascii="Arial" w:hAnsi="Arial"/>
                <w:b w:val="0"/>
                <w:sz w:val="16"/>
              </w:rPr>
              <w:t>SNAPSHOT_CHANGED</w:t>
            </w:r>
          </w:p>
        </w:tc>
        <w:tc>
          <w:tcPr>
            <w:tcW w:type="dxa" w:w="3427"/>
            <w:vAlign w:val="center"/>
          </w:tcPr>
          <w:p>
            <w:pPr>
              <w:spacing w:after="0"/>
            </w:pPr>
            <w:r/>
            <w:r>
              <w:rPr>
                <w:rFonts w:ascii="Arial" w:hAnsi="Arial"/>
                <w:b w:val="0"/>
                <w:sz w:val="16"/>
              </w:rPr>
              <w:t>Source updated during execution.</w:t>
            </w:r>
          </w:p>
        </w:tc>
        <w:tc>
          <w:tcPr>
            <w:tcW w:type="dxa" w:w="3427"/>
            <w:vAlign w:val="center"/>
          </w:tcPr>
          <w:p>
            <w:pPr>
              <w:spacing w:after="0"/>
            </w:pPr>
            <w:r/>
            <w:r>
              <w:rPr>
                <w:rFonts w:ascii="Arial" w:hAnsi="Arial"/>
                <w:b w:val="0"/>
                <w:sz w:val="16"/>
              </w:rPr>
              <w:t>Retry or ask user to reassess; no mixed snapshot.</w:t>
            </w:r>
          </w:p>
        </w:tc>
      </w:tr>
      <w:tr>
        <w:tc>
          <w:tcPr>
            <w:tcW w:type="dxa" w:w="3427"/>
            <w:vAlign w:val="center"/>
          </w:tcPr>
          <w:p>
            <w:pPr>
              <w:spacing w:after="0"/>
            </w:pPr>
            <w:r/>
            <w:r>
              <w:rPr>
                <w:rFonts w:ascii="Arial" w:hAnsi="Arial"/>
                <w:b w:val="0"/>
                <w:sz w:val="16"/>
              </w:rPr>
              <w:t>FEATURE_CONTRACT_ERROR</w:t>
            </w:r>
          </w:p>
        </w:tc>
        <w:tc>
          <w:tcPr>
            <w:tcW w:type="dxa" w:w="3427"/>
            <w:vAlign w:val="center"/>
          </w:tcPr>
          <w:p>
            <w:pPr>
              <w:spacing w:after="0"/>
            </w:pPr>
            <w:r/>
            <w:r>
              <w:rPr>
                <w:rFonts w:ascii="Arial" w:hAnsi="Arial"/>
                <w:b w:val="0"/>
                <w:sz w:val="16"/>
              </w:rPr>
              <w:t>Missing, reordered, or unsupported feature.</w:t>
            </w:r>
          </w:p>
        </w:tc>
        <w:tc>
          <w:tcPr>
            <w:tcW w:type="dxa" w:w="3427"/>
            <w:vAlign w:val="center"/>
          </w:tcPr>
          <w:p>
            <w:pPr>
              <w:spacing w:after="0"/>
            </w:pPr>
            <w:r/>
            <w:r>
              <w:rPr>
                <w:rFonts w:ascii="Arial" w:hAnsi="Arial"/>
                <w:b w:val="0"/>
                <w:sz w:val="16"/>
              </w:rPr>
              <w:t>ML not invoked or rejected; no false LOW.</w:t>
            </w:r>
          </w:p>
        </w:tc>
      </w:tr>
      <w:tr>
        <w:tc>
          <w:tcPr>
            <w:tcW w:type="dxa" w:w="3427"/>
            <w:vAlign w:val="center"/>
          </w:tcPr>
          <w:p>
            <w:pPr>
              <w:spacing w:after="0"/>
            </w:pPr>
            <w:r/>
            <w:r>
              <w:rPr>
                <w:rFonts w:ascii="Arial" w:hAnsi="Arial"/>
                <w:b w:val="0"/>
                <w:sz w:val="16"/>
              </w:rPr>
              <w:t>PYTHON_NOT_FOUND</w:t>
            </w:r>
          </w:p>
        </w:tc>
        <w:tc>
          <w:tcPr>
            <w:tcW w:type="dxa" w:w="3427"/>
            <w:vAlign w:val="center"/>
          </w:tcPr>
          <w:p>
            <w:pPr>
              <w:spacing w:after="0"/>
            </w:pPr>
            <w:r/>
            <w:r>
              <w:rPr>
                <w:rFonts w:ascii="Arial" w:hAnsi="Arial"/>
                <w:b w:val="0"/>
                <w:sz w:val="16"/>
              </w:rPr>
              <w:t>Configured executable unavailable.</w:t>
            </w:r>
          </w:p>
        </w:tc>
        <w:tc>
          <w:tcPr>
            <w:tcW w:type="dxa" w:w="3427"/>
            <w:vAlign w:val="center"/>
          </w:tcPr>
          <w:p>
            <w:pPr>
              <w:spacing w:after="0"/>
            </w:pPr>
            <w:r/>
            <w:r>
              <w:rPr>
                <w:rFonts w:ascii="Arial" w:hAnsi="Arial"/>
                <w:b w:val="0"/>
                <w:sz w:val="16"/>
              </w:rPr>
              <w:t>ML_UNAVAILABLE; rule HIGH retained; otherwise INCOMPLETE.</w:t>
            </w:r>
          </w:p>
        </w:tc>
      </w:tr>
      <w:tr>
        <w:tc>
          <w:tcPr>
            <w:tcW w:type="dxa" w:w="3427"/>
            <w:vAlign w:val="center"/>
          </w:tcPr>
          <w:p>
            <w:pPr>
              <w:spacing w:after="0"/>
            </w:pPr>
            <w:r/>
            <w:r>
              <w:rPr>
                <w:rFonts w:ascii="Arial" w:hAnsi="Arial"/>
                <w:b w:val="0"/>
                <w:sz w:val="16"/>
              </w:rPr>
              <w:t>PROCESS_TIMEOUT</w:t>
            </w:r>
          </w:p>
        </w:tc>
        <w:tc>
          <w:tcPr>
            <w:tcW w:type="dxa" w:w="3427"/>
            <w:vAlign w:val="center"/>
          </w:tcPr>
          <w:p>
            <w:pPr>
              <w:spacing w:after="0"/>
            </w:pPr>
            <w:r/>
            <w:r>
              <w:rPr>
                <w:rFonts w:ascii="Arial" w:hAnsi="Arial"/>
                <w:b w:val="0"/>
                <w:sz w:val="16"/>
              </w:rPr>
              <w:t>Inference exceeds timeout.</w:t>
            </w:r>
          </w:p>
        </w:tc>
        <w:tc>
          <w:tcPr>
            <w:tcW w:type="dxa" w:w="3427"/>
            <w:vAlign w:val="center"/>
          </w:tcPr>
          <w:p>
            <w:pPr>
              <w:spacing w:after="0"/>
            </w:pPr>
            <w:r/>
            <w:r>
              <w:rPr>
                <w:rFonts w:ascii="Arial" w:hAnsi="Arial"/>
                <w:b w:val="0"/>
                <w:sz w:val="16"/>
              </w:rPr>
              <w:t>Terminate; log; safe fallback.</w:t>
            </w:r>
          </w:p>
        </w:tc>
      </w:tr>
      <w:tr>
        <w:tc>
          <w:tcPr>
            <w:tcW w:type="dxa" w:w="3427"/>
            <w:vAlign w:val="center"/>
          </w:tcPr>
          <w:p>
            <w:pPr>
              <w:spacing w:after="0"/>
            </w:pPr>
            <w:r/>
            <w:r>
              <w:rPr>
                <w:rFonts w:ascii="Arial" w:hAnsi="Arial"/>
                <w:b w:val="0"/>
                <w:sz w:val="16"/>
              </w:rPr>
              <w:t>MODEL_HASH_MISMATCH</w:t>
            </w:r>
          </w:p>
        </w:tc>
        <w:tc>
          <w:tcPr>
            <w:tcW w:type="dxa" w:w="3427"/>
            <w:vAlign w:val="center"/>
          </w:tcPr>
          <w:p>
            <w:pPr>
              <w:spacing w:after="0"/>
            </w:pPr>
            <w:r/>
            <w:r>
              <w:rPr>
                <w:rFonts w:ascii="Arial" w:hAnsi="Arial"/>
                <w:b w:val="0"/>
                <w:sz w:val="16"/>
              </w:rPr>
              <w:t>Loaded artifact differs from approved version.</w:t>
            </w:r>
          </w:p>
        </w:tc>
        <w:tc>
          <w:tcPr>
            <w:tcW w:type="dxa" w:w="3427"/>
            <w:vAlign w:val="center"/>
          </w:tcPr>
          <w:p>
            <w:pPr>
              <w:spacing w:after="0"/>
            </w:pPr>
            <w:r/>
            <w:r>
              <w:rPr>
                <w:rFonts w:ascii="Arial" w:hAnsi="Arial"/>
                <w:b w:val="0"/>
                <w:sz w:val="16"/>
              </w:rPr>
              <w:t>Block ML acceptance and raise deployment incident.</w:t>
            </w:r>
          </w:p>
        </w:tc>
      </w:tr>
      <w:tr>
        <w:tc>
          <w:tcPr>
            <w:tcW w:type="dxa" w:w="3427"/>
            <w:vAlign w:val="center"/>
          </w:tcPr>
          <w:p>
            <w:pPr>
              <w:spacing w:after="0"/>
            </w:pPr>
            <w:r/>
            <w:r>
              <w:rPr>
                <w:rFonts w:ascii="Arial" w:hAnsi="Arial"/>
                <w:b w:val="0"/>
                <w:sz w:val="16"/>
              </w:rPr>
              <w:t>ML_INVALID_OUTPUT</w:t>
            </w:r>
          </w:p>
        </w:tc>
        <w:tc>
          <w:tcPr>
            <w:tcW w:type="dxa" w:w="3427"/>
            <w:vAlign w:val="center"/>
          </w:tcPr>
          <w:p>
            <w:pPr>
              <w:spacing w:after="0"/>
            </w:pPr>
            <w:r/>
            <w:r>
              <w:rPr>
                <w:rFonts w:ascii="Arial" w:hAnsi="Arial"/>
                <w:b w:val="0"/>
                <w:sz w:val="16"/>
              </w:rPr>
              <w:t>Blank, ERROR, MODERATE, malformed JSON.</w:t>
            </w:r>
          </w:p>
        </w:tc>
        <w:tc>
          <w:tcPr>
            <w:tcW w:type="dxa" w:w="3427"/>
            <w:vAlign w:val="center"/>
          </w:tcPr>
          <w:p>
            <w:pPr>
              <w:spacing w:after="0"/>
            </w:pPr>
            <w:r/>
            <w:r>
              <w:rPr>
                <w:rFonts w:ascii="Arial" w:hAnsi="Arial"/>
                <w:b w:val="0"/>
                <w:sz w:val="16"/>
              </w:rPr>
              <w:t>Reject; rule HIGH retained; otherwise INCOMPLETE.</w:t>
            </w:r>
          </w:p>
        </w:tc>
      </w:tr>
      <w:tr>
        <w:tc>
          <w:tcPr>
            <w:tcW w:type="dxa" w:w="3427"/>
            <w:vAlign w:val="center"/>
          </w:tcPr>
          <w:p>
            <w:pPr>
              <w:spacing w:after="0"/>
            </w:pPr>
            <w:r/>
            <w:r>
              <w:rPr>
                <w:rFonts w:ascii="Arial" w:hAnsi="Arial"/>
                <w:b w:val="0"/>
                <w:sz w:val="16"/>
              </w:rPr>
              <w:t>PERSISTENCE_FAILURE</w:t>
            </w:r>
          </w:p>
        </w:tc>
        <w:tc>
          <w:tcPr>
            <w:tcW w:type="dxa" w:w="3427"/>
            <w:vAlign w:val="center"/>
          </w:tcPr>
          <w:p>
            <w:pPr>
              <w:spacing w:after="0"/>
            </w:pPr>
            <w:r/>
            <w:r>
              <w:rPr>
                <w:rFonts w:ascii="Arial" w:hAnsi="Arial"/>
                <w:b w:val="0"/>
                <w:sz w:val="16"/>
              </w:rPr>
              <w:t>Transaction or database error.</w:t>
            </w:r>
          </w:p>
        </w:tc>
        <w:tc>
          <w:tcPr>
            <w:tcW w:type="dxa" w:w="3427"/>
            <w:vAlign w:val="center"/>
          </w:tcPr>
          <w:p>
            <w:pPr>
              <w:spacing w:after="0"/>
            </w:pPr>
            <w:r/>
            <w:r>
              <w:rPr>
                <w:rFonts w:ascii="Arial" w:hAnsi="Arial"/>
                <w:b w:val="0"/>
                <w:sz w:val="16"/>
              </w:rPr>
              <w:t>Rollback; no partial current result; user informed.</w:t>
            </w:r>
          </w:p>
        </w:tc>
      </w:tr>
      <w:tr>
        <w:tc>
          <w:tcPr>
            <w:tcW w:type="dxa" w:w="3427"/>
            <w:vAlign w:val="center"/>
          </w:tcPr>
          <w:p>
            <w:pPr>
              <w:spacing w:after="0"/>
            </w:pPr>
            <w:r/>
            <w:r>
              <w:rPr>
                <w:rFonts w:ascii="Arial" w:hAnsi="Arial"/>
                <w:b w:val="0"/>
                <w:sz w:val="16"/>
              </w:rPr>
              <w:t>POST_COMMIT_FAILURE</w:t>
            </w:r>
          </w:p>
        </w:tc>
        <w:tc>
          <w:tcPr>
            <w:tcW w:type="dxa" w:w="3427"/>
            <w:vAlign w:val="center"/>
          </w:tcPr>
          <w:p>
            <w:pPr>
              <w:spacing w:after="0"/>
            </w:pPr>
            <w:r/>
            <w:r>
              <w:rPr>
                <w:rFonts w:ascii="Arial" w:hAnsi="Arial"/>
                <w:b w:val="0"/>
                <w:sz w:val="16"/>
              </w:rPr>
              <w:t>Email or queue failure.</w:t>
            </w:r>
          </w:p>
        </w:tc>
        <w:tc>
          <w:tcPr>
            <w:tcW w:type="dxa" w:w="3427"/>
            <w:vAlign w:val="center"/>
          </w:tcPr>
          <w:p>
            <w:pPr>
              <w:spacing w:after="0"/>
            </w:pPr>
            <w:r/>
            <w:r>
              <w:rPr>
                <w:rFonts w:ascii="Arial" w:hAnsi="Arial"/>
                <w:b w:val="0"/>
                <w:sz w:val="16"/>
              </w:rPr>
              <w:t>Assessment remains valid; operational failure logged and retried.</w:t>
            </w:r>
          </w:p>
        </w:tc>
      </w:tr>
      <w:tr>
        <w:tc>
          <w:tcPr>
            <w:tcW w:type="dxa" w:w="3427"/>
            <w:vAlign w:val="center"/>
          </w:tcPr>
          <w:p>
            <w:pPr>
              <w:spacing w:after="0"/>
            </w:pPr>
            <w:r/>
            <w:r>
              <w:rPr>
                <w:rFonts w:ascii="Arial" w:hAnsi="Arial"/>
                <w:b w:val="0"/>
                <w:sz w:val="16"/>
              </w:rPr>
              <w:t>UNKNOWN_ENGINE_ERROR</w:t>
            </w:r>
          </w:p>
        </w:tc>
        <w:tc>
          <w:tcPr>
            <w:tcW w:type="dxa" w:w="3427"/>
            <w:vAlign w:val="center"/>
          </w:tcPr>
          <w:p>
            <w:pPr>
              <w:spacing w:after="0"/>
            </w:pPr>
            <w:r/>
            <w:r>
              <w:rPr>
                <w:rFonts w:ascii="Arial" w:hAnsi="Arial"/>
                <w:b w:val="0"/>
                <w:sz w:val="16"/>
              </w:rPr>
              <w:t>Unexpected exception.</w:t>
            </w:r>
          </w:p>
        </w:tc>
        <w:tc>
          <w:tcPr>
            <w:tcW w:type="dxa" w:w="3427"/>
            <w:vAlign w:val="center"/>
          </w:tcPr>
          <w:p>
            <w:pPr>
              <w:spacing w:after="0"/>
            </w:pPr>
            <w:r/>
            <w:r>
              <w:rPr>
                <w:rFonts w:ascii="Arial" w:hAnsi="Arial"/>
                <w:b w:val="0"/>
                <w:sz w:val="16"/>
              </w:rPr>
              <w:t>Fail closed, preserve urgent/manual pathway, incident log.</w:t>
            </w:r>
          </w:p>
        </w:tc>
      </w:tr>
    </w:tbl>
    <w:p>
      <w:pPr>
        <w:spacing w:after="0"/>
      </w:pPr>
    </w:p>
    <w:p>
      <w:pPr>
        <w:pStyle w:val="Heading1"/>
      </w:pPr>
      <w:r>
        <w:t>18. Suggested Laravel Interfaces</w:t>
      </w:r>
    </w:p>
    <w:tbl>
      <w:tblPr>
        <w:tblStyle w:val="TableGrid"/>
        <w:tblW w:type="auto" w:w="0"/>
        <w:jc w:val="center"/>
        <w:tblLook w:firstColumn="1" w:firstRow="1" w:lastColumn="0" w:lastRow="0" w:noHBand="0" w:noVBand="1" w:val="04A0"/>
      </w:tblPr>
      <w:tblGrid>
        <w:gridCol w:w="10282"/>
      </w:tblGrid>
      <w:tr>
        <w:tc>
          <w:tcPr>
            <w:tcW w:type="dxa" w:w="10282"/>
            <w:shd w:fill="E2F0D9"/>
          </w:tcPr>
          <w:p>
            <w:r/>
            <w:r>
              <w:rPr>
                <w:rFonts w:ascii="Arial" w:hAnsi="Arial"/>
                <w:b/>
                <w:sz w:val="18"/>
              </w:rPr>
              <w:t>Illustrative service contracts</w:t>
            </w:r>
          </w:p>
          <w:p>
            <w:pPr>
              <w:spacing w:after="0"/>
            </w:pPr>
            <w:r>
              <w:rPr>
                <w:rFonts w:ascii="Arial" w:hAnsi="Arial"/>
                <w:sz w:val="17"/>
              </w:rPr>
              <w:t>interface ClinicalDecisionService {</w:t>
              <w:br/>
              <w:t xml:space="preserve">  public function assess(AssessmentRequest $request): AssessmentResult;</w:t>
              <w:br/>
              <w:t>}</w:t>
              <w:br/>
              <w:br/>
              <w:t>interface RuleEngine {</w:t>
              <w:br/>
              <w:t xml:space="preserve">  public function evaluate(AssessmentSnapshot $snapshot): RuleEvaluation;</w:t>
              <w:br/>
              <w:t>}</w:t>
              <w:br/>
              <w:br/>
              <w:t>interface MlInferencePort {</w:t>
              <w:br/>
              <w:t xml:space="preserve">  public function predict(FeatureVector $features): MlResult;</w:t>
              <w:br/>
              <w:t>}</w:t>
              <w:br/>
              <w:br/>
              <w:t>interface AssessmentRepository {</w:t>
              <w:br/>
              <w:t xml:space="preserve">  public function persist(AssessmentResult $result): PersistedAssessment;</w:t>
              <w:br/>
              <w:t>}</w:t>
            </w:r>
          </w:p>
        </w:tc>
      </w:tr>
    </w:tbl>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Object</w:t>
            </w:r>
          </w:p>
        </w:tc>
        <w:tc>
          <w:tcPr>
            <w:tcW w:type="dxa" w:w="5141"/>
            <w:vAlign w:val="center"/>
            <w:shd w:fill="D9EAF7"/>
          </w:tcPr>
          <w:p>
            <w:pPr>
              <w:spacing w:after="0"/>
            </w:pPr>
            <w:r/>
            <w:r>
              <w:rPr>
                <w:rFonts w:ascii="Arial" w:hAnsi="Arial"/>
                <w:b/>
                <w:sz w:val="16"/>
              </w:rPr>
              <w:t>Representative fields</w:t>
            </w:r>
          </w:p>
        </w:tc>
      </w:tr>
      <w:tr>
        <w:tc>
          <w:tcPr>
            <w:tcW w:type="dxa" w:w="5141"/>
            <w:vAlign w:val="center"/>
          </w:tcPr>
          <w:p>
            <w:pPr>
              <w:spacing w:after="0"/>
            </w:pPr>
            <w:r/>
            <w:r>
              <w:rPr>
                <w:rFonts w:ascii="Arial" w:hAnsi="Arial"/>
                <w:b w:val="0"/>
                <w:sz w:val="16"/>
              </w:rPr>
              <w:t>AssessmentRequest</w:t>
            </w:r>
          </w:p>
        </w:tc>
        <w:tc>
          <w:tcPr>
            <w:tcW w:type="dxa" w:w="5141"/>
            <w:vAlign w:val="center"/>
          </w:tcPr>
          <w:p>
            <w:pPr>
              <w:spacing w:after="0"/>
            </w:pPr>
            <w:r/>
            <w:r>
              <w:rPr>
                <w:rFonts w:ascii="Arial" w:hAnsi="Arial"/>
                <w:b w:val="0"/>
                <w:sz w:val="16"/>
              </w:rPr>
              <w:t>IDs, trigger, actor, request ID, manual escalation, expected source versions.</w:t>
            </w:r>
          </w:p>
        </w:tc>
      </w:tr>
      <w:tr>
        <w:tc>
          <w:tcPr>
            <w:tcW w:type="dxa" w:w="5141"/>
            <w:vAlign w:val="center"/>
          </w:tcPr>
          <w:p>
            <w:pPr>
              <w:spacing w:after="0"/>
            </w:pPr>
            <w:r/>
            <w:r>
              <w:rPr>
                <w:rFonts w:ascii="Arial" w:hAnsi="Arial"/>
                <w:b w:val="0"/>
                <w:sz w:val="16"/>
              </w:rPr>
              <w:t>AssessmentSnapshot</w:t>
            </w:r>
          </w:p>
        </w:tc>
        <w:tc>
          <w:tcPr>
            <w:tcW w:type="dxa" w:w="5141"/>
            <w:vAlign w:val="center"/>
          </w:tcPr>
          <w:p>
            <w:pPr>
              <w:spacing w:after="0"/>
            </w:pPr>
            <w:r/>
            <w:r>
              <w:rPr>
                <w:rFonts w:ascii="Arial" w:hAnsi="Arial"/>
                <w:b w:val="0"/>
                <w:sz w:val="16"/>
              </w:rPr>
              <w:t>Frozen source values, provenance, data-quality states, artifact versions.</w:t>
            </w:r>
          </w:p>
        </w:tc>
      </w:tr>
      <w:tr>
        <w:tc>
          <w:tcPr>
            <w:tcW w:type="dxa" w:w="5141"/>
            <w:vAlign w:val="center"/>
          </w:tcPr>
          <w:p>
            <w:pPr>
              <w:spacing w:after="0"/>
            </w:pPr>
            <w:r/>
            <w:r>
              <w:rPr>
                <w:rFonts w:ascii="Arial" w:hAnsi="Arial"/>
                <w:b w:val="0"/>
                <w:sz w:val="16"/>
              </w:rPr>
              <w:t>CompletenessReport</w:t>
            </w:r>
          </w:p>
        </w:tc>
        <w:tc>
          <w:tcPr>
            <w:tcW w:type="dxa" w:w="5141"/>
            <w:vAlign w:val="center"/>
          </w:tcPr>
          <w:p>
            <w:pPr>
              <w:spacing w:after="0"/>
            </w:pPr>
            <w:r/>
            <w:r>
              <w:rPr>
                <w:rFonts w:ascii="Arial" w:hAnsi="Arial"/>
                <w:b w:val="0"/>
                <w:sz w:val="16"/>
              </w:rPr>
              <w:t>Complete-for-LOW, ML eligibility, missing, invalid, conflicts, limitations.</w:t>
            </w:r>
          </w:p>
        </w:tc>
      </w:tr>
      <w:tr>
        <w:tc>
          <w:tcPr>
            <w:tcW w:type="dxa" w:w="5141"/>
            <w:vAlign w:val="center"/>
          </w:tcPr>
          <w:p>
            <w:pPr>
              <w:spacing w:after="0"/>
            </w:pPr>
            <w:r/>
            <w:r>
              <w:rPr>
                <w:rFonts w:ascii="Arial" w:hAnsi="Arial"/>
                <w:b w:val="0"/>
                <w:sz w:val="16"/>
              </w:rPr>
              <w:t>RuleEvaluation</w:t>
            </w:r>
          </w:p>
        </w:tc>
        <w:tc>
          <w:tcPr>
            <w:tcW w:type="dxa" w:w="5141"/>
            <w:vAlign w:val="center"/>
          </w:tcPr>
          <w:p>
            <w:pPr>
              <w:spacing w:after="0"/>
            </w:pPr>
            <w:r/>
            <w:r>
              <w:rPr>
                <w:rFonts w:ascii="Arial" w:hAnsi="Arial"/>
                <w:b w:val="0"/>
                <w:sz w:val="16"/>
              </w:rPr>
              <w:t>Matched RuleMatch collection and highest default escalation.</w:t>
            </w:r>
          </w:p>
        </w:tc>
      </w:tr>
      <w:tr>
        <w:tc>
          <w:tcPr>
            <w:tcW w:type="dxa" w:w="5141"/>
            <w:vAlign w:val="center"/>
          </w:tcPr>
          <w:p>
            <w:pPr>
              <w:spacing w:after="0"/>
            </w:pPr>
            <w:r/>
            <w:r>
              <w:rPr>
                <w:rFonts w:ascii="Arial" w:hAnsi="Arial"/>
                <w:b w:val="0"/>
                <w:sz w:val="16"/>
              </w:rPr>
              <w:t>FeatureVector</w:t>
            </w:r>
          </w:p>
        </w:tc>
        <w:tc>
          <w:tcPr>
            <w:tcW w:type="dxa" w:w="5141"/>
            <w:vAlign w:val="center"/>
          </w:tcPr>
          <w:p>
            <w:pPr>
              <w:spacing w:after="0"/>
            </w:pPr>
            <w:r/>
            <w:r>
              <w:rPr>
                <w:rFonts w:ascii="Arial" w:hAnsi="Arial"/>
                <w:b w:val="0"/>
                <w:sz w:val="16"/>
              </w:rPr>
              <w:t>Schema version, ordered names, values, provenance map.</w:t>
            </w:r>
          </w:p>
        </w:tc>
      </w:tr>
      <w:tr>
        <w:tc>
          <w:tcPr>
            <w:tcW w:type="dxa" w:w="5141"/>
            <w:vAlign w:val="center"/>
          </w:tcPr>
          <w:p>
            <w:pPr>
              <w:spacing w:after="0"/>
            </w:pPr>
            <w:r/>
            <w:r>
              <w:rPr>
                <w:rFonts w:ascii="Arial" w:hAnsi="Arial"/>
                <w:b w:val="0"/>
                <w:sz w:val="16"/>
              </w:rPr>
              <w:t>MlResult</w:t>
            </w:r>
          </w:p>
        </w:tc>
        <w:tc>
          <w:tcPr>
            <w:tcW w:type="dxa" w:w="5141"/>
            <w:vAlign w:val="center"/>
          </w:tcPr>
          <w:p>
            <w:pPr>
              <w:spacing w:after="0"/>
            </w:pPr>
            <w:r/>
            <w:r>
              <w:rPr>
                <w:rFonts w:ascii="Arial" w:hAnsi="Arial"/>
                <w:b w:val="0"/>
                <w:sz w:val="16"/>
              </w:rPr>
              <w:t>OK/INVALID/UNAVAILABLE, HIGH/LOW when valid, versions, duration, error code.</w:t>
            </w:r>
          </w:p>
        </w:tc>
      </w:tr>
      <w:tr>
        <w:tc>
          <w:tcPr>
            <w:tcW w:type="dxa" w:w="5141"/>
            <w:vAlign w:val="center"/>
          </w:tcPr>
          <w:p>
            <w:pPr>
              <w:spacing w:after="0"/>
            </w:pPr>
            <w:r/>
            <w:r>
              <w:rPr>
                <w:rFonts w:ascii="Arial" w:hAnsi="Arial"/>
                <w:b w:val="0"/>
                <w:sz w:val="16"/>
              </w:rPr>
              <w:t>Resolution</w:t>
            </w:r>
          </w:p>
        </w:tc>
        <w:tc>
          <w:tcPr>
            <w:tcW w:type="dxa" w:w="5141"/>
            <w:vAlign w:val="center"/>
          </w:tcPr>
          <w:p>
            <w:pPr>
              <w:spacing w:after="0"/>
            </w:pPr>
            <w:r/>
            <w:r>
              <w:rPr>
                <w:rFonts w:ascii="Arial" w:hAnsi="Arial"/>
                <w:b w:val="0"/>
                <w:sz w:val="16"/>
              </w:rPr>
              <w:t>Final state, basis, escalation input, reason codes.</w:t>
            </w:r>
          </w:p>
        </w:tc>
      </w:tr>
      <w:tr>
        <w:tc>
          <w:tcPr>
            <w:tcW w:type="dxa" w:w="5141"/>
            <w:vAlign w:val="center"/>
          </w:tcPr>
          <w:p>
            <w:pPr>
              <w:spacing w:after="0"/>
            </w:pPr>
            <w:r/>
            <w:r>
              <w:rPr>
                <w:rFonts w:ascii="Arial" w:hAnsi="Arial"/>
                <w:b w:val="0"/>
                <w:sz w:val="16"/>
              </w:rPr>
              <w:t>AssessmentResult</w:t>
            </w:r>
          </w:p>
        </w:tc>
        <w:tc>
          <w:tcPr>
            <w:tcW w:type="dxa" w:w="5141"/>
            <w:vAlign w:val="center"/>
          </w:tcPr>
          <w:p>
            <w:pPr>
              <w:spacing w:after="0"/>
            </w:pPr>
            <w:r/>
            <w:r>
              <w:rPr>
                <w:rFonts w:ascii="Arial" w:hAnsi="Arial"/>
                <w:b w:val="0"/>
                <w:sz w:val="16"/>
              </w:rPr>
              <w:t>All canonical persisted and displayed outputs.</w:t>
            </w:r>
          </w:p>
        </w:tc>
      </w:tr>
    </w:tbl>
    <w:p>
      <w:pPr>
        <w:spacing w:after="0"/>
      </w:pPr>
    </w:p>
    <w:p>
      <w:pPr>
        <w:pStyle w:val="Heading1"/>
      </w:pPr>
      <w:r>
        <w:t>19. Suggested Source-Code Organization</w:t>
      </w:r>
    </w:p>
    <w:tbl>
      <w:tblPr>
        <w:tblStyle w:val="TableGrid"/>
        <w:tblW w:type="auto" w:w="0"/>
        <w:jc w:val="center"/>
        <w:tblLook w:firstColumn="1" w:firstRow="1" w:lastColumn="0" w:lastRow="0" w:noHBand="0" w:noVBand="1" w:val="04A0"/>
      </w:tblPr>
      <w:tblGrid>
        <w:gridCol w:w="10282"/>
      </w:tblGrid>
      <w:tr>
        <w:tc>
          <w:tcPr>
            <w:tcW w:type="dxa" w:w="10282"/>
            <w:shd w:fill="FFF2CC"/>
          </w:tcPr>
          <w:p>
            <w:r/>
            <w:r>
              <w:rPr>
                <w:rFonts w:ascii="Arial" w:hAnsi="Arial"/>
                <w:b/>
                <w:sz w:val="18"/>
              </w:rPr>
              <w:t>Illustrative Laravel structure</w:t>
            </w:r>
          </w:p>
          <w:p>
            <w:pPr>
              <w:spacing w:after="0"/>
            </w:pPr>
            <w:r>
              <w:rPr>
                <w:rFonts w:ascii="Arial" w:hAnsi="Arial"/>
                <w:sz w:val="17"/>
              </w:rPr>
              <w:t>app/Domain/ClinicalDecision/</w:t>
              <w:br/>
              <w:t xml:space="preserve">  DTO/AssessmentRequest.php</w:t>
              <w:br/>
              <w:t xml:space="preserve">  DTO/AssessmentSnapshot.php</w:t>
              <w:br/>
              <w:t xml:space="preserve">  DTO/AssessmentResult.php</w:t>
              <w:br/>
              <w:t xml:space="preserve">  Completeness/CompletenessEvaluator.php</w:t>
              <w:br/>
              <w:t xml:space="preserve">  Rules/RuleEngine.php</w:t>
              <w:br/>
              <w:t xml:space="preserve">  Rules/Rules/*.php</w:t>
              <w:br/>
              <w:t xml:space="preserve">  ML/FeatureBuilder.php</w:t>
              <w:br/>
              <w:t xml:space="preserve">  ML/MlInferencePort.php</w:t>
              <w:br/>
              <w:t xml:space="preserve">  ML/PythonProcessAdapter.php</w:t>
              <w:br/>
              <w:t xml:space="preserve">  Resolution/DecisionResolver.php</w:t>
              <w:br/>
              <w:t xml:space="preserve">  Escalation/EscalationResolver.php</w:t>
              <w:br/>
              <w:t xml:space="preserve">  Explanation/ExplanationBuilder.php</w:t>
              <w:br/>
              <w:t xml:space="preserve">  Recommendation/RecommendationBuilder.php</w:t>
              <w:br/>
              <w:t xml:space="preserve">  Persistence/AssessmentRepository.php</w:t>
              <w:br/>
              <w:t xml:space="preserve">  ClinicalDecisionService.php</w:t>
              <w:br/>
              <w:br/>
              <w:t>app/Http/Controllers/AssessmentController.php</w:t>
              <w:br/>
              <w:t>app/Events/AssessmentCommitted.php</w:t>
              <w:br/>
              <w:t>app/Listeners/OfferReferral.php</w:t>
              <w:br/>
              <w:t>app/Listeners/SendAssessmentNotification.php</w:t>
            </w:r>
          </w:p>
        </w:tc>
      </w:tr>
    </w:tbl>
    <w:p/>
    <w:p>
      <w:pPr>
        <w:spacing w:after="100" w:line="252" w:lineRule="auto"/>
      </w:pPr>
      <w:r>
        <w:t>Exact namespaces may follow the existing project structure, but the separation of responsibilities is authoritative. A smaller capstone codebase may combine closely related classes, provided thresholds, ML invocation, resolution, explanation, and persistence remain centralized and independently testable.</w:t>
      </w:r>
    </w:p>
    <w:p>
      <w:pPr>
        <w:pStyle w:val="Heading1"/>
      </w:pPr>
      <w:r>
        <w:t>20. Observability and Audit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Signal</w:t>
            </w:r>
          </w:p>
        </w:tc>
        <w:tc>
          <w:tcPr>
            <w:tcW w:type="dxa" w:w="5141"/>
            <w:vAlign w:val="center"/>
            <w:shd w:fill="D9EAF7"/>
          </w:tcPr>
          <w:p>
            <w:pPr>
              <w:spacing w:after="0"/>
            </w:pPr>
            <w:r/>
            <w:r>
              <w:rPr>
                <w:rFonts w:ascii="Arial" w:hAnsi="Arial"/>
                <w:b/>
                <w:sz w:val="16"/>
              </w:rPr>
              <w:t>Minimum captured data</w:t>
            </w:r>
          </w:p>
        </w:tc>
      </w:tr>
      <w:tr>
        <w:tc>
          <w:tcPr>
            <w:tcW w:type="dxa" w:w="5141"/>
            <w:vAlign w:val="center"/>
          </w:tcPr>
          <w:p>
            <w:pPr>
              <w:spacing w:after="0"/>
            </w:pPr>
            <w:r/>
            <w:r>
              <w:rPr>
                <w:rFonts w:ascii="Arial" w:hAnsi="Arial"/>
                <w:b w:val="0"/>
                <w:sz w:val="16"/>
              </w:rPr>
              <w:t>Assessment log</w:t>
            </w:r>
          </w:p>
        </w:tc>
        <w:tc>
          <w:tcPr>
            <w:tcW w:type="dxa" w:w="5141"/>
            <w:vAlign w:val="center"/>
          </w:tcPr>
          <w:p>
            <w:pPr>
              <w:spacing w:after="0"/>
            </w:pPr>
            <w:r/>
            <w:r>
              <w:rPr>
                <w:rFonts w:ascii="Arial" w:hAnsi="Arial"/>
                <w:b w:val="0"/>
                <w:sz w:val="16"/>
              </w:rPr>
              <w:t>Request ID, assessment ID, patient/episode pseudonymous reference, trigger, state, E-level, duration.</w:t>
            </w:r>
          </w:p>
        </w:tc>
      </w:tr>
      <w:tr>
        <w:tc>
          <w:tcPr>
            <w:tcW w:type="dxa" w:w="5141"/>
            <w:vAlign w:val="center"/>
          </w:tcPr>
          <w:p>
            <w:pPr>
              <w:spacing w:after="0"/>
            </w:pPr>
            <w:r/>
            <w:r>
              <w:rPr>
                <w:rFonts w:ascii="Arial" w:hAnsi="Arial"/>
                <w:b w:val="0"/>
                <w:sz w:val="16"/>
              </w:rPr>
              <w:t>Rule metrics</w:t>
            </w:r>
          </w:p>
        </w:tc>
        <w:tc>
          <w:tcPr>
            <w:tcW w:type="dxa" w:w="5141"/>
            <w:vAlign w:val="center"/>
          </w:tcPr>
          <w:p>
            <w:pPr>
              <w:spacing w:after="0"/>
            </w:pPr>
            <w:r/>
            <w:r>
              <w:rPr>
                <w:rFonts w:ascii="Arial" w:hAnsi="Arial"/>
                <w:b w:val="0"/>
                <w:sz w:val="16"/>
              </w:rPr>
              <w:t>Rule-set version, match counts, boundary failures, unexpected category mappings.</w:t>
            </w:r>
          </w:p>
        </w:tc>
      </w:tr>
      <w:tr>
        <w:tc>
          <w:tcPr>
            <w:tcW w:type="dxa" w:w="5141"/>
            <w:vAlign w:val="center"/>
          </w:tcPr>
          <w:p>
            <w:pPr>
              <w:spacing w:after="0"/>
            </w:pPr>
            <w:r/>
            <w:r>
              <w:rPr>
                <w:rFonts w:ascii="Arial" w:hAnsi="Arial"/>
                <w:b w:val="0"/>
                <w:sz w:val="16"/>
              </w:rPr>
              <w:t>ML metrics</w:t>
            </w:r>
          </w:p>
        </w:tc>
        <w:tc>
          <w:tcPr>
            <w:tcW w:type="dxa" w:w="5141"/>
            <w:vAlign w:val="center"/>
          </w:tcPr>
          <w:p>
            <w:pPr>
              <w:spacing w:after="0"/>
            </w:pPr>
            <w:r/>
            <w:r>
              <w:rPr>
                <w:rFonts w:ascii="Arial" w:hAnsi="Arial"/>
                <w:b w:val="0"/>
                <w:sz w:val="16"/>
              </w:rPr>
              <w:t>Invocation count, valid/invalid/unavailable rate, latency, artifact version, timeout and failure codes.</w:t>
            </w:r>
          </w:p>
        </w:tc>
      </w:tr>
      <w:tr>
        <w:tc>
          <w:tcPr>
            <w:tcW w:type="dxa" w:w="5141"/>
            <w:vAlign w:val="center"/>
          </w:tcPr>
          <w:p>
            <w:pPr>
              <w:spacing w:after="0"/>
            </w:pPr>
            <w:r/>
            <w:r>
              <w:rPr>
                <w:rFonts w:ascii="Arial" w:hAnsi="Arial"/>
                <w:b w:val="0"/>
                <w:sz w:val="16"/>
              </w:rPr>
              <w:t>Completeness metrics</w:t>
            </w:r>
          </w:p>
        </w:tc>
        <w:tc>
          <w:tcPr>
            <w:tcW w:type="dxa" w:w="5141"/>
            <w:vAlign w:val="center"/>
          </w:tcPr>
          <w:p>
            <w:pPr>
              <w:spacing w:after="0"/>
            </w:pPr>
            <w:r/>
            <w:r>
              <w:rPr>
                <w:rFonts w:ascii="Arial" w:hAnsi="Arial"/>
                <w:b w:val="0"/>
                <w:sz w:val="16"/>
              </w:rPr>
              <w:t>Missing record types, resolution time, repeated incomplete causes.</w:t>
            </w:r>
          </w:p>
        </w:tc>
      </w:tr>
      <w:tr>
        <w:tc>
          <w:tcPr>
            <w:tcW w:type="dxa" w:w="5141"/>
            <w:vAlign w:val="center"/>
          </w:tcPr>
          <w:p>
            <w:pPr>
              <w:spacing w:after="0"/>
            </w:pPr>
            <w:r/>
            <w:r>
              <w:rPr>
                <w:rFonts w:ascii="Arial" w:hAnsi="Arial"/>
                <w:b w:val="0"/>
                <w:sz w:val="16"/>
              </w:rPr>
              <w:t>Resolver metrics</w:t>
            </w:r>
          </w:p>
        </w:tc>
        <w:tc>
          <w:tcPr>
            <w:tcW w:type="dxa" w:w="5141"/>
            <w:vAlign w:val="center"/>
          </w:tcPr>
          <w:p>
            <w:pPr>
              <w:spacing w:after="0"/>
            </w:pPr>
            <w:r/>
            <w:r>
              <w:rPr>
                <w:rFonts w:ascii="Arial" w:hAnsi="Arial"/>
                <w:b w:val="0"/>
                <w:sz w:val="16"/>
              </w:rPr>
              <w:t>HIGH/LOW/INCOMPLETE distribution and rule-model disagreement.</w:t>
            </w:r>
          </w:p>
        </w:tc>
      </w:tr>
      <w:tr>
        <w:tc>
          <w:tcPr>
            <w:tcW w:type="dxa" w:w="5141"/>
            <w:vAlign w:val="center"/>
          </w:tcPr>
          <w:p>
            <w:pPr>
              <w:spacing w:after="0"/>
            </w:pPr>
            <w:r/>
            <w:r>
              <w:rPr>
                <w:rFonts w:ascii="Arial" w:hAnsi="Arial"/>
                <w:b w:val="0"/>
                <w:sz w:val="16"/>
              </w:rPr>
              <w:t>Operational events</w:t>
            </w:r>
          </w:p>
        </w:tc>
        <w:tc>
          <w:tcPr>
            <w:tcW w:type="dxa" w:w="5141"/>
            <w:vAlign w:val="center"/>
          </w:tcPr>
          <w:p>
            <w:pPr>
              <w:spacing w:after="0"/>
            </w:pPr>
            <w:r/>
            <w:r>
              <w:rPr>
                <w:rFonts w:ascii="Arial" w:hAnsi="Arial"/>
                <w:b w:val="0"/>
                <w:sz w:val="16"/>
              </w:rPr>
              <w:t>Referral offer, email failure, print failure, queue retry, downtime.</w:t>
            </w:r>
          </w:p>
        </w:tc>
      </w:tr>
      <w:tr>
        <w:tc>
          <w:tcPr>
            <w:tcW w:type="dxa" w:w="5141"/>
            <w:vAlign w:val="center"/>
          </w:tcPr>
          <w:p>
            <w:pPr>
              <w:spacing w:after="0"/>
            </w:pPr>
            <w:r/>
            <w:r>
              <w:rPr>
                <w:rFonts w:ascii="Arial" w:hAnsi="Arial"/>
                <w:b w:val="0"/>
                <w:sz w:val="16"/>
              </w:rPr>
              <w:t>Security events</w:t>
            </w:r>
          </w:p>
        </w:tc>
        <w:tc>
          <w:tcPr>
            <w:tcW w:type="dxa" w:w="5141"/>
            <w:vAlign w:val="center"/>
          </w:tcPr>
          <w:p>
            <w:pPr>
              <w:spacing w:after="0"/>
            </w:pPr>
            <w:r/>
            <w:r>
              <w:rPr>
                <w:rFonts w:ascii="Arial" w:hAnsi="Arial"/>
                <w:b w:val="0"/>
                <w:sz w:val="16"/>
              </w:rPr>
              <w:t>Unauthorized request, cross-episode access attempt, command or configuration anomaly.</w:t>
            </w:r>
          </w:p>
        </w:tc>
      </w:tr>
      <w:tr>
        <w:tc>
          <w:tcPr>
            <w:tcW w:type="dxa" w:w="5141"/>
            <w:vAlign w:val="center"/>
          </w:tcPr>
          <w:p>
            <w:pPr>
              <w:spacing w:after="0"/>
            </w:pPr>
            <w:r/>
            <w:r>
              <w:rPr>
                <w:rFonts w:ascii="Arial" w:hAnsi="Arial"/>
                <w:b w:val="0"/>
                <w:sz w:val="16"/>
              </w:rPr>
              <w:t>Audit reconstruction</w:t>
            </w:r>
          </w:p>
        </w:tc>
        <w:tc>
          <w:tcPr>
            <w:tcW w:type="dxa" w:w="5141"/>
            <w:vAlign w:val="center"/>
          </w:tcPr>
          <w:p>
            <w:pPr>
              <w:spacing w:after="0"/>
            </w:pPr>
            <w:r/>
            <w:r>
              <w:rPr>
                <w:rFonts w:ascii="Arial" w:hAnsi="Arial"/>
                <w:b w:val="0"/>
                <w:sz w:val="16"/>
              </w:rPr>
              <w:t>Exact source versions, engine artifacts, reasons, messages, actor, and time.</w:t>
            </w:r>
          </w:p>
        </w:tc>
      </w:tr>
    </w:tbl>
    <w:p>
      <w:pPr>
        <w:spacing w:after="0"/>
      </w:pPr>
    </w:p>
    <w:p>
      <w:pPr>
        <w:spacing w:after="100" w:line="252" w:lineRule="auto"/>
      </w:pPr>
      <w:r>
        <w:t>Logs should avoid unnecessary identifiable clinical values. Detailed patient-specific evidence belongs in protected clinical/audit storage with role-based access, not general application logs.</w:t>
      </w:r>
    </w:p>
    <w:p>
      <w:pPr>
        <w:pStyle w:val="Heading1"/>
      </w:pPr>
      <w:r>
        <w:t>21. Verification Scenarios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Test ID</w:t>
            </w:r>
          </w:p>
        </w:tc>
        <w:tc>
          <w:tcPr>
            <w:tcW w:type="dxa" w:w="3427"/>
            <w:vAlign w:val="center"/>
            <w:shd w:fill="D9EAF7"/>
          </w:tcPr>
          <w:p>
            <w:pPr>
              <w:spacing w:after="0"/>
            </w:pPr>
            <w:r/>
            <w:r>
              <w:rPr>
                <w:rFonts w:ascii="Arial" w:hAnsi="Arial"/>
                <w:b/>
                <w:sz w:val="16"/>
              </w:rPr>
              <w:t>Scenario</w:t>
            </w:r>
          </w:p>
        </w:tc>
        <w:tc>
          <w:tcPr>
            <w:tcW w:type="dxa" w:w="3427"/>
            <w:vAlign w:val="center"/>
            <w:shd w:fill="D9EAF7"/>
          </w:tcPr>
          <w:p>
            <w:pPr>
              <w:spacing w:after="0"/>
            </w:pPr>
            <w:r/>
            <w:r>
              <w:rPr>
                <w:rFonts w:ascii="Arial" w:hAnsi="Arial"/>
                <w:b/>
                <w:sz w:val="16"/>
              </w:rPr>
              <w:t>Expected result</w:t>
            </w:r>
          </w:p>
        </w:tc>
      </w:tr>
      <w:tr>
        <w:tc>
          <w:tcPr>
            <w:tcW w:type="dxa" w:w="3427"/>
            <w:vAlign w:val="center"/>
          </w:tcPr>
          <w:p>
            <w:pPr>
              <w:spacing w:after="0"/>
            </w:pPr>
            <w:r/>
            <w:r>
              <w:rPr>
                <w:rFonts w:ascii="Arial" w:hAnsi="Arial"/>
                <w:b w:val="0"/>
                <w:sz w:val="16"/>
              </w:rPr>
              <w:t>ENG-01</w:t>
            </w:r>
          </w:p>
        </w:tc>
        <w:tc>
          <w:tcPr>
            <w:tcW w:type="dxa" w:w="3427"/>
            <w:vAlign w:val="center"/>
          </w:tcPr>
          <w:p>
            <w:pPr>
              <w:spacing w:after="0"/>
            </w:pPr>
            <w:r/>
            <w:r>
              <w:rPr>
                <w:rFonts w:ascii="Arial" w:hAnsi="Arial"/>
                <w:b w:val="0"/>
                <w:sz w:val="16"/>
              </w:rPr>
              <w:t>Complete records, no rule HIGH, valid ML LOW</w:t>
            </w:r>
          </w:p>
        </w:tc>
        <w:tc>
          <w:tcPr>
            <w:tcW w:type="dxa" w:w="3427"/>
            <w:vAlign w:val="center"/>
          </w:tcPr>
          <w:p>
            <w:pPr>
              <w:spacing w:after="0"/>
            </w:pPr>
            <w:r/>
            <w:r>
              <w:rPr>
                <w:rFonts w:ascii="Arial" w:hAnsi="Arial"/>
                <w:b w:val="0"/>
                <w:sz w:val="16"/>
              </w:rPr>
              <w:t>LOW/E0; complete explanation and snapshot.</w:t>
            </w:r>
          </w:p>
        </w:tc>
      </w:tr>
      <w:tr>
        <w:tc>
          <w:tcPr>
            <w:tcW w:type="dxa" w:w="3427"/>
            <w:vAlign w:val="center"/>
          </w:tcPr>
          <w:p>
            <w:pPr>
              <w:spacing w:after="0"/>
            </w:pPr>
            <w:r/>
            <w:r>
              <w:rPr>
                <w:rFonts w:ascii="Arial" w:hAnsi="Arial"/>
                <w:b w:val="0"/>
                <w:sz w:val="16"/>
              </w:rPr>
              <w:t>ENG-02</w:t>
            </w:r>
          </w:p>
        </w:tc>
        <w:tc>
          <w:tcPr>
            <w:tcW w:type="dxa" w:w="3427"/>
            <w:vAlign w:val="center"/>
          </w:tcPr>
          <w:p>
            <w:pPr>
              <w:spacing w:after="0"/>
            </w:pPr>
            <w:r/>
            <w:r>
              <w:rPr>
                <w:rFonts w:ascii="Arial" w:hAnsi="Arial"/>
                <w:b w:val="0"/>
                <w:sz w:val="16"/>
              </w:rPr>
              <w:t>Medical History missing, no HIGH</w:t>
            </w:r>
          </w:p>
        </w:tc>
        <w:tc>
          <w:tcPr>
            <w:tcW w:type="dxa" w:w="3427"/>
            <w:vAlign w:val="center"/>
          </w:tcPr>
          <w:p>
            <w:pPr>
              <w:spacing w:after="0"/>
            </w:pPr>
            <w:r/>
            <w:r>
              <w:rPr>
                <w:rFonts w:ascii="Arial" w:hAnsi="Arial"/>
                <w:b w:val="0"/>
                <w:sz w:val="16"/>
              </w:rPr>
              <w:t>INCOMPLETE/E1; exact missing record.</w:t>
            </w:r>
          </w:p>
        </w:tc>
      </w:tr>
      <w:tr>
        <w:tc>
          <w:tcPr>
            <w:tcW w:type="dxa" w:w="3427"/>
            <w:vAlign w:val="center"/>
          </w:tcPr>
          <w:p>
            <w:pPr>
              <w:spacing w:after="0"/>
            </w:pPr>
            <w:r/>
            <w:r>
              <w:rPr>
                <w:rFonts w:ascii="Arial" w:hAnsi="Arial"/>
                <w:b w:val="0"/>
                <w:sz w:val="16"/>
              </w:rPr>
              <w:t>ENG-03</w:t>
            </w:r>
          </w:p>
        </w:tc>
        <w:tc>
          <w:tcPr>
            <w:tcW w:type="dxa" w:w="3427"/>
            <w:vAlign w:val="center"/>
          </w:tcPr>
          <w:p>
            <w:pPr>
              <w:spacing w:after="0"/>
            </w:pPr>
            <w:r/>
            <w:r>
              <w:rPr>
                <w:rFonts w:ascii="Arial" w:hAnsi="Arial"/>
                <w:b w:val="0"/>
                <w:sz w:val="16"/>
              </w:rPr>
              <w:t>Age 17, missing Birth Plan, ML unavailable</w:t>
            </w:r>
          </w:p>
        </w:tc>
        <w:tc>
          <w:tcPr>
            <w:tcW w:type="dxa" w:w="3427"/>
            <w:vAlign w:val="center"/>
          </w:tcPr>
          <w:p>
            <w:pPr>
              <w:spacing w:after="0"/>
            </w:pPr>
            <w:r/>
            <w:r>
              <w:rPr>
                <w:rFonts w:ascii="Arial" w:hAnsi="Arial"/>
                <w:b w:val="0"/>
                <w:sz w:val="16"/>
              </w:rPr>
              <w:t>HIGH/E2; age reason plus limitations.</w:t>
            </w:r>
          </w:p>
        </w:tc>
      </w:tr>
      <w:tr>
        <w:tc>
          <w:tcPr>
            <w:tcW w:type="dxa" w:w="3427"/>
            <w:vAlign w:val="center"/>
          </w:tcPr>
          <w:p>
            <w:pPr>
              <w:spacing w:after="0"/>
            </w:pPr>
            <w:r/>
            <w:r>
              <w:rPr>
                <w:rFonts w:ascii="Arial" w:hAnsi="Arial"/>
                <w:b w:val="0"/>
                <w:sz w:val="16"/>
              </w:rPr>
              <w:t>ENG-04</w:t>
            </w:r>
          </w:p>
        </w:tc>
        <w:tc>
          <w:tcPr>
            <w:tcW w:type="dxa" w:w="3427"/>
            <w:vAlign w:val="center"/>
          </w:tcPr>
          <w:p>
            <w:pPr>
              <w:spacing w:after="0"/>
            </w:pPr>
            <w:r/>
            <w:r>
              <w:rPr>
                <w:rFonts w:ascii="Arial" w:hAnsi="Arial"/>
                <w:b w:val="0"/>
                <w:sz w:val="16"/>
              </w:rPr>
              <w:t>Age 36, first pregnancy, ML LOW</w:t>
            </w:r>
          </w:p>
        </w:tc>
        <w:tc>
          <w:tcPr>
            <w:tcW w:type="dxa" w:w="3427"/>
            <w:vAlign w:val="center"/>
          </w:tcPr>
          <w:p>
            <w:pPr>
              <w:spacing w:after="0"/>
            </w:pPr>
            <w:r/>
            <w:r>
              <w:rPr>
                <w:rFonts w:ascii="Arial" w:hAnsi="Arial"/>
                <w:b w:val="0"/>
                <w:sz w:val="16"/>
              </w:rPr>
              <w:t>HIGH/E2; rule precedence.</w:t>
            </w:r>
          </w:p>
        </w:tc>
      </w:tr>
      <w:tr>
        <w:tc>
          <w:tcPr>
            <w:tcW w:type="dxa" w:w="3427"/>
            <w:vAlign w:val="center"/>
          </w:tcPr>
          <w:p>
            <w:pPr>
              <w:spacing w:after="0"/>
            </w:pPr>
            <w:r/>
            <w:r>
              <w:rPr>
                <w:rFonts w:ascii="Arial" w:hAnsi="Arial"/>
                <w:b w:val="0"/>
                <w:sz w:val="16"/>
              </w:rPr>
              <w:t>ENG-05</w:t>
            </w:r>
          </w:p>
        </w:tc>
        <w:tc>
          <w:tcPr>
            <w:tcW w:type="dxa" w:w="3427"/>
            <w:vAlign w:val="center"/>
          </w:tcPr>
          <w:p>
            <w:pPr>
              <w:spacing w:after="0"/>
            </w:pPr>
            <w:r/>
            <w:r>
              <w:rPr>
                <w:rFonts w:ascii="Arial" w:hAnsi="Arial"/>
                <w:b w:val="0"/>
                <w:sz w:val="16"/>
              </w:rPr>
              <w:t>BP 139/89</w:t>
            </w:r>
          </w:p>
        </w:tc>
        <w:tc>
          <w:tcPr>
            <w:tcW w:type="dxa" w:w="3427"/>
            <w:vAlign w:val="center"/>
          </w:tcPr>
          <w:p>
            <w:pPr>
              <w:spacing w:after="0"/>
            </w:pPr>
            <w:r/>
            <w:r>
              <w:rPr>
                <w:rFonts w:ascii="Arial" w:hAnsi="Arial"/>
                <w:b w:val="0"/>
                <w:sz w:val="16"/>
              </w:rPr>
              <w:t>No BP rule match.</w:t>
            </w:r>
          </w:p>
        </w:tc>
      </w:tr>
      <w:tr>
        <w:tc>
          <w:tcPr>
            <w:tcW w:type="dxa" w:w="3427"/>
            <w:vAlign w:val="center"/>
          </w:tcPr>
          <w:p>
            <w:pPr>
              <w:spacing w:after="0"/>
            </w:pPr>
            <w:r/>
            <w:r>
              <w:rPr>
                <w:rFonts w:ascii="Arial" w:hAnsi="Arial"/>
                <w:b w:val="0"/>
                <w:sz w:val="16"/>
              </w:rPr>
              <w:t>ENG-06</w:t>
            </w:r>
          </w:p>
        </w:tc>
        <w:tc>
          <w:tcPr>
            <w:tcW w:type="dxa" w:w="3427"/>
            <w:vAlign w:val="center"/>
          </w:tcPr>
          <w:p>
            <w:pPr>
              <w:spacing w:after="0"/>
            </w:pPr>
            <w:r/>
            <w:r>
              <w:rPr>
                <w:rFonts w:ascii="Arial" w:hAnsi="Arial"/>
                <w:b w:val="0"/>
                <w:sz w:val="16"/>
              </w:rPr>
              <w:t>BP 140/90</w:t>
            </w:r>
          </w:p>
        </w:tc>
        <w:tc>
          <w:tcPr>
            <w:tcW w:type="dxa" w:w="3427"/>
            <w:vAlign w:val="center"/>
          </w:tcPr>
          <w:p>
            <w:pPr>
              <w:spacing w:after="0"/>
            </w:pPr>
            <w:r/>
            <w:r>
              <w:rPr>
                <w:rFonts w:ascii="Arial" w:hAnsi="Arial"/>
                <w:b w:val="0"/>
                <w:sz w:val="16"/>
              </w:rPr>
              <w:t>HIGH/E2.</w:t>
            </w:r>
          </w:p>
        </w:tc>
      </w:tr>
      <w:tr>
        <w:tc>
          <w:tcPr>
            <w:tcW w:type="dxa" w:w="3427"/>
            <w:vAlign w:val="center"/>
          </w:tcPr>
          <w:p>
            <w:pPr>
              <w:spacing w:after="0"/>
            </w:pPr>
            <w:r/>
            <w:r>
              <w:rPr>
                <w:rFonts w:ascii="Arial" w:hAnsi="Arial"/>
                <w:b w:val="0"/>
                <w:sz w:val="16"/>
              </w:rPr>
              <w:t>ENG-07</w:t>
            </w:r>
          </w:p>
        </w:tc>
        <w:tc>
          <w:tcPr>
            <w:tcW w:type="dxa" w:w="3427"/>
            <w:vAlign w:val="center"/>
          </w:tcPr>
          <w:p>
            <w:pPr>
              <w:spacing w:after="0"/>
            </w:pPr>
            <w:r/>
            <w:r>
              <w:rPr>
                <w:rFonts w:ascii="Arial" w:hAnsi="Arial"/>
                <w:b w:val="0"/>
                <w:sz w:val="16"/>
              </w:rPr>
              <w:t>BP 160/110</w:t>
            </w:r>
          </w:p>
        </w:tc>
        <w:tc>
          <w:tcPr>
            <w:tcW w:type="dxa" w:w="3427"/>
            <w:vAlign w:val="center"/>
          </w:tcPr>
          <w:p>
            <w:pPr>
              <w:spacing w:after="0"/>
            </w:pPr>
            <w:r/>
            <w:r>
              <w:rPr>
                <w:rFonts w:ascii="Arial" w:hAnsi="Arial"/>
                <w:b w:val="0"/>
                <w:sz w:val="16"/>
              </w:rPr>
              <w:t>HIGH/E3 minimum.</w:t>
            </w:r>
          </w:p>
        </w:tc>
      </w:tr>
      <w:tr>
        <w:tc>
          <w:tcPr>
            <w:tcW w:type="dxa" w:w="3427"/>
            <w:vAlign w:val="center"/>
          </w:tcPr>
          <w:p>
            <w:pPr>
              <w:spacing w:after="0"/>
            </w:pPr>
            <w:r/>
            <w:r>
              <w:rPr>
                <w:rFonts w:ascii="Arial" w:hAnsi="Arial"/>
                <w:b w:val="0"/>
                <w:sz w:val="16"/>
              </w:rPr>
              <w:t>ENG-08</w:t>
            </w:r>
          </w:p>
        </w:tc>
        <w:tc>
          <w:tcPr>
            <w:tcW w:type="dxa" w:w="3427"/>
            <w:vAlign w:val="center"/>
          </w:tcPr>
          <w:p>
            <w:pPr>
              <w:spacing w:after="0"/>
            </w:pPr>
            <w:r/>
            <w:r>
              <w:rPr>
                <w:rFonts w:ascii="Arial" w:hAnsi="Arial"/>
                <w:b w:val="0"/>
                <w:sz w:val="16"/>
              </w:rPr>
              <w:t>Diabetes and anemia</w:t>
            </w:r>
          </w:p>
        </w:tc>
        <w:tc>
          <w:tcPr>
            <w:tcW w:type="dxa" w:w="3427"/>
            <w:vAlign w:val="center"/>
          </w:tcPr>
          <w:p>
            <w:pPr>
              <w:spacing w:after="0"/>
            </w:pPr>
            <w:r/>
            <w:r>
              <w:rPr>
                <w:rFonts w:ascii="Arial" w:hAnsi="Arial"/>
                <w:b w:val="0"/>
                <w:sz w:val="16"/>
              </w:rPr>
              <w:t>HIGH; both reasons retained.</w:t>
            </w:r>
          </w:p>
        </w:tc>
      </w:tr>
      <w:tr>
        <w:tc>
          <w:tcPr>
            <w:tcW w:type="dxa" w:w="3427"/>
            <w:vAlign w:val="center"/>
          </w:tcPr>
          <w:p>
            <w:pPr>
              <w:spacing w:after="0"/>
            </w:pPr>
            <w:r/>
            <w:r>
              <w:rPr>
                <w:rFonts w:ascii="Arial" w:hAnsi="Arial"/>
                <w:b w:val="0"/>
                <w:sz w:val="16"/>
              </w:rPr>
              <w:t>ENG-09</w:t>
            </w:r>
          </w:p>
        </w:tc>
        <w:tc>
          <w:tcPr>
            <w:tcW w:type="dxa" w:w="3427"/>
            <w:vAlign w:val="center"/>
          </w:tcPr>
          <w:p>
            <w:pPr>
              <w:spacing w:after="0"/>
            </w:pPr>
            <w:r/>
            <w:r>
              <w:rPr>
                <w:rFonts w:ascii="Arial" w:hAnsi="Arial"/>
                <w:b w:val="0"/>
                <w:sz w:val="16"/>
              </w:rPr>
              <w:t>Two miscarriages</w:t>
            </w:r>
          </w:p>
        </w:tc>
        <w:tc>
          <w:tcPr>
            <w:tcW w:type="dxa" w:w="3427"/>
            <w:vAlign w:val="center"/>
          </w:tcPr>
          <w:p>
            <w:pPr>
              <w:spacing w:after="0"/>
            </w:pPr>
            <w:r/>
            <w:r>
              <w:rPr>
                <w:rFonts w:ascii="Arial" w:hAnsi="Arial"/>
                <w:b w:val="0"/>
                <w:sz w:val="16"/>
              </w:rPr>
              <w:t>No miscarriage HIGH.</w:t>
            </w:r>
          </w:p>
        </w:tc>
      </w:tr>
      <w:tr>
        <w:tc>
          <w:tcPr>
            <w:tcW w:type="dxa" w:w="3427"/>
            <w:vAlign w:val="center"/>
          </w:tcPr>
          <w:p>
            <w:pPr>
              <w:spacing w:after="0"/>
            </w:pPr>
            <w:r/>
            <w:r>
              <w:rPr>
                <w:rFonts w:ascii="Arial" w:hAnsi="Arial"/>
                <w:b w:val="0"/>
                <w:sz w:val="16"/>
              </w:rPr>
              <w:t>ENG-10</w:t>
            </w:r>
          </w:p>
        </w:tc>
        <w:tc>
          <w:tcPr>
            <w:tcW w:type="dxa" w:w="3427"/>
            <w:vAlign w:val="center"/>
          </w:tcPr>
          <w:p>
            <w:pPr>
              <w:spacing w:after="0"/>
            </w:pPr>
            <w:r/>
            <w:r>
              <w:rPr>
                <w:rFonts w:ascii="Arial" w:hAnsi="Arial"/>
                <w:b w:val="0"/>
                <w:sz w:val="16"/>
              </w:rPr>
              <w:t>Three miscarriages</w:t>
            </w:r>
          </w:p>
        </w:tc>
        <w:tc>
          <w:tcPr>
            <w:tcW w:type="dxa" w:w="3427"/>
            <w:vAlign w:val="center"/>
          </w:tcPr>
          <w:p>
            <w:pPr>
              <w:spacing w:after="0"/>
            </w:pPr>
            <w:r/>
            <w:r>
              <w:rPr>
                <w:rFonts w:ascii="Arial" w:hAnsi="Arial"/>
                <w:b w:val="0"/>
                <w:sz w:val="16"/>
              </w:rPr>
              <w:t>HIGH/E2.</w:t>
            </w:r>
          </w:p>
        </w:tc>
      </w:tr>
      <w:tr>
        <w:tc>
          <w:tcPr>
            <w:tcW w:type="dxa" w:w="3427"/>
            <w:vAlign w:val="center"/>
          </w:tcPr>
          <w:p>
            <w:pPr>
              <w:spacing w:after="0"/>
            </w:pPr>
            <w:r/>
            <w:r>
              <w:rPr>
                <w:rFonts w:ascii="Arial" w:hAnsi="Arial"/>
                <w:b w:val="0"/>
                <w:sz w:val="16"/>
              </w:rPr>
              <w:t>ENG-11</w:t>
            </w:r>
          </w:p>
        </w:tc>
        <w:tc>
          <w:tcPr>
            <w:tcW w:type="dxa" w:w="3427"/>
            <w:vAlign w:val="center"/>
          </w:tcPr>
          <w:p>
            <w:pPr>
              <w:spacing w:after="0"/>
            </w:pPr>
            <w:r/>
            <w:r>
              <w:rPr>
                <w:rFonts w:ascii="Arial" w:hAnsi="Arial"/>
                <w:b w:val="0"/>
                <w:sz w:val="16"/>
              </w:rPr>
              <w:t>Breech structured report</w:t>
            </w:r>
          </w:p>
        </w:tc>
        <w:tc>
          <w:tcPr>
            <w:tcW w:type="dxa" w:w="3427"/>
            <w:vAlign w:val="center"/>
          </w:tcPr>
          <w:p>
            <w:pPr>
              <w:spacing w:after="0"/>
            </w:pPr>
            <w:r/>
            <w:r>
              <w:rPr>
                <w:rFonts w:ascii="Arial" w:hAnsi="Arial"/>
                <w:b w:val="0"/>
                <w:sz w:val="16"/>
              </w:rPr>
              <w:t>HIGH; no claim of image interpretation.</w:t>
            </w:r>
          </w:p>
        </w:tc>
      </w:tr>
      <w:tr>
        <w:tc>
          <w:tcPr>
            <w:tcW w:type="dxa" w:w="3427"/>
            <w:vAlign w:val="center"/>
          </w:tcPr>
          <w:p>
            <w:pPr>
              <w:spacing w:after="0"/>
            </w:pPr>
            <w:r/>
            <w:r>
              <w:rPr>
                <w:rFonts w:ascii="Arial" w:hAnsi="Arial"/>
                <w:b w:val="0"/>
                <w:sz w:val="16"/>
              </w:rPr>
              <w:t>ENG-12</w:t>
            </w:r>
          </w:p>
        </w:tc>
        <w:tc>
          <w:tcPr>
            <w:tcW w:type="dxa" w:w="3427"/>
            <w:vAlign w:val="center"/>
          </w:tcPr>
          <w:p>
            <w:pPr>
              <w:spacing w:after="0"/>
            </w:pPr>
            <w:r/>
            <w:r>
              <w:rPr>
                <w:rFonts w:ascii="Arial" w:hAnsi="Arial"/>
                <w:b w:val="0"/>
                <w:sz w:val="16"/>
              </w:rPr>
              <w:t>Absent fetal heartbeat report</w:t>
            </w:r>
          </w:p>
        </w:tc>
        <w:tc>
          <w:tcPr>
            <w:tcW w:type="dxa" w:w="3427"/>
            <w:vAlign w:val="center"/>
          </w:tcPr>
          <w:p>
            <w:pPr>
              <w:spacing w:after="0"/>
            </w:pPr>
            <w:r/>
            <w:r>
              <w:rPr>
                <w:rFonts w:ascii="Arial" w:hAnsi="Arial"/>
                <w:b w:val="0"/>
                <w:sz w:val="16"/>
              </w:rPr>
              <w:t>HIGH/E3 minimum and verification wording.</w:t>
            </w:r>
          </w:p>
        </w:tc>
      </w:tr>
      <w:tr>
        <w:tc>
          <w:tcPr>
            <w:tcW w:type="dxa" w:w="3427"/>
            <w:vAlign w:val="center"/>
          </w:tcPr>
          <w:p>
            <w:pPr>
              <w:spacing w:after="0"/>
            </w:pPr>
            <w:r/>
            <w:r>
              <w:rPr>
                <w:rFonts w:ascii="Arial" w:hAnsi="Arial"/>
                <w:b w:val="0"/>
                <w:sz w:val="16"/>
              </w:rPr>
              <w:t>ENG-13</w:t>
            </w:r>
          </w:p>
        </w:tc>
        <w:tc>
          <w:tcPr>
            <w:tcW w:type="dxa" w:w="3427"/>
            <w:vAlign w:val="center"/>
          </w:tcPr>
          <w:p>
            <w:pPr>
              <w:spacing w:after="0"/>
            </w:pPr>
            <w:r/>
            <w:r>
              <w:rPr>
                <w:rFonts w:ascii="Arial" w:hAnsi="Arial"/>
                <w:b w:val="0"/>
                <w:sz w:val="16"/>
              </w:rPr>
              <w:t>No rule HIGH, ML HIGH</w:t>
            </w:r>
          </w:p>
        </w:tc>
        <w:tc>
          <w:tcPr>
            <w:tcW w:type="dxa" w:w="3427"/>
            <w:vAlign w:val="center"/>
          </w:tcPr>
          <w:p>
            <w:pPr>
              <w:spacing w:after="0"/>
            </w:pPr>
            <w:r/>
            <w:r>
              <w:rPr>
                <w:rFonts w:ascii="Arial" w:hAnsi="Arial"/>
                <w:b w:val="0"/>
                <w:sz w:val="16"/>
              </w:rPr>
              <w:t>HIGH/E2 with ML limitation.</w:t>
            </w:r>
          </w:p>
        </w:tc>
      </w:tr>
      <w:tr>
        <w:tc>
          <w:tcPr>
            <w:tcW w:type="dxa" w:w="3427"/>
            <w:vAlign w:val="center"/>
          </w:tcPr>
          <w:p>
            <w:pPr>
              <w:spacing w:after="0"/>
            </w:pPr>
            <w:r/>
            <w:r>
              <w:rPr>
                <w:rFonts w:ascii="Arial" w:hAnsi="Arial"/>
                <w:b w:val="0"/>
                <w:sz w:val="16"/>
              </w:rPr>
              <w:t>ENG-14</w:t>
            </w:r>
          </w:p>
        </w:tc>
        <w:tc>
          <w:tcPr>
            <w:tcW w:type="dxa" w:w="3427"/>
            <w:vAlign w:val="center"/>
          </w:tcPr>
          <w:p>
            <w:pPr>
              <w:spacing w:after="0"/>
            </w:pPr>
            <w:r/>
            <w:r>
              <w:rPr>
                <w:rFonts w:ascii="Arial" w:hAnsi="Arial"/>
                <w:b w:val="0"/>
                <w:sz w:val="16"/>
              </w:rPr>
              <w:t>No rule HIGH, ML returns MODERATE</w:t>
            </w:r>
          </w:p>
        </w:tc>
        <w:tc>
          <w:tcPr>
            <w:tcW w:type="dxa" w:w="3427"/>
            <w:vAlign w:val="center"/>
          </w:tcPr>
          <w:p>
            <w:pPr>
              <w:spacing w:after="0"/>
            </w:pPr>
            <w:r/>
            <w:r>
              <w:rPr>
                <w:rFonts w:ascii="Arial" w:hAnsi="Arial"/>
                <w:b w:val="0"/>
                <w:sz w:val="16"/>
              </w:rPr>
              <w:t>Reject; INCOMPLETE.</w:t>
            </w:r>
          </w:p>
        </w:tc>
      </w:tr>
      <w:tr>
        <w:tc>
          <w:tcPr>
            <w:tcW w:type="dxa" w:w="3427"/>
            <w:vAlign w:val="center"/>
          </w:tcPr>
          <w:p>
            <w:pPr>
              <w:spacing w:after="0"/>
            </w:pPr>
            <w:r/>
            <w:r>
              <w:rPr>
                <w:rFonts w:ascii="Arial" w:hAnsi="Arial"/>
                <w:b w:val="0"/>
                <w:sz w:val="16"/>
              </w:rPr>
              <w:t>ENG-15</w:t>
            </w:r>
          </w:p>
        </w:tc>
        <w:tc>
          <w:tcPr>
            <w:tcW w:type="dxa" w:w="3427"/>
            <w:vAlign w:val="center"/>
          </w:tcPr>
          <w:p>
            <w:pPr>
              <w:spacing w:after="0"/>
            </w:pPr>
            <w:r/>
            <w:r>
              <w:rPr>
                <w:rFonts w:ascii="Arial" w:hAnsi="Arial"/>
                <w:b w:val="0"/>
                <w:sz w:val="16"/>
              </w:rPr>
              <w:t>Rule HIGH, Python missing</w:t>
            </w:r>
          </w:p>
        </w:tc>
        <w:tc>
          <w:tcPr>
            <w:tcW w:type="dxa" w:w="3427"/>
            <w:vAlign w:val="center"/>
          </w:tcPr>
          <w:p>
            <w:pPr>
              <w:spacing w:after="0"/>
            </w:pPr>
            <w:r/>
            <w:r>
              <w:rPr>
                <w:rFonts w:ascii="Arial" w:hAnsi="Arial"/>
                <w:b w:val="0"/>
                <w:sz w:val="16"/>
              </w:rPr>
              <w:t>HIGH retained; ML failure stored.</w:t>
            </w:r>
          </w:p>
        </w:tc>
      </w:tr>
      <w:tr>
        <w:tc>
          <w:tcPr>
            <w:tcW w:type="dxa" w:w="3427"/>
            <w:vAlign w:val="center"/>
          </w:tcPr>
          <w:p>
            <w:pPr>
              <w:spacing w:after="0"/>
            </w:pPr>
            <w:r/>
            <w:r>
              <w:rPr>
                <w:rFonts w:ascii="Arial" w:hAnsi="Arial"/>
                <w:b w:val="0"/>
                <w:sz w:val="16"/>
              </w:rPr>
              <w:t>ENG-16</w:t>
            </w:r>
          </w:p>
        </w:tc>
        <w:tc>
          <w:tcPr>
            <w:tcW w:type="dxa" w:w="3427"/>
            <w:vAlign w:val="center"/>
          </w:tcPr>
          <w:p>
            <w:pPr>
              <w:spacing w:after="0"/>
            </w:pPr>
            <w:r/>
            <w:r>
              <w:rPr>
                <w:rFonts w:ascii="Arial" w:hAnsi="Arial"/>
                <w:b w:val="0"/>
                <w:sz w:val="16"/>
              </w:rPr>
              <w:t>Feature order mismatch</w:t>
            </w:r>
          </w:p>
        </w:tc>
        <w:tc>
          <w:tcPr>
            <w:tcW w:type="dxa" w:w="3427"/>
            <w:vAlign w:val="center"/>
          </w:tcPr>
          <w:p>
            <w:pPr>
              <w:spacing w:after="0"/>
            </w:pPr>
            <w:r/>
            <w:r>
              <w:rPr>
                <w:rFonts w:ascii="Arial" w:hAnsi="Arial"/>
                <w:b w:val="0"/>
                <w:sz w:val="16"/>
              </w:rPr>
              <w:t>ML rejected; no false LOW.</w:t>
            </w:r>
          </w:p>
        </w:tc>
      </w:tr>
      <w:tr>
        <w:tc>
          <w:tcPr>
            <w:tcW w:type="dxa" w:w="3427"/>
            <w:vAlign w:val="center"/>
          </w:tcPr>
          <w:p>
            <w:pPr>
              <w:spacing w:after="0"/>
            </w:pPr>
            <w:r/>
            <w:r>
              <w:rPr>
                <w:rFonts w:ascii="Arial" w:hAnsi="Arial"/>
                <w:b w:val="0"/>
                <w:sz w:val="16"/>
              </w:rPr>
              <w:t>ENG-17</w:t>
            </w:r>
          </w:p>
        </w:tc>
        <w:tc>
          <w:tcPr>
            <w:tcW w:type="dxa" w:w="3427"/>
            <w:vAlign w:val="center"/>
          </w:tcPr>
          <w:p>
            <w:pPr>
              <w:spacing w:after="0"/>
            </w:pPr>
            <w:r/>
            <w:r>
              <w:rPr>
                <w:rFonts w:ascii="Arial" w:hAnsi="Arial"/>
                <w:b w:val="0"/>
                <w:sz w:val="16"/>
              </w:rPr>
              <w:t>Model hash mismatch</w:t>
            </w:r>
          </w:p>
        </w:tc>
        <w:tc>
          <w:tcPr>
            <w:tcW w:type="dxa" w:w="3427"/>
            <w:vAlign w:val="center"/>
          </w:tcPr>
          <w:p>
            <w:pPr>
              <w:spacing w:after="0"/>
            </w:pPr>
            <w:r/>
            <w:r>
              <w:rPr>
                <w:rFonts w:ascii="Arial" w:hAnsi="Arial"/>
                <w:b w:val="0"/>
                <w:sz w:val="16"/>
              </w:rPr>
              <w:t>ML blocked; deployment incident.</w:t>
            </w:r>
          </w:p>
        </w:tc>
      </w:tr>
      <w:tr>
        <w:tc>
          <w:tcPr>
            <w:tcW w:type="dxa" w:w="3427"/>
            <w:vAlign w:val="center"/>
          </w:tcPr>
          <w:p>
            <w:pPr>
              <w:spacing w:after="0"/>
            </w:pPr>
            <w:r/>
            <w:r>
              <w:rPr>
                <w:rFonts w:ascii="Arial" w:hAnsi="Arial"/>
                <w:b w:val="0"/>
                <w:sz w:val="16"/>
              </w:rPr>
              <w:t>ENG-18</w:t>
            </w:r>
          </w:p>
        </w:tc>
        <w:tc>
          <w:tcPr>
            <w:tcW w:type="dxa" w:w="3427"/>
            <w:vAlign w:val="center"/>
          </w:tcPr>
          <w:p>
            <w:pPr>
              <w:spacing w:after="0"/>
            </w:pPr>
            <w:r/>
            <w:r>
              <w:rPr>
                <w:rFonts w:ascii="Arial" w:hAnsi="Arial"/>
                <w:b w:val="0"/>
                <w:sz w:val="16"/>
              </w:rPr>
              <w:t>Python timeout</w:t>
            </w:r>
          </w:p>
        </w:tc>
        <w:tc>
          <w:tcPr>
            <w:tcW w:type="dxa" w:w="3427"/>
            <w:vAlign w:val="center"/>
          </w:tcPr>
          <w:p>
            <w:pPr>
              <w:spacing w:after="0"/>
            </w:pPr>
            <w:r/>
            <w:r>
              <w:rPr>
                <w:rFonts w:ascii="Arial" w:hAnsi="Arial"/>
                <w:b w:val="0"/>
                <w:sz w:val="16"/>
              </w:rPr>
              <w:t>Safe failure and correlation log.</w:t>
            </w:r>
          </w:p>
        </w:tc>
      </w:tr>
      <w:tr>
        <w:tc>
          <w:tcPr>
            <w:tcW w:type="dxa" w:w="3427"/>
            <w:vAlign w:val="center"/>
          </w:tcPr>
          <w:p>
            <w:pPr>
              <w:spacing w:after="0"/>
            </w:pPr>
            <w:r/>
            <w:r>
              <w:rPr>
                <w:rFonts w:ascii="Arial" w:hAnsi="Arial"/>
                <w:b w:val="0"/>
                <w:sz w:val="16"/>
              </w:rPr>
              <w:t>ENG-19</w:t>
            </w:r>
          </w:p>
        </w:tc>
        <w:tc>
          <w:tcPr>
            <w:tcW w:type="dxa" w:w="3427"/>
            <w:vAlign w:val="center"/>
          </w:tcPr>
          <w:p>
            <w:pPr>
              <w:spacing w:after="0"/>
            </w:pPr>
            <w:r/>
            <w:r>
              <w:rPr>
                <w:rFonts w:ascii="Arial" w:hAnsi="Arial"/>
                <w:b w:val="0"/>
                <w:sz w:val="16"/>
              </w:rPr>
              <w:t>Source record changes mid-run</w:t>
            </w:r>
          </w:p>
        </w:tc>
        <w:tc>
          <w:tcPr>
            <w:tcW w:type="dxa" w:w="3427"/>
            <w:vAlign w:val="center"/>
          </w:tcPr>
          <w:p>
            <w:pPr>
              <w:spacing w:after="0"/>
            </w:pPr>
            <w:r/>
            <w:r>
              <w:rPr>
                <w:rFonts w:ascii="Arial" w:hAnsi="Arial"/>
                <w:b w:val="0"/>
                <w:sz w:val="16"/>
              </w:rPr>
              <w:t>Retry/fail; no mixed snapshot.</w:t>
            </w:r>
          </w:p>
        </w:tc>
      </w:tr>
      <w:tr>
        <w:tc>
          <w:tcPr>
            <w:tcW w:type="dxa" w:w="3427"/>
            <w:vAlign w:val="center"/>
          </w:tcPr>
          <w:p>
            <w:pPr>
              <w:spacing w:after="0"/>
            </w:pPr>
            <w:r/>
            <w:r>
              <w:rPr>
                <w:rFonts w:ascii="Arial" w:hAnsi="Arial"/>
                <w:b w:val="0"/>
                <w:sz w:val="16"/>
              </w:rPr>
              <w:t>ENG-20</w:t>
            </w:r>
          </w:p>
        </w:tc>
        <w:tc>
          <w:tcPr>
            <w:tcW w:type="dxa" w:w="3427"/>
            <w:vAlign w:val="center"/>
          </w:tcPr>
          <w:p>
            <w:pPr>
              <w:spacing w:after="0"/>
            </w:pPr>
            <w:r/>
            <w:r>
              <w:rPr>
                <w:rFonts w:ascii="Arial" w:hAnsi="Arial"/>
                <w:b w:val="0"/>
                <w:sz w:val="16"/>
              </w:rPr>
              <w:t>Duplicate request same key</w:t>
            </w:r>
          </w:p>
        </w:tc>
        <w:tc>
          <w:tcPr>
            <w:tcW w:type="dxa" w:w="3427"/>
            <w:vAlign w:val="center"/>
          </w:tcPr>
          <w:p>
            <w:pPr>
              <w:spacing w:after="0"/>
            </w:pPr>
            <w:r/>
            <w:r>
              <w:rPr>
                <w:rFonts w:ascii="Arial" w:hAnsi="Arial"/>
                <w:b w:val="0"/>
                <w:sz w:val="16"/>
              </w:rPr>
              <w:t>No duplicate assessment.</w:t>
            </w:r>
          </w:p>
        </w:tc>
      </w:tr>
      <w:tr>
        <w:tc>
          <w:tcPr>
            <w:tcW w:type="dxa" w:w="3427"/>
            <w:vAlign w:val="center"/>
          </w:tcPr>
          <w:p>
            <w:pPr>
              <w:spacing w:after="0"/>
            </w:pPr>
            <w:r/>
            <w:r>
              <w:rPr>
                <w:rFonts w:ascii="Arial" w:hAnsi="Arial"/>
                <w:b w:val="0"/>
                <w:sz w:val="16"/>
              </w:rPr>
              <w:t>ENG-21</w:t>
            </w:r>
          </w:p>
        </w:tc>
        <w:tc>
          <w:tcPr>
            <w:tcW w:type="dxa" w:w="3427"/>
            <w:vAlign w:val="center"/>
          </w:tcPr>
          <w:p>
            <w:pPr>
              <w:spacing w:after="0"/>
            </w:pPr>
            <w:r/>
            <w:r>
              <w:rPr>
                <w:rFonts w:ascii="Arial" w:hAnsi="Arial"/>
                <w:b w:val="0"/>
                <w:sz w:val="16"/>
              </w:rPr>
              <w:t>Concurrent reassessments</w:t>
            </w:r>
          </w:p>
        </w:tc>
        <w:tc>
          <w:tcPr>
            <w:tcW w:type="dxa" w:w="3427"/>
            <w:vAlign w:val="center"/>
          </w:tcPr>
          <w:p>
            <w:pPr>
              <w:spacing w:after="0"/>
            </w:pPr>
            <w:r/>
            <w:r>
              <w:rPr>
                <w:rFonts w:ascii="Arial" w:hAnsi="Arial"/>
                <w:b w:val="0"/>
                <w:sz w:val="16"/>
              </w:rPr>
              <w:t>One valid current pointer; both historical records controlled.</w:t>
            </w:r>
          </w:p>
        </w:tc>
      </w:tr>
      <w:tr>
        <w:tc>
          <w:tcPr>
            <w:tcW w:type="dxa" w:w="3427"/>
            <w:vAlign w:val="center"/>
          </w:tcPr>
          <w:p>
            <w:pPr>
              <w:spacing w:after="0"/>
            </w:pPr>
            <w:r/>
            <w:r>
              <w:rPr>
                <w:rFonts w:ascii="Arial" w:hAnsi="Arial"/>
                <w:b w:val="0"/>
                <w:sz w:val="16"/>
              </w:rPr>
              <w:t>ENG-22</w:t>
            </w:r>
          </w:p>
        </w:tc>
        <w:tc>
          <w:tcPr>
            <w:tcW w:type="dxa" w:w="3427"/>
            <w:vAlign w:val="center"/>
          </w:tcPr>
          <w:p>
            <w:pPr>
              <w:spacing w:after="0"/>
            </w:pPr>
            <w:r/>
            <w:r>
              <w:rPr>
                <w:rFonts w:ascii="Arial" w:hAnsi="Arial"/>
                <w:b w:val="0"/>
                <w:sz w:val="16"/>
              </w:rPr>
              <w:t>Database failure before commit</w:t>
            </w:r>
          </w:p>
        </w:tc>
        <w:tc>
          <w:tcPr>
            <w:tcW w:type="dxa" w:w="3427"/>
            <w:vAlign w:val="center"/>
          </w:tcPr>
          <w:p>
            <w:pPr>
              <w:spacing w:after="0"/>
            </w:pPr>
            <w:r/>
            <w:r>
              <w:rPr>
                <w:rFonts w:ascii="Arial" w:hAnsi="Arial"/>
                <w:b w:val="0"/>
                <w:sz w:val="16"/>
              </w:rPr>
              <w:t>Rollback; no partial current assessment.</w:t>
            </w:r>
          </w:p>
        </w:tc>
      </w:tr>
      <w:tr>
        <w:tc>
          <w:tcPr>
            <w:tcW w:type="dxa" w:w="3427"/>
            <w:vAlign w:val="center"/>
          </w:tcPr>
          <w:p>
            <w:pPr>
              <w:spacing w:after="0"/>
            </w:pPr>
            <w:r/>
            <w:r>
              <w:rPr>
                <w:rFonts w:ascii="Arial" w:hAnsi="Arial"/>
                <w:b w:val="0"/>
                <w:sz w:val="16"/>
              </w:rPr>
              <w:t>ENG-23</w:t>
            </w:r>
          </w:p>
        </w:tc>
        <w:tc>
          <w:tcPr>
            <w:tcW w:type="dxa" w:w="3427"/>
            <w:vAlign w:val="center"/>
          </w:tcPr>
          <w:p>
            <w:pPr>
              <w:spacing w:after="0"/>
            </w:pPr>
            <w:r/>
            <w:r>
              <w:rPr>
                <w:rFonts w:ascii="Arial" w:hAnsi="Arial"/>
                <w:b w:val="0"/>
                <w:sz w:val="16"/>
              </w:rPr>
              <w:t>Email failure after commit</w:t>
            </w:r>
          </w:p>
        </w:tc>
        <w:tc>
          <w:tcPr>
            <w:tcW w:type="dxa" w:w="3427"/>
            <w:vAlign w:val="center"/>
          </w:tcPr>
          <w:p>
            <w:pPr>
              <w:spacing w:after="0"/>
            </w:pPr>
            <w:r/>
            <w:r>
              <w:rPr>
                <w:rFonts w:ascii="Arial" w:hAnsi="Arial"/>
                <w:b w:val="0"/>
                <w:sz w:val="16"/>
              </w:rPr>
              <w:t>Assessment unchanged; operational failure logged.</w:t>
            </w:r>
          </w:p>
        </w:tc>
      </w:tr>
      <w:tr>
        <w:tc>
          <w:tcPr>
            <w:tcW w:type="dxa" w:w="3427"/>
            <w:vAlign w:val="center"/>
          </w:tcPr>
          <w:p>
            <w:pPr>
              <w:spacing w:after="0"/>
            </w:pPr>
            <w:r/>
            <w:r>
              <w:rPr>
                <w:rFonts w:ascii="Arial" w:hAnsi="Arial"/>
                <w:b w:val="0"/>
                <w:sz w:val="16"/>
              </w:rPr>
              <w:t>ENG-24</w:t>
            </w:r>
          </w:p>
        </w:tc>
        <w:tc>
          <w:tcPr>
            <w:tcW w:type="dxa" w:w="3427"/>
            <w:vAlign w:val="center"/>
          </w:tcPr>
          <w:p>
            <w:pPr>
              <w:spacing w:after="0"/>
            </w:pPr>
            <w:r/>
            <w:r>
              <w:rPr>
                <w:rFonts w:ascii="Arial" w:hAnsi="Arial"/>
                <w:b w:val="0"/>
                <w:sz w:val="16"/>
              </w:rPr>
              <w:t>Referral completed</w:t>
            </w:r>
          </w:p>
        </w:tc>
        <w:tc>
          <w:tcPr>
            <w:tcW w:type="dxa" w:w="3427"/>
            <w:vAlign w:val="center"/>
          </w:tcPr>
          <w:p>
            <w:pPr>
              <w:spacing w:after="0"/>
            </w:pPr>
            <w:r/>
            <w:r>
              <w:rPr>
                <w:rFonts w:ascii="Arial" w:hAnsi="Arial"/>
                <w:b w:val="0"/>
                <w:sz w:val="16"/>
              </w:rPr>
              <w:t>No automatic LOW.</w:t>
            </w:r>
          </w:p>
        </w:tc>
      </w:tr>
      <w:tr>
        <w:tc>
          <w:tcPr>
            <w:tcW w:type="dxa" w:w="3427"/>
            <w:vAlign w:val="center"/>
          </w:tcPr>
          <w:p>
            <w:pPr>
              <w:spacing w:after="0"/>
            </w:pPr>
            <w:r/>
            <w:r>
              <w:rPr>
                <w:rFonts w:ascii="Arial" w:hAnsi="Arial"/>
                <w:b w:val="0"/>
                <w:sz w:val="16"/>
              </w:rPr>
              <w:t>ENG-25</w:t>
            </w:r>
          </w:p>
        </w:tc>
        <w:tc>
          <w:tcPr>
            <w:tcW w:type="dxa" w:w="3427"/>
            <w:vAlign w:val="center"/>
          </w:tcPr>
          <w:p>
            <w:pPr>
              <w:spacing w:after="0"/>
            </w:pPr>
            <w:r/>
            <w:r>
              <w:rPr>
                <w:rFonts w:ascii="Arial" w:hAnsi="Arial"/>
                <w:b w:val="0"/>
                <w:sz w:val="16"/>
              </w:rPr>
              <w:t>Patient refuses referral</w:t>
            </w:r>
          </w:p>
        </w:tc>
        <w:tc>
          <w:tcPr>
            <w:tcW w:type="dxa" w:w="3427"/>
            <w:vAlign w:val="center"/>
          </w:tcPr>
          <w:p>
            <w:pPr>
              <w:spacing w:after="0"/>
            </w:pPr>
            <w:r/>
            <w:r>
              <w:rPr>
                <w:rFonts w:ascii="Arial" w:hAnsi="Arial"/>
                <w:b w:val="0"/>
                <w:sz w:val="16"/>
              </w:rPr>
              <w:t>HIGH and recommendation remain; refusal downstream.</w:t>
            </w:r>
          </w:p>
        </w:tc>
      </w:tr>
      <w:tr>
        <w:tc>
          <w:tcPr>
            <w:tcW w:type="dxa" w:w="3427"/>
            <w:vAlign w:val="center"/>
          </w:tcPr>
          <w:p>
            <w:pPr>
              <w:spacing w:after="0"/>
            </w:pPr>
            <w:r/>
            <w:r>
              <w:rPr>
                <w:rFonts w:ascii="Arial" w:hAnsi="Arial"/>
                <w:b w:val="0"/>
                <w:sz w:val="16"/>
              </w:rPr>
              <w:t>ENG-26</w:t>
            </w:r>
          </w:p>
        </w:tc>
        <w:tc>
          <w:tcPr>
            <w:tcW w:type="dxa" w:w="3427"/>
            <w:vAlign w:val="center"/>
          </w:tcPr>
          <w:p>
            <w:pPr>
              <w:spacing w:after="0"/>
            </w:pPr>
            <w:r/>
            <w:r>
              <w:rPr>
                <w:rFonts w:ascii="Arial" w:hAnsi="Arial"/>
                <w:b w:val="0"/>
                <w:sz w:val="16"/>
              </w:rPr>
              <w:t>Clinician manual E4 escalation</w:t>
            </w:r>
          </w:p>
        </w:tc>
        <w:tc>
          <w:tcPr>
            <w:tcW w:type="dxa" w:w="3427"/>
            <w:vAlign w:val="center"/>
          </w:tcPr>
          <w:p>
            <w:pPr>
              <w:spacing w:after="0"/>
            </w:pPr>
            <w:r/>
            <w:r>
              <w:rPr>
                <w:rFonts w:ascii="Arial" w:hAnsi="Arial"/>
                <w:b w:val="0"/>
                <w:sz w:val="16"/>
              </w:rPr>
              <w:t>Allowed, attributed, and original engine reasons preserved.</w:t>
            </w:r>
          </w:p>
        </w:tc>
      </w:tr>
      <w:tr>
        <w:tc>
          <w:tcPr>
            <w:tcW w:type="dxa" w:w="3427"/>
            <w:vAlign w:val="center"/>
          </w:tcPr>
          <w:p>
            <w:pPr>
              <w:spacing w:after="0"/>
            </w:pPr>
            <w:r/>
            <w:r>
              <w:rPr>
                <w:rFonts w:ascii="Arial" w:hAnsi="Arial"/>
                <w:b w:val="0"/>
                <w:sz w:val="16"/>
              </w:rPr>
              <w:t>ENG-27</w:t>
            </w:r>
          </w:p>
        </w:tc>
        <w:tc>
          <w:tcPr>
            <w:tcW w:type="dxa" w:w="3427"/>
            <w:vAlign w:val="center"/>
          </w:tcPr>
          <w:p>
            <w:pPr>
              <w:spacing w:after="0"/>
            </w:pPr>
            <w:r/>
            <w:r>
              <w:rPr>
                <w:rFonts w:ascii="Arial" w:hAnsi="Arial"/>
                <w:b w:val="0"/>
                <w:sz w:val="16"/>
              </w:rPr>
              <w:t>User tries direct final-state form field</w:t>
            </w:r>
          </w:p>
        </w:tc>
        <w:tc>
          <w:tcPr>
            <w:tcW w:type="dxa" w:w="3427"/>
            <w:vAlign w:val="center"/>
          </w:tcPr>
          <w:p>
            <w:pPr>
              <w:spacing w:after="0"/>
            </w:pPr>
            <w:r/>
            <w:r>
              <w:rPr>
                <w:rFonts w:ascii="Arial" w:hAnsi="Arial"/>
                <w:b w:val="0"/>
                <w:sz w:val="16"/>
              </w:rPr>
              <w:t>Ignored; server recomputes.</w:t>
            </w:r>
          </w:p>
        </w:tc>
      </w:tr>
      <w:tr>
        <w:tc>
          <w:tcPr>
            <w:tcW w:type="dxa" w:w="3427"/>
            <w:vAlign w:val="center"/>
          </w:tcPr>
          <w:p>
            <w:pPr>
              <w:spacing w:after="0"/>
            </w:pPr>
            <w:r/>
            <w:r>
              <w:rPr>
                <w:rFonts w:ascii="Arial" w:hAnsi="Arial"/>
                <w:b w:val="0"/>
                <w:sz w:val="16"/>
              </w:rPr>
              <w:t>ENG-28</w:t>
            </w:r>
          </w:p>
        </w:tc>
        <w:tc>
          <w:tcPr>
            <w:tcW w:type="dxa" w:w="3427"/>
            <w:vAlign w:val="center"/>
          </w:tcPr>
          <w:p>
            <w:pPr>
              <w:spacing w:after="0"/>
            </w:pPr>
            <w:r/>
            <w:r>
              <w:rPr>
                <w:rFonts w:ascii="Arial" w:hAnsi="Arial"/>
                <w:b w:val="0"/>
                <w:sz w:val="16"/>
              </w:rPr>
              <w:t>Cross-pregnancy visit ID</w:t>
            </w:r>
          </w:p>
        </w:tc>
        <w:tc>
          <w:tcPr>
            <w:tcW w:type="dxa" w:w="3427"/>
            <w:vAlign w:val="center"/>
          </w:tcPr>
          <w:p>
            <w:pPr>
              <w:spacing w:after="0"/>
            </w:pPr>
            <w:r/>
            <w:r>
              <w:rPr>
                <w:rFonts w:ascii="Arial" w:hAnsi="Arial"/>
                <w:b w:val="0"/>
                <w:sz w:val="16"/>
              </w:rPr>
              <w:t>Blocked.</w:t>
            </w:r>
          </w:p>
        </w:tc>
      </w:tr>
      <w:tr>
        <w:tc>
          <w:tcPr>
            <w:tcW w:type="dxa" w:w="3427"/>
            <w:vAlign w:val="center"/>
          </w:tcPr>
          <w:p>
            <w:pPr>
              <w:spacing w:after="0"/>
            </w:pPr>
            <w:r/>
            <w:r>
              <w:rPr>
                <w:rFonts w:ascii="Arial" w:hAnsi="Arial"/>
                <w:b w:val="0"/>
                <w:sz w:val="16"/>
              </w:rPr>
              <w:t>ENG-29</w:t>
            </w:r>
          </w:p>
        </w:tc>
        <w:tc>
          <w:tcPr>
            <w:tcW w:type="dxa" w:w="3427"/>
            <w:vAlign w:val="center"/>
          </w:tcPr>
          <w:p>
            <w:pPr>
              <w:spacing w:after="0"/>
            </w:pPr>
            <w:r/>
            <w:r>
              <w:rPr>
                <w:rFonts w:ascii="Arial" w:hAnsi="Arial"/>
                <w:b w:val="0"/>
                <w:sz w:val="16"/>
              </w:rPr>
              <w:t>Delivered pregnancy reassessment</w:t>
            </w:r>
          </w:p>
        </w:tc>
        <w:tc>
          <w:tcPr>
            <w:tcW w:type="dxa" w:w="3427"/>
            <w:vAlign w:val="center"/>
          </w:tcPr>
          <w:p>
            <w:pPr>
              <w:spacing w:after="0"/>
            </w:pPr>
            <w:r/>
            <w:r>
              <w:rPr>
                <w:rFonts w:ascii="Arial" w:hAnsi="Arial"/>
                <w:b w:val="0"/>
                <w:sz w:val="16"/>
              </w:rPr>
              <w:t>Blocked except authorized historical correction.</w:t>
            </w:r>
          </w:p>
        </w:tc>
      </w:tr>
      <w:tr>
        <w:tc>
          <w:tcPr>
            <w:tcW w:type="dxa" w:w="3427"/>
            <w:vAlign w:val="center"/>
          </w:tcPr>
          <w:p>
            <w:pPr>
              <w:spacing w:after="0"/>
            </w:pPr>
            <w:r/>
            <w:r>
              <w:rPr>
                <w:rFonts w:ascii="Arial" w:hAnsi="Arial"/>
                <w:b w:val="0"/>
                <w:sz w:val="16"/>
              </w:rPr>
              <w:t>ENG-30</w:t>
            </w:r>
          </w:p>
        </w:tc>
        <w:tc>
          <w:tcPr>
            <w:tcW w:type="dxa" w:w="3427"/>
            <w:vAlign w:val="center"/>
          </w:tcPr>
          <w:p>
            <w:pPr>
              <w:spacing w:after="0"/>
            </w:pPr>
            <w:r/>
            <w:r>
              <w:rPr>
                <w:rFonts w:ascii="Arial" w:hAnsi="Arial"/>
                <w:b w:val="0"/>
                <w:sz w:val="16"/>
              </w:rPr>
              <w:t>New pregnancy</w:t>
            </w:r>
          </w:p>
        </w:tc>
        <w:tc>
          <w:tcPr>
            <w:tcW w:type="dxa" w:w="3427"/>
            <w:vAlign w:val="center"/>
          </w:tcPr>
          <w:p>
            <w:pPr>
              <w:spacing w:after="0"/>
            </w:pPr>
            <w:r/>
            <w:r>
              <w:rPr>
                <w:rFonts w:ascii="Arial" w:hAnsi="Arial"/>
                <w:b w:val="0"/>
                <w:sz w:val="16"/>
              </w:rPr>
              <w:t>Independent snapshot and assessment chain.</w:t>
            </w:r>
          </w:p>
        </w:tc>
      </w:tr>
      <w:tr>
        <w:tc>
          <w:tcPr>
            <w:tcW w:type="dxa" w:w="3427"/>
            <w:vAlign w:val="center"/>
          </w:tcPr>
          <w:p>
            <w:pPr>
              <w:spacing w:after="0"/>
            </w:pPr>
            <w:r/>
            <w:r>
              <w:rPr>
                <w:rFonts w:ascii="Arial" w:hAnsi="Arial"/>
                <w:b w:val="0"/>
                <w:sz w:val="16"/>
              </w:rPr>
              <w:t>ENG-31</w:t>
            </w:r>
          </w:p>
        </w:tc>
        <w:tc>
          <w:tcPr>
            <w:tcW w:type="dxa" w:w="3427"/>
            <w:vAlign w:val="center"/>
          </w:tcPr>
          <w:p>
            <w:pPr>
              <w:spacing w:after="0"/>
            </w:pPr>
            <w:r/>
            <w:r>
              <w:rPr>
                <w:rFonts w:ascii="Arial" w:hAnsi="Arial"/>
                <w:b w:val="0"/>
                <w:sz w:val="16"/>
              </w:rPr>
              <w:t>Screen and print use different result versions</w:t>
            </w:r>
          </w:p>
        </w:tc>
        <w:tc>
          <w:tcPr>
            <w:tcW w:type="dxa" w:w="3427"/>
            <w:vAlign w:val="center"/>
          </w:tcPr>
          <w:p>
            <w:pPr>
              <w:spacing w:after="0"/>
            </w:pPr>
            <w:r/>
            <w:r>
              <w:rPr>
                <w:rFonts w:ascii="Arial" w:hAnsi="Arial"/>
                <w:b w:val="0"/>
                <w:sz w:val="16"/>
              </w:rPr>
              <w:t>Validation fails.</w:t>
            </w:r>
          </w:p>
        </w:tc>
      </w:tr>
      <w:tr>
        <w:tc>
          <w:tcPr>
            <w:tcW w:type="dxa" w:w="3427"/>
            <w:vAlign w:val="center"/>
          </w:tcPr>
          <w:p>
            <w:pPr>
              <w:spacing w:after="0"/>
            </w:pPr>
            <w:r/>
            <w:r>
              <w:rPr>
                <w:rFonts w:ascii="Arial" w:hAnsi="Arial"/>
                <w:b w:val="0"/>
                <w:sz w:val="16"/>
              </w:rPr>
              <w:t>ENG-32</w:t>
            </w:r>
          </w:p>
        </w:tc>
        <w:tc>
          <w:tcPr>
            <w:tcW w:type="dxa" w:w="3427"/>
            <w:vAlign w:val="center"/>
          </w:tcPr>
          <w:p>
            <w:pPr>
              <w:spacing w:after="0"/>
            </w:pPr>
            <w:r/>
            <w:r>
              <w:rPr>
                <w:rFonts w:ascii="Arial" w:hAnsi="Arial"/>
                <w:b w:val="0"/>
                <w:sz w:val="16"/>
              </w:rPr>
              <w:t>Audit reconstruction</w:t>
            </w:r>
          </w:p>
        </w:tc>
        <w:tc>
          <w:tcPr>
            <w:tcW w:type="dxa" w:w="3427"/>
            <w:vAlign w:val="center"/>
          </w:tcPr>
          <w:p>
            <w:pPr>
              <w:spacing w:after="0"/>
            </w:pPr>
            <w:r/>
            <w:r>
              <w:rPr>
                <w:rFonts w:ascii="Arial" w:hAnsi="Arial"/>
                <w:b w:val="0"/>
                <w:sz w:val="16"/>
              </w:rPr>
              <w:t>Inputs, rules, ML, resolver, messages, versions, actor, and time reproducible.</w:t>
            </w:r>
          </w:p>
        </w:tc>
      </w:tr>
    </w:tbl>
    <w:p>
      <w:pPr>
        <w:spacing w:after="0"/>
      </w:pPr>
    </w:p>
    <w:p>
      <w:pPr>
        <w:pStyle w:val="Heading1"/>
      </w:pPr>
      <w:r>
        <w:t>22. Release-Blocking Engine Defects</w:t>
      </w:r>
    </w:p>
    <w:p>
      <w:pPr>
        <w:pStyle w:val="ListBullet"/>
        <w:spacing w:after="40"/>
      </w:pPr>
      <w:r>
        <w:t>Any pathway that can return LOW with missing required evidence or invalid/unavailable ML.</w:t>
      </w:r>
    </w:p>
    <w:p>
      <w:pPr>
        <w:pStyle w:val="ListBullet"/>
        <w:spacing w:after="40"/>
      </w:pPr>
      <w:r>
        <w:t>Any deterministic HIGH that can be cancelled, hidden, or downgraded by ML.</w:t>
      </w:r>
    </w:p>
    <w:p>
      <w:pPr>
        <w:pStyle w:val="ListBullet"/>
        <w:spacing w:after="40"/>
      </w:pPr>
      <w:r>
        <w:t>Any incorrect threshold, boundary operator, unit, category mapping, or first-pregnancy condition.</w:t>
      </w:r>
    </w:p>
    <w:p>
      <w:pPr>
        <w:pStyle w:val="ListBullet"/>
        <w:spacing w:after="40"/>
      </w:pPr>
      <w:r>
        <w:t>Any direct browser-to-Python path or Python database write.</w:t>
      </w:r>
    </w:p>
    <w:p>
      <w:pPr>
        <w:pStyle w:val="ListBullet"/>
        <w:spacing w:after="40"/>
      </w:pPr>
      <w:r>
        <w:t>Any shell-command construction influenced by untrusted patient input.</w:t>
      </w:r>
    </w:p>
    <w:p>
      <w:pPr>
        <w:pStyle w:val="ListBullet"/>
        <w:spacing w:after="40"/>
      </w:pPr>
      <w:r>
        <w:t>Any model artifact accepted without known version/schema compatibility.</w:t>
      </w:r>
    </w:p>
    <w:p>
      <w:pPr>
        <w:pStyle w:val="ListBullet"/>
        <w:spacing w:after="40"/>
      </w:pPr>
      <w:r>
        <w:t>Any explanation or recommendation contradicting the final state or urgency.</w:t>
      </w:r>
    </w:p>
    <w:p>
      <w:pPr>
        <w:pStyle w:val="ListBullet"/>
        <w:spacing w:after="40"/>
      </w:pPr>
      <w:r>
        <w:t>Any partial assessment becoming current after transaction failure.</w:t>
      </w:r>
    </w:p>
    <w:p>
      <w:pPr>
        <w:pStyle w:val="ListBullet"/>
        <w:spacing w:after="40"/>
      </w:pPr>
      <w:r>
        <w:t>Any assessment linked to the wrong patient or pregnancy episode.</w:t>
      </w:r>
    </w:p>
    <w:p>
      <w:pPr>
        <w:pStyle w:val="ListBullet"/>
        <w:spacing w:after="40"/>
      </w:pPr>
      <w:r>
        <w:t>Any downstream email, print, queue, or referral status altering clinical state.</w:t>
      </w:r>
    </w:p>
    <w:p>
      <w:pPr>
        <w:pStyle w:val="ListBullet"/>
        <w:spacing w:after="40"/>
      </w:pPr>
      <w:r>
        <w:t>Any inability to reconstruct a historical safety-relevant assessment.</w:t>
      </w:r>
    </w:p>
    <w:p>
      <w:pPr>
        <w:pStyle w:val="ListBullet"/>
        <w:spacing w:after="40"/>
      </w:pPr>
      <w:r>
        <w:t>Any urgent workflow that waits indefinitely for digital completion.</w:t>
      </w:r>
    </w:p>
    <w:p>
      <w:pPr>
        <w:pStyle w:val="Heading1"/>
      </w:pPr>
      <w:r>
        <w:t>23. Implementation Roadmap</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Phase</w:t>
            </w:r>
          </w:p>
        </w:tc>
        <w:tc>
          <w:tcPr>
            <w:tcW w:type="dxa" w:w="3427"/>
            <w:vAlign w:val="center"/>
            <w:shd w:fill="D9EAF7"/>
          </w:tcPr>
          <w:p>
            <w:pPr>
              <w:spacing w:after="0"/>
            </w:pPr>
            <w:r/>
            <w:r>
              <w:rPr>
                <w:rFonts w:ascii="Arial" w:hAnsi="Arial"/>
                <w:b/>
                <w:sz w:val="16"/>
              </w:rPr>
              <w:t>Implementation work</w:t>
            </w:r>
          </w:p>
        </w:tc>
        <w:tc>
          <w:tcPr>
            <w:tcW w:type="dxa" w:w="3427"/>
            <w:vAlign w:val="center"/>
            <w:shd w:fill="D9EAF7"/>
          </w:tcPr>
          <w:p>
            <w:pPr>
              <w:spacing w:after="0"/>
            </w:pPr>
            <w:r/>
            <w:r>
              <w:rPr>
                <w:rFonts w:ascii="Arial" w:hAnsi="Arial"/>
                <w:b/>
                <w:sz w:val="16"/>
              </w:rPr>
              <w:t>Exit evidence</w:t>
            </w:r>
          </w:p>
        </w:tc>
      </w:tr>
      <w:tr>
        <w:tc>
          <w:tcPr>
            <w:tcW w:type="dxa" w:w="3427"/>
            <w:vAlign w:val="center"/>
          </w:tcPr>
          <w:p>
            <w:pPr>
              <w:spacing w:after="0"/>
            </w:pPr>
            <w:r/>
            <w:r>
              <w:rPr>
                <w:rFonts w:ascii="Arial" w:hAnsi="Arial"/>
                <w:b w:val="0"/>
                <w:sz w:val="16"/>
              </w:rPr>
              <w:t>1. Baseline extraction</w:t>
            </w:r>
          </w:p>
        </w:tc>
        <w:tc>
          <w:tcPr>
            <w:tcW w:type="dxa" w:w="3427"/>
            <w:vAlign w:val="center"/>
          </w:tcPr>
          <w:p>
            <w:pPr>
              <w:spacing w:after="0"/>
            </w:pPr>
            <w:r/>
            <w:r>
              <w:rPr>
                <w:rFonts w:ascii="Arial" w:hAnsi="Arial"/>
                <w:b w:val="0"/>
                <w:sz w:val="16"/>
              </w:rPr>
              <w:t>Move current assessment logic from controller into one service without changing behavior.</w:t>
            </w:r>
          </w:p>
        </w:tc>
        <w:tc>
          <w:tcPr>
            <w:tcW w:type="dxa" w:w="3427"/>
            <w:vAlign w:val="center"/>
          </w:tcPr>
          <w:p>
            <w:pPr>
              <w:spacing w:after="0"/>
            </w:pPr>
            <w:r/>
            <w:r>
              <w:rPr>
                <w:rFonts w:ascii="Arial" w:hAnsi="Arial"/>
                <w:b w:val="0"/>
                <w:sz w:val="16"/>
              </w:rPr>
              <w:t>Existing tests pass; no duplicate thresholds.</w:t>
            </w:r>
          </w:p>
        </w:tc>
      </w:tr>
      <w:tr>
        <w:tc>
          <w:tcPr>
            <w:tcW w:type="dxa" w:w="3427"/>
            <w:vAlign w:val="center"/>
          </w:tcPr>
          <w:p>
            <w:pPr>
              <w:spacing w:after="0"/>
            </w:pPr>
            <w:r/>
            <w:r>
              <w:rPr>
                <w:rFonts w:ascii="Arial" w:hAnsi="Arial"/>
                <w:b w:val="0"/>
                <w:sz w:val="16"/>
              </w:rPr>
              <w:t>2. Snapshot and DTOs</w:t>
            </w:r>
          </w:p>
        </w:tc>
        <w:tc>
          <w:tcPr>
            <w:tcW w:type="dxa" w:w="3427"/>
            <w:vAlign w:val="center"/>
          </w:tcPr>
          <w:p>
            <w:pPr>
              <w:spacing w:after="0"/>
            </w:pPr>
            <w:r/>
            <w:r>
              <w:rPr>
                <w:rFonts w:ascii="Arial" w:hAnsi="Arial"/>
                <w:b w:val="0"/>
                <w:sz w:val="16"/>
              </w:rPr>
              <w:t>Introduce request, snapshot, completeness, rule, ML, and result objects.</w:t>
            </w:r>
          </w:p>
        </w:tc>
        <w:tc>
          <w:tcPr>
            <w:tcW w:type="dxa" w:w="3427"/>
            <w:vAlign w:val="center"/>
          </w:tcPr>
          <w:p>
            <w:pPr>
              <w:spacing w:after="0"/>
            </w:pPr>
            <w:r/>
            <w:r>
              <w:rPr>
                <w:rFonts w:ascii="Arial" w:hAnsi="Arial"/>
                <w:b w:val="0"/>
                <w:sz w:val="16"/>
              </w:rPr>
              <w:t>Unit tests and serialized fixtures.</w:t>
            </w:r>
          </w:p>
        </w:tc>
      </w:tr>
      <w:tr>
        <w:tc>
          <w:tcPr>
            <w:tcW w:type="dxa" w:w="3427"/>
            <w:vAlign w:val="center"/>
          </w:tcPr>
          <w:p>
            <w:pPr>
              <w:spacing w:after="0"/>
            </w:pPr>
            <w:r/>
            <w:r>
              <w:rPr>
                <w:rFonts w:ascii="Arial" w:hAnsi="Arial"/>
                <w:b w:val="0"/>
                <w:sz w:val="16"/>
              </w:rPr>
              <w:t>3. Rule separation</w:t>
            </w:r>
          </w:p>
        </w:tc>
        <w:tc>
          <w:tcPr>
            <w:tcW w:type="dxa" w:w="3427"/>
            <w:vAlign w:val="center"/>
          </w:tcPr>
          <w:p>
            <w:pPr>
              <w:spacing w:after="0"/>
            </w:pPr>
            <w:r/>
            <w:r>
              <w:rPr>
                <w:rFonts w:ascii="Arial" w:hAnsi="Arial"/>
                <w:b w:val="0"/>
                <w:sz w:val="16"/>
              </w:rPr>
              <w:t>Implement versioned rule classes or catalogue and collect all reasons.</w:t>
            </w:r>
          </w:p>
        </w:tc>
        <w:tc>
          <w:tcPr>
            <w:tcW w:type="dxa" w:w="3427"/>
            <w:vAlign w:val="center"/>
          </w:tcPr>
          <w:p>
            <w:pPr>
              <w:spacing w:after="0"/>
            </w:pPr>
            <w:r/>
            <w:r>
              <w:rPr>
                <w:rFonts w:ascii="Arial" w:hAnsi="Arial"/>
                <w:b w:val="0"/>
                <w:sz w:val="16"/>
              </w:rPr>
              <w:t>Boundary matrix passes.</w:t>
            </w:r>
          </w:p>
        </w:tc>
      </w:tr>
      <w:tr>
        <w:tc>
          <w:tcPr>
            <w:tcW w:type="dxa" w:w="3427"/>
            <w:vAlign w:val="center"/>
          </w:tcPr>
          <w:p>
            <w:pPr>
              <w:spacing w:after="0"/>
            </w:pPr>
            <w:r/>
            <w:r>
              <w:rPr>
                <w:rFonts w:ascii="Arial" w:hAnsi="Arial"/>
                <w:b w:val="0"/>
                <w:sz w:val="16"/>
              </w:rPr>
              <w:t>4. ML adapter hardening</w:t>
            </w:r>
          </w:p>
        </w:tc>
        <w:tc>
          <w:tcPr>
            <w:tcW w:type="dxa" w:w="3427"/>
            <w:vAlign w:val="center"/>
          </w:tcPr>
          <w:p>
            <w:pPr>
              <w:spacing w:after="0"/>
            </w:pPr>
            <w:r/>
            <w:r>
              <w:rPr>
                <w:rFonts w:ascii="Arial" w:hAnsi="Arial"/>
                <w:b w:val="0"/>
                <w:sz w:val="16"/>
              </w:rPr>
              <w:t>Strict JSON, timeout, error taxonomy, schema/artifact checks.</w:t>
            </w:r>
          </w:p>
        </w:tc>
        <w:tc>
          <w:tcPr>
            <w:tcW w:type="dxa" w:w="3427"/>
            <w:vAlign w:val="center"/>
          </w:tcPr>
          <w:p>
            <w:pPr>
              <w:spacing w:after="0"/>
            </w:pPr>
            <w:r/>
            <w:r>
              <w:rPr>
                <w:rFonts w:ascii="Arial" w:hAnsi="Arial"/>
                <w:b w:val="0"/>
                <w:sz w:val="16"/>
              </w:rPr>
              <w:t>Failure-mode tests pass.</w:t>
            </w:r>
          </w:p>
        </w:tc>
      </w:tr>
      <w:tr>
        <w:tc>
          <w:tcPr>
            <w:tcW w:type="dxa" w:w="3427"/>
            <w:vAlign w:val="center"/>
          </w:tcPr>
          <w:p>
            <w:pPr>
              <w:spacing w:after="0"/>
            </w:pPr>
            <w:r/>
            <w:r>
              <w:rPr>
                <w:rFonts w:ascii="Arial" w:hAnsi="Arial"/>
                <w:b w:val="0"/>
                <w:sz w:val="16"/>
              </w:rPr>
              <w:t>5. Resolver and escalation</w:t>
            </w:r>
          </w:p>
        </w:tc>
        <w:tc>
          <w:tcPr>
            <w:tcW w:type="dxa" w:w="3427"/>
            <w:vAlign w:val="center"/>
          </w:tcPr>
          <w:p>
            <w:pPr>
              <w:spacing w:after="0"/>
            </w:pPr>
            <w:r/>
            <w:r>
              <w:rPr>
                <w:rFonts w:ascii="Arial" w:hAnsi="Arial"/>
                <w:b w:val="0"/>
                <w:sz w:val="16"/>
              </w:rPr>
              <w:t>Central pure resolution and E-level mapping.</w:t>
            </w:r>
          </w:p>
        </w:tc>
        <w:tc>
          <w:tcPr>
            <w:tcW w:type="dxa" w:w="3427"/>
            <w:vAlign w:val="center"/>
          </w:tcPr>
          <w:p>
            <w:pPr>
              <w:spacing w:after="0"/>
            </w:pPr>
            <w:r/>
            <w:r>
              <w:rPr>
                <w:rFonts w:ascii="Arial" w:hAnsi="Arial"/>
                <w:b w:val="0"/>
                <w:sz w:val="16"/>
              </w:rPr>
              <w:t>Authoritative decision table passes.</w:t>
            </w:r>
          </w:p>
        </w:tc>
      </w:tr>
      <w:tr>
        <w:tc>
          <w:tcPr>
            <w:tcW w:type="dxa" w:w="3427"/>
            <w:vAlign w:val="center"/>
          </w:tcPr>
          <w:p>
            <w:pPr>
              <w:spacing w:after="0"/>
            </w:pPr>
            <w:r/>
            <w:r>
              <w:rPr>
                <w:rFonts w:ascii="Arial" w:hAnsi="Arial"/>
                <w:b w:val="0"/>
                <w:sz w:val="16"/>
              </w:rPr>
              <w:t>6. Immutable persistence</w:t>
            </w:r>
          </w:p>
        </w:tc>
        <w:tc>
          <w:tcPr>
            <w:tcW w:type="dxa" w:w="3427"/>
            <w:vAlign w:val="center"/>
          </w:tcPr>
          <w:p>
            <w:pPr>
              <w:spacing w:after="0"/>
            </w:pPr>
            <w:r/>
            <w:r>
              <w:rPr>
                <w:rFonts w:ascii="Arial" w:hAnsi="Arial"/>
                <w:b w:val="0"/>
                <w:sz w:val="16"/>
              </w:rPr>
              <w:t>Assessment versions, factors, model execution, messages, and current pointer.</w:t>
            </w:r>
          </w:p>
        </w:tc>
        <w:tc>
          <w:tcPr>
            <w:tcW w:type="dxa" w:w="3427"/>
            <w:vAlign w:val="center"/>
          </w:tcPr>
          <w:p>
            <w:pPr>
              <w:spacing w:after="0"/>
            </w:pPr>
            <w:r/>
            <w:r>
              <w:rPr>
                <w:rFonts w:ascii="Arial" w:hAnsi="Arial"/>
                <w:b w:val="0"/>
                <w:sz w:val="16"/>
              </w:rPr>
              <w:t>Audit reconstruction passes.</w:t>
            </w:r>
          </w:p>
        </w:tc>
      </w:tr>
      <w:tr>
        <w:tc>
          <w:tcPr>
            <w:tcW w:type="dxa" w:w="3427"/>
            <w:vAlign w:val="center"/>
          </w:tcPr>
          <w:p>
            <w:pPr>
              <w:spacing w:after="0"/>
            </w:pPr>
            <w:r/>
            <w:r>
              <w:rPr>
                <w:rFonts w:ascii="Arial" w:hAnsi="Arial"/>
                <w:b w:val="0"/>
                <w:sz w:val="16"/>
              </w:rPr>
              <w:t>7. Post-commit integration</w:t>
            </w:r>
          </w:p>
        </w:tc>
        <w:tc>
          <w:tcPr>
            <w:tcW w:type="dxa" w:w="3427"/>
            <w:vAlign w:val="center"/>
          </w:tcPr>
          <w:p>
            <w:pPr>
              <w:spacing w:after="0"/>
            </w:pPr>
            <w:r/>
            <w:r>
              <w:rPr>
                <w:rFonts w:ascii="Arial" w:hAnsi="Arial"/>
                <w:b w:val="0"/>
                <w:sz w:val="16"/>
              </w:rPr>
              <w:t>Referral offer, mail, print, and monitoring listeners.</w:t>
            </w:r>
          </w:p>
        </w:tc>
        <w:tc>
          <w:tcPr>
            <w:tcW w:type="dxa" w:w="3427"/>
            <w:vAlign w:val="center"/>
          </w:tcPr>
          <w:p>
            <w:pPr>
              <w:spacing w:after="0"/>
            </w:pPr>
            <w:r/>
            <w:r>
              <w:rPr>
                <w:rFonts w:ascii="Arial" w:hAnsi="Arial"/>
                <w:b w:val="0"/>
                <w:sz w:val="16"/>
              </w:rPr>
              <w:t>Downstream failure isolation demonstrated.</w:t>
            </w:r>
          </w:p>
        </w:tc>
      </w:tr>
      <w:tr>
        <w:tc>
          <w:tcPr>
            <w:tcW w:type="dxa" w:w="3427"/>
            <w:vAlign w:val="center"/>
          </w:tcPr>
          <w:p>
            <w:pPr>
              <w:spacing w:after="0"/>
            </w:pPr>
            <w:r/>
            <w:r>
              <w:rPr>
                <w:rFonts w:ascii="Arial" w:hAnsi="Arial"/>
                <w:b w:val="0"/>
                <w:sz w:val="16"/>
              </w:rPr>
              <w:t>8. Migration and rollout</w:t>
            </w:r>
          </w:p>
        </w:tc>
        <w:tc>
          <w:tcPr>
            <w:tcW w:type="dxa" w:w="3427"/>
            <w:vAlign w:val="center"/>
          </w:tcPr>
          <w:p>
            <w:pPr>
              <w:spacing w:after="0"/>
            </w:pPr>
            <w:r/>
            <w:r>
              <w:rPr>
                <w:rFonts w:ascii="Arial" w:hAnsi="Arial"/>
                <w:b w:val="0"/>
                <w:sz w:val="16"/>
              </w:rPr>
              <w:t>Backfill episode links and preserve current production history.</w:t>
            </w:r>
          </w:p>
        </w:tc>
        <w:tc>
          <w:tcPr>
            <w:tcW w:type="dxa" w:w="3427"/>
            <w:vAlign w:val="center"/>
          </w:tcPr>
          <w:p>
            <w:pPr>
              <w:spacing w:after="0"/>
            </w:pPr>
            <w:r/>
            <w:r>
              <w:rPr>
                <w:rFonts w:ascii="Arial" w:hAnsi="Arial"/>
                <w:b w:val="0"/>
                <w:sz w:val="16"/>
              </w:rPr>
              <w:t>Part 9 deployment and Part 10 V&amp;V gates satisfied.</w:t>
            </w:r>
          </w:p>
        </w:tc>
      </w:tr>
    </w:tbl>
    <w:p>
      <w:pPr>
        <w:spacing w:after="0"/>
      </w:pPr>
    </w:p>
    <w:p>
      <w:pPr>
        <w:pStyle w:val="Heading1"/>
      </w:pPr>
      <w:r>
        <w:t>24. Panel Defense Questions and Model Answers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Question</w:t>
            </w:r>
          </w:p>
        </w:tc>
        <w:tc>
          <w:tcPr>
            <w:tcW w:type="dxa" w:w="5141"/>
            <w:vAlign w:val="center"/>
            <w:shd w:fill="D9EAF7"/>
          </w:tcPr>
          <w:p>
            <w:pPr>
              <w:spacing w:after="0"/>
            </w:pPr>
            <w:r/>
            <w:r>
              <w:rPr>
                <w:rFonts w:ascii="Arial" w:hAnsi="Arial"/>
                <w:b/>
                <w:sz w:val="16"/>
              </w:rPr>
              <w:t>Model answer</w:t>
            </w:r>
          </w:p>
        </w:tc>
      </w:tr>
      <w:tr>
        <w:tc>
          <w:tcPr>
            <w:tcW w:type="dxa" w:w="5141"/>
            <w:vAlign w:val="center"/>
          </w:tcPr>
          <w:p>
            <w:pPr>
              <w:spacing w:after="0"/>
            </w:pPr>
            <w:r/>
            <w:r>
              <w:rPr>
                <w:rFonts w:ascii="Arial" w:hAnsi="Arial"/>
                <w:b w:val="0"/>
                <w:sz w:val="16"/>
              </w:rPr>
              <w:t>Why not keep assessment logic in PrenatalVisitController?</w:t>
            </w:r>
          </w:p>
        </w:tc>
        <w:tc>
          <w:tcPr>
            <w:tcW w:type="dxa" w:w="5141"/>
            <w:vAlign w:val="center"/>
          </w:tcPr>
          <w:p>
            <w:pPr>
              <w:spacing w:after="0"/>
            </w:pPr>
            <w:r/>
            <w:r>
              <w:rPr>
                <w:rFonts w:ascii="Arial" w:hAnsi="Arial"/>
                <w:b w:val="0"/>
                <w:sz w:val="16"/>
              </w:rPr>
              <w:t>Controllers should coordinate HTTP concerns. Centralizing clinical logic prevents duplication, improves testability, and preserves one governed source of truth.</w:t>
            </w:r>
          </w:p>
        </w:tc>
      </w:tr>
      <w:tr>
        <w:tc>
          <w:tcPr>
            <w:tcW w:type="dxa" w:w="5141"/>
            <w:vAlign w:val="center"/>
          </w:tcPr>
          <w:p>
            <w:pPr>
              <w:spacing w:after="0"/>
            </w:pPr>
            <w:r/>
            <w:r>
              <w:rPr>
                <w:rFonts w:ascii="Arial" w:hAnsi="Arial"/>
                <w:b w:val="0"/>
                <w:sz w:val="16"/>
              </w:rPr>
              <w:t>Why run rules before ML?</w:t>
            </w:r>
          </w:p>
        </w:tc>
        <w:tc>
          <w:tcPr>
            <w:tcW w:type="dxa" w:w="5141"/>
            <w:vAlign w:val="center"/>
          </w:tcPr>
          <w:p>
            <w:pPr>
              <w:spacing w:after="0"/>
            </w:pPr>
            <w:r/>
            <w:r>
              <w:rPr>
                <w:rFonts w:ascii="Arial" w:hAnsi="Arial"/>
                <w:b w:val="0"/>
                <w:sz w:val="16"/>
              </w:rPr>
              <w:t>Known safety factors require predictable behavior and must remain effective even when the model fails or predicts LOW.</w:t>
            </w:r>
          </w:p>
        </w:tc>
      </w:tr>
      <w:tr>
        <w:tc>
          <w:tcPr>
            <w:tcW w:type="dxa" w:w="5141"/>
            <w:vAlign w:val="center"/>
          </w:tcPr>
          <w:p>
            <w:pPr>
              <w:spacing w:after="0"/>
            </w:pPr>
            <w:r/>
            <w:r>
              <w:rPr>
                <w:rFonts w:ascii="Arial" w:hAnsi="Arial"/>
                <w:b w:val="0"/>
                <w:sz w:val="16"/>
              </w:rPr>
              <w:t>Can missing data be passed to the model?</w:t>
            </w:r>
          </w:p>
        </w:tc>
        <w:tc>
          <w:tcPr>
            <w:tcW w:type="dxa" w:w="5141"/>
            <w:vAlign w:val="center"/>
          </w:tcPr>
          <w:p>
            <w:pPr>
              <w:spacing w:after="0"/>
            </w:pPr>
            <w:r/>
            <w:r>
              <w:rPr>
                <w:rFonts w:ascii="Arial" w:hAnsi="Arial"/>
                <w:b w:val="0"/>
                <w:sz w:val="16"/>
              </w:rPr>
              <w:t>Only if the approved feature contract explicitly supports and validates that missingness. Under the current LOW gate, required missing records prevent LOW.</w:t>
            </w:r>
          </w:p>
        </w:tc>
      </w:tr>
      <w:tr>
        <w:tc>
          <w:tcPr>
            <w:tcW w:type="dxa" w:w="5141"/>
            <w:vAlign w:val="center"/>
          </w:tcPr>
          <w:p>
            <w:pPr>
              <w:spacing w:after="0"/>
            </w:pPr>
            <w:r/>
            <w:r>
              <w:rPr>
                <w:rFonts w:ascii="Arial" w:hAnsi="Arial"/>
                <w:b w:val="0"/>
                <w:sz w:val="16"/>
              </w:rPr>
              <w:t>Why save the exact input snapshot?</w:t>
            </w:r>
          </w:p>
        </w:tc>
        <w:tc>
          <w:tcPr>
            <w:tcW w:type="dxa" w:w="5141"/>
            <w:vAlign w:val="center"/>
          </w:tcPr>
          <w:p>
            <w:pPr>
              <w:spacing w:after="0"/>
            </w:pPr>
            <w:r/>
            <w:r>
              <w:rPr>
                <w:rFonts w:ascii="Arial" w:hAnsi="Arial"/>
                <w:b w:val="0"/>
                <w:sz w:val="16"/>
              </w:rPr>
              <w:t>Later record edits must not change the historical basis of an earlier decision.</w:t>
            </w:r>
          </w:p>
        </w:tc>
      </w:tr>
      <w:tr>
        <w:tc>
          <w:tcPr>
            <w:tcW w:type="dxa" w:w="5141"/>
            <w:vAlign w:val="center"/>
          </w:tcPr>
          <w:p>
            <w:pPr>
              <w:spacing w:after="0"/>
            </w:pPr>
            <w:r/>
            <w:r>
              <w:rPr>
                <w:rFonts w:ascii="Arial" w:hAnsi="Arial"/>
                <w:b w:val="0"/>
                <w:sz w:val="16"/>
              </w:rPr>
              <w:t>What happens when Python fails?</w:t>
            </w:r>
          </w:p>
        </w:tc>
        <w:tc>
          <w:tcPr>
            <w:tcW w:type="dxa" w:w="5141"/>
            <w:vAlign w:val="center"/>
          </w:tcPr>
          <w:p>
            <w:pPr>
              <w:spacing w:after="0"/>
            </w:pPr>
            <w:r/>
            <w:r>
              <w:rPr>
                <w:rFonts w:ascii="Arial" w:hAnsi="Arial"/>
                <w:b w:val="0"/>
                <w:sz w:val="16"/>
              </w:rPr>
              <w:t>The failure is visible. Deterministic HIGH remains HIGH; otherwise the state is INCOMPLETE.</w:t>
            </w:r>
          </w:p>
        </w:tc>
      </w:tr>
      <w:tr>
        <w:tc>
          <w:tcPr>
            <w:tcW w:type="dxa" w:w="5141"/>
            <w:vAlign w:val="center"/>
          </w:tcPr>
          <w:p>
            <w:pPr>
              <w:spacing w:after="0"/>
            </w:pPr>
            <w:r/>
            <w:r>
              <w:rPr>
                <w:rFonts w:ascii="Arial" w:hAnsi="Arial"/>
                <w:b w:val="0"/>
                <w:sz w:val="16"/>
              </w:rPr>
              <w:t>Why is the resolver pure?</w:t>
            </w:r>
          </w:p>
        </w:tc>
        <w:tc>
          <w:tcPr>
            <w:tcW w:type="dxa" w:w="5141"/>
            <w:vAlign w:val="center"/>
          </w:tcPr>
          <w:p>
            <w:pPr>
              <w:spacing w:after="0"/>
            </w:pPr>
            <w:r/>
            <w:r>
              <w:rPr>
                <w:rFonts w:ascii="Arial" w:hAnsi="Arial"/>
                <w:b w:val="0"/>
                <w:sz w:val="16"/>
              </w:rPr>
              <w:t>Pure resolution is deterministic, easy to test, and separated from database or process failures.</w:t>
            </w:r>
          </w:p>
        </w:tc>
      </w:tr>
      <w:tr>
        <w:tc>
          <w:tcPr>
            <w:tcW w:type="dxa" w:w="5141"/>
            <w:vAlign w:val="center"/>
          </w:tcPr>
          <w:p>
            <w:pPr>
              <w:spacing w:after="0"/>
            </w:pPr>
            <w:r/>
            <w:r>
              <w:rPr>
                <w:rFonts w:ascii="Arial" w:hAnsi="Arial"/>
                <w:b w:val="0"/>
                <w:sz w:val="16"/>
              </w:rPr>
              <w:t>Can ML generate an emergency?</w:t>
            </w:r>
          </w:p>
        </w:tc>
        <w:tc>
          <w:tcPr>
            <w:tcW w:type="dxa" w:w="5141"/>
            <w:vAlign w:val="center"/>
          </w:tcPr>
          <w:p>
            <w:pPr>
              <w:spacing w:after="0"/>
            </w:pPr>
            <w:r/>
            <w:r>
              <w:rPr>
                <w:rFonts w:ascii="Arial" w:hAnsi="Arial"/>
                <w:b w:val="0"/>
                <w:sz w:val="16"/>
              </w:rPr>
              <w:t>Not by itself in the current architecture. ML HIGH supports E2; E3/E4 require approved rules or human/emergency protocols.</w:t>
            </w:r>
          </w:p>
        </w:tc>
      </w:tr>
      <w:tr>
        <w:tc>
          <w:tcPr>
            <w:tcW w:type="dxa" w:w="5141"/>
            <w:vAlign w:val="center"/>
          </w:tcPr>
          <w:p>
            <w:pPr>
              <w:spacing w:after="0"/>
            </w:pPr>
            <w:r/>
            <w:r>
              <w:rPr>
                <w:rFonts w:ascii="Arial" w:hAnsi="Arial"/>
                <w:b w:val="0"/>
                <w:sz w:val="16"/>
              </w:rPr>
              <w:t>Why dispatch email after commit?</w:t>
            </w:r>
          </w:p>
        </w:tc>
        <w:tc>
          <w:tcPr>
            <w:tcW w:type="dxa" w:w="5141"/>
            <w:vAlign w:val="center"/>
          </w:tcPr>
          <w:p>
            <w:pPr>
              <w:spacing w:after="0"/>
            </w:pPr>
            <w:r/>
            <w:r>
              <w:rPr>
                <w:rFonts w:ascii="Arial" w:hAnsi="Arial"/>
                <w:b w:val="0"/>
                <w:sz w:val="16"/>
              </w:rPr>
              <w:t>Email is operational. It must not cause a clinical transaction to fail or change the state.</w:t>
            </w:r>
          </w:p>
        </w:tc>
      </w:tr>
      <w:tr>
        <w:tc>
          <w:tcPr>
            <w:tcW w:type="dxa" w:w="5141"/>
            <w:vAlign w:val="center"/>
          </w:tcPr>
          <w:p>
            <w:pPr>
              <w:spacing w:after="0"/>
            </w:pPr>
            <w:r/>
            <w:r>
              <w:rPr>
                <w:rFonts w:ascii="Arial" w:hAnsi="Arial"/>
                <w:b w:val="0"/>
                <w:sz w:val="16"/>
              </w:rPr>
              <w:t>How do you prevent duplicate assessments?</w:t>
            </w:r>
          </w:p>
        </w:tc>
        <w:tc>
          <w:tcPr>
            <w:tcW w:type="dxa" w:w="5141"/>
            <w:vAlign w:val="center"/>
          </w:tcPr>
          <w:p>
            <w:pPr>
              <w:spacing w:after="0"/>
            </w:pPr>
            <w:r/>
            <w:r>
              <w:rPr>
                <w:rFonts w:ascii="Arial" w:hAnsi="Arial"/>
                <w:b w:val="0"/>
                <w:sz w:val="16"/>
              </w:rPr>
              <w:t>Use request correlation/idempotency, source versions, transactions, and controlled current-version updates.</w:t>
            </w:r>
          </w:p>
        </w:tc>
      </w:tr>
      <w:tr>
        <w:tc>
          <w:tcPr>
            <w:tcW w:type="dxa" w:w="5141"/>
            <w:vAlign w:val="center"/>
          </w:tcPr>
          <w:p>
            <w:pPr>
              <w:spacing w:after="0"/>
            </w:pPr>
            <w:r/>
            <w:r>
              <w:rPr>
                <w:rFonts w:ascii="Arial" w:hAnsi="Arial"/>
                <w:b w:val="0"/>
                <w:sz w:val="16"/>
              </w:rPr>
              <w:t>How does reassessment work?</w:t>
            </w:r>
          </w:p>
        </w:tc>
        <w:tc>
          <w:tcPr>
            <w:tcW w:type="dxa" w:w="5141"/>
            <w:vAlign w:val="center"/>
          </w:tcPr>
          <w:p>
            <w:pPr>
              <w:spacing w:after="0"/>
            </w:pPr>
            <w:r/>
            <w:r>
              <w:rPr>
                <w:rFonts w:ascii="Arial" w:hAnsi="Arial"/>
                <w:b w:val="0"/>
                <w:sz w:val="16"/>
              </w:rPr>
              <w:t>New verified information triggers a new immutable version; prior assessments remain historical.</w:t>
            </w:r>
          </w:p>
        </w:tc>
      </w:tr>
      <w:tr>
        <w:tc>
          <w:tcPr>
            <w:tcW w:type="dxa" w:w="5141"/>
            <w:vAlign w:val="center"/>
          </w:tcPr>
          <w:p>
            <w:pPr>
              <w:spacing w:after="0"/>
            </w:pPr>
            <w:r/>
            <w:r>
              <w:rPr>
                <w:rFonts w:ascii="Arial" w:hAnsi="Arial"/>
                <w:b w:val="0"/>
                <w:sz w:val="16"/>
              </w:rPr>
              <w:t>How is explainability guaranteed?</w:t>
            </w:r>
          </w:p>
        </w:tc>
        <w:tc>
          <w:tcPr>
            <w:tcW w:type="dxa" w:w="5141"/>
            <w:vAlign w:val="center"/>
          </w:tcPr>
          <w:p>
            <w:pPr>
              <w:spacing w:after="0"/>
            </w:pPr>
            <w:r/>
            <w:r>
              <w:rPr>
                <w:rFonts w:ascii="Arial" w:hAnsi="Arial"/>
                <w:b w:val="0"/>
                <w:sz w:val="16"/>
              </w:rPr>
              <w:t>Structured reasons, source values, limitations, precedence, and versions are generated in the same pipeline as the state.</w:t>
            </w:r>
          </w:p>
        </w:tc>
      </w:tr>
      <w:tr>
        <w:tc>
          <w:tcPr>
            <w:tcW w:type="dxa" w:w="5141"/>
            <w:vAlign w:val="center"/>
          </w:tcPr>
          <w:p>
            <w:pPr>
              <w:spacing w:after="0"/>
            </w:pPr>
            <w:r/>
            <w:r>
              <w:rPr>
                <w:rFonts w:ascii="Arial" w:hAnsi="Arial"/>
                <w:b w:val="0"/>
                <w:sz w:val="16"/>
              </w:rPr>
              <w:t>What is the most important engine invariant?</w:t>
            </w:r>
          </w:p>
        </w:tc>
        <w:tc>
          <w:tcPr>
            <w:tcW w:type="dxa" w:w="5141"/>
            <w:vAlign w:val="center"/>
          </w:tcPr>
          <w:p>
            <w:pPr>
              <w:spacing w:after="0"/>
            </w:pPr>
            <w:r/>
            <w:r>
              <w:rPr>
                <w:rFonts w:ascii="Arial" w:hAnsi="Arial"/>
                <w:b w:val="0"/>
                <w:sz w:val="16"/>
              </w:rPr>
              <w:t>A deterministic HIGH can never be cancelled by ML, and missing or invalid information can never become LOW.</w:t>
            </w:r>
          </w:p>
        </w:tc>
      </w:tr>
    </w:tbl>
    <w:p>
      <w:pPr>
        <w:spacing w:after="0"/>
      </w:pPr>
    </w:p>
    <w:p>
      <w:pPr>
        <w:pStyle w:val="Heading1"/>
      </w:pPr>
      <w:r>
        <w:t>25. Authoritative Assessment Engine Invariants</w:t>
      </w:r>
    </w:p>
    <w:p>
      <w:pPr>
        <w:pStyle w:val="ListNumber"/>
        <w:spacing w:after="40"/>
      </w:pPr>
      <w:r>
        <w:t>Only the centralized Clinical Decision Service may resolve the final state.</w:t>
      </w:r>
    </w:p>
    <w:p>
      <w:pPr>
        <w:pStyle w:val="ListNumber"/>
        <w:spacing w:after="40"/>
      </w:pPr>
      <w:r>
        <w:t>The engine evaluates one explicit patient-pregnancy snapshot per execution.</w:t>
      </w:r>
    </w:p>
    <w:p>
      <w:pPr>
        <w:pStyle w:val="ListNumber"/>
        <w:spacing w:after="40"/>
      </w:pPr>
      <w:r>
        <w:t>Deterministic HIGH always has precedence over ML LOW, invalid output, or failure.</w:t>
      </w:r>
    </w:p>
    <w:p>
      <w:pPr>
        <w:pStyle w:val="ListNumber"/>
        <w:spacing w:after="40"/>
      </w:pPr>
      <w:r>
        <w:t>LOW requires complete required evidence, no deterministic HIGH, and valid ML LOW.</w:t>
      </w:r>
    </w:p>
    <w:p>
      <w:pPr>
        <w:pStyle w:val="ListNumber"/>
        <w:spacing w:after="40"/>
      </w:pPr>
      <w:r>
        <w:t>Missing, invalid, stale, contradictory, or unverified information is never treated as normal.</w:t>
      </w:r>
    </w:p>
    <w:p>
      <w:pPr>
        <w:pStyle w:val="ListNumber"/>
        <w:spacing w:after="40"/>
      </w:pPr>
      <w:r>
        <w:t>The Python component returns a bounded contribution and never writes clinical records.</w:t>
      </w:r>
    </w:p>
    <w:p>
      <w:pPr>
        <w:pStyle w:val="ListNumber"/>
        <w:spacing w:after="40"/>
      </w:pPr>
      <w:r>
        <w:t>All matched safety reasons are preserved even when one factor is sufficient for HIGH.</w:t>
      </w:r>
    </w:p>
    <w:p>
      <w:pPr>
        <w:pStyle w:val="ListNumber"/>
        <w:spacing w:after="40"/>
      </w:pPr>
      <w:r>
        <w:t>Risk state and escalation level are separate outputs.</w:t>
      </w:r>
    </w:p>
    <w:p>
      <w:pPr>
        <w:pStyle w:val="ListNumber"/>
        <w:spacing w:after="40"/>
      </w:pPr>
      <w:r>
        <w:t>Explanation and recommendation are generated from the same canonical result.</w:t>
      </w:r>
    </w:p>
    <w:p>
      <w:pPr>
        <w:pStyle w:val="ListNumber"/>
        <w:spacing w:after="40"/>
      </w:pPr>
      <w:r>
        <w:t>Persistence is atomic and historical assessments are immutable.</w:t>
      </w:r>
    </w:p>
    <w:p>
      <w:pPr>
        <w:pStyle w:val="ListNumber"/>
        <w:spacing w:after="40"/>
      </w:pPr>
      <w:r>
        <w:t>Downstream operational services cannot alter the state.</w:t>
      </w:r>
    </w:p>
    <w:p>
      <w:pPr>
        <w:pStyle w:val="ListNumber"/>
        <w:spacing w:after="40"/>
      </w:pPr>
      <w:r>
        <w:t>Manual urgent or emergency action remains possible when digital processing fails.</w:t>
      </w:r>
    </w:p>
    <w:p>
      <w:pPr>
        <w:pStyle w:val="ListNumber"/>
        <w:spacing w:after="40"/>
      </w:pPr>
      <w:r>
        <w:t>Every execution is versioned, attributable, observable, and reconstructable.</w:t>
      </w:r>
    </w:p>
    <w:p>
      <w:pPr>
        <w:pStyle w:val="ListNumber"/>
        <w:spacing w:after="40"/>
      </w:pPr>
      <w:r>
        <w:t>Reassessment appends a new version and never silently rewrites prior clinical truth.</w:t>
      </w:r>
    </w:p>
    <w:p>
      <w:pPr>
        <w:pStyle w:val="Heading1"/>
      </w:pPr>
      <w:r>
        <w:t>26. References</w:t>
      </w:r>
    </w:p>
    <w:p>
      <w:pPr>
        <w:pStyle w:val="ListBullet"/>
        <w:spacing w:after="40"/>
      </w:pPr>
      <w:r>
        <w:t>World Health Organization. SMART Guidelines. Standards-based, Machine-readable, Adaptive, Requirements-based, and Testable digital health specifications. Current programme.</w:t>
      </w:r>
    </w:p>
    <w:p>
      <w:pPr>
        <w:pStyle w:val="ListBullet"/>
        <w:spacing w:after="40"/>
      </w:pPr>
      <w:r>
        <w:t>World Health Organization. Digital Adaptation Kit for Antenatal Care. 2021.</w:t>
      </w:r>
    </w:p>
    <w:p>
      <w:pPr>
        <w:pStyle w:val="ListBullet"/>
        <w:spacing w:after="40"/>
      </w:pPr>
      <w:r>
        <w:t>World Health Organization. SMART DAK decision-support logic resources: machine-readable decision inputs and outputs.</w:t>
      </w:r>
    </w:p>
    <w:p>
      <w:pPr>
        <w:pStyle w:val="ListBullet"/>
        <w:spacing w:after="40"/>
      </w:pPr>
      <w:r>
        <w:t>Laravel. Official documentation: service container, validation, database transactions, events, queues, and process execution/timeouts. Accessed July 2026.</w:t>
      </w:r>
    </w:p>
    <w:p>
      <w:pPr>
        <w:pStyle w:val="ListBullet"/>
        <w:spacing w:after="40"/>
      </w:pPr>
      <w:r>
        <w:t>scikit-learn developers. RandomForestClassifier and Model Persistence documentation. Accessed July 2026.</w:t>
      </w:r>
    </w:p>
    <w:p>
      <w:pPr>
        <w:pStyle w:val="ListBullet"/>
        <w:spacing w:after="40"/>
      </w:pPr>
      <w:r>
        <w:t>Python Software Foundation. Python documentation. Accessed July 2026.</w:t>
      </w:r>
    </w:p>
    <w:p>
      <w:pPr>
        <w:pStyle w:val="ListBullet"/>
        <w:spacing w:after="40"/>
      </w:pPr>
      <w:r>
        <w:t>National Privacy Commission, Philippines. Data Privacy Act of 2012 and implementing guidance.</w:t>
      </w:r>
    </w:p>
    <w:p>
      <w:pPr>
        <w:pStyle w:val="ListBullet"/>
        <w:spacing w:after="40"/>
      </w:pPr>
      <w:r>
        <w:t>Department of Health, Philippines. Administrative Order No. 2007-0039: Regulation of Birthing Homes.</w:t>
      </w:r>
    </w:p>
    <w:p>
      <w:pPr>
        <w:pStyle w:val="ListBullet"/>
        <w:spacing w:after="40"/>
      </w:pPr>
      <w:r>
        <w:t>Internal authoritative basis: Documents 1-5 and Document 6 Parts 1-2 of this capstone specification.</w:t>
      </w:r>
    </w:p>
    <w:p>
      <w:pPr>
        <w:pStyle w:val="Heading1"/>
      </w:pPr>
      <w:r>
        <w:t>Appendix A. Assessment Engine Readiness Checklist</w:t>
      </w:r>
    </w:p>
    <w:p>
      <w:pPr>
        <w:pStyle w:val="ListBullet"/>
        <w:spacing w:after="40"/>
      </w:pPr>
      <w:r>
        <w:t>ClinicalDecisionService is the only final-state resolver.</w:t>
      </w:r>
    </w:p>
    <w:p>
      <w:pPr>
        <w:pStyle w:val="ListBullet"/>
        <w:spacing w:after="40"/>
      </w:pPr>
      <w:r>
        <w:t>Controllers contain no duplicated thresholds or ML precedence logic.</w:t>
      </w:r>
    </w:p>
    <w:p>
      <w:pPr>
        <w:pStyle w:val="ListBullet"/>
        <w:spacing w:after="40"/>
      </w:pPr>
      <w:r>
        <w:t>Patient, pregnancy episode, and visit ownership is verified.</w:t>
      </w:r>
    </w:p>
    <w:p>
      <w:pPr>
        <w:pStyle w:val="ListBullet"/>
        <w:spacing w:after="40"/>
      </w:pPr>
      <w:r>
        <w:t>Input snapshot and source versions are persisted.</w:t>
      </w:r>
    </w:p>
    <w:p>
      <w:pPr>
        <w:pStyle w:val="ListBullet"/>
        <w:spacing w:after="40"/>
      </w:pPr>
      <w:r>
        <w:t>Completeness and invalidity are represented separately.</w:t>
      </w:r>
    </w:p>
    <w:p>
      <w:pPr>
        <w:pStyle w:val="ListBullet"/>
        <w:spacing w:after="40"/>
      </w:pPr>
      <w:r>
        <w:t>All deterministic boundary cases pass.</w:t>
      </w:r>
    </w:p>
    <w:p>
      <w:pPr>
        <w:pStyle w:val="ListBullet"/>
        <w:spacing w:after="40"/>
      </w:pPr>
      <w:r>
        <w:t>Feature schema, ordering, categories, and model hash are controlled.</w:t>
      </w:r>
    </w:p>
    <w:p>
      <w:pPr>
        <w:pStyle w:val="ListBullet"/>
        <w:spacing w:after="40"/>
      </w:pPr>
      <w:r>
        <w:t>Python timeout and invalid-output behavior are safe.</w:t>
      </w:r>
    </w:p>
    <w:p>
      <w:pPr>
        <w:pStyle w:val="ListBullet"/>
        <w:spacing w:after="40"/>
      </w:pPr>
      <w:r>
        <w:t>Explanation and recommendation match the result.</w:t>
      </w:r>
    </w:p>
    <w:p>
      <w:pPr>
        <w:pStyle w:val="ListBullet"/>
        <w:spacing w:after="40"/>
      </w:pPr>
      <w:r>
        <w:t>Assessment persistence is atomic and immutable.</w:t>
      </w:r>
    </w:p>
    <w:p>
      <w:pPr>
        <w:pStyle w:val="ListBullet"/>
        <w:spacing w:after="40"/>
      </w:pPr>
      <w:r>
        <w:t>Reassessment and current-version behavior are tested.</w:t>
      </w:r>
    </w:p>
    <w:p>
      <w:pPr>
        <w:pStyle w:val="ListBullet"/>
        <w:spacing w:after="40"/>
      </w:pPr>
      <w:r>
        <w:t>Downstream failures cannot alter the state.</w:t>
      </w:r>
    </w:p>
    <w:p>
      <w:pPr>
        <w:pStyle w:val="ListBullet"/>
        <w:spacing w:after="40"/>
      </w:pPr>
      <w:r>
        <w:t>Cross-pregnancy, delivered, and new-pregnancy workflows are protected.</w:t>
      </w:r>
    </w:p>
    <w:p>
      <w:pPr>
        <w:pStyle w:val="ListBullet"/>
        <w:spacing w:after="40"/>
      </w:pPr>
      <w:r>
        <w:t>Audit reconstruction and monitoring are operational.</w:t>
      </w:r>
    </w:p>
    <w:p>
      <w:pPr>
        <w:pStyle w:val="ListBullet"/>
        <w:spacing w:after="40"/>
      </w:pPr>
      <w:r>
        <w:t>Part 10 verification evidence and Part 9 deployment gates are satisfied before operational use.</w:t>
      </w:r>
    </w:p>
    <w:p>
      <w:pPr>
        <w:pStyle w:val="Heading1"/>
      </w:pPr>
      <w:r>
        <w:t>Appendix B. Part 3 Handover to Later Document 6 Parts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Later part</w:t>
            </w:r>
          </w:p>
        </w:tc>
        <w:tc>
          <w:tcPr>
            <w:tcW w:type="dxa" w:w="5141"/>
            <w:vAlign w:val="center"/>
            <w:shd w:fill="D9EAF7"/>
          </w:tcPr>
          <w:p>
            <w:pPr>
              <w:spacing w:after="0"/>
            </w:pPr>
            <w:r/>
            <w:r>
              <w:rPr>
                <w:rFonts w:ascii="Arial" w:hAnsi="Arial"/>
                <w:b/>
                <w:sz w:val="16"/>
              </w:rPr>
              <w:t>Part 3 output provided</w:t>
            </w:r>
          </w:p>
        </w:tc>
      </w:tr>
      <w:tr>
        <w:tc>
          <w:tcPr>
            <w:tcW w:type="dxa" w:w="5141"/>
            <w:vAlign w:val="center"/>
          </w:tcPr>
          <w:p>
            <w:pPr>
              <w:spacing w:after="0"/>
            </w:pPr>
            <w:r/>
            <w:r>
              <w:rPr>
                <w:rFonts w:ascii="Arial" w:hAnsi="Arial"/>
                <w:b w:val="0"/>
                <w:sz w:val="16"/>
              </w:rPr>
              <w:t>Part 4 - Explainability Engine</w:t>
            </w:r>
          </w:p>
        </w:tc>
        <w:tc>
          <w:tcPr>
            <w:tcW w:type="dxa" w:w="5141"/>
            <w:vAlign w:val="center"/>
          </w:tcPr>
          <w:p>
            <w:pPr>
              <w:spacing w:after="0"/>
            </w:pPr>
            <w:r/>
            <w:r>
              <w:rPr>
                <w:rFonts w:ascii="Arial" w:hAnsi="Arial"/>
                <w:b w:val="0"/>
                <w:sz w:val="16"/>
              </w:rPr>
              <w:t>Structured reason, limitation, precedence, provenance, and canonical output contracts.</w:t>
            </w:r>
          </w:p>
        </w:tc>
      </w:tr>
      <w:tr>
        <w:tc>
          <w:tcPr>
            <w:tcW w:type="dxa" w:w="5141"/>
            <w:vAlign w:val="center"/>
          </w:tcPr>
          <w:p>
            <w:pPr>
              <w:spacing w:after="0"/>
            </w:pPr>
            <w:r/>
            <w:r>
              <w:rPr>
                <w:rFonts w:ascii="Arial" w:hAnsi="Arial"/>
                <w:b w:val="0"/>
                <w:sz w:val="16"/>
              </w:rPr>
              <w:t>Part 5 - Recommendation Engine</w:t>
            </w:r>
          </w:p>
        </w:tc>
        <w:tc>
          <w:tcPr>
            <w:tcW w:type="dxa" w:w="5141"/>
            <w:vAlign w:val="center"/>
          </w:tcPr>
          <w:p>
            <w:pPr>
              <w:spacing w:after="0"/>
            </w:pPr>
            <w:r/>
            <w:r>
              <w:rPr>
                <w:rFonts w:ascii="Arial" w:hAnsi="Arial"/>
                <w:b w:val="0"/>
                <w:sz w:val="16"/>
              </w:rPr>
              <w:t>Final state, E-level, reason codes, scope boundary, and controlled action inputs.</w:t>
            </w:r>
          </w:p>
        </w:tc>
      </w:tr>
      <w:tr>
        <w:tc>
          <w:tcPr>
            <w:tcW w:type="dxa" w:w="5141"/>
            <w:vAlign w:val="center"/>
          </w:tcPr>
          <w:p>
            <w:pPr>
              <w:spacing w:after="0"/>
            </w:pPr>
            <w:r/>
            <w:r>
              <w:rPr>
                <w:rFonts w:ascii="Arial" w:hAnsi="Arial"/>
                <w:b w:val="0"/>
                <w:sz w:val="16"/>
              </w:rPr>
              <w:t>Part 6 - Workflow Engine</w:t>
            </w:r>
          </w:p>
        </w:tc>
        <w:tc>
          <w:tcPr>
            <w:tcW w:type="dxa" w:w="5141"/>
            <w:vAlign w:val="center"/>
          </w:tcPr>
          <w:p>
            <w:pPr>
              <w:spacing w:after="0"/>
            </w:pPr>
            <w:r/>
            <w:r>
              <w:rPr>
                <w:rFonts w:ascii="Arial" w:hAnsi="Arial"/>
                <w:b w:val="0"/>
                <w:sz w:val="16"/>
              </w:rPr>
              <w:t>Assessment triggers, reassessment, referral offer, delivery guard, and new-pregnancy events.</w:t>
            </w:r>
          </w:p>
        </w:tc>
      </w:tr>
      <w:tr>
        <w:tc>
          <w:tcPr>
            <w:tcW w:type="dxa" w:w="5141"/>
            <w:vAlign w:val="center"/>
          </w:tcPr>
          <w:p>
            <w:pPr>
              <w:spacing w:after="0"/>
            </w:pPr>
            <w:r/>
            <w:r>
              <w:rPr>
                <w:rFonts w:ascii="Arial" w:hAnsi="Arial"/>
                <w:b w:val="0"/>
                <w:sz w:val="16"/>
              </w:rPr>
              <w:t>Part 7 - Security Architecture</w:t>
            </w:r>
          </w:p>
        </w:tc>
        <w:tc>
          <w:tcPr>
            <w:tcW w:type="dxa" w:w="5141"/>
            <w:vAlign w:val="center"/>
          </w:tcPr>
          <w:p>
            <w:pPr>
              <w:spacing w:after="0"/>
            </w:pPr>
            <w:r/>
            <w:r>
              <w:rPr>
                <w:rFonts w:ascii="Arial" w:hAnsi="Arial"/>
                <w:b w:val="0"/>
                <w:sz w:val="16"/>
              </w:rPr>
              <w:t>Trust boundaries, authorization, protected process execution, logging, and sensitive snapshots.</w:t>
            </w:r>
          </w:p>
        </w:tc>
      </w:tr>
      <w:tr>
        <w:tc>
          <w:tcPr>
            <w:tcW w:type="dxa" w:w="5141"/>
            <w:vAlign w:val="center"/>
          </w:tcPr>
          <w:p>
            <w:pPr>
              <w:spacing w:after="0"/>
            </w:pPr>
            <w:r/>
            <w:r>
              <w:rPr>
                <w:rFonts w:ascii="Arial" w:hAnsi="Arial"/>
                <w:b w:val="0"/>
                <w:sz w:val="16"/>
              </w:rPr>
              <w:t>Part 8 - System Integration</w:t>
            </w:r>
          </w:p>
        </w:tc>
        <w:tc>
          <w:tcPr>
            <w:tcW w:type="dxa" w:w="5141"/>
            <w:vAlign w:val="center"/>
          </w:tcPr>
          <w:p>
            <w:pPr>
              <w:spacing w:after="0"/>
            </w:pPr>
            <w:r/>
            <w:r>
              <w:rPr>
                <w:rFonts w:ascii="Arial" w:hAnsi="Arial"/>
                <w:b w:val="0"/>
                <w:sz w:val="16"/>
              </w:rPr>
              <w:t>Laravel-Python request/response contract, timeout, error taxonomy, and post-commit events.</w:t>
            </w:r>
          </w:p>
        </w:tc>
      </w:tr>
      <w:tr>
        <w:tc>
          <w:tcPr>
            <w:tcW w:type="dxa" w:w="5141"/>
            <w:vAlign w:val="center"/>
          </w:tcPr>
          <w:p>
            <w:pPr>
              <w:spacing w:after="0"/>
            </w:pPr>
            <w:r/>
            <w:r>
              <w:rPr>
                <w:rFonts w:ascii="Arial" w:hAnsi="Arial"/>
                <w:b w:val="0"/>
                <w:sz w:val="16"/>
              </w:rPr>
              <w:t>Part 9 - Deployment</w:t>
            </w:r>
          </w:p>
        </w:tc>
        <w:tc>
          <w:tcPr>
            <w:tcW w:type="dxa" w:w="5141"/>
            <w:vAlign w:val="center"/>
          </w:tcPr>
          <w:p>
            <w:pPr>
              <w:spacing w:after="0"/>
            </w:pPr>
            <w:r/>
            <w:r>
              <w:rPr>
                <w:rFonts w:ascii="Arial" w:hAnsi="Arial"/>
                <w:b w:val="0"/>
                <w:sz w:val="16"/>
              </w:rPr>
              <w:t>Artifact, environment, health-check, timeout, backup, and rollback requirements.</w:t>
            </w:r>
          </w:p>
        </w:tc>
      </w:tr>
      <w:tr>
        <w:tc>
          <w:tcPr>
            <w:tcW w:type="dxa" w:w="5141"/>
            <w:vAlign w:val="center"/>
          </w:tcPr>
          <w:p>
            <w:pPr>
              <w:spacing w:after="0"/>
            </w:pPr>
            <w:r/>
            <w:r>
              <w:rPr>
                <w:rFonts w:ascii="Arial" w:hAnsi="Arial"/>
                <w:b w:val="0"/>
                <w:sz w:val="16"/>
              </w:rPr>
              <w:t>Part 10 - V&amp;V</w:t>
            </w:r>
          </w:p>
        </w:tc>
        <w:tc>
          <w:tcPr>
            <w:tcW w:type="dxa" w:w="5141"/>
            <w:vAlign w:val="center"/>
          </w:tcPr>
          <w:p>
            <w:pPr>
              <w:spacing w:after="0"/>
            </w:pPr>
            <w:r/>
            <w:r>
              <w:rPr>
                <w:rFonts w:ascii="Arial" w:hAnsi="Arial"/>
                <w:b w:val="0"/>
                <w:sz w:val="16"/>
              </w:rPr>
              <w:t>Decision table, boundary tests, failure scenarios, traceability, and release blockers.</w:t>
            </w:r>
          </w:p>
        </w:tc>
      </w:tr>
      <w:tr>
        <w:tc>
          <w:tcPr>
            <w:tcW w:type="dxa" w:w="5141"/>
            <w:vAlign w:val="center"/>
          </w:tcPr>
          <w:p>
            <w:pPr>
              <w:spacing w:after="0"/>
            </w:pPr>
            <w:r/>
            <w:r>
              <w:rPr>
                <w:rFonts w:ascii="Arial" w:hAnsi="Arial"/>
                <w:b w:val="0"/>
                <w:sz w:val="16"/>
              </w:rPr>
              <w:t>Part 11 - Maintenance</w:t>
            </w:r>
          </w:p>
        </w:tc>
        <w:tc>
          <w:tcPr>
            <w:tcW w:type="dxa" w:w="5141"/>
            <w:vAlign w:val="center"/>
          </w:tcPr>
          <w:p>
            <w:pPr>
              <w:spacing w:after="0"/>
            </w:pPr>
            <w:r/>
            <w:r>
              <w:rPr>
                <w:rFonts w:ascii="Arial" w:hAnsi="Arial"/>
                <w:b w:val="0"/>
                <w:sz w:val="16"/>
              </w:rPr>
              <w:t>Versioned rule/model/template changes, monitoring, CAPA, and revalidation triggers.</w:t>
            </w:r>
          </w:p>
        </w:tc>
      </w:tr>
      <w:tr>
        <w:tc>
          <w:tcPr>
            <w:tcW w:type="dxa" w:w="5141"/>
            <w:vAlign w:val="center"/>
          </w:tcPr>
          <w:p>
            <w:pPr>
              <w:spacing w:after="0"/>
            </w:pPr>
            <w:r/>
            <w:r>
              <w:rPr>
                <w:rFonts w:ascii="Arial" w:hAnsi="Arial"/>
                <w:b w:val="0"/>
                <w:sz w:val="16"/>
              </w:rPr>
              <w:t>Part 12 - Complete Guide</w:t>
            </w:r>
          </w:p>
        </w:tc>
        <w:tc>
          <w:tcPr>
            <w:tcW w:type="dxa" w:w="5141"/>
            <w:vAlign w:val="center"/>
          </w:tcPr>
          <w:p>
            <w:pPr>
              <w:spacing w:after="0"/>
            </w:pPr>
            <w:r/>
            <w:r>
              <w:rPr>
                <w:rFonts w:ascii="Arial" w:hAnsi="Arial"/>
                <w:b w:val="0"/>
                <w:sz w:val="16"/>
              </w:rPr>
              <w:t>Authoritative executable core of the complete technical blueprint.</w:t>
            </w:r>
          </w:p>
        </w:tc>
      </w:tr>
    </w:tbl>
    <w:p>
      <w:pPr>
        <w:spacing w:after="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DOCUMENT 6 | PART 3 | July 2026</w:t>
    </w:r>
  </w:p>
  <w:p>
    <w:pP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DOCUMENT 6 | CDSS IMPLEMENTATION GUIDE</w:t>
    </w:r>
  </w:p>
  <w:p>
    <w:pPr>
      <w:jc w:val="center"/>
    </w:pPr>
  </w:p>
  <w:p>
    <w:pPr>
      <w:jc w:val="center"/>
    </w:pPr>
  </w:p>
  <w:p>
    <w:pPr>
      <w:jc w:val="center"/>
    </w:pPr>
    <w:r>
      <w:rPr>
        <w:rFonts w:ascii="Arial" w:hAnsi="Arial"/>
        <w:sz w:val="15"/>
      </w:rPr>
      <w:t>Part 3 - Assessment Engine Architecture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ravel.com/docs/13.x/deployment" TargetMode="External"/><Relationship Id="rId12" Type="http://schemas.openxmlformats.org/officeDocument/2006/relationships/hyperlink" Target="https://laravel.com/docs/13.x/installation" TargetMode="External"/><Relationship Id="rId13" Type="http://schemas.openxmlformats.org/officeDocument/2006/relationships/hyperlink" Target="https://laravel.com/docs/13.x/configuration" TargetMode="External"/><Relationship Id="rId14" Type="http://schemas.openxmlformats.org/officeDocument/2006/relationships/hyperlink" Target="https://docs.python.org/3/library/venv.html" TargetMode="External"/><Relationship Id="rId15" Type="http://schemas.openxmlformats.org/officeDocument/2006/relationships/hyperlink" Target="https://pip.pypa.io/en/stable/topics/repeatable-installs/" TargetMode="External"/><Relationship Id="rId16" Type="http://schemas.openxmlformats.org/officeDocument/2006/relationships/hyperlink" Target="https://privacy.gov.ph/data-privacy-act/" TargetMode="External"/><Relationship Id="rId17" Type="http://schemas.openxmlformats.org/officeDocument/2006/relationships/hyperlink" Target="https://privacy.gov.ph/implementing-rules-regulations-data-privacy-act-2012/" TargetMode="External"/><Relationship Id="rId18" Type="http://schemas.openxmlformats.org/officeDocument/2006/relationships/hyperlink" Target="https://privacy.gov.ph/data-security/" TargetMode="External"/><Relationship Id="rId19" Type="http://schemas.openxmlformats.org/officeDocument/2006/relationships/hyperlink" Target="https://privacy.gov.ph/npc-phe-bulletin-no-10-protecting-patient-data-from-unauthorized-disclosure/" TargetMode="External"/><Relationship Id="rId20" Type="http://schemas.openxmlformats.org/officeDocument/2006/relationships/hyperlink" Target="https://csrc.nist.gov/pubs/sp/800/34/r1/upd1/final"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cheatsheetseries.owasp.org/cheatsheets/Secrets_Management_Cheat_Sheet.html" TargetMode="External"/><Relationship Id="rId23" Type="http://schemas.openxmlformats.org/officeDocument/2006/relationships/hyperlink" Target="https://cheatsheetseries.owasp.org/cheatsheets/Logging_Cheat_Sheet.html" TargetMode="External"/><Relationship Id="rId24" Type="http://schemas.openxmlformats.org/officeDocument/2006/relationships/hyperlink" Target="https://www.who.int/publications/i/item/9789240029200" TargetMode="External"/><Relationship Id="rId25" Type="http://schemas.openxmlformats.org/officeDocument/2006/relationships/hyperlink" Target="https://www.fda.gov/regulatory-information/search-fda-guidance-documents/clinical-decision-support-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9 - CDSS Deployment Guide</dc:title>
  <dc:subject>Deployment specification for Laravel and Python maternity CDSS</dc:subject>
  <dc:creator>Capstone Research Team</dc:creator>
  <cp:keywords>CDSS, deployment, Laravel, Python, Random Forest, maternity, security, backup, recovery</cp:keywords>
  <dc:description>generated by python-docx</dc:description>
  <cp:lastModifiedBy/>
  <cp:revision>1</cp:revision>
  <dcterms:created xsi:type="dcterms:W3CDTF">2013-12-23T23:15:00Z</dcterms:created>
  <dcterms:modified xsi:type="dcterms:W3CDTF">2013-12-23T23:15:00Z</dcterms:modified>
  <cp:category/>
</cp:coreProperties>
</file>