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rial" w:hAnsi="Arial"/>
          <w:b/>
          <w:color w:val="1F4E78"/>
          <w:sz w:val="34"/>
        </w:rPr>
        <w:t>DOCUMENT 6</w:t>
      </w:r>
    </w:p>
    <w:p>
      <w:pPr>
        <w:jc w:val="center"/>
      </w:pPr>
      <w:r>
        <w:rPr>
          <w:rFonts w:ascii="Arial" w:hAnsi="Arial"/>
          <w:b/>
          <w:color w:val="1F4E78"/>
          <w:sz w:val="44"/>
        </w:rPr>
        <w:t>Clinical Decision Support System</w:t>
        <w:br/>
        <w:t>Implementation Guide</w:t>
      </w:r>
    </w:p>
    <w:p>
      <w:pPr>
        <w:spacing w:before="300"/>
        <w:jc w:val="center"/>
      </w:pPr>
      <w:r>
        <w:rPr>
          <w:rFonts w:ascii="Arial" w:hAnsi="Arial"/>
          <w:b/>
          <w:color w:val="2F5469"/>
          <w:sz w:val="32"/>
        </w:rPr>
        <w:t>PART 7</w:t>
      </w:r>
    </w:p>
    <w:p>
      <w:pPr>
        <w:jc w:val="center"/>
      </w:pPr>
      <w:r>
        <w:rPr>
          <w:rFonts w:ascii="Arial" w:hAnsi="Arial"/>
          <w:b/>
          <w:color w:val="1F4E78"/>
          <w:sz w:val="50"/>
        </w:rPr>
        <w:t>CDSS Security Architecture</w:t>
      </w:r>
    </w:p>
    <w:p>
      <w:pPr>
        <w:spacing w:before="160"/>
        <w:jc w:val="center"/>
      </w:pPr>
      <w:r>
        <w:rPr>
          <w:rFonts w:ascii="Arial" w:hAnsi="Arial"/>
          <w:color w:val="464646"/>
          <w:sz w:val="22"/>
        </w:rPr>
        <w:t>Privacy-by-Design, Authentication, Authorization, Clinical Data Protection, Secure Laravel-Python Execution, Audit Integrity, Threat Modeling, Incident Response, Recovery, Verification, and Security Governance</w:t>
      </w:r>
    </w:p>
    <w:tbl>
      <w:tblPr>
        <w:tblW w:type="auto" w:w="0"/>
        <w:jc w:val="center"/>
        <w:tblLook w:firstColumn="1" w:firstRow="1" w:lastColumn="0" w:lastRow="0" w:noHBand="0" w:noVBand="1" w:val="04A0"/>
      </w:tblPr>
      <w:tblGrid>
        <w:gridCol w:w="10224"/>
      </w:tblGrid>
      <w:tr>
        <w:tc>
          <w:tcPr>
            <w:tcW w:type="dxa" w:w="10224"/>
            <w:shd w:fill="EAF2F8"/>
            <w:tcBorders>
              <w:top w:val="single" w:sz="10" w:color="1F4E78"/>
              <w:left w:val="single" w:sz="10" w:color="1F4E78"/>
              <w:bottom w:val="single" w:sz="10" w:color="1F4E78"/>
              <w:right w:val="single" w:sz="10" w:color="1F4E78"/>
            </w:tcBorders>
          </w:tcPr>
          <w:p>
            <w:pPr>
              <w:spacing w:after="60"/>
            </w:pPr>
            <w:r>
              <w:rPr>
                <w:rFonts w:ascii="Arial" w:hAnsi="Arial"/>
                <w:b/>
                <w:color w:val="1F4E78"/>
                <w:sz w:val="20"/>
              </w:rPr>
              <w:t>Purpose of this guide</w:t>
            </w:r>
          </w:p>
          <w:p>
            <w:pPr>
              <w:spacing w:after="0"/>
            </w:pPr>
            <w:r>
              <w:rPr>
                <w:rFonts w:ascii="Arial" w:hAnsi="Arial"/>
                <w:sz w:val="18"/>
              </w:rPr>
              <w:t>Part 7 defines the authoritative security architecture for the explainable maternity CDSS. It converts the clinical, data, assessment, explainability, recommendation, and workflow requirements from Parts 1-6 into enforceable organizational, physical, application, infrastructure, and operational safeguards. The objective is to preserve confidentiality, integrity, availability, patient safety, traceability, and lawful processing without pretending that technology alone creates compliance or clinical trustworthiness.</w:t>
            </w:r>
          </w:p>
        </w:tc>
      </w:tr>
    </w:tbl>
    <w:p>
      <w:pPr>
        <w:spacing w:after="0"/>
      </w:pPr>
    </w:p>
    <w:p>
      <w:pPr>
        <w:spacing w:before="360"/>
        <w:jc w:val="center"/>
      </w:pPr>
      <w:r>
        <w:rPr>
          <w:rFonts w:ascii="Arial" w:hAnsi="Arial"/>
          <w:sz w:val="22"/>
        </w:rPr>
        <w:t>Capstone Project</w:t>
        <w:br/>
        <w:t>Development of an Explainable Clinical Decision Support System (CDSS)</w:t>
        <w:br/>
        <w:t>for a Web-Based Maternity Management System in a Philippine Lying-in Clinic</w:t>
      </w:r>
    </w:p>
    <w:p>
      <w:pPr>
        <w:spacing w:before="240"/>
        <w:jc w:val="center"/>
      </w:pPr>
      <w:r>
        <w:rPr>
          <w:rFonts w:ascii="Arial" w:hAnsi="Arial"/>
          <w:i/>
          <w:sz w:val="18"/>
        </w:rPr>
        <w:t>Authoritative security architecture specification | July 2026</w:t>
      </w:r>
    </w:p>
    <w:p>
      <w:r>
        <w:rPr>
          <w:rFonts w:ascii="Arial" w:hAnsi="Arial"/>
        </w:rPr>
        <w:br w:type="page"/>
      </w:r>
    </w:p>
    <w:p>
      <w:pPr>
        <w:pStyle w:val="Heading1"/>
        <w:keepNext/>
      </w:pPr>
      <w:r>
        <w:rPr>
          <w:rFonts w:ascii="Arial" w:hAnsi="Arial"/>
        </w:rPr>
        <w:t>Clinical and Privacy Safety Statement</w:t>
      </w:r>
    </w:p>
    <w:tbl>
      <w:tblPr>
        <w:tblW w:type="auto" w:w="0"/>
        <w:jc w:val="center"/>
        <w:tblLook w:firstColumn="1" w:firstRow="1" w:lastColumn="0" w:lastRow="0" w:noHBand="0" w:noVBand="1" w:val="04A0"/>
      </w:tblPr>
      <w:tblGrid>
        <w:gridCol w:w="10224"/>
      </w:tblGrid>
      <w:tr>
        <w:tc>
          <w:tcPr>
            <w:tcW w:type="dxa" w:w="10224"/>
            <w:shd w:fill="FFF2CC"/>
            <w:tcBorders>
              <w:top w:val="single" w:sz="10" w:color="C69214"/>
              <w:left w:val="single" w:sz="10" w:color="C69214"/>
              <w:bottom w:val="single" w:sz="10" w:color="C69214"/>
              <w:right w:val="single" w:sz="10" w:color="C69214"/>
            </w:tcBorders>
          </w:tcPr>
          <w:p>
            <w:pPr>
              <w:spacing w:after="60"/>
            </w:pPr>
            <w:r>
              <w:rPr>
                <w:rFonts w:ascii="Arial" w:hAnsi="Arial"/>
                <w:b/>
                <w:color w:val="1F4E78"/>
                <w:sz w:val="20"/>
              </w:rPr>
              <w:t>Security boundary</w:t>
            </w:r>
          </w:p>
          <w:p>
            <w:pPr>
              <w:spacing w:after="0"/>
            </w:pPr>
            <w:r>
              <w:rPr>
                <w:rFonts w:ascii="Arial" w:hAnsi="Arial"/>
                <w:sz w:val="18"/>
              </w:rPr>
              <w:t>This architecture protects sensitive maternity records and the software processes that create, assess, explain, recommend, refer, deliver, and audit care. It does not replace the clinic’s legal counsel, Data Protection Officer, emergency procedures, professional judgment, facility licensing obligations, or local policy approval. Security controls must never delay urgent care; when the system is unavailable or suspected to be compromised, staff must use the approved downtime and referral process while preserving the minimum necessary evidence for later reconciliation.</w:t>
            </w:r>
          </w:p>
        </w:tc>
      </w:tr>
    </w:tbl>
    <w:p>
      <w:pPr>
        <w:spacing w:after="0"/>
      </w:pPr>
    </w:p>
    <w:p>
      <w:pPr>
        <w:pStyle w:val="Heading1"/>
        <w:keepNext/>
      </w:pPr>
      <w:r>
        <w:rPr>
          <w:rFonts w:ascii="Arial" w:hAnsi="Arial"/>
        </w:rPr>
        <w:t>Executive Security Decision</w:t>
      </w:r>
    </w:p>
    <w:p>
      <w:pPr>
        <w:spacing w:after="100" w:line="259" w:lineRule="auto"/>
      </w:pPr>
      <w:r>
        <w:rPr>
          <w:rFonts w:ascii="Arial" w:hAnsi="Arial"/>
          <w:sz w:val="18"/>
        </w:rPr>
        <w:t>The system shall use defense in depth centered on Laravel as the sole trusted application boundary. Every request is authenticated where required, authorized against the specific patient and pregnancy episode, validated server-side, recorded through attributable audit events, and processed only through approved services. MySQL, private storage, environment secrets, the Python runtime, the Random Forest artifact, backups, logs, and administrative tools remain outside public access and are reachable only by the minimum required service identities.</w:t>
      </w:r>
    </w:p>
    <w:p>
      <w:pPr>
        <w:spacing w:after="100" w:line="259" w:lineRule="auto"/>
      </w:pPr>
      <w:r>
        <w:rPr>
          <w:rFonts w:ascii="Arial" w:hAnsi="Arial"/>
          <w:sz w:val="18"/>
        </w:rPr>
        <w:t>The security architecture follows privacy-by-design and secure-by-default principles. Health and reproductive information is treated as sensitive personal information. The clinic must implement reasonable and appropriate organizational, physical, and technical measures proportionate to the data, processing risk, operating environment, and available resources. Security is a continuing governance process rather than a one-time feature checklist.</w:t>
      </w:r>
    </w:p>
    <w:tbl>
      <w:tblPr>
        <w:tblW w:type="auto" w:w="0"/>
        <w:jc w:val="center"/>
        <w:tblLook w:firstColumn="1" w:firstRow="1" w:lastColumn="0" w:lastRow="0" w:noHBand="0" w:noVBand="1" w:val="04A0"/>
      </w:tblPr>
      <w:tblGrid>
        <w:gridCol w:w="10224"/>
      </w:tblGrid>
      <w:tr>
        <w:tc>
          <w:tcPr>
            <w:tcW w:type="dxa" w:w="10224"/>
            <w:shd w:fill="EAF2F8"/>
            <w:tcBorders>
              <w:top w:val="single" w:sz="10" w:color="1F4E78"/>
              <w:left w:val="single" w:sz="10" w:color="1F4E78"/>
              <w:bottom w:val="single" w:sz="10" w:color="1F4E78"/>
              <w:right w:val="single" w:sz="10" w:color="1F4E78"/>
            </w:tcBorders>
          </w:tcPr>
          <w:p>
            <w:pPr>
              <w:spacing w:after="60"/>
            </w:pPr>
            <w:r>
              <w:rPr>
                <w:rFonts w:ascii="Arial" w:hAnsi="Arial"/>
                <w:b/>
                <w:color w:val="1F4E78"/>
                <w:sz w:val="20"/>
              </w:rPr>
              <w:t>Authoritative security rule</w:t>
            </w:r>
          </w:p>
          <w:p>
            <w:pPr>
              <w:spacing w:after="0"/>
            </w:pPr>
            <w:r>
              <w:rPr>
                <w:rFonts w:ascii="Arial" w:hAnsi="Arial"/>
                <w:sz w:val="18"/>
              </w:rPr>
              <w:t>No controller, Blade view, queued job, command, Python script, database account, email template, report, backup process, or administrator shortcut may bypass patient ownership, pregnancy-episode scope, authorization, validation, audit, and historical-integrity controls. Any uncertainty about identity, permission, input integrity, model integrity, or system state must fail safely and remain visible.</w:t>
            </w:r>
          </w:p>
        </w:tc>
      </w:tr>
    </w:tbl>
    <w:p>
      <w:pPr>
        <w:spacing w:after="0"/>
      </w:pPr>
    </w:p>
    <w:p>
      <w:pPr>
        <w:pStyle w:val="Heading1"/>
        <w:keepNext/>
      </w:pPr>
      <w:r>
        <w:rPr>
          <w:rFonts w:ascii="Arial" w:hAnsi="Arial"/>
        </w:rPr>
        <w:t>1. Purpose and Scope</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In scope</w:t>
            </w:r>
          </w:p>
        </w:tc>
        <w:tc>
          <w:tcPr>
            <w:tcW w:type="dxa" w:w="5112"/>
            <w:vAlign w:val="center"/>
            <w:shd w:fill="1F4E78"/>
          </w:tcPr>
          <w:p>
            <w:pPr>
              <w:spacing w:after="0"/>
            </w:pPr>
            <w:r/>
            <w:r>
              <w:rPr>
                <w:rFonts w:ascii="Arial" w:hAnsi="Arial"/>
                <w:b/>
                <w:color w:val="FFFFFF"/>
                <w:sz w:val="17"/>
              </w:rPr>
              <w:t>Outside scope</w:t>
            </w:r>
          </w:p>
        </w:tc>
      </w:tr>
      <w:tr>
        <w:tc>
          <w:tcPr>
            <w:tcW w:type="dxa" w:w="5112"/>
            <w:vAlign w:val="center"/>
          </w:tcPr>
          <w:p>
            <w:pPr>
              <w:spacing w:after="0"/>
            </w:pPr>
            <w:r/>
            <w:r>
              <w:rPr>
                <w:rFonts w:ascii="Arial" w:hAnsi="Arial"/>
                <w:b w:val="0"/>
                <w:sz w:val="16"/>
              </w:rPr>
              <w:t>Threat model, trust boundaries, security responsibilities, access control, data protection, secrets, logging, backup, incident handling, secure development, and verification.</w:t>
            </w:r>
          </w:p>
        </w:tc>
        <w:tc>
          <w:tcPr>
            <w:tcW w:type="dxa" w:w="5112"/>
            <w:vAlign w:val="center"/>
          </w:tcPr>
          <w:p>
            <w:pPr>
              <w:spacing w:after="0"/>
            </w:pPr>
            <w:r/>
            <w:r>
              <w:rPr>
                <w:rFonts w:ascii="Arial" w:hAnsi="Arial"/>
                <w:b w:val="0"/>
                <w:sz w:val="16"/>
              </w:rPr>
              <w:t>Declaring legal compliance, medical-device certification, or production readiness without local review and evidence.</w:t>
            </w:r>
          </w:p>
        </w:tc>
      </w:tr>
      <w:tr>
        <w:tc>
          <w:tcPr>
            <w:tcW w:type="dxa" w:w="5112"/>
            <w:vAlign w:val="center"/>
            <w:shd w:fill="EEF4F8"/>
          </w:tcPr>
          <w:p>
            <w:pPr>
              <w:spacing w:after="0"/>
            </w:pPr>
            <w:r/>
            <w:r>
              <w:rPr>
                <w:rFonts w:ascii="Arial" w:hAnsi="Arial"/>
                <w:b w:val="0"/>
                <w:sz w:val="16"/>
              </w:rPr>
              <w:t>Security requirements for Laravel, MySQL, Python inference, files, email, printing, queues, browser sessions, deployment, and operations.</w:t>
            </w:r>
          </w:p>
        </w:tc>
        <w:tc>
          <w:tcPr>
            <w:tcW w:type="dxa" w:w="5112"/>
            <w:vAlign w:val="center"/>
            <w:shd w:fill="EEF4F8"/>
          </w:tcPr>
          <w:p>
            <w:pPr>
              <w:spacing w:after="0"/>
            </w:pPr>
            <w:r/>
            <w:r>
              <w:rPr>
                <w:rFonts w:ascii="Arial" w:hAnsi="Arial"/>
                <w:b w:val="0"/>
                <w:sz w:val="16"/>
              </w:rPr>
              <w:t>Designing a national health information exchange, public patient portal, or autonomous clinical service.</w:t>
            </w:r>
          </w:p>
        </w:tc>
      </w:tr>
      <w:tr>
        <w:tc>
          <w:tcPr>
            <w:tcW w:type="dxa" w:w="5112"/>
            <w:vAlign w:val="center"/>
          </w:tcPr>
          <w:p>
            <w:pPr>
              <w:spacing w:after="0"/>
            </w:pPr>
            <w:r/>
            <w:r>
              <w:rPr>
                <w:rFonts w:ascii="Arial" w:hAnsi="Arial"/>
                <w:b w:val="0"/>
                <w:sz w:val="16"/>
              </w:rPr>
              <w:t>Protection of current and historical pregnancy episodes, immutable assessments, referrals, delivered records, and audit provenance.</w:t>
            </w:r>
          </w:p>
        </w:tc>
        <w:tc>
          <w:tcPr>
            <w:tcW w:type="dxa" w:w="5112"/>
            <w:vAlign w:val="center"/>
          </w:tcPr>
          <w:p>
            <w:pPr>
              <w:spacing w:after="0"/>
            </w:pPr>
            <w:r/>
            <w:r>
              <w:rPr>
                <w:rFonts w:ascii="Arial" w:hAnsi="Arial"/>
                <w:b w:val="0"/>
                <w:sz w:val="16"/>
              </w:rPr>
              <w:t>Changing clinical thresholds or decision logic established in Document 5.</w:t>
            </w:r>
          </w:p>
        </w:tc>
      </w:tr>
      <w:tr>
        <w:tc>
          <w:tcPr>
            <w:tcW w:type="dxa" w:w="5112"/>
            <w:vAlign w:val="center"/>
            <w:shd w:fill="EEF4F8"/>
          </w:tcPr>
          <w:p>
            <w:pPr>
              <w:spacing w:after="0"/>
            </w:pPr>
            <w:r/>
            <w:r>
              <w:rPr>
                <w:rFonts w:ascii="Arial" w:hAnsi="Arial"/>
                <w:b w:val="0"/>
                <w:sz w:val="16"/>
              </w:rPr>
              <w:t>A practical baseline suitable for a small Philippine lying-in clinic and capstone implementation.</w:t>
            </w:r>
          </w:p>
        </w:tc>
        <w:tc>
          <w:tcPr>
            <w:tcW w:type="dxa" w:w="5112"/>
            <w:vAlign w:val="center"/>
            <w:shd w:fill="EEF4F8"/>
          </w:tcPr>
          <w:p>
            <w:pPr>
              <w:spacing w:after="0"/>
            </w:pPr>
            <w:r/>
            <w:r>
              <w:rPr>
                <w:rFonts w:ascii="Arial" w:hAnsi="Arial"/>
                <w:b w:val="0"/>
                <w:sz w:val="16"/>
              </w:rPr>
              <w:t>Assuming cloud, enterprise identity, SIEM, or commercial security tooling is mandatory.</w:t>
            </w:r>
          </w:p>
        </w:tc>
      </w:tr>
    </w:tbl>
    <w:p>
      <w:pPr>
        <w:spacing w:after="0"/>
      </w:pPr>
    </w:p>
    <w:p>
      <w:pPr>
        <w:pStyle w:val="Heading1"/>
        <w:keepNext/>
      </w:pPr>
      <w:r>
        <w:rPr>
          <w:rFonts w:ascii="Arial" w:hAnsi="Arial"/>
        </w:rPr>
        <w:t>2. Security Objectives and Principles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Objective</w:t>
            </w:r>
          </w:p>
        </w:tc>
        <w:tc>
          <w:tcPr>
            <w:tcW w:type="dxa" w:w="5112"/>
            <w:vAlign w:val="center"/>
            <w:shd w:fill="1F4E78"/>
          </w:tcPr>
          <w:p>
            <w:pPr>
              <w:spacing w:after="0"/>
            </w:pPr>
            <w:r/>
            <w:r>
              <w:rPr>
                <w:rFonts w:ascii="Arial" w:hAnsi="Arial"/>
                <w:b/>
                <w:color w:val="FFFFFF"/>
                <w:sz w:val="17"/>
              </w:rPr>
              <w:t>Architectural requirement</w:t>
            </w:r>
          </w:p>
        </w:tc>
      </w:tr>
      <w:tr>
        <w:tc>
          <w:tcPr>
            <w:tcW w:type="dxa" w:w="5112"/>
            <w:vAlign w:val="center"/>
          </w:tcPr>
          <w:p>
            <w:pPr>
              <w:spacing w:after="0"/>
            </w:pPr>
            <w:r/>
            <w:r>
              <w:rPr>
                <w:rFonts w:ascii="Arial" w:hAnsi="Arial"/>
                <w:b w:val="0"/>
                <w:sz w:val="16"/>
              </w:rPr>
              <w:t>Confidentiality</w:t>
            </w:r>
          </w:p>
        </w:tc>
        <w:tc>
          <w:tcPr>
            <w:tcW w:type="dxa" w:w="5112"/>
            <w:vAlign w:val="center"/>
          </w:tcPr>
          <w:p>
            <w:pPr>
              <w:spacing w:after="0"/>
            </w:pPr>
            <w:r/>
            <w:r>
              <w:rPr>
                <w:rFonts w:ascii="Arial" w:hAnsi="Arial"/>
                <w:b w:val="0"/>
                <w:sz w:val="16"/>
              </w:rPr>
              <w:t>Only authorized users and processes may access the minimum necessary patient, pregnancy, assessment, referral, and audit data.</w:t>
            </w:r>
          </w:p>
        </w:tc>
      </w:tr>
      <w:tr>
        <w:tc>
          <w:tcPr>
            <w:tcW w:type="dxa" w:w="5112"/>
            <w:vAlign w:val="center"/>
            <w:shd w:fill="EEF4F8"/>
          </w:tcPr>
          <w:p>
            <w:pPr>
              <w:spacing w:after="0"/>
            </w:pPr>
            <w:r/>
            <w:r>
              <w:rPr>
                <w:rFonts w:ascii="Arial" w:hAnsi="Arial"/>
                <w:b w:val="0"/>
                <w:sz w:val="16"/>
              </w:rPr>
              <w:t>Integrity</w:t>
            </w:r>
          </w:p>
        </w:tc>
        <w:tc>
          <w:tcPr>
            <w:tcW w:type="dxa" w:w="5112"/>
            <w:vAlign w:val="center"/>
            <w:shd w:fill="EEF4F8"/>
          </w:tcPr>
          <w:p>
            <w:pPr>
              <w:spacing w:after="0"/>
            </w:pPr>
            <w:r/>
            <w:r>
              <w:rPr>
                <w:rFonts w:ascii="Arial" w:hAnsi="Arial"/>
                <w:b w:val="0"/>
                <w:sz w:val="16"/>
              </w:rPr>
              <w:t>Clinical records, assessment snapshots, rules, model artifacts, explanations, recommendations, referrals, and audit evidence must resist unauthorized or undetected alteration.</w:t>
            </w:r>
          </w:p>
        </w:tc>
      </w:tr>
      <w:tr>
        <w:tc>
          <w:tcPr>
            <w:tcW w:type="dxa" w:w="5112"/>
            <w:vAlign w:val="center"/>
          </w:tcPr>
          <w:p>
            <w:pPr>
              <w:spacing w:after="0"/>
            </w:pPr>
            <w:r/>
            <w:r>
              <w:rPr>
                <w:rFonts w:ascii="Arial" w:hAnsi="Arial"/>
                <w:b w:val="0"/>
                <w:sz w:val="16"/>
              </w:rPr>
              <w:t>Availability</w:t>
            </w:r>
          </w:p>
        </w:tc>
        <w:tc>
          <w:tcPr>
            <w:tcW w:type="dxa" w:w="5112"/>
            <w:vAlign w:val="center"/>
          </w:tcPr>
          <w:p>
            <w:pPr>
              <w:spacing w:after="0"/>
            </w:pPr>
            <w:r/>
            <w:r>
              <w:rPr>
                <w:rFonts w:ascii="Arial" w:hAnsi="Arial"/>
                <w:b w:val="0"/>
                <w:sz w:val="16"/>
              </w:rPr>
              <w:t>Routine failures must not erase data or block emergency and referral continuity; backups and downtime procedures are tested.</w:t>
            </w:r>
          </w:p>
        </w:tc>
      </w:tr>
      <w:tr>
        <w:tc>
          <w:tcPr>
            <w:tcW w:type="dxa" w:w="5112"/>
            <w:vAlign w:val="center"/>
            <w:shd w:fill="EEF4F8"/>
          </w:tcPr>
          <w:p>
            <w:pPr>
              <w:spacing w:after="0"/>
            </w:pPr>
            <w:r/>
            <w:r>
              <w:rPr>
                <w:rFonts w:ascii="Arial" w:hAnsi="Arial"/>
                <w:b w:val="0"/>
                <w:sz w:val="16"/>
              </w:rPr>
              <w:t>Accountability</w:t>
            </w:r>
          </w:p>
        </w:tc>
        <w:tc>
          <w:tcPr>
            <w:tcW w:type="dxa" w:w="5112"/>
            <w:vAlign w:val="center"/>
            <w:shd w:fill="EEF4F8"/>
          </w:tcPr>
          <w:p>
            <w:pPr>
              <w:spacing w:after="0"/>
            </w:pPr>
            <w:r/>
            <w:r>
              <w:rPr>
                <w:rFonts w:ascii="Arial" w:hAnsi="Arial"/>
                <w:b w:val="0"/>
                <w:sz w:val="16"/>
              </w:rPr>
              <w:t>Every security-relevant and clinical mutation is attributable to an authenticated actor, service identity, time, patient, pregnancy episode, and correlation ID.</w:t>
            </w:r>
          </w:p>
        </w:tc>
      </w:tr>
      <w:tr>
        <w:tc>
          <w:tcPr>
            <w:tcW w:type="dxa" w:w="5112"/>
            <w:vAlign w:val="center"/>
          </w:tcPr>
          <w:p>
            <w:pPr>
              <w:spacing w:after="0"/>
            </w:pPr>
            <w:r/>
            <w:r>
              <w:rPr>
                <w:rFonts w:ascii="Arial" w:hAnsi="Arial"/>
                <w:b w:val="0"/>
                <w:sz w:val="16"/>
              </w:rPr>
              <w:t>Privacy by design</w:t>
            </w:r>
          </w:p>
        </w:tc>
        <w:tc>
          <w:tcPr>
            <w:tcW w:type="dxa" w:w="5112"/>
            <w:vAlign w:val="center"/>
          </w:tcPr>
          <w:p>
            <w:pPr>
              <w:spacing w:after="0"/>
            </w:pPr>
            <w:r/>
            <w:r>
              <w:rPr>
                <w:rFonts w:ascii="Arial" w:hAnsi="Arial"/>
                <w:b w:val="0"/>
                <w:sz w:val="16"/>
              </w:rPr>
              <w:t>Purpose limitation, proportionality, data minimization, retention control, secure disposal, and transparency are built into workflows.</w:t>
            </w:r>
          </w:p>
        </w:tc>
      </w:tr>
      <w:tr>
        <w:tc>
          <w:tcPr>
            <w:tcW w:type="dxa" w:w="5112"/>
            <w:vAlign w:val="center"/>
            <w:shd w:fill="EEF4F8"/>
          </w:tcPr>
          <w:p>
            <w:pPr>
              <w:spacing w:after="0"/>
            </w:pPr>
            <w:r/>
            <w:r>
              <w:rPr>
                <w:rFonts w:ascii="Arial" w:hAnsi="Arial"/>
                <w:b w:val="0"/>
                <w:sz w:val="16"/>
              </w:rPr>
              <w:t>Least privilege</w:t>
            </w:r>
          </w:p>
        </w:tc>
        <w:tc>
          <w:tcPr>
            <w:tcW w:type="dxa" w:w="5112"/>
            <w:vAlign w:val="center"/>
            <w:shd w:fill="EEF4F8"/>
          </w:tcPr>
          <w:p>
            <w:pPr>
              <w:spacing w:after="0"/>
            </w:pPr>
            <w:r/>
            <w:r>
              <w:rPr>
                <w:rFonts w:ascii="Arial" w:hAnsi="Arial"/>
                <w:b w:val="0"/>
                <w:sz w:val="16"/>
              </w:rPr>
              <w:t>Users, database accounts, operating-system processes, queues, and backup operators receive only the permissions needed for their duties.</w:t>
            </w:r>
          </w:p>
        </w:tc>
      </w:tr>
      <w:tr>
        <w:tc>
          <w:tcPr>
            <w:tcW w:type="dxa" w:w="5112"/>
            <w:vAlign w:val="center"/>
          </w:tcPr>
          <w:p>
            <w:pPr>
              <w:spacing w:after="0"/>
            </w:pPr>
            <w:r/>
            <w:r>
              <w:rPr>
                <w:rFonts w:ascii="Arial" w:hAnsi="Arial"/>
                <w:b w:val="0"/>
                <w:sz w:val="16"/>
              </w:rPr>
              <w:t>Safe failure</w:t>
            </w:r>
          </w:p>
        </w:tc>
        <w:tc>
          <w:tcPr>
            <w:tcW w:type="dxa" w:w="5112"/>
            <w:vAlign w:val="center"/>
          </w:tcPr>
          <w:p>
            <w:pPr>
              <w:spacing w:after="0"/>
            </w:pPr>
            <w:r/>
            <w:r>
              <w:rPr>
                <w:rFonts w:ascii="Arial" w:hAnsi="Arial"/>
                <w:b w:val="0"/>
                <w:sz w:val="16"/>
              </w:rPr>
              <w:t>Authentication, authorization, validation, Python, storage, email, and logging failures cannot silently produce LOW, complete a referral, or rewrite history.</w:t>
            </w:r>
          </w:p>
        </w:tc>
      </w:tr>
      <w:tr>
        <w:tc>
          <w:tcPr>
            <w:tcW w:type="dxa" w:w="5112"/>
            <w:vAlign w:val="center"/>
            <w:shd w:fill="EEF4F8"/>
          </w:tcPr>
          <w:p>
            <w:pPr>
              <w:spacing w:after="0"/>
            </w:pPr>
            <w:r/>
            <w:r>
              <w:rPr>
                <w:rFonts w:ascii="Arial" w:hAnsi="Arial"/>
                <w:b w:val="0"/>
                <w:sz w:val="16"/>
              </w:rPr>
              <w:t>Separation of duties</w:t>
            </w:r>
          </w:p>
        </w:tc>
        <w:tc>
          <w:tcPr>
            <w:tcW w:type="dxa" w:w="5112"/>
            <w:vAlign w:val="center"/>
            <w:shd w:fill="EEF4F8"/>
          </w:tcPr>
          <w:p>
            <w:pPr>
              <w:spacing w:after="0"/>
            </w:pPr>
            <w:r/>
            <w:r>
              <w:rPr>
                <w:rFonts w:ascii="Arial" w:hAnsi="Arial"/>
                <w:b w:val="0"/>
                <w:sz w:val="16"/>
              </w:rPr>
              <w:t>Clinical review, user administration, deployment, backup restoration, and audit review are separated where staffing permits and otherwise compensated by dual review.</w:t>
            </w:r>
          </w:p>
        </w:tc>
      </w:tr>
    </w:tbl>
    <w:p>
      <w:pPr>
        <w:spacing w:after="0"/>
      </w:pPr>
    </w:p>
    <w:p>
      <w:pPr>
        <w:pStyle w:val="Heading1"/>
        <w:keepNext/>
      </w:pPr>
      <w:r>
        <w:rPr>
          <w:rFonts w:ascii="Arial" w:hAnsi="Arial"/>
        </w:rPr>
        <w:t>3. Security Context and Trust Boundaries</w:t>
      </w:r>
    </w:p>
    <w:tbl>
      <w:tblPr>
        <w:tblW w:type="auto" w:w="0"/>
        <w:jc w:val="center"/>
        <w:tblLook w:firstColumn="1" w:firstRow="1" w:lastColumn="0" w:lastRow="0" w:noHBand="0" w:noVBand="1" w:val="04A0"/>
      </w:tblPr>
      <w:tblGrid>
        <w:gridCol w:w="10224"/>
      </w:tblGrid>
      <w:tr>
        <w:tc>
          <w:tcPr>
            <w:tcW w:type="dxa" w:w="10224"/>
            <w:shd w:fill="EAF2F8"/>
            <w:tcBorders>
              <w:top w:val="single" w:sz="10" w:color="1F4E78"/>
              <w:left w:val="single" w:sz="10" w:color="1F4E78"/>
              <w:bottom w:val="single" w:sz="10" w:color="1F4E78"/>
              <w:right w:val="single" w:sz="10" w:color="1F4E78"/>
            </w:tcBorders>
          </w:tcPr>
          <w:p>
            <w:pPr>
              <w:spacing w:after="60"/>
            </w:pPr>
            <w:r>
              <w:rPr>
                <w:rFonts w:ascii="Arial" w:hAnsi="Arial"/>
                <w:b/>
                <w:color w:val="1F4E78"/>
                <w:sz w:val="20"/>
              </w:rPr>
              <w:t>Figure 1. Security trust boundary</w:t>
            </w:r>
          </w:p>
          <w:p>
            <w:pPr>
              <w:spacing w:after="0"/>
            </w:pPr>
            <w:r>
              <w:rPr>
                <w:rFonts w:ascii="Arial" w:hAnsi="Arial"/>
                <w:sz w:val="18"/>
              </w:rPr>
              <w:t>UNTRUSTED: browser, user input, uploaded documents, email network, receiving facilities. CONTROLLED APPLICATION ZONE: HTTPS endpoint, Laravel authentication, authorization policies, validation, workflow services, assessment orchestration, audit service. RESTRICTED DATA/COMPUTE ZONE: MySQL, private file storage, Python runtime, frozen model artifact, queues, backups, deployment secrets. ADMINISTRATIVE ZONE: approved administrators, DPO/security owner, restore console, release pipeline. Data crosses boundaries only through explicit, validated, authenticated, logged interfaces.</w:t>
            </w:r>
          </w:p>
        </w:tc>
      </w:tr>
    </w:tbl>
    <w:p>
      <w:pPr>
        <w:spacing w:after="0"/>
      </w:pP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Boundary crossing</w:t>
            </w:r>
          </w:p>
        </w:tc>
        <w:tc>
          <w:tcPr>
            <w:tcW w:type="dxa" w:w="5112"/>
            <w:vAlign w:val="center"/>
            <w:shd w:fill="1F4E78"/>
          </w:tcPr>
          <w:p>
            <w:pPr>
              <w:spacing w:after="0"/>
            </w:pPr>
            <w:r/>
            <w:r>
              <w:rPr>
                <w:rFonts w:ascii="Arial" w:hAnsi="Arial"/>
                <w:b/>
                <w:color w:val="FFFFFF"/>
                <w:sz w:val="17"/>
              </w:rPr>
              <w:t>Required control</w:t>
            </w:r>
          </w:p>
        </w:tc>
      </w:tr>
      <w:tr>
        <w:tc>
          <w:tcPr>
            <w:tcW w:type="dxa" w:w="5112"/>
            <w:vAlign w:val="center"/>
          </w:tcPr>
          <w:p>
            <w:pPr>
              <w:spacing w:after="0"/>
            </w:pPr>
            <w:r/>
            <w:r>
              <w:rPr>
                <w:rFonts w:ascii="Arial" w:hAnsi="Arial"/>
                <w:b w:val="0"/>
                <w:sz w:val="16"/>
              </w:rPr>
              <w:t>Browser -&gt; Laravel</w:t>
            </w:r>
          </w:p>
        </w:tc>
        <w:tc>
          <w:tcPr>
            <w:tcW w:type="dxa" w:w="5112"/>
            <w:vAlign w:val="center"/>
          </w:tcPr>
          <w:p>
            <w:pPr>
              <w:spacing w:after="0"/>
            </w:pPr>
            <w:r/>
            <w:r>
              <w:rPr>
                <w:rFonts w:ascii="Arial" w:hAnsi="Arial"/>
                <w:b w:val="0"/>
                <w:sz w:val="16"/>
              </w:rPr>
              <w:t>HTTPS, secure cookies, CSRF protection, request size limits, server-side validation, rate limits, authentication, authorization.</w:t>
            </w:r>
          </w:p>
        </w:tc>
      </w:tr>
      <w:tr>
        <w:tc>
          <w:tcPr>
            <w:tcW w:type="dxa" w:w="5112"/>
            <w:vAlign w:val="center"/>
            <w:shd w:fill="EEF4F8"/>
          </w:tcPr>
          <w:p>
            <w:pPr>
              <w:spacing w:after="0"/>
            </w:pPr>
            <w:r/>
            <w:r>
              <w:rPr>
                <w:rFonts w:ascii="Arial" w:hAnsi="Arial"/>
                <w:b w:val="0"/>
                <w:sz w:val="16"/>
              </w:rPr>
              <w:t>Laravel -&gt; MySQL</w:t>
            </w:r>
          </w:p>
        </w:tc>
        <w:tc>
          <w:tcPr>
            <w:tcW w:type="dxa" w:w="5112"/>
            <w:vAlign w:val="center"/>
            <w:shd w:fill="EEF4F8"/>
          </w:tcPr>
          <w:p>
            <w:pPr>
              <w:spacing w:after="0"/>
            </w:pPr>
            <w:r/>
            <w:r>
              <w:rPr>
                <w:rFonts w:ascii="Arial" w:hAnsi="Arial"/>
                <w:b w:val="0"/>
                <w:sz w:val="16"/>
              </w:rPr>
              <w:t>Private network/local socket, least-privilege database account, parameterized ORM/query builder, transaction boundaries, encrypted backup.</w:t>
            </w:r>
          </w:p>
        </w:tc>
      </w:tr>
      <w:tr>
        <w:tc>
          <w:tcPr>
            <w:tcW w:type="dxa" w:w="5112"/>
            <w:vAlign w:val="center"/>
          </w:tcPr>
          <w:p>
            <w:pPr>
              <w:spacing w:after="0"/>
            </w:pPr>
            <w:r/>
            <w:r>
              <w:rPr>
                <w:rFonts w:ascii="Arial" w:hAnsi="Arial"/>
                <w:b w:val="0"/>
                <w:sz w:val="16"/>
              </w:rPr>
              <w:t>Laravel -&gt; Python</w:t>
            </w:r>
          </w:p>
        </w:tc>
        <w:tc>
          <w:tcPr>
            <w:tcW w:type="dxa" w:w="5112"/>
            <w:vAlign w:val="center"/>
          </w:tcPr>
          <w:p>
            <w:pPr>
              <w:spacing w:after="0"/>
            </w:pPr>
            <w:r/>
            <w:r>
              <w:rPr>
                <w:rFonts w:ascii="Arial" w:hAnsi="Arial"/>
                <w:b w:val="0"/>
                <w:sz w:val="16"/>
              </w:rPr>
              <w:t>Fixed executable and script path, argument-safe or stdin JSON contract, schema validation, timeout, restricted OS account, no shell interpretation, no direct database writes.</w:t>
            </w:r>
          </w:p>
        </w:tc>
      </w:tr>
      <w:tr>
        <w:tc>
          <w:tcPr>
            <w:tcW w:type="dxa" w:w="5112"/>
            <w:vAlign w:val="center"/>
            <w:shd w:fill="EEF4F8"/>
          </w:tcPr>
          <w:p>
            <w:pPr>
              <w:spacing w:after="0"/>
            </w:pPr>
            <w:r/>
            <w:r>
              <w:rPr>
                <w:rFonts w:ascii="Arial" w:hAnsi="Arial"/>
                <w:b w:val="0"/>
                <w:sz w:val="16"/>
              </w:rPr>
              <w:t>Laravel -&gt; private storage</w:t>
            </w:r>
          </w:p>
        </w:tc>
        <w:tc>
          <w:tcPr>
            <w:tcW w:type="dxa" w:w="5112"/>
            <w:vAlign w:val="center"/>
            <w:shd w:fill="EEF4F8"/>
          </w:tcPr>
          <w:p>
            <w:pPr>
              <w:spacing w:after="0"/>
            </w:pPr>
            <w:r/>
            <w:r>
              <w:rPr>
                <w:rFonts w:ascii="Arial" w:hAnsi="Arial"/>
                <w:b w:val="0"/>
                <w:sz w:val="16"/>
              </w:rPr>
              <w:t>Non-public disk, generated filenames, MIME/content validation, authorization on retrieval, malware-risk handling, retention and deletion rules.</w:t>
            </w:r>
          </w:p>
        </w:tc>
      </w:tr>
      <w:tr>
        <w:tc>
          <w:tcPr>
            <w:tcW w:type="dxa" w:w="5112"/>
            <w:vAlign w:val="center"/>
          </w:tcPr>
          <w:p>
            <w:pPr>
              <w:spacing w:after="0"/>
            </w:pPr>
            <w:r/>
            <w:r>
              <w:rPr>
                <w:rFonts w:ascii="Arial" w:hAnsi="Arial"/>
                <w:b w:val="0"/>
                <w:sz w:val="16"/>
              </w:rPr>
              <w:t>Laravel -&gt; email/print</w:t>
            </w:r>
          </w:p>
        </w:tc>
        <w:tc>
          <w:tcPr>
            <w:tcW w:type="dxa" w:w="5112"/>
            <w:vAlign w:val="center"/>
          </w:tcPr>
          <w:p>
            <w:pPr>
              <w:spacing w:after="0"/>
            </w:pPr>
            <w:r/>
            <w:r>
              <w:rPr>
                <w:rFonts w:ascii="Arial" w:hAnsi="Arial"/>
                <w:b w:val="0"/>
                <w:sz w:val="16"/>
              </w:rPr>
              <w:t>Minimum necessary content, no emergency dependency, recipient confirmation, visible confidentiality notice, failure cannot change clinical state.</w:t>
            </w:r>
          </w:p>
        </w:tc>
      </w:tr>
      <w:tr>
        <w:tc>
          <w:tcPr>
            <w:tcW w:type="dxa" w:w="5112"/>
            <w:vAlign w:val="center"/>
            <w:shd w:fill="EEF4F8"/>
          </w:tcPr>
          <w:p>
            <w:pPr>
              <w:spacing w:after="0"/>
            </w:pPr>
            <w:r/>
            <w:r>
              <w:rPr>
                <w:rFonts w:ascii="Arial" w:hAnsi="Arial"/>
                <w:b w:val="0"/>
                <w:sz w:val="16"/>
              </w:rPr>
              <w:t>Administrator -&gt; production</w:t>
            </w:r>
          </w:p>
        </w:tc>
        <w:tc>
          <w:tcPr>
            <w:tcW w:type="dxa" w:w="5112"/>
            <w:vAlign w:val="center"/>
            <w:shd w:fill="EEF4F8"/>
          </w:tcPr>
          <w:p>
            <w:pPr>
              <w:spacing w:after="0"/>
            </w:pPr>
            <w:r/>
            <w:r>
              <w:rPr>
                <w:rFonts w:ascii="Arial" w:hAnsi="Arial"/>
                <w:b w:val="0"/>
                <w:sz w:val="16"/>
              </w:rPr>
              <w:t>Named account, strong authentication, restricted network/device, approval and audit, no shared credentials.</w:t>
            </w:r>
          </w:p>
        </w:tc>
      </w:tr>
      <w:tr>
        <w:tc>
          <w:tcPr>
            <w:tcW w:type="dxa" w:w="5112"/>
            <w:vAlign w:val="center"/>
          </w:tcPr>
          <w:p>
            <w:pPr>
              <w:spacing w:after="0"/>
            </w:pPr>
            <w:r/>
            <w:r>
              <w:rPr>
                <w:rFonts w:ascii="Arial" w:hAnsi="Arial"/>
                <w:b w:val="0"/>
                <w:sz w:val="16"/>
              </w:rPr>
              <w:t>Production -&gt; backup target</w:t>
            </w:r>
          </w:p>
        </w:tc>
        <w:tc>
          <w:tcPr>
            <w:tcW w:type="dxa" w:w="5112"/>
            <w:vAlign w:val="center"/>
          </w:tcPr>
          <w:p>
            <w:pPr>
              <w:spacing w:after="0"/>
            </w:pPr>
            <w:r/>
            <w:r>
              <w:rPr>
                <w:rFonts w:ascii="Arial" w:hAnsi="Arial"/>
                <w:b w:val="0"/>
                <w:sz w:val="16"/>
              </w:rPr>
              <w:t>Encrypted, access-controlled, integrity checked, retention controlled, restore tested.</w:t>
            </w:r>
          </w:p>
        </w:tc>
      </w:tr>
    </w:tbl>
    <w:p>
      <w:pPr>
        <w:spacing w:after="0"/>
      </w:pPr>
    </w:p>
    <w:p>
      <w:pPr>
        <w:pStyle w:val="Heading1"/>
        <w:keepNext/>
      </w:pPr>
      <w:r>
        <w:rPr>
          <w:rFonts w:ascii="Arial" w:hAnsi="Arial"/>
        </w:rPr>
        <w:t>4. Threat Model</w:t>
      </w:r>
    </w:p>
    <w:p>
      <w:pPr>
        <w:spacing w:after="100" w:line="259" w:lineRule="auto"/>
      </w:pPr>
      <w:r>
        <w:rPr>
          <w:rFonts w:ascii="Arial" w:hAnsi="Arial"/>
          <w:sz w:val="18"/>
        </w:rPr>
        <w:t>The threat model uses assets, actors, attack surfaces, misuse cases, and safety consequences. It is reviewed whenever workflows, integrations, hosting, model artifacts, or data categories change.</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7"/>
              </w:rPr>
              <w:t>Threat / misuse case</w:t>
            </w:r>
          </w:p>
        </w:tc>
        <w:tc>
          <w:tcPr>
            <w:tcW w:type="dxa" w:w="3408"/>
            <w:vAlign w:val="center"/>
            <w:shd w:fill="1F4E78"/>
          </w:tcPr>
          <w:p>
            <w:pPr>
              <w:spacing w:after="0"/>
            </w:pPr>
            <w:r/>
            <w:r>
              <w:rPr>
                <w:rFonts w:ascii="Arial" w:hAnsi="Arial"/>
                <w:b/>
                <w:color w:val="FFFFFF"/>
                <w:sz w:val="17"/>
              </w:rPr>
              <w:t>Potential impact</w:t>
            </w:r>
          </w:p>
        </w:tc>
        <w:tc>
          <w:tcPr>
            <w:tcW w:type="dxa" w:w="3408"/>
            <w:vAlign w:val="center"/>
            <w:shd w:fill="1F4E78"/>
          </w:tcPr>
          <w:p>
            <w:pPr>
              <w:spacing w:after="0"/>
            </w:pPr>
            <w:r/>
            <w:r>
              <w:rPr>
                <w:rFonts w:ascii="Arial" w:hAnsi="Arial"/>
                <w:b/>
                <w:color w:val="FFFFFF"/>
                <w:sz w:val="17"/>
              </w:rPr>
              <w:t>Primary controls</w:t>
            </w:r>
          </w:p>
        </w:tc>
      </w:tr>
      <w:tr>
        <w:tc>
          <w:tcPr>
            <w:tcW w:type="dxa" w:w="3408"/>
            <w:vAlign w:val="center"/>
          </w:tcPr>
          <w:p>
            <w:pPr>
              <w:spacing w:after="0"/>
            </w:pPr>
            <w:r/>
            <w:r>
              <w:rPr>
                <w:rFonts w:ascii="Arial" w:hAnsi="Arial"/>
                <w:b w:val="0"/>
                <w:sz w:val="16"/>
              </w:rPr>
              <w:t>Stolen or shared staff credential</w:t>
            </w:r>
          </w:p>
        </w:tc>
        <w:tc>
          <w:tcPr>
            <w:tcW w:type="dxa" w:w="3408"/>
            <w:vAlign w:val="center"/>
          </w:tcPr>
          <w:p>
            <w:pPr>
              <w:spacing w:after="0"/>
            </w:pPr>
            <w:r/>
            <w:r>
              <w:rPr>
                <w:rFonts w:ascii="Arial" w:hAnsi="Arial"/>
                <w:b w:val="0"/>
                <w:sz w:val="16"/>
              </w:rPr>
              <w:t>Unauthorized access to maternity records and clinical actions.</w:t>
            </w:r>
          </w:p>
        </w:tc>
        <w:tc>
          <w:tcPr>
            <w:tcW w:type="dxa" w:w="3408"/>
            <w:vAlign w:val="center"/>
          </w:tcPr>
          <w:p>
            <w:pPr>
              <w:spacing w:after="0"/>
            </w:pPr>
            <w:r/>
            <w:r>
              <w:rPr>
                <w:rFonts w:ascii="Arial" w:hAnsi="Arial"/>
                <w:b w:val="0"/>
                <w:sz w:val="16"/>
              </w:rPr>
              <w:t>Named accounts, strong passwords, optional MFA, throttling, session controls, access review, audit and alerting.</w:t>
            </w:r>
          </w:p>
        </w:tc>
      </w:tr>
      <w:tr>
        <w:tc>
          <w:tcPr>
            <w:tcW w:type="dxa" w:w="3408"/>
            <w:vAlign w:val="center"/>
            <w:shd w:fill="EEF4F8"/>
          </w:tcPr>
          <w:p>
            <w:pPr>
              <w:spacing w:after="0"/>
            </w:pPr>
            <w:r/>
            <w:r>
              <w:rPr>
                <w:rFonts w:ascii="Arial" w:hAnsi="Arial"/>
                <w:b w:val="0"/>
                <w:sz w:val="16"/>
              </w:rPr>
              <w:t>Broken object-level authorization</w:t>
            </w:r>
          </w:p>
        </w:tc>
        <w:tc>
          <w:tcPr>
            <w:tcW w:type="dxa" w:w="3408"/>
            <w:vAlign w:val="center"/>
            <w:shd w:fill="EEF4F8"/>
          </w:tcPr>
          <w:p>
            <w:pPr>
              <w:spacing w:after="0"/>
            </w:pPr>
            <w:r/>
            <w:r>
              <w:rPr>
                <w:rFonts w:ascii="Arial" w:hAnsi="Arial"/>
                <w:b w:val="0"/>
                <w:sz w:val="16"/>
              </w:rPr>
              <w:t>User opens or modifies another patient or pregnancy by changing an ID.</w:t>
            </w:r>
          </w:p>
        </w:tc>
        <w:tc>
          <w:tcPr>
            <w:tcW w:type="dxa" w:w="3408"/>
            <w:vAlign w:val="center"/>
            <w:shd w:fill="EEF4F8"/>
          </w:tcPr>
          <w:p>
            <w:pPr>
              <w:spacing w:after="0"/>
            </w:pPr>
            <w:r/>
            <w:r>
              <w:rPr>
                <w:rFonts w:ascii="Arial" w:hAnsi="Arial"/>
                <w:b w:val="0"/>
                <w:sz w:val="16"/>
              </w:rPr>
              <w:t>Policies on every action, scoped route binding/query, patient-episode ownership validation, negative tests.</w:t>
            </w:r>
          </w:p>
        </w:tc>
      </w:tr>
      <w:tr>
        <w:tc>
          <w:tcPr>
            <w:tcW w:type="dxa" w:w="3408"/>
            <w:vAlign w:val="center"/>
          </w:tcPr>
          <w:p>
            <w:pPr>
              <w:spacing w:after="0"/>
            </w:pPr>
            <w:r/>
            <w:r>
              <w:rPr>
                <w:rFonts w:ascii="Arial" w:hAnsi="Arial"/>
                <w:b w:val="0"/>
                <w:sz w:val="16"/>
              </w:rPr>
              <w:t>SQL, command, template, or log injection</w:t>
            </w:r>
          </w:p>
        </w:tc>
        <w:tc>
          <w:tcPr>
            <w:tcW w:type="dxa" w:w="3408"/>
            <w:vAlign w:val="center"/>
          </w:tcPr>
          <w:p>
            <w:pPr>
              <w:spacing w:after="0"/>
            </w:pPr>
            <w:r/>
            <w:r>
              <w:rPr>
                <w:rFonts w:ascii="Arial" w:hAnsi="Arial"/>
                <w:b w:val="0"/>
                <w:sz w:val="16"/>
              </w:rPr>
              <w:t>Data theft, server compromise, altered output, hidden audit events.</w:t>
            </w:r>
          </w:p>
        </w:tc>
        <w:tc>
          <w:tcPr>
            <w:tcW w:type="dxa" w:w="3408"/>
            <w:vAlign w:val="center"/>
          </w:tcPr>
          <w:p>
            <w:pPr>
              <w:spacing w:after="0"/>
            </w:pPr>
            <w:r/>
            <w:r>
              <w:rPr>
                <w:rFonts w:ascii="Arial" w:hAnsi="Arial"/>
                <w:b w:val="0"/>
                <w:sz w:val="16"/>
              </w:rPr>
              <w:t>Eloquent/parameterization, strict validation, safe subprocess invocation, output encoding, structured logging.</w:t>
            </w:r>
          </w:p>
        </w:tc>
      </w:tr>
      <w:tr>
        <w:tc>
          <w:tcPr>
            <w:tcW w:type="dxa" w:w="3408"/>
            <w:vAlign w:val="center"/>
            <w:shd w:fill="EEF4F8"/>
          </w:tcPr>
          <w:p>
            <w:pPr>
              <w:spacing w:after="0"/>
            </w:pPr>
            <w:r/>
            <w:r>
              <w:rPr>
                <w:rFonts w:ascii="Arial" w:hAnsi="Arial"/>
                <w:b w:val="0"/>
                <w:sz w:val="16"/>
              </w:rPr>
              <w:t>Malicious or malformed upload</w:t>
            </w:r>
          </w:p>
        </w:tc>
        <w:tc>
          <w:tcPr>
            <w:tcW w:type="dxa" w:w="3408"/>
            <w:vAlign w:val="center"/>
            <w:shd w:fill="EEF4F8"/>
          </w:tcPr>
          <w:p>
            <w:pPr>
              <w:spacing w:after="0"/>
            </w:pPr>
            <w:r/>
            <w:r>
              <w:rPr>
                <w:rFonts w:ascii="Arial" w:hAnsi="Arial"/>
                <w:b w:val="0"/>
                <w:sz w:val="16"/>
              </w:rPr>
              <w:t>Malware, stored script, disk exhaustion, privacy leakage.</w:t>
            </w:r>
          </w:p>
        </w:tc>
        <w:tc>
          <w:tcPr>
            <w:tcW w:type="dxa" w:w="3408"/>
            <w:vAlign w:val="center"/>
            <w:shd w:fill="EEF4F8"/>
          </w:tcPr>
          <w:p>
            <w:pPr>
              <w:spacing w:after="0"/>
            </w:pPr>
            <w:r/>
            <w:r>
              <w:rPr>
                <w:rFonts w:ascii="Arial" w:hAnsi="Arial"/>
                <w:b w:val="0"/>
                <w:sz w:val="16"/>
              </w:rPr>
              <w:t>Allowlist, size limit, MIME/signature checks, randomized name, private storage, authorized download.</w:t>
            </w:r>
          </w:p>
        </w:tc>
      </w:tr>
      <w:tr>
        <w:tc>
          <w:tcPr>
            <w:tcW w:type="dxa" w:w="3408"/>
            <w:vAlign w:val="center"/>
          </w:tcPr>
          <w:p>
            <w:pPr>
              <w:spacing w:after="0"/>
            </w:pPr>
            <w:r/>
            <w:r>
              <w:rPr>
                <w:rFonts w:ascii="Arial" w:hAnsi="Arial"/>
                <w:b w:val="0"/>
                <w:sz w:val="16"/>
              </w:rPr>
              <w:t>Model or rule artifact replacement</w:t>
            </w:r>
          </w:p>
        </w:tc>
        <w:tc>
          <w:tcPr>
            <w:tcW w:type="dxa" w:w="3408"/>
            <w:vAlign w:val="center"/>
          </w:tcPr>
          <w:p>
            <w:pPr>
              <w:spacing w:after="0"/>
            </w:pPr>
            <w:r/>
            <w:r>
              <w:rPr>
                <w:rFonts w:ascii="Arial" w:hAnsi="Arial"/>
                <w:b w:val="0"/>
                <w:sz w:val="16"/>
              </w:rPr>
              <w:t>Incorrect assessment or concealed HIGH risk.</w:t>
            </w:r>
          </w:p>
        </w:tc>
        <w:tc>
          <w:tcPr>
            <w:tcW w:type="dxa" w:w="3408"/>
            <w:vAlign w:val="center"/>
          </w:tcPr>
          <w:p>
            <w:pPr>
              <w:spacing w:after="0"/>
            </w:pPr>
            <w:r/>
            <w:r>
              <w:rPr>
                <w:rFonts w:ascii="Arial" w:hAnsi="Arial"/>
                <w:b w:val="0"/>
                <w:sz w:val="16"/>
              </w:rPr>
              <w:t>Artifact hash/version allowlist, restricted write permissions, signed release package, startup and runtime verification.</w:t>
            </w:r>
          </w:p>
        </w:tc>
      </w:tr>
      <w:tr>
        <w:tc>
          <w:tcPr>
            <w:tcW w:type="dxa" w:w="3408"/>
            <w:vAlign w:val="center"/>
            <w:shd w:fill="EEF4F8"/>
          </w:tcPr>
          <w:p>
            <w:pPr>
              <w:spacing w:after="0"/>
            </w:pPr>
            <w:r/>
            <w:r>
              <w:rPr>
                <w:rFonts w:ascii="Arial" w:hAnsi="Arial"/>
                <w:b w:val="0"/>
                <w:sz w:val="16"/>
              </w:rPr>
              <w:t>Audit tampering or log deletion</w:t>
            </w:r>
          </w:p>
        </w:tc>
        <w:tc>
          <w:tcPr>
            <w:tcW w:type="dxa" w:w="3408"/>
            <w:vAlign w:val="center"/>
            <w:shd w:fill="EEF4F8"/>
          </w:tcPr>
          <w:p>
            <w:pPr>
              <w:spacing w:after="0"/>
            </w:pPr>
            <w:r/>
            <w:r>
              <w:rPr>
                <w:rFonts w:ascii="Arial" w:hAnsi="Arial"/>
                <w:b w:val="0"/>
                <w:sz w:val="16"/>
              </w:rPr>
              <w:t>Loss of accountability and inability to reconstruct decisions.</w:t>
            </w:r>
          </w:p>
        </w:tc>
        <w:tc>
          <w:tcPr>
            <w:tcW w:type="dxa" w:w="3408"/>
            <w:vAlign w:val="center"/>
            <w:shd w:fill="EEF4F8"/>
          </w:tcPr>
          <w:p>
            <w:pPr>
              <w:spacing w:after="0"/>
            </w:pPr>
            <w:r/>
            <w:r>
              <w:rPr>
                <w:rFonts w:ascii="Arial" w:hAnsi="Arial"/>
                <w:b w:val="0"/>
                <w:sz w:val="16"/>
              </w:rPr>
              <w:t>Append-only design, restricted delete/update, hashes or protected exports, backup, independent review.</w:t>
            </w:r>
          </w:p>
        </w:tc>
      </w:tr>
      <w:tr>
        <w:tc>
          <w:tcPr>
            <w:tcW w:type="dxa" w:w="3408"/>
            <w:vAlign w:val="center"/>
          </w:tcPr>
          <w:p>
            <w:pPr>
              <w:spacing w:after="0"/>
            </w:pPr>
            <w:r/>
            <w:r>
              <w:rPr>
                <w:rFonts w:ascii="Arial" w:hAnsi="Arial"/>
                <w:b w:val="0"/>
                <w:sz w:val="16"/>
              </w:rPr>
              <w:t>Ransomware, disk failure, or accidental deletion</w:t>
            </w:r>
          </w:p>
        </w:tc>
        <w:tc>
          <w:tcPr>
            <w:tcW w:type="dxa" w:w="3408"/>
            <w:vAlign w:val="center"/>
          </w:tcPr>
          <w:p>
            <w:pPr>
              <w:spacing w:after="0"/>
            </w:pPr>
            <w:r/>
            <w:r>
              <w:rPr>
                <w:rFonts w:ascii="Arial" w:hAnsi="Arial"/>
                <w:b w:val="0"/>
                <w:sz w:val="16"/>
              </w:rPr>
              <w:t>Loss of availability and historical records.</w:t>
            </w:r>
          </w:p>
        </w:tc>
        <w:tc>
          <w:tcPr>
            <w:tcW w:type="dxa" w:w="3408"/>
            <w:vAlign w:val="center"/>
          </w:tcPr>
          <w:p>
            <w:pPr>
              <w:spacing w:after="0"/>
            </w:pPr>
            <w:r/>
            <w:r>
              <w:rPr>
                <w:rFonts w:ascii="Arial" w:hAnsi="Arial"/>
                <w:b w:val="0"/>
                <w:sz w:val="16"/>
              </w:rPr>
              <w:t>Offline/isolated backups, restore tests, least privilege, patching, downtime procedure.</w:t>
            </w:r>
          </w:p>
        </w:tc>
      </w:tr>
      <w:tr>
        <w:tc>
          <w:tcPr>
            <w:tcW w:type="dxa" w:w="3408"/>
            <w:vAlign w:val="center"/>
            <w:shd w:fill="EEF4F8"/>
          </w:tcPr>
          <w:p>
            <w:pPr>
              <w:spacing w:after="0"/>
            </w:pPr>
            <w:r/>
            <w:r>
              <w:rPr>
                <w:rFonts w:ascii="Arial" w:hAnsi="Arial"/>
                <w:b w:val="0"/>
                <w:sz w:val="16"/>
              </w:rPr>
              <w:t>Sensitive data in email, logs, debug pages, screenshots, or exports</w:t>
            </w:r>
          </w:p>
        </w:tc>
        <w:tc>
          <w:tcPr>
            <w:tcW w:type="dxa" w:w="3408"/>
            <w:vAlign w:val="center"/>
            <w:shd w:fill="EEF4F8"/>
          </w:tcPr>
          <w:p>
            <w:pPr>
              <w:spacing w:after="0"/>
            </w:pPr>
            <w:r/>
            <w:r>
              <w:rPr>
                <w:rFonts w:ascii="Arial" w:hAnsi="Arial"/>
                <w:b w:val="0"/>
                <w:sz w:val="16"/>
              </w:rPr>
              <w:t>Disclosure beyond intended purpose.</w:t>
            </w:r>
          </w:p>
        </w:tc>
        <w:tc>
          <w:tcPr>
            <w:tcW w:type="dxa" w:w="3408"/>
            <w:vAlign w:val="center"/>
            <w:shd w:fill="EEF4F8"/>
          </w:tcPr>
          <w:p>
            <w:pPr>
              <w:spacing w:after="0"/>
            </w:pPr>
            <w:r/>
            <w:r>
              <w:rPr>
                <w:rFonts w:ascii="Arial" w:hAnsi="Arial"/>
                <w:b w:val="0"/>
                <w:sz w:val="16"/>
              </w:rPr>
              <w:t>Data minimization, redaction, debug disabled, secure printing, access controls, retention and user training.</w:t>
            </w:r>
          </w:p>
        </w:tc>
      </w:tr>
      <w:tr>
        <w:tc>
          <w:tcPr>
            <w:tcW w:type="dxa" w:w="3408"/>
            <w:vAlign w:val="center"/>
          </w:tcPr>
          <w:p>
            <w:pPr>
              <w:spacing w:after="0"/>
            </w:pPr>
            <w:r/>
            <w:r>
              <w:rPr>
                <w:rFonts w:ascii="Arial" w:hAnsi="Arial"/>
                <w:b w:val="0"/>
                <w:sz w:val="16"/>
              </w:rPr>
              <w:t>Insider misuse</w:t>
            </w:r>
          </w:p>
        </w:tc>
        <w:tc>
          <w:tcPr>
            <w:tcW w:type="dxa" w:w="3408"/>
            <w:vAlign w:val="center"/>
          </w:tcPr>
          <w:p>
            <w:pPr>
              <w:spacing w:after="0"/>
            </w:pPr>
            <w:r/>
            <w:r>
              <w:rPr>
                <w:rFonts w:ascii="Arial" w:hAnsi="Arial"/>
                <w:b w:val="0"/>
                <w:sz w:val="16"/>
              </w:rPr>
              <w:t>Improper browsing, alteration, deletion, or disclosure.</w:t>
            </w:r>
          </w:p>
        </w:tc>
        <w:tc>
          <w:tcPr>
            <w:tcW w:type="dxa" w:w="3408"/>
            <w:vAlign w:val="center"/>
          </w:tcPr>
          <w:p>
            <w:pPr>
              <w:spacing w:after="0"/>
            </w:pPr>
            <w:r/>
            <w:r>
              <w:rPr>
                <w:rFonts w:ascii="Arial" w:hAnsi="Arial"/>
                <w:b w:val="0"/>
                <w:sz w:val="16"/>
              </w:rPr>
              <w:t>Least privilege, purpose-based access, audit review, sanctions/policy, export restrictions.</w:t>
            </w:r>
          </w:p>
        </w:tc>
      </w:tr>
      <w:tr>
        <w:tc>
          <w:tcPr>
            <w:tcW w:type="dxa" w:w="3408"/>
            <w:vAlign w:val="center"/>
            <w:shd w:fill="EEF4F8"/>
          </w:tcPr>
          <w:p>
            <w:pPr>
              <w:spacing w:after="0"/>
            </w:pPr>
            <w:r/>
            <w:r>
              <w:rPr>
                <w:rFonts w:ascii="Arial" w:hAnsi="Arial"/>
                <w:b w:val="0"/>
                <w:sz w:val="16"/>
              </w:rPr>
              <w:t>Denial of service or resource exhaustion</w:t>
            </w:r>
          </w:p>
        </w:tc>
        <w:tc>
          <w:tcPr>
            <w:tcW w:type="dxa" w:w="3408"/>
            <w:vAlign w:val="center"/>
            <w:shd w:fill="EEF4F8"/>
          </w:tcPr>
          <w:p>
            <w:pPr>
              <w:spacing w:after="0"/>
            </w:pPr>
            <w:r/>
            <w:r>
              <w:rPr>
                <w:rFonts w:ascii="Arial" w:hAnsi="Arial"/>
                <w:b w:val="0"/>
                <w:sz w:val="16"/>
              </w:rPr>
              <w:t>Delayed documentation or assessment.</w:t>
            </w:r>
          </w:p>
        </w:tc>
        <w:tc>
          <w:tcPr>
            <w:tcW w:type="dxa" w:w="3408"/>
            <w:vAlign w:val="center"/>
            <w:shd w:fill="EEF4F8"/>
          </w:tcPr>
          <w:p>
            <w:pPr>
              <w:spacing w:after="0"/>
            </w:pPr>
            <w:r/>
            <w:r>
              <w:rPr>
                <w:rFonts w:ascii="Arial" w:hAnsi="Arial"/>
                <w:b w:val="0"/>
                <w:sz w:val="16"/>
              </w:rPr>
              <w:t>Rate limits, request limits, Python timeout, queue controls, health monitoring, manual continuity.</w:t>
            </w:r>
          </w:p>
        </w:tc>
      </w:tr>
    </w:tbl>
    <w:p>
      <w:pPr>
        <w:spacing w:after="0"/>
      </w:pPr>
    </w:p>
    <w:p>
      <w:pPr>
        <w:pStyle w:val="Heading1"/>
        <w:keepNext/>
      </w:pPr>
      <w:r>
        <w:rPr>
          <w:rFonts w:ascii="Arial" w:hAnsi="Arial"/>
        </w:rPr>
        <w:t>5. Identity and Authentication Architecture</w:t>
      </w:r>
    </w:p>
    <w:p>
      <w:pPr>
        <w:spacing w:after="100" w:line="259" w:lineRule="auto"/>
      </w:pPr>
      <w:r>
        <w:rPr>
          <w:rFonts w:ascii="Arial" w:hAnsi="Arial"/>
          <w:sz w:val="18"/>
        </w:rPr>
        <w:t>Every human user shall have a unique account. Shared “midwife” or “admin” credentials are prohibited because they destroy attribution. Account issuance, role assignment, suspension, and removal require an approved owner and documented reason.</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Control area</w:t>
            </w:r>
          </w:p>
        </w:tc>
        <w:tc>
          <w:tcPr>
            <w:tcW w:type="dxa" w:w="5112"/>
            <w:vAlign w:val="center"/>
            <w:shd w:fill="1F4E78"/>
          </w:tcPr>
          <w:p>
            <w:pPr>
              <w:spacing w:after="0"/>
            </w:pPr>
            <w:r/>
            <w:r>
              <w:rPr>
                <w:rFonts w:ascii="Arial" w:hAnsi="Arial"/>
                <w:b/>
                <w:color w:val="FFFFFF"/>
                <w:sz w:val="17"/>
              </w:rPr>
              <w:t>Baseline requirement</w:t>
            </w:r>
          </w:p>
        </w:tc>
      </w:tr>
      <w:tr>
        <w:tc>
          <w:tcPr>
            <w:tcW w:type="dxa" w:w="5112"/>
            <w:vAlign w:val="center"/>
          </w:tcPr>
          <w:p>
            <w:pPr>
              <w:spacing w:after="0"/>
            </w:pPr>
            <w:r/>
            <w:r>
              <w:rPr>
                <w:rFonts w:ascii="Arial" w:hAnsi="Arial"/>
                <w:b w:val="0"/>
                <w:sz w:val="16"/>
              </w:rPr>
              <w:t>Passwords</w:t>
            </w:r>
          </w:p>
        </w:tc>
        <w:tc>
          <w:tcPr>
            <w:tcW w:type="dxa" w:w="5112"/>
            <w:vAlign w:val="center"/>
          </w:tcPr>
          <w:p>
            <w:pPr>
              <w:spacing w:after="0"/>
            </w:pPr>
            <w:r/>
            <w:r>
              <w:rPr>
                <w:rFonts w:ascii="Arial" w:hAnsi="Arial"/>
                <w:b w:val="0"/>
                <w:sz w:val="16"/>
              </w:rPr>
              <w:t>Use Laravel-supported adaptive hashing such as bcrypt or Argon2. Never store reversible or plaintext passwords. Rehash when policy increases.</w:t>
            </w:r>
          </w:p>
        </w:tc>
      </w:tr>
      <w:tr>
        <w:tc>
          <w:tcPr>
            <w:tcW w:type="dxa" w:w="5112"/>
            <w:vAlign w:val="center"/>
            <w:shd w:fill="EEF4F8"/>
          </w:tcPr>
          <w:p>
            <w:pPr>
              <w:spacing w:after="0"/>
            </w:pPr>
            <w:r/>
            <w:r>
              <w:rPr>
                <w:rFonts w:ascii="Arial" w:hAnsi="Arial"/>
                <w:b w:val="0"/>
                <w:sz w:val="16"/>
              </w:rPr>
              <w:t>Password policy</w:t>
            </w:r>
          </w:p>
        </w:tc>
        <w:tc>
          <w:tcPr>
            <w:tcW w:type="dxa" w:w="5112"/>
            <w:vAlign w:val="center"/>
            <w:shd w:fill="EEF4F8"/>
          </w:tcPr>
          <w:p>
            <w:pPr>
              <w:spacing w:after="0"/>
            </w:pPr>
            <w:r/>
            <w:r>
              <w:rPr>
                <w:rFonts w:ascii="Arial" w:hAnsi="Arial"/>
                <w:b w:val="0"/>
                <w:sz w:val="16"/>
              </w:rPr>
              <w:t>Permit long passphrases, block known-compromised/common values where feasible, avoid arbitrary composition rules that encourage reuse, and provide secure reset.</w:t>
            </w:r>
          </w:p>
        </w:tc>
      </w:tr>
      <w:tr>
        <w:tc>
          <w:tcPr>
            <w:tcW w:type="dxa" w:w="5112"/>
            <w:vAlign w:val="center"/>
          </w:tcPr>
          <w:p>
            <w:pPr>
              <w:spacing w:after="0"/>
            </w:pPr>
            <w:r/>
            <w:r>
              <w:rPr>
                <w:rFonts w:ascii="Arial" w:hAnsi="Arial"/>
                <w:b w:val="0"/>
                <w:sz w:val="16"/>
              </w:rPr>
              <w:t>Login protection</w:t>
            </w:r>
          </w:p>
        </w:tc>
        <w:tc>
          <w:tcPr>
            <w:tcW w:type="dxa" w:w="5112"/>
            <w:vAlign w:val="center"/>
          </w:tcPr>
          <w:p>
            <w:pPr>
              <w:spacing w:after="0"/>
            </w:pPr>
            <w:r/>
            <w:r>
              <w:rPr>
                <w:rFonts w:ascii="Arial" w:hAnsi="Arial"/>
                <w:b w:val="0"/>
                <w:sz w:val="16"/>
              </w:rPr>
              <w:t>Throttle by account and source, record failures and lockouts, avoid revealing whether an account exists.</w:t>
            </w:r>
          </w:p>
        </w:tc>
      </w:tr>
      <w:tr>
        <w:tc>
          <w:tcPr>
            <w:tcW w:type="dxa" w:w="5112"/>
            <w:vAlign w:val="center"/>
            <w:shd w:fill="EEF4F8"/>
          </w:tcPr>
          <w:p>
            <w:pPr>
              <w:spacing w:after="0"/>
            </w:pPr>
            <w:r/>
            <w:r>
              <w:rPr>
                <w:rFonts w:ascii="Arial" w:hAnsi="Arial"/>
                <w:b w:val="0"/>
                <w:sz w:val="16"/>
              </w:rPr>
              <w:t>Multi-factor authentication</w:t>
            </w:r>
          </w:p>
        </w:tc>
        <w:tc>
          <w:tcPr>
            <w:tcW w:type="dxa" w:w="5112"/>
            <w:vAlign w:val="center"/>
            <w:shd w:fill="EEF4F8"/>
          </w:tcPr>
          <w:p>
            <w:pPr>
              <w:spacing w:after="0"/>
            </w:pPr>
            <w:r/>
            <w:r>
              <w:rPr>
                <w:rFonts w:ascii="Arial" w:hAnsi="Arial"/>
                <w:b w:val="0"/>
                <w:sz w:val="16"/>
              </w:rPr>
              <w:t>Recommended for administrators and remote access; required when local risk assessment or policy determines passwords alone are insufficient.</w:t>
            </w:r>
          </w:p>
        </w:tc>
      </w:tr>
      <w:tr>
        <w:tc>
          <w:tcPr>
            <w:tcW w:type="dxa" w:w="5112"/>
            <w:vAlign w:val="center"/>
          </w:tcPr>
          <w:p>
            <w:pPr>
              <w:spacing w:after="0"/>
            </w:pPr>
            <w:r/>
            <w:r>
              <w:rPr>
                <w:rFonts w:ascii="Arial" w:hAnsi="Arial"/>
                <w:b w:val="0"/>
                <w:sz w:val="16"/>
              </w:rPr>
              <w:t>Session creation</w:t>
            </w:r>
          </w:p>
        </w:tc>
        <w:tc>
          <w:tcPr>
            <w:tcW w:type="dxa" w:w="5112"/>
            <w:vAlign w:val="center"/>
          </w:tcPr>
          <w:p>
            <w:pPr>
              <w:spacing w:after="0"/>
            </w:pPr>
            <w:r/>
            <w:r>
              <w:rPr>
                <w:rFonts w:ascii="Arial" w:hAnsi="Arial"/>
                <w:b w:val="0"/>
                <w:sz w:val="16"/>
              </w:rPr>
              <w:t>Regenerate session ID after successful login and privilege change.</w:t>
            </w:r>
          </w:p>
        </w:tc>
      </w:tr>
      <w:tr>
        <w:tc>
          <w:tcPr>
            <w:tcW w:type="dxa" w:w="5112"/>
            <w:vAlign w:val="center"/>
            <w:shd w:fill="EEF4F8"/>
          </w:tcPr>
          <w:p>
            <w:pPr>
              <w:spacing w:after="0"/>
            </w:pPr>
            <w:r/>
            <w:r>
              <w:rPr>
                <w:rFonts w:ascii="Arial" w:hAnsi="Arial"/>
                <w:b w:val="0"/>
                <w:sz w:val="16"/>
              </w:rPr>
              <w:t>Session cookies</w:t>
            </w:r>
          </w:p>
        </w:tc>
        <w:tc>
          <w:tcPr>
            <w:tcW w:type="dxa" w:w="5112"/>
            <w:vAlign w:val="center"/>
            <w:shd w:fill="EEF4F8"/>
          </w:tcPr>
          <w:p>
            <w:pPr>
              <w:spacing w:after="0"/>
            </w:pPr>
            <w:r/>
            <w:r>
              <w:rPr>
                <w:rFonts w:ascii="Arial" w:hAnsi="Arial"/>
                <w:b w:val="0"/>
                <w:sz w:val="16"/>
              </w:rPr>
              <w:t>Secure, HttpOnly, SameSite, scoped domain/path, and HTTPS-only in production.</w:t>
            </w:r>
          </w:p>
        </w:tc>
      </w:tr>
      <w:tr>
        <w:tc>
          <w:tcPr>
            <w:tcW w:type="dxa" w:w="5112"/>
            <w:vAlign w:val="center"/>
          </w:tcPr>
          <w:p>
            <w:pPr>
              <w:spacing w:after="0"/>
            </w:pPr>
            <w:r/>
            <w:r>
              <w:rPr>
                <w:rFonts w:ascii="Arial" w:hAnsi="Arial"/>
                <w:b w:val="0"/>
                <w:sz w:val="16"/>
              </w:rPr>
              <w:t>Session lifetime</w:t>
            </w:r>
          </w:p>
        </w:tc>
        <w:tc>
          <w:tcPr>
            <w:tcW w:type="dxa" w:w="5112"/>
            <w:vAlign w:val="center"/>
          </w:tcPr>
          <w:p>
            <w:pPr>
              <w:spacing w:after="0"/>
            </w:pPr>
            <w:r/>
            <w:r>
              <w:rPr>
                <w:rFonts w:ascii="Arial" w:hAnsi="Arial"/>
                <w:b w:val="0"/>
                <w:sz w:val="16"/>
              </w:rPr>
              <w:t>Use inactivity and absolute limits proportionate to the shared-clinic environment; require password confirmation for sensitive administration.</w:t>
            </w:r>
          </w:p>
        </w:tc>
      </w:tr>
      <w:tr>
        <w:tc>
          <w:tcPr>
            <w:tcW w:type="dxa" w:w="5112"/>
            <w:vAlign w:val="center"/>
            <w:shd w:fill="EEF4F8"/>
          </w:tcPr>
          <w:p>
            <w:pPr>
              <w:spacing w:after="0"/>
            </w:pPr>
            <w:r/>
            <w:r>
              <w:rPr>
                <w:rFonts w:ascii="Arial" w:hAnsi="Arial"/>
                <w:b w:val="0"/>
                <w:sz w:val="16"/>
              </w:rPr>
              <w:t>Logout</w:t>
            </w:r>
          </w:p>
        </w:tc>
        <w:tc>
          <w:tcPr>
            <w:tcW w:type="dxa" w:w="5112"/>
            <w:vAlign w:val="center"/>
            <w:shd w:fill="EEF4F8"/>
          </w:tcPr>
          <w:p>
            <w:pPr>
              <w:spacing w:after="0"/>
            </w:pPr>
            <w:r/>
            <w:r>
              <w:rPr>
                <w:rFonts w:ascii="Arial" w:hAnsi="Arial"/>
                <w:b w:val="0"/>
                <w:sz w:val="16"/>
              </w:rPr>
              <w:t>Invalidate server session and rotate CSRF token; support revocation of other devices where used.</w:t>
            </w:r>
          </w:p>
        </w:tc>
      </w:tr>
      <w:tr>
        <w:tc>
          <w:tcPr>
            <w:tcW w:type="dxa" w:w="5112"/>
            <w:vAlign w:val="center"/>
          </w:tcPr>
          <w:p>
            <w:pPr>
              <w:spacing w:after="0"/>
            </w:pPr>
            <w:r/>
            <w:r>
              <w:rPr>
                <w:rFonts w:ascii="Arial" w:hAnsi="Arial"/>
                <w:b w:val="0"/>
                <w:sz w:val="16"/>
              </w:rPr>
              <w:t>Account lifecycle</w:t>
            </w:r>
          </w:p>
        </w:tc>
        <w:tc>
          <w:tcPr>
            <w:tcW w:type="dxa" w:w="5112"/>
            <w:vAlign w:val="center"/>
          </w:tcPr>
          <w:p>
            <w:pPr>
              <w:spacing w:after="0"/>
            </w:pPr>
            <w:r/>
            <w:r>
              <w:rPr>
                <w:rFonts w:ascii="Arial" w:hAnsi="Arial"/>
                <w:b w:val="0"/>
                <w:sz w:val="16"/>
              </w:rPr>
              <w:t>Disable access immediately on departure or role change; review active accounts periodically.</w:t>
            </w:r>
          </w:p>
        </w:tc>
      </w:tr>
      <w:tr>
        <w:tc>
          <w:tcPr>
            <w:tcW w:type="dxa" w:w="5112"/>
            <w:vAlign w:val="center"/>
            <w:shd w:fill="EEF4F8"/>
          </w:tcPr>
          <w:p>
            <w:pPr>
              <w:spacing w:after="0"/>
            </w:pPr>
            <w:r/>
            <w:r>
              <w:rPr>
                <w:rFonts w:ascii="Arial" w:hAnsi="Arial"/>
                <w:b w:val="0"/>
                <w:sz w:val="16"/>
              </w:rPr>
              <w:t>Recovery</w:t>
            </w:r>
          </w:p>
        </w:tc>
        <w:tc>
          <w:tcPr>
            <w:tcW w:type="dxa" w:w="5112"/>
            <w:vAlign w:val="center"/>
            <w:shd w:fill="EEF4F8"/>
          </w:tcPr>
          <w:p>
            <w:pPr>
              <w:spacing w:after="0"/>
            </w:pPr>
            <w:r/>
            <w:r>
              <w:rPr>
                <w:rFonts w:ascii="Arial" w:hAnsi="Arial"/>
                <w:b w:val="0"/>
                <w:sz w:val="16"/>
              </w:rPr>
              <w:t>Time-limited, single-use reset tokens; do not send existing passwords; log reset events.</w:t>
            </w:r>
          </w:p>
        </w:tc>
      </w:tr>
    </w:tbl>
    <w:p>
      <w:pPr>
        <w:spacing w:after="0"/>
      </w:pPr>
    </w:p>
    <w:p>
      <w:pPr>
        <w:pStyle w:val="Heading1"/>
        <w:keepNext/>
      </w:pPr>
      <w:r>
        <w:rPr>
          <w:rFonts w:ascii="Arial" w:hAnsi="Arial"/>
        </w:rPr>
        <w:t>6. Authorization and Role Architecture</w:t>
      </w:r>
    </w:p>
    <w:p>
      <w:pPr>
        <w:spacing w:after="100" w:line="259" w:lineRule="auto"/>
      </w:pPr>
      <w:r>
        <w:rPr>
          <w:rFonts w:ascii="Arial" w:hAnsi="Arial"/>
          <w:sz w:val="18"/>
        </w:rPr>
        <w:t>Authentication answers who the actor is; authorization answers whether that actor may perform this exact action on this exact resource. Blade button visibility is usability only and is never the security control. Laravel policies, middleware, and service-layer assertions enforce access server-side.</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7"/>
              </w:rPr>
              <w:t>Role / capability</w:t>
            </w:r>
          </w:p>
        </w:tc>
        <w:tc>
          <w:tcPr>
            <w:tcW w:type="dxa" w:w="3408"/>
            <w:vAlign w:val="center"/>
            <w:shd w:fill="1F4E78"/>
          </w:tcPr>
          <w:p>
            <w:pPr>
              <w:spacing w:after="0"/>
            </w:pPr>
            <w:r/>
            <w:r>
              <w:rPr>
                <w:rFonts w:ascii="Arial" w:hAnsi="Arial"/>
                <w:b/>
                <w:color w:val="FFFFFF"/>
                <w:sz w:val="17"/>
              </w:rPr>
              <w:t>Permitted baseline</w:t>
            </w:r>
          </w:p>
        </w:tc>
        <w:tc>
          <w:tcPr>
            <w:tcW w:type="dxa" w:w="3408"/>
            <w:vAlign w:val="center"/>
            <w:shd w:fill="1F4E78"/>
          </w:tcPr>
          <w:p>
            <w:pPr>
              <w:spacing w:after="0"/>
            </w:pPr>
            <w:r/>
            <w:r>
              <w:rPr>
                <w:rFonts w:ascii="Arial" w:hAnsi="Arial"/>
                <w:b/>
                <w:color w:val="FFFFFF"/>
                <w:sz w:val="17"/>
              </w:rPr>
              <w:t>Explicit restrictions</w:t>
            </w:r>
          </w:p>
        </w:tc>
      </w:tr>
      <w:tr>
        <w:tc>
          <w:tcPr>
            <w:tcW w:type="dxa" w:w="3408"/>
            <w:vAlign w:val="center"/>
          </w:tcPr>
          <w:p>
            <w:pPr>
              <w:spacing w:after="0"/>
            </w:pPr>
            <w:r/>
            <w:r>
              <w:rPr>
                <w:rFonts w:ascii="Arial" w:hAnsi="Arial"/>
                <w:b w:val="0"/>
                <w:sz w:val="16"/>
              </w:rPr>
              <w:t>Authorized clinical user / midwife</w:t>
            </w:r>
          </w:p>
        </w:tc>
        <w:tc>
          <w:tcPr>
            <w:tcW w:type="dxa" w:w="3408"/>
            <w:vAlign w:val="center"/>
          </w:tcPr>
          <w:p>
            <w:pPr>
              <w:spacing w:after="0"/>
            </w:pPr>
            <w:r/>
            <w:r>
              <w:rPr>
                <w:rFonts w:ascii="Arial" w:hAnsi="Arial"/>
                <w:b w:val="0"/>
                <w:sz w:val="16"/>
              </w:rPr>
              <w:t>Create and review patients, pregnancy episodes, clinical records, assessments, counseling, referrals, delivery, and baby records within assigned clinic scope.</w:t>
            </w:r>
          </w:p>
        </w:tc>
        <w:tc>
          <w:tcPr>
            <w:tcW w:type="dxa" w:w="3408"/>
            <w:vAlign w:val="center"/>
          </w:tcPr>
          <w:p>
            <w:pPr>
              <w:spacing w:after="0"/>
            </w:pPr>
            <w:r/>
            <w:r>
              <w:rPr>
                <w:rFonts w:ascii="Arial" w:hAnsi="Arial"/>
                <w:b w:val="0"/>
                <w:sz w:val="16"/>
              </w:rPr>
              <w:t>Cannot administer users, alter immutable assessment history, edit delivered clinical records, or change rule/model artifacts.</w:t>
            </w:r>
          </w:p>
        </w:tc>
      </w:tr>
      <w:tr>
        <w:tc>
          <w:tcPr>
            <w:tcW w:type="dxa" w:w="3408"/>
            <w:vAlign w:val="center"/>
            <w:shd w:fill="EEF4F8"/>
          </w:tcPr>
          <w:p>
            <w:pPr>
              <w:spacing w:after="0"/>
            </w:pPr>
            <w:r/>
            <w:r>
              <w:rPr>
                <w:rFonts w:ascii="Arial" w:hAnsi="Arial"/>
                <w:b w:val="0"/>
                <w:sz w:val="16"/>
              </w:rPr>
              <w:t>Administrator</w:t>
            </w:r>
          </w:p>
        </w:tc>
        <w:tc>
          <w:tcPr>
            <w:tcW w:type="dxa" w:w="3408"/>
            <w:vAlign w:val="center"/>
            <w:shd w:fill="EEF4F8"/>
          </w:tcPr>
          <w:p>
            <w:pPr>
              <w:spacing w:after="0"/>
            </w:pPr>
            <w:r/>
            <w:r>
              <w:rPr>
                <w:rFonts w:ascii="Arial" w:hAnsi="Arial"/>
                <w:b w:val="0"/>
                <w:sz w:val="16"/>
              </w:rPr>
              <w:t>Manage authorized users, roles, configuration, backup/restore coordination, and security operations.</w:t>
            </w:r>
          </w:p>
        </w:tc>
        <w:tc>
          <w:tcPr>
            <w:tcW w:type="dxa" w:w="3408"/>
            <w:vAlign w:val="center"/>
            <w:shd w:fill="EEF4F8"/>
          </w:tcPr>
          <w:p>
            <w:pPr>
              <w:spacing w:after="0"/>
            </w:pPr>
            <w:r/>
            <w:r>
              <w:rPr>
                <w:rFonts w:ascii="Arial" w:hAnsi="Arial"/>
                <w:b w:val="0"/>
                <w:sz w:val="16"/>
              </w:rPr>
              <w:t>No routine clinical browsing or alteration merely because the role is technical.</w:t>
            </w:r>
          </w:p>
        </w:tc>
      </w:tr>
      <w:tr>
        <w:tc>
          <w:tcPr>
            <w:tcW w:type="dxa" w:w="3408"/>
            <w:vAlign w:val="center"/>
          </w:tcPr>
          <w:p>
            <w:pPr>
              <w:spacing w:after="0"/>
            </w:pPr>
            <w:r/>
            <w:r>
              <w:rPr>
                <w:rFonts w:ascii="Arial" w:hAnsi="Arial"/>
                <w:b w:val="0"/>
                <w:sz w:val="16"/>
              </w:rPr>
              <w:t>Auditor / supervisor</w:t>
            </w:r>
          </w:p>
        </w:tc>
        <w:tc>
          <w:tcPr>
            <w:tcW w:type="dxa" w:w="3408"/>
            <w:vAlign w:val="center"/>
          </w:tcPr>
          <w:p>
            <w:pPr>
              <w:spacing w:after="0"/>
            </w:pPr>
            <w:r/>
            <w:r>
              <w:rPr>
                <w:rFonts w:ascii="Arial" w:hAnsi="Arial"/>
                <w:b w:val="0"/>
                <w:sz w:val="16"/>
              </w:rPr>
              <w:t>Read approved audit, assessment, and operational evidence.</w:t>
            </w:r>
          </w:p>
        </w:tc>
        <w:tc>
          <w:tcPr>
            <w:tcW w:type="dxa" w:w="3408"/>
            <w:vAlign w:val="center"/>
          </w:tcPr>
          <w:p>
            <w:pPr>
              <w:spacing w:after="0"/>
            </w:pPr>
            <w:r/>
            <w:r>
              <w:rPr>
                <w:rFonts w:ascii="Arial" w:hAnsi="Arial"/>
                <w:b w:val="0"/>
                <w:sz w:val="16"/>
              </w:rPr>
              <w:t>No clinical mutation, user impersonation, or secret access.</w:t>
            </w:r>
          </w:p>
        </w:tc>
      </w:tr>
      <w:tr>
        <w:tc>
          <w:tcPr>
            <w:tcW w:type="dxa" w:w="3408"/>
            <w:vAlign w:val="center"/>
            <w:shd w:fill="EEF4F8"/>
          </w:tcPr>
          <w:p>
            <w:pPr>
              <w:spacing w:after="0"/>
            </w:pPr>
            <w:r/>
            <w:r>
              <w:rPr>
                <w:rFonts w:ascii="Arial" w:hAnsi="Arial"/>
                <w:b w:val="0"/>
                <w:sz w:val="16"/>
              </w:rPr>
              <w:t>System service identity</w:t>
            </w:r>
          </w:p>
        </w:tc>
        <w:tc>
          <w:tcPr>
            <w:tcW w:type="dxa" w:w="3408"/>
            <w:vAlign w:val="center"/>
            <w:shd w:fill="EEF4F8"/>
          </w:tcPr>
          <w:p>
            <w:pPr>
              <w:spacing w:after="0"/>
            </w:pPr>
            <w:r/>
            <w:r>
              <w:rPr>
                <w:rFonts w:ascii="Arial" w:hAnsi="Arial"/>
                <w:b w:val="0"/>
                <w:sz w:val="16"/>
              </w:rPr>
              <w:t>Execute queue, scheduler, backup, or inference duties.</w:t>
            </w:r>
          </w:p>
        </w:tc>
        <w:tc>
          <w:tcPr>
            <w:tcW w:type="dxa" w:w="3408"/>
            <w:vAlign w:val="center"/>
            <w:shd w:fill="EEF4F8"/>
          </w:tcPr>
          <w:p>
            <w:pPr>
              <w:spacing w:after="0"/>
            </w:pPr>
            <w:r/>
            <w:r>
              <w:rPr>
                <w:rFonts w:ascii="Arial" w:hAnsi="Arial"/>
                <w:b w:val="0"/>
                <w:sz w:val="16"/>
              </w:rPr>
              <w:t>No interactive login; permissions limited to required files, commands, tables, and network destinations.</w:t>
            </w:r>
          </w:p>
        </w:tc>
      </w:tr>
    </w:tbl>
    <w:p>
      <w:pPr>
        <w:spacing w:after="0"/>
      </w:pPr>
    </w:p>
    <w:p>
      <w:pPr>
        <w:pStyle w:val="ListBullet"/>
        <w:spacing w:after="40"/>
      </w:pPr>
      <w:r>
        <w:rPr>
          <w:rFonts w:ascii="Arial" w:hAnsi="Arial"/>
          <w:sz w:val="18"/>
        </w:rPr>
        <w:t>Every pregnancy-specific operation must verify both patient ownership and pregnancy_episode_id; patient_id alone is insufficient.</w:t>
      </w:r>
    </w:p>
    <w:p>
      <w:pPr>
        <w:pStyle w:val="ListBullet"/>
        <w:spacing w:after="40"/>
      </w:pPr>
      <w:r>
        <w:rPr>
          <w:rFonts w:ascii="Arial" w:hAnsi="Arial"/>
          <w:sz w:val="18"/>
        </w:rPr>
        <w:t>Delivered episodes remain read-only through policies, service guards, and tests, not only disabled buttons.</w:t>
      </w:r>
    </w:p>
    <w:p>
      <w:pPr>
        <w:pStyle w:val="ListBullet"/>
        <w:spacing w:after="40"/>
      </w:pPr>
      <w:r>
        <w:rPr>
          <w:rFonts w:ascii="Arial" w:hAnsi="Arial"/>
          <w:sz w:val="18"/>
        </w:rPr>
        <w:t>Bulk export, deletion, restore, and user-management actions require elevated authorization and stronger audit evidence.</w:t>
      </w:r>
    </w:p>
    <w:p>
      <w:pPr>
        <w:pStyle w:val="ListBullet"/>
        <w:spacing w:after="40"/>
      </w:pPr>
      <w:r>
        <w:rPr>
          <w:rFonts w:ascii="Arial" w:hAnsi="Arial"/>
          <w:sz w:val="18"/>
        </w:rPr>
        <w:t>Authorization is denied by default when role, assignment, ownership, episode state, or requested action is uncertain.</w:t>
      </w:r>
    </w:p>
    <w:p>
      <w:pPr>
        <w:pStyle w:val="Heading1"/>
        <w:keepNext/>
      </w:pPr>
      <w:r>
        <w:rPr>
          <w:rFonts w:ascii="Arial" w:hAnsi="Arial"/>
        </w:rPr>
        <w:t>7. Application Security Controls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Area</w:t>
            </w:r>
          </w:p>
        </w:tc>
        <w:tc>
          <w:tcPr>
            <w:tcW w:type="dxa" w:w="5112"/>
            <w:vAlign w:val="center"/>
            <w:shd w:fill="1F4E78"/>
          </w:tcPr>
          <w:p>
            <w:pPr>
              <w:spacing w:after="0"/>
            </w:pPr>
            <w:r/>
            <w:r>
              <w:rPr>
                <w:rFonts w:ascii="Arial" w:hAnsi="Arial"/>
                <w:b/>
                <w:color w:val="FFFFFF"/>
                <w:sz w:val="17"/>
              </w:rPr>
              <w:t>Implementation requirement</w:t>
            </w:r>
          </w:p>
        </w:tc>
      </w:tr>
      <w:tr>
        <w:tc>
          <w:tcPr>
            <w:tcW w:type="dxa" w:w="5112"/>
            <w:vAlign w:val="center"/>
          </w:tcPr>
          <w:p>
            <w:pPr>
              <w:spacing w:after="0"/>
            </w:pPr>
            <w:r/>
            <w:r>
              <w:rPr>
                <w:rFonts w:ascii="Arial" w:hAnsi="Arial"/>
                <w:b w:val="0"/>
                <w:sz w:val="16"/>
              </w:rPr>
              <w:t>Input validation</w:t>
            </w:r>
          </w:p>
        </w:tc>
        <w:tc>
          <w:tcPr>
            <w:tcW w:type="dxa" w:w="5112"/>
            <w:vAlign w:val="center"/>
          </w:tcPr>
          <w:p>
            <w:pPr>
              <w:spacing w:after="0"/>
            </w:pPr>
            <w:r/>
            <w:r>
              <w:rPr>
                <w:rFonts w:ascii="Arial" w:hAnsi="Arial"/>
                <w:b w:val="0"/>
                <w:sz w:val="16"/>
              </w:rPr>
              <w:t>Use dedicated Form Requests or command objects; allowlist types, ranges, enum values, units, dates, ownership, and workflow state.</w:t>
            </w:r>
          </w:p>
        </w:tc>
      </w:tr>
      <w:tr>
        <w:tc>
          <w:tcPr>
            <w:tcW w:type="dxa" w:w="5112"/>
            <w:vAlign w:val="center"/>
            <w:shd w:fill="EEF4F8"/>
          </w:tcPr>
          <w:p>
            <w:pPr>
              <w:spacing w:after="0"/>
            </w:pPr>
            <w:r/>
            <w:r>
              <w:rPr>
                <w:rFonts w:ascii="Arial" w:hAnsi="Arial"/>
                <w:b w:val="0"/>
                <w:sz w:val="16"/>
              </w:rPr>
              <w:t>Output encoding</w:t>
            </w:r>
          </w:p>
        </w:tc>
        <w:tc>
          <w:tcPr>
            <w:tcW w:type="dxa" w:w="5112"/>
            <w:vAlign w:val="center"/>
            <w:shd w:fill="EEF4F8"/>
          </w:tcPr>
          <w:p>
            <w:pPr>
              <w:spacing w:after="0"/>
            </w:pPr>
            <w:r/>
            <w:r>
              <w:rPr>
                <w:rFonts w:ascii="Arial" w:hAnsi="Arial"/>
                <w:b w:val="0"/>
                <w:sz w:val="16"/>
              </w:rPr>
              <w:t>Use Blade escaping by default; any raw HTML requires explicit sanitization and review.</w:t>
            </w:r>
          </w:p>
        </w:tc>
      </w:tr>
      <w:tr>
        <w:tc>
          <w:tcPr>
            <w:tcW w:type="dxa" w:w="5112"/>
            <w:vAlign w:val="center"/>
          </w:tcPr>
          <w:p>
            <w:pPr>
              <w:spacing w:after="0"/>
            </w:pPr>
            <w:r/>
            <w:r>
              <w:rPr>
                <w:rFonts w:ascii="Arial" w:hAnsi="Arial"/>
                <w:b w:val="0"/>
                <w:sz w:val="16"/>
              </w:rPr>
              <w:t>CSRF</w:t>
            </w:r>
          </w:p>
        </w:tc>
        <w:tc>
          <w:tcPr>
            <w:tcW w:type="dxa" w:w="5112"/>
            <w:vAlign w:val="center"/>
          </w:tcPr>
          <w:p>
            <w:pPr>
              <w:spacing w:after="0"/>
            </w:pPr>
            <w:r/>
            <w:r>
              <w:rPr>
                <w:rFonts w:ascii="Arial" w:hAnsi="Arial"/>
                <w:b w:val="0"/>
                <w:sz w:val="16"/>
              </w:rPr>
              <w:t>Protect all state-changing browser routes; do not exempt clinical routes for convenience.</w:t>
            </w:r>
          </w:p>
        </w:tc>
      </w:tr>
      <w:tr>
        <w:tc>
          <w:tcPr>
            <w:tcW w:type="dxa" w:w="5112"/>
            <w:vAlign w:val="center"/>
            <w:shd w:fill="EEF4F8"/>
          </w:tcPr>
          <w:p>
            <w:pPr>
              <w:spacing w:after="0"/>
            </w:pPr>
            <w:r/>
            <w:r>
              <w:rPr>
                <w:rFonts w:ascii="Arial" w:hAnsi="Arial"/>
                <w:b w:val="0"/>
                <w:sz w:val="16"/>
              </w:rPr>
              <w:t>SQL injection</w:t>
            </w:r>
          </w:p>
        </w:tc>
        <w:tc>
          <w:tcPr>
            <w:tcW w:type="dxa" w:w="5112"/>
            <w:vAlign w:val="center"/>
            <w:shd w:fill="EEF4F8"/>
          </w:tcPr>
          <w:p>
            <w:pPr>
              <w:spacing w:after="0"/>
            </w:pPr>
            <w:r/>
            <w:r>
              <w:rPr>
                <w:rFonts w:ascii="Arial" w:hAnsi="Arial"/>
                <w:b w:val="0"/>
                <w:sz w:val="16"/>
              </w:rPr>
              <w:t>Use Eloquent/query builder bindings; prohibit concatenated untrusted SQL.</w:t>
            </w:r>
          </w:p>
        </w:tc>
      </w:tr>
      <w:tr>
        <w:tc>
          <w:tcPr>
            <w:tcW w:type="dxa" w:w="5112"/>
            <w:vAlign w:val="center"/>
          </w:tcPr>
          <w:p>
            <w:pPr>
              <w:spacing w:after="0"/>
            </w:pPr>
            <w:r/>
            <w:r>
              <w:rPr>
                <w:rFonts w:ascii="Arial" w:hAnsi="Arial"/>
                <w:b w:val="0"/>
                <w:sz w:val="16"/>
              </w:rPr>
              <w:t>Mass assignment</w:t>
            </w:r>
          </w:p>
        </w:tc>
        <w:tc>
          <w:tcPr>
            <w:tcW w:type="dxa" w:w="5112"/>
            <w:vAlign w:val="center"/>
          </w:tcPr>
          <w:p>
            <w:pPr>
              <w:spacing w:after="0"/>
            </w:pPr>
            <w:r/>
            <w:r>
              <w:rPr>
                <w:rFonts w:ascii="Arial" w:hAnsi="Arial"/>
                <w:b w:val="0"/>
                <w:sz w:val="16"/>
              </w:rPr>
              <w:t>Use explicit validated data and guarded/fillable fields; do not pass entire request payloads to models.</w:t>
            </w:r>
          </w:p>
        </w:tc>
      </w:tr>
      <w:tr>
        <w:tc>
          <w:tcPr>
            <w:tcW w:type="dxa" w:w="5112"/>
            <w:vAlign w:val="center"/>
            <w:shd w:fill="EEF4F8"/>
          </w:tcPr>
          <w:p>
            <w:pPr>
              <w:spacing w:after="0"/>
            </w:pPr>
            <w:r/>
            <w:r>
              <w:rPr>
                <w:rFonts w:ascii="Arial" w:hAnsi="Arial"/>
                <w:b w:val="0"/>
                <w:sz w:val="16"/>
              </w:rPr>
              <w:t>File uploads</w:t>
            </w:r>
          </w:p>
        </w:tc>
        <w:tc>
          <w:tcPr>
            <w:tcW w:type="dxa" w:w="5112"/>
            <w:vAlign w:val="center"/>
            <w:shd w:fill="EEF4F8"/>
          </w:tcPr>
          <w:p>
            <w:pPr>
              <w:spacing w:after="0"/>
            </w:pPr>
            <w:r/>
            <w:r>
              <w:rPr>
                <w:rFonts w:ascii="Arial" w:hAnsi="Arial"/>
                <w:b w:val="0"/>
                <w:sz w:val="16"/>
              </w:rPr>
              <w:t>Allow only required formats, enforce limits, inspect MIME/signature, store privately, and authorize every retrieval.</w:t>
            </w:r>
          </w:p>
        </w:tc>
      </w:tr>
      <w:tr>
        <w:tc>
          <w:tcPr>
            <w:tcW w:type="dxa" w:w="5112"/>
            <w:vAlign w:val="center"/>
          </w:tcPr>
          <w:p>
            <w:pPr>
              <w:spacing w:after="0"/>
            </w:pPr>
            <w:r/>
            <w:r>
              <w:rPr>
                <w:rFonts w:ascii="Arial" w:hAnsi="Arial"/>
                <w:b w:val="0"/>
                <w:sz w:val="16"/>
              </w:rPr>
              <w:t>Rate limiting</w:t>
            </w:r>
          </w:p>
        </w:tc>
        <w:tc>
          <w:tcPr>
            <w:tcW w:type="dxa" w:w="5112"/>
            <w:vAlign w:val="center"/>
          </w:tcPr>
          <w:p>
            <w:pPr>
              <w:spacing w:after="0"/>
            </w:pPr>
            <w:r/>
            <w:r>
              <w:rPr>
                <w:rFonts w:ascii="Arial" w:hAnsi="Arial"/>
                <w:b w:val="0"/>
                <w:sz w:val="16"/>
              </w:rPr>
              <w:t>Apply to login, password reset, exports, email actions, assessment execution, uploads, and high-cost endpoints.</w:t>
            </w:r>
          </w:p>
        </w:tc>
      </w:tr>
      <w:tr>
        <w:tc>
          <w:tcPr>
            <w:tcW w:type="dxa" w:w="5112"/>
            <w:vAlign w:val="center"/>
            <w:shd w:fill="EEF4F8"/>
          </w:tcPr>
          <w:p>
            <w:pPr>
              <w:spacing w:after="0"/>
            </w:pPr>
            <w:r/>
            <w:r>
              <w:rPr>
                <w:rFonts w:ascii="Arial" w:hAnsi="Arial"/>
                <w:b w:val="0"/>
                <w:sz w:val="16"/>
              </w:rPr>
              <w:t>Security headers</w:t>
            </w:r>
          </w:p>
        </w:tc>
        <w:tc>
          <w:tcPr>
            <w:tcW w:type="dxa" w:w="5112"/>
            <w:vAlign w:val="center"/>
            <w:shd w:fill="EEF4F8"/>
          </w:tcPr>
          <w:p>
            <w:pPr>
              <w:spacing w:after="0"/>
            </w:pPr>
            <w:r/>
            <w:r>
              <w:rPr>
                <w:rFonts w:ascii="Arial" w:hAnsi="Arial"/>
                <w:b w:val="0"/>
                <w:sz w:val="16"/>
              </w:rPr>
              <w:t>Use HSTS when HTTPS is stable, frame restrictions, content type protection, referrer policy, and a tested Content Security Policy where feasible.</w:t>
            </w:r>
          </w:p>
        </w:tc>
      </w:tr>
      <w:tr>
        <w:tc>
          <w:tcPr>
            <w:tcW w:type="dxa" w:w="5112"/>
            <w:vAlign w:val="center"/>
          </w:tcPr>
          <w:p>
            <w:pPr>
              <w:spacing w:after="0"/>
            </w:pPr>
            <w:r/>
            <w:r>
              <w:rPr>
                <w:rFonts w:ascii="Arial" w:hAnsi="Arial"/>
                <w:b w:val="0"/>
                <w:sz w:val="16"/>
              </w:rPr>
              <w:t>Error handling</w:t>
            </w:r>
          </w:p>
        </w:tc>
        <w:tc>
          <w:tcPr>
            <w:tcW w:type="dxa" w:w="5112"/>
            <w:vAlign w:val="center"/>
          </w:tcPr>
          <w:p>
            <w:pPr>
              <w:spacing w:after="0"/>
            </w:pPr>
            <w:r/>
            <w:r>
              <w:rPr>
                <w:rFonts w:ascii="Arial" w:hAnsi="Arial"/>
                <w:b w:val="0"/>
                <w:sz w:val="16"/>
              </w:rPr>
              <w:t>Show generic user errors; retain protected diagnostic details without patient data leakage. Disable debug mode in production.</w:t>
            </w:r>
          </w:p>
        </w:tc>
      </w:tr>
      <w:tr>
        <w:tc>
          <w:tcPr>
            <w:tcW w:type="dxa" w:w="5112"/>
            <w:vAlign w:val="center"/>
            <w:shd w:fill="EEF4F8"/>
          </w:tcPr>
          <w:p>
            <w:pPr>
              <w:spacing w:after="0"/>
            </w:pPr>
            <w:r/>
            <w:r>
              <w:rPr>
                <w:rFonts w:ascii="Arial" w:hAnsi="Arial"/>
                <w:b w:val="0"/>
                <w:sz w:val="16"/>
              </w:rPr>
              <w:t>Dependency risk</w:t>
            </w:r>
          </w:p>
        </w:tc>
        <w:tc>
          <w:tcPr>
            <w:tcW w:type="dxa" w:w="5112"/>
            <w:vAlign w:val="center"/>
            <w:shd w:fill="EEF4F8"/>
          </w:tcPr>
          <w:p>
            <w:pPr>
              <w:spacing w:after="0"/>
            </w:pPr>
            <w:r/>
            <w:r>
              <w:rPr>
                <w:rFonts w:ascii="Arial" w:hAnsi="Arial"/>
                <w:b w:val="0"/>
                <w:sz w:val="16"/>
              </w:rPr>
              <w:t>Lock versions, review advisories, remove unused packages, and test upgrades before release.</w:t>
            </w:r>
          </w:p>
        </w:tc>
      </w:tr>
      <w:tr>
        <w:tc>
          <w:tcPr>
            <w:tcW w:type="dxa" w:w="5112"/>
            <w:vAlign w:val="center"/>
          </w:tcPr>
          <w:p>
            <w:pPr>
              <w:spacing w:after="0"/>
            </w:pPr>
            <w:r/>
            <w:r>
              <w:rPr>
                <w:rFonts w:ascii="Arial" w:hAnsi="Arial"/>
                <w:b w:val="0"/>
                <w:sz w:val="16"/>
              </w:rPr>
              <w:t>Exceptional conditions</w:t>
            </w:r>
          </w:p>
        </w:tc>
        <w:tc>
          <w:tcPr>
            <w:tcW w:type="dxa" w:w="5112"/>
            <w:vAlign w:val="center"/>
          </w:tcPr>
          <w:p>
            <w:pPr>
              <w:spacing w:after="0"/>
            </w:pPr>
            <w:r/>
            <w:r>
              <w:rPr>
                <w:rFonts w:ascii="Arial" w:hAnsi="Arial"/>
                <w:b w:val="0"/>
                <w:sz w:val="16"/>
              </w:rPr>
              <w:t>Treat timeouts, partial writes, null/unknown values, and unavailable services as designed states rather than ignored errors.</w:t>
            </w:r>
          </w:p>
        </w:tc>
      </w:tr>
    </w:tbl>
    <w:p>
      <w:pPr>
        <w:spacing w:after="0"/>
      </w:pPr>
    </w:p>
    <w:p>
      <w:pPr>
        <w:pStyle w:val="Heading1"/>
        <w:keepNext/>
      </w:pPr>
      <w:r>
        <w:rPr>
          <w:rFonts w:ascii="Arial" w:hAnsi="Arial"/>
        </w:rPr>
        <w:t>8. Clinical Data and Privacy Protection</w:t>
      </w:r>
    </w:p>
    <w:p>
      <w:pPr>
        <w:spacing w:after="100" w:line="259" w:lineRule="auto"/>
      </w:pPr>
      <w:r>
        <w:rPr>
          <w:rFonts w:ascii="Arial" w:hAnsi="Arial"/>
          <w:sz w:val="18"/>
        </w:rPr>
        <w:t>Maternity, reproductive, medical-history, ultrasound-report, referral, delivery, baby, and assessment data are highly sensitive. The system stores only data required for legitimate clinical, operational, legal, research-approved, or thesis-evaluation purposes. A field is not justified merely because it may be useful someday.</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Privacy principle</w:t>
            </w:r>
          </w:p>
        </w:tc>
        <w:tc>
          <w:tcPr>
            <w:tcW w:type="dxa" w:w="5112"/>
            <w:vAlign w:val="center"/>
            <w:shd w:fill="1F4E78"/>
          </w:tcPr>
          <w:p>
            <w:pPr>
              <w:spacing w:after="0"/>
            </w:pPr>
            <w:r/>
            <w:r>
              <w:rPr>
                <w:rFonts w:ascii="Arial" w:hAnsi="Arial"/>
                <w:b/>
                <w:color w:val="FFFFFF"/>
                <w:sz w:val="17"/>
              </w:rPr>
              <w:t>System behavior</w:t>
            </w:r>
          </w:p>
        </w:tc>
      </w:tr>
      <w:tr>
        <w:tc>
          <w:tcPr>
            <w:tcW w:type="dxa" w:w="5112"/>
            <w:vAlign w:val="center"/>
          </w:tcPr>
          <w:p>
            <w:pPr>
              <w:spacing w:after="0"/>
            </w:pPr>
            <w:r/>
            <w:r>
              <w:rPr>
                <w:rFonts w:ascii="Arial" w:hAnsi="Arial"/>
                <w:b w:val="0"/>
                <w:sz w:val="16"/>
              </w:rPr>
              <w:t>Transparency</w:t>
            </w:r>
          </w:p>
        </w:tc>
        <w:tc>
          <w:tcPr>
            <w:tcW w:type="dxa" w:w="5112"/>
            <w:vAlign w:val="center"/>
          </w:tcPr>
          <w:p>
            <w:pPr>
              <w:spacing w:after="0"/>
            </w:pPr>
            <w:r/>
            <w:r>
              <w:rPr>
                <w:rFonts w:ascii="Arial" w:hAnsi="Arial"/>
                <w:b w:val="0"/>
                <w:sz w:val="16"/>
              </w:rPr>
              <w:t>The clinic explains what data is collected, why, who may access it, retention, rights, and contact/escalation channels.</w:t>
            </w:r>
          </w:p>
        </w:tc>
      </w:tr>
      <w:tr>
        <w:tc>
          <w:tcPr>
            <w:tcW w:type="dxa" w:w="5112"/>
            <w:vAlign w:val="center"/>
            <w:shd w:fill="EEF4F8"/>
          </w:tcPr>
          <w:p>
            <w:pPr>
              <w:spacing w:after="0"/>
            </w:pPr>
            <w:r/>
            <w:r>
              <w:rPr>
                <w:rFonts w:ascii="Arial" w:hAnsi="Arial"/>
                <w:b w:val="0"/>
                <w:sz w:val="16"/>
              </w:rPr>
              <w:t>Legitimate purpose</w:t>
            </w:r>
          </w:p>
        </w:tc>
        <w:tc>
          <w:tcPr>
            <w:tcW w:type="dxa" w:w="5112"/>
            <w:vAlign w:val="center"/>
            <w:shd w:fill="EEF4F8"/>
          </w:tcPr>
          <w:p>
            <w:pPr>
              <w:spacing w:after="0"/>
            </w:pPr>
            <w:r/>
            <w:r>
              <w:rPr>
                <w:rFonts w:ascii="Arial" w:hAnsi="Arial"/>
                <w:b w:val="0"/>
                <w:sz w:val="16"/>
              </w:rPr>
              <w:t>Each processing activity maps to care, referral, operations, security, quality, or approved research purpose.</w:t>
            </w:r>
          </w:p>
        </w:tc>
      </w:tr>
      <w:tr>
        <w:tc>
          <w:tcPr>
            <w:tcW w:type="dxa" w:w="5112"/>
            <w:vAlign w:val="center"/>
          </w:tcPr>
          <w:p>
            <w:pPr>
              <w:spacing w:after="0"/>
            </w:pPr>
            <w:r/>
            <w:r>
              <w:rPr>
                <w:rFonts w:ascii="Arial" w:hAnsi="Arial"/>
                <w:b w:val="0"/>
                <w:sz w:val="16"/>
              </w:rPr>
              <w:t>Proportionality</w:t>
            </w:r>
          </w:p>
        </w:tc>
        <w:tc>
          <w:tcPr>
            <w:tcW w:type="dxa" w:w="5112"/>
            <w:vAlign w:val="center"/>
          </w:tcPr>
          <w:p>
            <w:pPr>
              <w:spacing w:after="0"/>
            </w:pPr>
            <w:r/>
            <w:r>
              <w:rPr>
                <w:rFonts w:ascii="Arial" w:hAnsi="Arial"/>
                <w:b w:val="0"/>
                <w:sz w:val="16"/>
              </w:rPr>
              <w:t>Collect and disclose the minimum necessary data; do not include full clinical details in routine email reminders.</w:t>
            </w:r>
          </w:p>
        </w:tc>
      </w:tr>
      <w:tr>
        <w:tc>
          <w:tcPr>
            <w:tcW w:type="dxa" w:w="5112"/>
            <w:vAlign w:val="center"/>
            <w:shd w:fill="EEF4F8"/>
          </w:tcPr>
          <w:p>
            <w:pPr>
              <w:spacing w:after="0"/>
            </w:pPr>
            <w:r/>
            <w:r>
              <w:rPr>
                <w:rFonts w:ascii="Arial" w:hAnsi="Arial"/>
                <w:b w:val="0"/>
                <w:sz w:val="16"/>
              </w:rPr>
              <w:t>Accuracy</w:t>
            </w:r>
          </w:p>
        </w:tc>
        <w:tc>
          <w:tcPr>
            <w:tcW w:type="dxa" w:w="5112"/>
            <w:vAlign w:val="center"/>
            <w:shd w:fill="EEF4F8"/>
          </w:tcPr>
          <w:p>
            <w:pPr>
              <w:spacing w:after="0"/>
            </w:pPr>
            <w:r/>
            <w:r>
              <w:rPr>
                <w:rFonts w:ascii="Arial" w:hAnsi="Arial"/>
                <w:b w:val="0"/>
                <w:sz w:val="16"/>
              </w:rPr>
              <w:t>Corrections preserve provenance; historical assessment snapshots are not rewritten to hide prior inputs.</w:t>
            </w:r>
          </w:p>
        </w:tc>
      </w:tr>
      <w:tr>
        <w:tc>
          <w:tcPr>
            <w:tcW w:type="dxa" w:w="5112"/>
            <w:vAlign w:val="center"/>
          </w:tcPr>
          <w:p>
            <w:pPr>
              <w:spacing w:after="0"/>
            </w:pPr>
            <w:r/>
            <w:r>
              <w:rPr>
                <w:rFonts w:ascii="Arial" w:hAnsi="Arial"/>
                <w:b w:val="0"/>
                <w:sz w:val="16"/>
              </w:rPr>
              <w:t>Retention limitation</w:t>
            </w:r>
          </w:p>
        </w:tc>
        <w:tc>
          <w:tcPr>
            <w:tcW w:type="dxa" w:w="5112"/>
            <w:vAlign w:val="center"/>
          </w:tcPr>
          <w:p>
            <w:pPr>
              <w:spacing w:after="0"/>
            </w:pPr>
            <w:r/>
            <w:r>
              <w:rPr>
                <w:rFonts w:ascii="Arial" w:hAnsi="Arial"/>
                <w:b w:val="0"/>
                <w:sz w:val="16"/>
              </w:rPr>
              <w:t>Retention schedules are defined by record class and applicable obligations; data is not kept indefinitely for an undefined future use.</w:t>
            </w:r>
          </w:p>
        </w:tc>
      </w:tr>
      <w:tr>
        <w:tc>
          <w:tcPr>
            <w:tcW w:type="dxa" w:w="5112"/>
            <w:vAlign w:val="center"/>
            <w:shd w:fill="EEF4F8"/>
          </w:tcPr>
          <w:p>
            <w:pPr>
              <w:spacing w:after="0"/>
            </w:pPr>
            <w:r/>
            <w:r>
              <w:rPr>
                <w:rFonts w:ascii="Arial" w:hAnsi="Arial"/>
                <w:b w:val="0"/>
                <w:sz w:val="16"/>
              </w:rPr>
              <w:t>Secure disposal</w:t>
            </w:r>
          </w:p>
        </w:tc>
        <w:tc>
          <w:tcPr>
            <w:tcW w:type="dxa" w:w="5112"/>
            <w:vAlign w:val="center"/>
            <w:shd w:fill="EEF4F8"/>
          </w:tcPr>
          <w:p>
            <w:pPr>
              <w:spacing w:after="0"/>
            </w:pPr>
            <w:r/>
            <w:r>
              <w:rPr>
                <w:rFonts w:ascii="Arial" w:hAnsi="Arial"/>
                <w:b w:val="0"/>
                <w:sz w:val="16"/>
              </w:rPr>
              <w:t>Expired exports, backups, temporary files, devices, and paper are destroyed or sanitized to prevent recovery.</w:t>
            </w:r>
          </w:p>
        </w:tc>
      </w:tr>
      <w:tr>
        <w:tc>
          <w:tcPr>
            <w:tcW w:type="dxa" w:w="5112"/>
            <w:vAlign w:val="center"/>
          </w:tcPr>
          <w:p>
            <w:pPr>
              <w:spacing w:after="0"/>
            </w:pPr>
            <w:r/>
            <w:r>
              <w:rPr>
                <w:rFonts w:ascii="Arial" w:hAnsi="Arial"/>
                <w:b w:val="0"/>
                <w:sz w:val="16"/>
              </w:rPr>
              <w:t>Data subject rights</w:t>
            </w:r>
          </w:p>
        </w:tc>
        <w:tc>
          <w:tcPr>
            <w:tcW w:type="dxa" w:w="5112"/>
            <w:vAlign w:val="center"/>
          </w:tcPr>
          <w:p>
            <w:pPr>
              <w:spacing w:after="0"/>
            </w:pPr>
            <w:r/>
            <w:r>
              <w:rPr>
                <w:rFonts w:ascii="Arial" w:hAnsi="Arial"/>
                <w:b w:val="0"/>
                <w:sz w:val="16"/>
              </w:rPr>
              <w:t>Requests are authenticated, logged, reviewed, and fulfilled without corrupting mandatory clinical/audit history.</w:t>
            </w:r>
          </w:p>
        </w:tc>
      </w:tr>
      <w:tr>
        <w:tc>
          <w:tcPr>
            <w:tcW w:type="dxa" w:w="5112"/>
            <w:vAlign w:val="center"/>
            <w:shd w:fill="EEF4F8"/>
          </w:tcPr>
          <w:p>
            <w:pPr>
              <w:spacing w:after="0"/>
            </w:pPr>
            <w:r/>
            <w:r>
              <w:rPr>
                <w:rFonts w:ascii="Arial" w:hAnsi="Arial"/>
                <w:b w:val="0"/>
                <w:sz w:val="16"/>
              </w:rPr>
              <w:t>Third-party processing</w:t>
            </w:r>
          </w:p>
        </w:tc>
        <w:tc>
          <w:tcPr>
            <w:tcW w:type="dxa" w:w="5112"/>
            <w:vAlign w:val="center"/>
            <w:shd w:fill="EEF4F8"/>
          </w:tcPr>
          <w:p>
            <w:pPr>
              <w:spacing w:after="0"/>
            </w:pPr>
            <w:r/>
            <w:r>
              <w:rPr>
                <w:rFonts w:ascii="Arial" w:hAnsi="Arial"/>
                <w:b w:val="0"/>
                <w:sz w:val="16"/>
              </w:rPr>
              <w:t>Email, hosting, backup, or support providers receive minimum data and contractual security/confidentiality duties.</w:t>
            </w:r>
          </w:p>
        </w:tc>
      </w:tr>
    </w:tbl>
    <w:p>
      <w:pPr>
        <w:spacing w:after="0"/>
      </w:pPr>
    </w:p>
    <w:p>
      <w:pPr>
        <w:pStyle w:val="Heading1"/>
        <w:keepNext/>
      </w:pPr>
      <w:r>
        <w:rPr>
          <w:rFonts w:ascii="Arial" w:hAnsi="Arial"/>
        </w:rPr>
        <w:t>9. Cryptography, Keys, and Secrets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Asset</w:t>
            </w:r>
          </w:p>
        </w:tc>
        <w:tc>
          <w:tcPr>
            <w:tcW w:type="dxa" w:w="5112"/>
            <w:vAlign w:val="center"/>
            <w:shd w:fill="1F4E78"/>
          </w:tcPr>
          <w:p>
            <w:pPr>
              <w:spacing w:after="0"/>
            </w:pPr>
            <w:r/>
            <w:r>
              <w:rPr>
                <w:rFonts w:ascii="Arial" w:hAnsi="Arial"/>
                <w:b/>
                <w:color w:val="FFFFFF"/>
                <w:sz w:val="17"/>
              </w:rPr>
              <w:t>Requirement</w:t>
            </w:r>
          </w:p>
        </w:tc>
      </w:tr>
      <w:tr>
        <w:tc>
          <w:tcPr>
            <w:tcW w:type="dxa" w:w="5112"/>
            <w:vAlign w:val="center"/>
          </w:tcPr>
          <w:p>
            <w:pPr>
              <w:spacing w:after="0"/>
            </w:pPr>
            <w:r/>
            <w:r>
              <w:rPr>
                <w:rFonts w:ascii="Arial" w:hAnsi="Arial"/>
                <w:b w:val="0"/>
                <w:sz w:val="16"/>
              </w:rPr>
              <w:t>Transport</w:t>
            </w:r>
          </w:p>
        </w:tc>
        <w:tc>
          <w:tcPr>
            <w:tcW w:type="dxa" w:w="5112"/>
            <w:vAlign w:val="center"/>
          </w:tcPr>
          <w:p>
            <w:pPr>
              <w:spacing w:after="0"/>
            </w:pPr>
            <w:r/>
            <w:r>
              <w:rPr>
                <w:rFonts w:ascii="Arial" w:hAnsi="Arial"/>
                <w:b w:val="0"/>
                <w:sz w:val="16"/>
              </w:rPr>
              <w:t>Use modern TLS for browser and any remote administrative or provider connection; redirect HTTP to HTTPS.</w:t>
            </w:r>
          </w:p>
        </w:tc>
      </w:tr>
      <w:tr>
        <w:tc>
          <w:tcPr>
            <w:tcW w:type="dxa" w:w="5112"/>
            <w:vAlign w:val="center"/>
            <w:shd w:fill="EEF4F8"/>
          </w:tcPr>
          <w:p>
            <w:pPr>
              <w:spacing w:after="0"/>
            </w:pPr>
            <w:r/>
            <w:r>
              <w:rPr>
                <w:rFonts w:ascii="Arial" w:hAnsi="Arial"/>
                <w:b w:val="0"/>
                <w:sz w:val="16"/>
              </w:rPr>
              <w:t>Laravel APP_KEY</w:t>
            </w:r>
          </w:p>
        </w:tc>
        <w:tc>
          <w:tcPr>
            <w:tcW w:type="dxa" w:w="5112"/>
            <w:vAlign w:val="center"/>
            <w:shd w:fill="EEF4F8"/>
          </w:tcPr>
          <w:p>
            <w:pPr>
              <w:spacing w:after="0"/>
            </w:pPr>
            <w:r/>
            <w:r>
              <w:rPr>
                <w:rFonts w:ascii="Arial" w:hAnsi="Arial"/>
                <w:b w:val="0"/>
                <w:sz w:val="16"/>
              </w:rPr>
              <w:t>Generate securely, store outside source control, restrict access, back up securely, and rotate through a tested plan. Loss can make encrypted values unreadable.</w:t>
            </w:r>
          </w:p>
        </w:tc>
      </w:tr>
      <w:tr>
        <w:tc>
          <w:tcPr>
            <w:tcW w:type="dxa" w:w="5112"/>
            <w:vAlign w:val="center"/>
          </w:tcPr>
          <w:p>
            <w:pPr>
              <w:spacing w:after="0"/>
            </w:pPr>
            <w:r/>
            <w:r>
              <w:rPr>
                <w:rFonts w:ascii="Arial" w:hAnsi="Arial"/>
                <w:b w:val="0"/>
                <w:sz w:val="16"/>
              </w:rPr>
              <w:t>Passwords</w:t>
            </w:r>
          </w:p>
        </w:tc>
        <w:tc>
          <w:tcPr>
            <w:tcW w:type="dxa" w:w="5112"/>
            <w:vAlign w:val="center"/>
          </w:tcPr>
          <w:p>
            <w:pPr>
              <w:spacing w:after="0"/>
            </w:pPr>
            <w:r/>
            <w:r>
              <w:rPr>
                <w:rFonts w:ascii="Arial" w:hAnsi="Arial"/>
                <w:b w:val="0"/>
                <w:sz w:val="16"/>
              </w:rPr>
              <w:t>Hash using Laravel Hash; never encrypt passwords for later recovery.</w:t>
            </w:r>
          </w:p>
        </w:tc>
      </w:tr>
      <w:tr>
        <w:tc>
          <w:tcPr>
            <w:tcW w:type="dxa" w:w="5112"/>
            <w:vAlign w:val="center"/>
            <w:shd w:fill="EEF4F8"/>
          </w:tcPr>
          <w:p>
            <w:pPr>
              <w:spacing w:after="0"/>
            </w:pPr>
            <w:r/>
            <w:r>
              <w:rPr>
                <w:rFonts w:ascii="Arial" w:hAnsi="Arial"/>
                <w:b w:val="0"/>
                <w:sz w:val="16"/>
              </w:rPr>
              <w:t>Sensitive fields/files</w:t>
            </w:r>
          </w:p>
        </w:tc>
        <w:tc>
          <w:tcPr>
            <w:tcW w:type="dxa" w:w="5112"/>
            <w:vAlign w:val="center"/>
            <w:shd w:fill="EEF4F8"/>
          </w:tcPr>
          <w:p>
            <w:pPr>
              <w:spacing w:after="0"/>
            </w:pPr>
            <w:r/>
            <w:r>
              <w:rPr>
                <w:rFonts w:ascii="Arial" w:hAnsi="Arial"/>
                <w:b w:val="0"/>
                <w:sz w:val="16"/>
              </w:rPr>
              <w:t>Use encryption where risk assessment requires it, while preserving key management, search, backup, and recovery requirements.</w:t>
            </w:r>
          </w:p>
        </w:tc>
      </w:tr>
      <w:tr>
        <w:tc>
          <w:tcPr>
            <w:tcW w:type="dxa" w:w="5112"/>
            <w:vAlign w:val="center"/>
          </w:tcPr>
          <w:p>
            <w:pPr>
              <w:spacing w:after="0"/>
            </w:pPr>
            <w:r/>
            <w:r>
              <w:rPr>
                <w:rFonts w:ascii="Arial" w:hAnsi="Arial"/>
                <w:b w:val="0"/>
                <w:sz w:val="16"/>
              </w:rPr>
              <w:t>Backups</w:t>
            </w:r>
          </w:p>
        </w:tc>
        <w:tc>
          <w:tcPr>
            <w:tcW w:type="dxa" w:w="5112"/>
            <w:vAlign w:val="center"/>
          </w:tcPr>
          <w:p>
            <w:pPr>
              <w:spacing w:after="0"/>
            </w:pPr>
            <w:r/>
            <w:r>
              <w:rPr>
                <w:rFonts w:ascii="Arial" w:hAnsi="Arial"/>
                <w:b w:val="0"/>
                <w:sz w:val="16"/>
              </w:rPr>
              <w:t>Encrypt before or during transfer/storage and separate encryption-key access from backup-file access where feasible.</w:t>
            </w:r>
          </w:p>
        </w:tc>
      </w:tr>
      <w:tr>
        <w:tc>
          <w:tcPr>
            <w:tcW w:type="dxa" w:w="5112"/>
            <w:vAlign w:val="center"/>
            <w:shd w:fill="EEF4F8"/>
          </w:tcPr>
          <w:p>
            <w:pPr>
              <w:spacing w:after="0"/>
            </w:pPr>
            <w:r/>
            <w:r>
              <w:rPr>
                <w:rFonts w:ascii="Arial" w:hAnsi="Arial"/>
                <w:b w:val="0"/>
                <w:sz w:val="16"/>
              </w:rPr>
              <w:t>Secrets</w:t>
            </w:r>
          </w:p>
        </w:tc>
        <w:tc>
          <w:tcPr>
            <w:tcW w:type="dxa" w:w="5112"/>
            <w:vAlign w:val="center"/>
            <w:shd w:fill="EEF4F8"/>
          </w:tcPr>
          <w:p>
            <w:pPr>
              <w:spacing w:after="0"/>
            </w:pPr>
            <w:r/>
            <w:r>
              <w:rPr>
                <w:rFonts w:ascii="Arial" w:hAnsi="Arial"/>
                <w:b w:val="0"/>
                <w:sz w:val="16"/>
              </w:rPr>
              <w:t>Keep database passwords, SMTP credentials, API keys, model paths, and backup keys in environment/secret storage, never code, Git, screenshots, or logs.</w:t>
            </w:r>
          </w:p>
        </w:tc>
      </w:tr>
      <w:tr>
        <w:tc>
          <w:tcPr>
            <w:tcW w:type="dxa" w:w="5112"/>
            <w:vAlign w:val="center"/>
          </w:tcPr>
          <w:p>
            <w:pPr>
              <w:spacing w:after="0"/>
            </w:pPr>
            <w:r/>
            <w:r>
              <w:rPr>
                <w:rFonts w:ascii="Arial" w:hAnsi="Arial"/>
                <w:b w:val="0"/>
                <w:sz w:val="16"/>
              </w:rPr>
              <w:t>Key rotation</w:t>
            </w:r>
          </w:p>
        </w:tc>
        <w:tc>
          <w:tcPr>
            <w:tcW w:type="dxa" w:w="5112"/>
            <w:vAlign w:val="center"/>
          </w:tcPr>
          <w:p>
            <w:pPr>
              <w:spacing w:after="0"/>
            </w:pPr>
            <w:r/>
            <w:r>
              <w:rPr>
                <w:rFonts w:ascii="Arial" w:hAnsi="Arial"/>
                <w:b w:val="0"/>
                <w:sz w:val="16"/>
              </w:rPr>
              <w:t>Maintain current and prior keys only as needed for controlled transition; record owner, date, purpose, and affected data.</w:t>
            </w:r>
          </w:p>
        </w:tc>
      </w:tr>
      <w:tr>
        <w:tc>
          <w:tcPr>
            <w:tcW w:type="dxa" w:w="5112"/>
            <w:vAlign w:val="center"/>
            <w:shd w:fill="EEF4F8"/>
          </w:tcPr>
          <w:p>
            <w:pPr>
              <w:spacing w:after="0"/>
            </w:pPr>
            <w:r/>
            <w:r>
              <w:rPr>
                <w:rFonts w:ascii="Arial" w:hAnsi="Arial"/>
                <w:b w:val="0"/>
                <w:sz w:val="16"/>
              </w:rPr>
              <w:t>Randomness/tokens</w:t>
            </w:r>
          </w:p>
        </w:tc>
        <w:tc>
          <w:tcPr>
            <w:tcW w:type="dxa" w:w="5112"/>
            <w:vAlign w:val="center"/>
            <w:shd w:fill="EEF4F8"/>
          </w:tcPr>
          <w:p>
            <w:pPr>
              <w:spacing w:after="0"/>
            </w:pPr>
            <w:r/>
            <w:r>
              <w:rPr>
                <w:rFonts w:ascii="Arial" w:hAnsi="Arial"/>
                <w:b w:val="0"/>
                <w:sz w:val="16"/>
              </w:rPr>
              <w:t>Use framework cryptographic generators for reset tokens, session IDs, filenames, and correlation identifiers.</w:t>
            </w:r>
          </w:p>
        </w:tc>
      </w:tr>
    </w:tbl>
    <w:p>
      <w:pPr>
        <w:spacing w:after="0"/>
      </w:pPr>
    </w:p>
    <w:p>
      <w:pPr>
        <w:pStyle w:val="Heading1"/>
        <w:keepNext/>
      </w:pPr>
      <w:r>
        <w:rPr>
          <w:rFonts w:ascii="Arial" w:hAnsi="Arial"/>
        </w:rPr>
        <w:t>10. Secure Laravel-to-Python and Model Architecture</w:t>
      </w:r>
    </w:p>
    <w:tbl>
      <w:tblPr>
        <w:tblW w:type="auto" w:w="0"/>
        <w:jc w:val="center"/>
        <w:tblLook w:firstColumn="1" w:firstRow="1" w:lastColumn="0" w:lastRow="0" w:noHBand="0" w:noVBand="1" w:val="04A0"/>
      </w:tblPr>
      <w:tblGrid>
        <w:gridCol w:w="10224"/>
      </w:tblGrid>
      <w:tr>
        <w:tc>
          <w:tcPr>
            <w:tcW w:type="dxa" w:w="10224"/>
            <w:shd w:fill="EAF2F8"/>
            <w:tcBorders>
              <w:top w:val="single" w:sz="10" w:color="1F4E78"/>
              <w:left w:val="single" w:sz="10" w:color="1F4E78"/>
              <w:bottom w:val="single" w:sz="10" w:color="1F4E78"/>
              <w:right w:val="single" w:sz="10" w:color="1F4E78"/>
            </w:tcBorders>
          </w:tcPr>
          <w:p>
            <w:pPr>
              <w:spacing w:after="60"/>
            </w:pPr>
            <w:r>
              <w:rPr>
                <w:rFonts w:ascii="Arial" w:hAnsi="Arial"/>
                <w:b/>
                <w:color w:val="1F4E78"/>
                <w:sz w:val="20"/>
              </w:rPr>
              <w:t>Python security boundary</w:t>
            </w:r>
          </w:p>
          <w:p>
            <w:pPr>
              <w:spacing w:after="0"/>
            </w:pPr>
            <w:r>
              <w:rPr>
                <w:rFonts w:ascii="Arial" w:hAnsi="Arial"/>
                <w:sz w:val="18"/>
              </w:rPr>
              <w:t>Python is a bounded inference component, not a second application server. It receives a strict feature payload, loads an approved frozen model, returns a small validated result, and has no authority to authenticate users, query MySQL, write clinical records, send email, or determine final state independently.</w:t>
            </w:r>
          </w:p>
        </w:tc>
      </w:tr>
    </w:tbl>
    <w:p>
      <w:pPr>
        <w:spacing w:after="0"/>
      </w:pP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Risk</w:t>
            </w:r>
          </w:p>
        </w:tc>
        <w:tc>
          <w:tcPr>
            <w:tcW w:type="dxa" w:w="5112"/>
            <w:vAlign w:val="center"/>
            <w:shd w:fill="1F4E78"/>
          </w:tcPr>
          <w:p>
            <w:pPr>
              <w:spacing w:after="0"/>
            </w:pPr>
            <w:r/>
            <w:r>
              <w:rPr>
                <w:rFonts w:ascii="Arial" w:hAnsi="Arial"/>
                <w:b/>
                <w:color w:val="FFFFFF"/>
                <w:sz w:val="17"/>
              </w:rPr>
              <w:t>Required mitigation</w:t>
            </w:r>
          </w:p>
        </w:tc>
      </w:tr>
      <w:tr>
        <w:tc>
          <w:tcPr>
            <w:tcW w:type="dxa" w:w="5112"/>
            <w:vAlign w:val="center"/>
          </w:tcPr>
          <w:p>
            <w:pPr>
              <w:spacing w:after="0"/>
            </w:pPr>
            <w:r/>
            <w:r>
              <w:rPr>
                <w:rFonts w:ascii="Arial" w:hAnsi="Arial"/>
                <w:b w:val="0"/>
                <w:sz w:val="16"/>
              </w:rPr>
              <w:t>OS command injection</w:t>
            </w:r>
          </w:p>
        </w:tc>
        <w:tc>
          <w:tcPr>
            <w:tcW w:type="dxa" w:w="5112"/>
            <w:vAlign w:val="center"/>
          </w:tcPr>
          <w:p>
            <w:pPr>
              <w:spacing w:after="0"/>
            </w:pPr>
            <w:r/>
            <w:r>
              <w:rPr>
                <w:rFonts w:ascii="Arial" w:hAnsi="Arial"/>
                <w:b w:val="0"/>
                <w:sz w:val="16"/>
              </w:rPr>
              <w:t>Do not concatenate user values into a shell command. Prefer a process API with an argument array or pass validated JSON through stdin.</w:t>
            </w:r>
          </w:p>
        </w:tc>
      </w:tr>
      <w:tr>
        <w:tc>
          <w:tcPr>
            <w:tcW w:type="dxa" w:w="5112"/>
            <w:vAlign w:val="center"/>
            <w:shd w:fill="EEF4F8"/>
          </w:tcPr>
          <w:p>
            <w:pPr>
              <w:spacing w:after="0"/>
            </w:pPr>
            <w:r/>
            <w:r>
              <w:rPr>
                <w:rFonts w:ascii="Arial" w:hAnsi="Arial"/>
                <w:b w:val="0"/>
                <w:sz w:val="16"/>
              </w:rPr>
              <w:t>Path substitution</w:t>
            </w:r>
          </w:p>
        </w:tc>
        <w:tc>
          <w:tcPr>
            <w:tcW w:type="dxa" w:w="5112"/>
            <w:vAlign w:val="center"/>
            <w:shd w:fill="EEF4F8"/>
          </w:tcPr>
          <w:p>
            <w:pPr>
              <w:spacing w:after="0"/>
            </w:pPr>
            <w:r/>
            <w:r>
              <w:rPr>
                <w:rFonts w:ascii="Arial" w:hAnsi="Arial"/>
                <w:b w:val="0"/>
                <w:sz w:val="16"/>
              </w:rPr>
              <w:t>Configure an absolute approved Python executable and script path; verify they exist and are not writable by the web process.</w:t>
            </w:r>
          </w:p>
        </w:tc>
      </w:tr>
      <w:tr>
        <w:tc>
          <w:tcPr>
            <w:tcW w:type="dxa" w:w="5112"/>
            <w:vAlign w:val="center"/>
          </w:tcPr>
          <w:p>
            <w:pPr>
              <w:spacing w:after="0"/>
            </w:pPr>
            <w:r/>
            <w:r>
              <w:rPr>
                <w:rFonts w:ascii="Arial" w:hAnsi="Arial"/>
                <w:b w:val="0"/>
                <w:sz w:val="16"/>
              </w:rPr>
              <w:t>Artifact tampering</w:t>
            </w:r>
          </w:p>
        </w:tc>
        <w:tc>
          <w:tcPr>
            <w:tcW w:type="dxa" w:w="5112"/>
            <w:vAlign w:val="center"/>
          </w:tcPr>
          <w:p>
            <w:pPr>
              <w:spacing w:after="0"/>
            </w:pPr>
            <w:r/>
            <w:r>
              <w:rPr>
                <w:rFonts w:ascii="Arial" w:hAnsi="Arial"/>
                <w:b w:val="0"/>
                <w:sz w:val="16"/>
              </w:rPr>
              <w:t>Record model filename, semantic version, cryptographic hash, feature schema version, and dependency lock; reject unknown mismatch.</w:t>
            </w:r>
          </w:p>
        </w:tc>
      </w:tr>
      <w:tr>
        <w:tc>
          <w:tcPr>
            <w:tcW w:type="dxa" w:w="5112"/>
            <w:vAlign w:val="center"/>
            <w:shd w:fill="EEF4F8"/>
          </w:tcPr>
          <w:p>
            <w:pPr>
              <w:spacing w:after="0"/>
            </w:pPr>
            <w:r/>
            <w:r>
              <w:rPr>
                <w:rFonts w:ascii="Arial" w:hAnsi="Arial"/>
                <w:b w:val="0"/>
                <w:sz w:val="16"/>
              </w:rPr>
              <w:t>Unsafe deserialization</w:t>
            </w:r>
          </w:p>
        </w:tc>
        <w:tc>
          <w:tcPr>
            <w:tcW w:type="dxa" w:w="5112"/>
            <w:vAlign w:val="center"/>
            <w:shd w:fill="EEF4F8"/>
          </w:tcPr>
          <w:p>
            <w:pPr>
              <w:spacing w:after="0"/>
            </w:pPr>
            <w:r/>
            <w:r>
              <w:rPr>
                <w:rFonts w:ascii="Arial" w:hAnsi="Arial"/>
                <w:b w:val="0"/>
                <w:sz w:val="16"/>
              </w:rPr>
              <w:t>Load only trusted locally controlled artifacts; do not accept uploaded pickle/joblib model files.</w:t>
            </w:r>
          </w:p>
        </w:tc>
      </w:tr>
      <w:tr>
        <w:tc>
          <w:tcPr>
            <w:tcW w:type="dxa" w:w="5112"/>
            <w:vAlign w:val="center"/>
          </w:tcPr>
          <w:p>
            <w:pPr>
              <w:spacing w:after="0"/>
            </w:pPr>
            <w:r/>
            <w:r>
              <w:rPr>
                <w:rFonts w:ascii="Arial" w:hAnsi="Arial"/>
                <w:b w:val="0"/>
                <w:sz w:val="16"/>
              </w:rPr>
              <w:t>Data leakage</w:t>
            </w:r>
          </w:p>
        </w:tc>
        <w:tc>
          <w:tcPr>
            <w:tcW w:type="dxa" w:w="5112"/>
            <w:vAlign w:val="center"/>
          </w:tcPr>
          <w:p>
            <w:pPr>
              <w:spacing w:after="0"/>
            </w:pPr>
            <w:r/>
            <w:r>
              <w:rPr>
                <w:rFonts w:ascii="Arial" w:hAnsi="Arial"/>
                <w:b w:val="0"/>
                <w:sz w:val="16"/>
              </w:rPr>
              <w:t>Transmit only required features, avoid names/contact details, and never place feature payloads in ordinary logs.</w:t>
            </w:r>
          </w:p>
        </w:tc>
      </w:tr>
      <w:tr>
        <w:tc>
          <w:tcPr>
            <w:tcW w:type="dxa" w:w="5112"/>
            <w:vAlign w:val="center"/>
            <w:shd w:fill="EEF4F8"/>
          </w:tcPr>
          <w:p>
            <w:pPr>
              <w:spacing w:after="0"/>
            </w:pPr>
            <w:r/>
            <w:r>
              <w:rPr>
                <w:rFonts w:ascii="Arial" w:hAnsi="Arial"/>
                <w:b w:val="0"/>
                <w:sz w:val="16"/>
              </w:rPr>
              <w:t>Resource exhaustion</w:t>
            </w:r>
          </w:p>
        </w:tc>
        <w:tc>
          <w:tcPr>
            <w:tcW w:type="dxa" w:w="5112"/>
            <w:vAlign w:val="center"/>
            <w:shd w:fill="EEF4F8"/>
          </w:tcPr>
          <w:p>
            <w:pPr>
              <w:spacing w:after="0"/>
            </w:pPr>
            <w:r/>
            <w:r>
              <w:rPr>
                <w:rFonts w:ascii="Arial" w:hAnsi="Arial"/>
                <w:b w:val="0"/>
                <w:sz w:val="16"/>
              </w:rPr>
              <w:t>Set execution timeout, memory/process restrictions where available, payload limit, and concurrency limit.</w:t>
            </w:r>
          </w:p>
        </w:tc>
      </w:tr>
      <w:tr>
        <w:tc>
          <w:tcPr>
            <w:tcW w:type="dxa" w:w="5112"/>
            <w:vAlign w:val="center"/>
          </w:tcPr>
          <w:p>
            <w:pPr>
              <w:spacing w:after="0"/>
            </w:pPr>
            <w:r/>
            <w:r>
              <w:rPr>
                <w:rFonts w:ascii="Arial" w:hAnsi="Arial"/>
                <w:b w:val="0"/>
                <w:sz w:val="16"/>
              </w:rPr>
              <w:t>Unexpected output</w:t>
            </w:r>
          </w:p>
        </w:tc>
        <w:tc>
          <w:tcPr>
            <w:tcW w:type="dxa" w:w="5112"/>
            <w:vAlign w:val="center"/>
          </w:tcPr>
          <w:p>
            <w:pPr>
              <w:spacing w:after="0"/>
            </w:pPr>
            <w:r/>
            <w:r>
              <w:rPr>
                <w:rFonts w:ascii="Arial" w:hAnsi="Arial"/>
                <w:b w:val="0"/>
                <w:sz w:val="16"/>
              </w:rPr>
              <w:t>Accept only the defined JSON schema and HIGH/LOW contribution; invalid, extra, empty, or malformed output is an ML failure.</w:t>
            </w:r>
          </w:p>
        </w:tc>
      </w:tr>
      <w:tr>
        <w:tc>
          <w:tcPr>
            <w:tcW w:type="dxa" w:w="5112"/>
            <w:vAlign w:val="center"/>
            <w:shd w:fill="EEF4F8"/>
          </w:tcPr>
          <w:p>
            <w:pPr>
              <w:spacing w:after="0"/>
            </w:pPr>
            <w:r/>
            <w:r>
              <w:rPr>
                <w:rFonts w:ascii="Arial" w:hAnsi="Arial"/>
                <w:b w:val="0"/>
                <w:sz w:val="16"/>
              </w:rPr>
              <w:t>Python failure</w:t>
            </w:r>
          </w:p>
        </w:tc>
        <w:tc>
          <w:tcPr>
            <w:tcW w:type="dxa" w:w="5112"/>
            <w:vAlign w:val="center"/>
            <w:shd w:fill="EEF4F8"/>
          </w:tcPr>
          <w:p>
            <w:pPr>
              <w:spacing w:after="0"/>
            </w:pPr>
            <w:r/>
            <w:r>
              <w:rPr>
                <w:rFonts w:ascii="Arial" w:hAnsi="Arial"/>
                <w:b w:val="0"/>
                <w:sz w:val="16"/>
              </w:rPr>
              <w:t>Return ASSESSMENT INCOMPLETE unless deterministic HIGH already applies; never fabricate LOW.</w:t>
            </w:r>
          </w:p>
        </w:tc>
      </w:tr>
      <w:tr>
        <w:tc>
          <w:tcPr>
            <w:tcW w:type="dxa" w:w="5112"/>
            <w:vAlign w:val="center"/>
          </w:tcPr>
          <w:p>
            <w:pPr>
              <w:spacing w:after="0"/>
            </w:pPr>
            <w:r/>
            <w:r>
              <w:rPr>
                <w:rFonts w:ascii="Arial" w:hAnsi="Arial"/>
                <w:b w:val="0"/>
                <w:sz w:val="16"/>
              </w:rPr>
              <w:t>Direct data mutation</w:t>
            </w:r>
          </w:p>
        </w:tc>
        <w:tc>
          <w:tcPr>
            <w:tcW w:type="dxa" w:w="5112"/>
            <w:vAlign w:val="center"/>
          </w:tcPr>
          <w:p>
            <w:pPr>
              <w:spacing w:after="0"/>
            </w:pPr>
            <w:r/>
            <w:r>
              <w:rPr>
                <w:rFonts w:ascii="Arial" w:hAnsi="Arial"/>
                <w:b w:val="0"/>
                <w:sz w:val="16"/>
              </w:rPr>
              <w:t>OS and database permissions prevent the Python identity from writing application data.</w:t>
            </w:r>
          </w:p>
        </w:tc>
      </w:tr>
    </w:tbl>
    <w:p>
      <w:pPr>
        <w:spacing w:after="0"/>
      </w:pPr>
    </w:p>
    <w:p>
      <w:pPr>
        <w:pStyle w:val="Heading1"/>
        <w:keepNext/>
      </w:pPr>
      <w:r>
        <w:rPr>
          <w:rFonts w:ascii="Arial" w:hAnsi="Arial"/>
        </w:rPr>
        <w:t>11. Database, Storage, and Backup Security</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Component</w:t>
            </w:r>
          </w:p>
        </w:tc>
        <w:tc>
          <w:tcPr>
            <w:tcW w:type="dxa" w:w="5112"/>
            <w:vAlign w:val="center"/>
            <w:shd w:fill="1F4E78"/>
          </w:tcPr>
          <w:p>
            <w:pPr>
              <w:spacing w:after="0"/>
            </w:pPr>
            <w:r/>
            <w:r>
              <w:rPr>
                <w:rFonts w:ascii="Arial" w:hAnsi="Arial"/>
                <w:b/>
                <w:color w:val="FFFFFF"/>
                <w:sz w:val="17"/>
              </w:rPr>
              <w:t>Security architecture</w:t>
            </w:r>
          </w:p>
        </w:tc>
      </w:tr>
      <w:tr>
        <w:tc>
          <w:tcPr>
            <w:tcW w:type="dxa" w:w="5112"/>
            <w:vAlign w:val="center"/>
          </w:tcPr>
          <w:p>
            <w:pPr>
              <w:spacing w:after="0"/>
            </w:pPr>
            <w:r/>
            <w:r>
              <w:rPr>
                <w:rFonts w:ascii="Arial" w:hAnsi="Arial"/>
                <w:b w:val="0"/>
                <w:sz w:val="16"/>
              </w:rPr>
              <w:t>MySQL account</w:t>
            </w:r>
          </w:p>
        </w:tc>
        <w:tc>
          <w:tcPr>
            <w:tcW w:type="dxa" w:w="5112"/>
            <w:vAlign w:val="center"/>
          </w:tcPr>
          <w:p>
            <w:pPr>
              <w:spacing w:after="0"/>
            </w:pPr>
            <w:r/>
            <w:r>
              <w:rPr>
                <w:rFonts w:ascii="Arial" w:hAnsi="Arial"/>
                <w:b w:val="0"/>
                <w:sz w:val="16"/>
              </w:rPr>
              <w:t>Dedicated application account with only required schema privileges; no root account in application configuration.</w:t>
            </w:r>
          </w:p>
        </w:tc>
      </w:tr>
      <w:tr>
        <w:tc>
          <w:tcPr>
            <w:tcW w:type="dxa" w:w="5112"/>
            <w:vAlign w:val="center"/>
            <w:shd w:fill="EEF4F8"/>
          </w:tcPr>
          <w:p>
            <w:pPr>
              <w:spacing w:after="0"/>
            </w:pPr>
            <w:r/>
            <w:r>
              <w:rPr>
                <w:rFonts w:ascii="Arial" w:hAnsi="Arial"/>
                <w:b w:val="0"/>
                <w:sz w:val="16"/>
              </w:rPr>
              <w:t>Network exposure</w:t>
            </w:r>
          </w:p>
        </w:tc>
        <w:tc>
          <w:tcPr>
            <w:tcW w:type="dxa" w:w="5112"/>
            <w:vAlign w:val="center"/>
            <w:shd w:fill="EEF4F8"/>
          </w:tcPr>
          <w:p>
            <w:pPr>
              <w:spacing w:after="0"/>
            </w:pPr>
            <w:r/>
            <w:r>
              <w:rPr>
                <w:rFonts w:ascii="Arial" w:hAnsi="Arial"/>
                <w:b w:val="0"/>
                <w:sz w:val="16"/>
              </w:rPr>
              <w:t>Database is not publicly reachable; bind to private/local interfaces and restrict firewall rules.</w:t>
            </w:r>
          </w:p>
        </w:tc>
      </w:tr>
      <w:tr>
        <w:tc>
          <w:tcPr>
            <w:tcW w:type="dxa" w:w="5112"/>
            <w:vAlign w:val="center"/>
          </w:tcPr>
          <w:p>
            <w:pPr>
              <w:spacing w:after="0"/>
            </w:pPr>
            <w:r/>
            <w:r>
              <w:rPr>
                <w:rFonts w:ascii="Arial" w:hAnsi="Arial"/>
                <w:b w:val="0"/>
                <w:sz w:val="16"/>
              </w:rPr>
              <w:t>Transactions</w:t>
            </w:r>
          </w:p>
        </w:tc>
        <w:tc>
          <w:tcPr>
            <w:tcW w:type="dxa" w:w="5112"/>
            <w:vAlign w:val="center"/>
          </w:tcPr>
          <w:p>
            <w:pPr>
              <w:spacing w:after="0"/>
            </w:pPr>
            <w:r/>
            <w:r>
              <w:rPr>
                <w:rFonts w:ascii="Arial" w:hAnsi="Arial"/>
                <w:b w:val="0"/>
                <w:sz w:val="16"/>
              </w:rPr>
              <w:t>Clinical record, assessment, referral, delivery, and audit writes use documented atomic boundaries and rollback on failure.</w:t>
            </w:r>
          </w:p>
        </w:tc>
      </w:tr>
      <w:tr>
        <w:tc>
          <w:tcPr>
            <w:tcW w:type="dxa" w:w="5112"/>
            <w:vAlign w:val="center"/>
            <w:shd w:fill="EEF4F8"/>
          </w:tcPr>
          <w:p>
            <w:pPr>
              <w:spacing w:after="0"/>
            </w:pPr>
            <w:r/>
            <w:r>
              <w:rPr>
                <w:rFonts w:ascii="Arial" w:hAnsi="Arial"/>
                <w:b w:val="0"/>
                <w:sz w:val="16"/>
              </w:rPr>
              <w:t>Referential integrity</w:t>
            </w:r>
          </w:p>
        </w:tc>
        <w:tc>
          <w:tcPr>
            <w:tcW w:type="dxa" w:w="5112"/>
            <w:vAlign w:val="center"/>
            <w:shd w:fill="EEF4F8"/>
          </w:tcPr>
          <w:p>
            <w:pPr>
              <w:spacing w:after="0"/>
            </w:pPr>
            <w:r/>
            <w:r>
              <w:rPr>
                <w:rFonts w:ascii="Arial" w:hAnsi="Arial"/>
                <w:b w:val="0"/>
                <w:sz w:val="16"/>
              </w:rPr>
              <w:t>Foreign keys, constraints, episode ownership, enum/check logic where supported, and unique guards prevent orphan or duplicate states.</w:t>
            </w:r>
          </w:p>
        </w:tc>
      </w:tr>
      <w:tr>
        <w:tc>
          <w:tcPr>
            <w:tcW w:type="dxa" w:w="5112"/>
            <w:vAlign w:val="center"/>
          </w:tcPr>
          <w:p>
            <w:pPr>
              <w:spacing w:after="0"/>
            </w:pPr>
            <w:r/>
            <w:r>
              <w:rPr>
                <w:rFonts w:ascii="Arial" w:hAnsi="Arial"/>
                <w:b w:val="0"/>
                <w:sz w:val="16"/>
              </w:rPr>
              <w:t>Private files</w:t>
            </w:r>
          </w:p>
        </w:tc>
        <w:tc>
          <w:tcPr>
            <w:tcW w:type="dxa" w:w="5112"/>
            <w:vAlign w:val="center"/>
          </w:tcPr>
          <w:p>
            <w:pPr>
              <w:spacing w:after="0"/>
            </w:pPr>
            <w:r/>
            <w:r>
              <w:rPr>
                <w:rFonts w:ascii="Arial" w:hAnsi="Arial"/>
                <w:b w:val="0"/>
                <w:sz w:val="16"/>
              </w:rPr>
              <w:t>Store outside public web root; serve through authorized controller/temporary response; randomize names and preserve metadata separately.</w:t>
            </w:r>
          </w:p>
        </w:tc>
      </w:tr>
      <w:tr>
        <w:tc>
          <w:tcPr>
            <w:tcW w:type="dxa" w:w="5112"/>
            <w:vAlign w:val="center"/>
            <w:shd w:fill="EEF4F8"/>
          </w:tcPr>
          <w:p>
            <w:pPr>
              <w:spacing w:after="0"/>
            </w:pPr>
            <w:r/>
            <w:r>
              <w:rPr>
                <w:rFonts w:ascii="Arial" w:hAnsi="Arial"/>
                <w:b w:val="0"/>
                <w:sz w:val="16"/>
              </w:rPr>
              <w:t>Backups</w:t>
            </w:r>
          </w:p>
        </w:tc>
        <w:tc>
          <w:tcPr>
            <w:tcW w:type="dxa" w:w="5112"/>
            <w:vAlign w:val="center"/>
            <w:shd w:fill="EEF4F8"/>
          </w:tcPr>
          <w:p>
            <w:pPr>
              <w:spacing w:after="0"/>
            </w:pPr>
            <w:r/>
            <w:r>
              <w:rPr>
                <w:rFonts w:ascii="Arial" w:hAnsi="Arial"/>
                <w:b w:val="0"/>
                <w:sz w:val="16"/>
              </w:rPr>
              <w:t>Use scheduled full/incremental strategy appropriate to deployment, encryption, retention, offline/isolated copy, and integrity verification.</w:t>
            </w:r>
          </w:p>
        </w:tc>
      </w:tr>
      <w:tr>
        <w:tc>
          <w:tcPr>
            <w:tcW w:type="dxa" w:w="5112"/>
            <w:vAlign w:val="center"/>
          </w:tcPr>
          <w:p>
            <w:pPr>
              <w:spacing w:after="0"/>
            </w:pPr>
            <w:r/>
            <w:r>
              <w:rPr>
                <w:rFonts w:ascii="Arial" w:hAnsi="Arial"/>
                <w:b w:val="0"/>
                <w:sz w:val="16"/>
              </w:rPr>
              <w:t>Restore</w:t>
            </w:r>
          </w:p>
        </w:tc>
        <w:tc>
          <w:tcPr>
            <w:tcW w:type="dxa" w:w="5112"/>
            <w:vAlign w:val="center"/>
          </w:tcPr>
          <w:p>
            <w:pPr>
              <w:spacing w:after="0"/>
            </w:pPr>
            <w:r/>
            <w:r>
              <w:rPr>
                <w:rFonts w:ascii="Arial" w:hAnsi="Arial"/>
                <w:b w:val="0"/>
                <w:sz w:val="16"/>
              </w:rPr>
              <w:t>Test restoration to a clean environment; verify row counts, files, migrations, users, assessments, referrals, audit chain, and application health.</w:t>
            </w:r>
          </w:p>
        </w:tc>
      </w:tr>
      <w:tr>
        <w:tc>
          <w:tcPr>
            <w:tcW w:type="dxa" w:w="5112"/>
            <w:vAlign w:val="center"/>
            <w:shd w:fill="EEF4F8"/>
          </w:tcPr>
          <w:p>
            <w:pPr>
              <w:spacing w:after="0"/>
            </w:pPr>
            <w:r/>
            <w:r>
              <w:rPr>
                <w:rFonts w:ascii="Arial" w:hAnsi="Arial"/>
                <w:b w:val="0"/>
                <w:sz w:val="16"/>
              </w:rPr>
              <w:t>Deletion</w:t>
            </w:r>
          </w:p>
        </w:tc>
        <w:tc>
          <w:tcPr>
            <w:tcW w:type="dxa" w:w="5112"/>
            <w:vAlign w:val="center"/>
            <w:shd w:fill="EEF4F8"/>
          </w:tcPr>
          <w:p>
            <w:pPr>
              <w:spacing w:after="0"/>
            </w:pPr>
            <w:r/>
            <w:r>
              <w:rPr>
                <w:rFonts w:ascii="Arial" w:hAnsi="Arial"/>
                <w:b w:val="0"/>
                <w:sz w:val="16"/>
              </w:rPr>
              <w:t>Business deletion uses approved retention rules; database cascade behavior must not erase required historical evidence accidentally.</w:t>
            </w:r>
          </w:p>
        </w:tc>
      </w:tr>
    </w:tbl>
    <w:p>
      <w:pPr>
        <w:spacing w:after="0"/>
      </w:pPr>
    </w:p>
    <w:p>
      <w:pPr>
        <w:pStyle w:val="Heading1"/>
        <w:keepNext/>
      </w:pPr>
      <w:r>
        <w:rPr>
          <w:rFonts w:ascii="Arial" w:hAnsi="Arial"/>
        </w:rPr>
        <w:t>12. Audit Logging and Security Monitoring</w:t>
      </w:r>
    </w:p>
    <w:p>
      <w:pPr>
        <w:spacing w:after="100" w:line="259" w:lineRule="auto"/>
      </w:pPr>
      <w:r>
        <w:rPr>
          <w:rFonts w:ascii="Arial" w:hAnsi="Arial"/>
          <w:sz w:val="18"/>
        </w:rPr>
        <w:t>Audit evidence is designed for reconstruction, deterrence, incident response, patient-safety review, and governance. It is not a second copy of every clinical note and must not expose secrets or unnecessary patient data.</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Event category</w:t>
            </w:r>
          </w:p>
        </w:tc>
        <w:tc>
          <w:tcPr>
            <w:tcW w:type="dxa" w:w="5112"/>
            <w:vAlign w:val="center"/>
            <w:shd w:fill="1F4E78"/>
          </w:tcPr>
          <w:p>
            <w:pPr>
              <w:spacing w:after="0"/>
            </w:pPr>
            <w:r/>
            <w:r>
              <w:rPr>
                <w:rFonts w:ascii="Arial" w:hAnsi="Arial"/>
                <w:b/>
                <w:color w:val="FFFFFF"/>
                <w:sz w:val="17"/>
              </w:rPr>
              <w:t>Minimum fields</w:t>
            </w:r>
          </w:p>
        </w:tc>
      </w:tr>
      <w:tr>
        <w:tc>
          <w:tcPr>
            <w:tcW w:type="dxa" w:w="5112"/>
            <w:vAlign w:val="center"/>
          </w:tcPr>
          <w:p>
            <w:pPr>
              <w:spacing w:after="0"/>
            </w:pPr>
            <w:r/>
            <w:r>
              <w:rPr>
                <w:rFonts w:ascii="Arial" w:hAnsi="Arial"/>
                <w:b w:val="0"/>
                <w:sz w:val="16"/>
              </w:rPr>
              <w:t>Authentication</w:t>
            </w:r>
          </w:p>
        </w:tc>
        <w:tc>
          <w:tcPr>
            <w:tcW w:type="dxa" w:w="5112"/>
            <w:vAlign w:val="center"/>
          </w:tcPr>
          <w:p>
            <w:pPr>
              <w:spacing w:after="0"/>
            </w:pPr>
            <w:r/>
            <w:r>
              <w:rPr>
                <w:rFonts w:ascii="Arial" w:hAnsi="Arial"/>
                <w:b w:val="0"/>
                <w:sz w:val="16"/>
              </w:rPr>
              <w:t>Actor/account, success/failure category, time, source/session identifier, lockout or reset event; never password or reset token.</w:t>
            </w:r>
          </w:p>
        </w:tc>
      </w:tr>
      <w:tr>
        <w:tc>
          <w:tcPr>
            <w:tcW w:type="dxa" w:w="5112"/>
            <w:vAlign w:val="center"/>
            <w:shd w:fill="EEF4F8"/>
          </w:tcPr>
          <w:p>
            <w:pPr>
              <w:spacing w:after="0"/>
            </w:pPr>
            <w:r/>
            <w:r>
              <w:rPr>
                <w:rFonts w:ascii="Arial" w:hAnsi="Arial"/>
                <w:b w:val="0"/>
                <w:sz w:val="16"/>
              </w:rPr>
              <w:t>Authorization denial</w:t>
            </w:r>
          </w:p>
        </w:tc>
        <w:tc>
          <w:tcPr>
            <w:tcW w:type="dxa" w:w="5112"/>
            <w:vAlign w:val="center"/>
            <w:shd w:fill="EEF4F8"/>
          </w:tcPr>
          <w:p>
            <w:pPr>
              <w:spacing w:after="0"/>
            </w:pPr>
            <w:r/>
            <w:r>
              <w:rPr>
                <w:rFonts w:ascii="Arial" w:hAnsi="Arial"/>
                <w:b w:val="0"/>
                <w:sz w:val="16"/>
              </w:rPr>
              <w:t>Actor, action, resource class, safe resource identifier, policy outcome, correlation ID.</w:t>
            </w:r>
          </w:p>
        </w:tc>
      </w:tr>
      <w:tr>
        <w:tc>
          <w:tcPr>
            <w:tcW w:type="dxa" w:w="5112"/>
            <w:vAlign w:val="center"/>
          </w:tcPr>
          <w:p>
            <w:pPr>
              <w:spacing w:after="0"/>
            </w:pPr>
            <w:r/>
            <w:r>
              <w:rPr>
                <w:rFonts w:ascii="Arial" w:hAnsi="Arial"/>
                <w:b w:val="0"/>
                <w:sz w:val="16"/>
              </w:rPr>
              <w:t>Clinical mutation</w:t>
            </w:r>
          </w:p>
        </w:tc>
        <w:tc>
          <w:tcPr>
            <w:tcW w:type="dxa" w:w="5112"/>
            <w:vAlign w:val="center"/>
          </w:tcPr>
          <w:p>
            <w:pPr>
              <w:spacing w:after="0"/>
            </w:pPr>
            <w:r/>
            <w:r>
              <w:rPr>
                <w:rFonts w:ascii="Arial" w:hAnsi="Arial"/>
                <w:b w:val="0"/>
                <w:sz w:val="16"/>
              </w:rPr>
              <w:t>Actor, patient, pregnancy episode, record type/ID, action, changed-field summary, time, correlation ID.</w:t>
            </w:r>
          </w:p>
        </w:tc>
      </w:tr>
      <w:tr>
        <w:tc>
          <w:tcPr>
            <w:tcW w:type="dxa" w:w="5112"/>
            <w:vAlign w:val="center"/>
            <w:shd w:fill="EEF4F8"/>
          </w:tcPr>
          <w:p>
            <w:pPr>
              <w:spacing w:after="0"/>
            </w:pPr>
            <w:r/>
            <w:r>
              <w:rPr>
                <w:rFonts w:ascii="Arial" w:hAnsi="Arial"/>
                <w:b w:val="0"/>
                <w:sz w:val="16"/>
              </w:rPr>
              <w:t>Assessment</w:t>
            </w:r>
          </w:p>
        </w:tc>
        <w:tc>
          <w:tcPr>
            <w:tcW w:type="dxa" w:w="5112"/>
            <w:vAlign w:val="center"/>
            <w:shd w:fill="EEF4F8"/>
          </w:tcPr>
          <w:p>
            <w:pPr>
              <w:spacing w:after="0"/>
            </w:pPr>
            <w:r/>
            <w:r>
              <w:rPr>
                <w:rFonts w:ascii="Arial" w:hAnsi="Arial"/>
                <w:b w:val="0"/>
                <w:sz w:val="16"/>
              </w:rPr>
              <w:t>Input snapshot/version references, rule/model/explanation/recommendation versions, final state, escalation, actor, time.</w:t>
            </w:r>
          </w:p>
        </w:tc>
      </w:tr>
      <w:tr>
        <w:tc>
          <w:tcPr>
            <w:tcW w:type="dxa" w:w="5112"/>
            <w:vAlign w:val="center"/>
          </w:tcPr>
          <w:p>
            <w:pPr>
              <w:spacing w:after="0"/>
            </w:pPr>
            <w:r/>
            <w:r>
              <w:rPr>
                <w:rFonts w:ascii="Arial" w:hAnsi="Arial"/>
                <w:b w:val="0"/>
                <w:sz w:val="16"/>
              </w:rPr>
              <w:t>Referral/delivery/new pregnancy</w:t>
            </w:r>
          </w:p>
        </w:tc>
        <w:tc>
          <w:tcPr>
            <w:tcW w:type="dxa" w:w="5112"/>
            <w:vAlign w:val="center"/>
          </w:tcPr>
          <w:p>
            <w:pPr>
              <w:spacing w:after="0"/>
            </w:pPr>
            <w:r/>
            <w:r>
              <w:rPr>
                <w:rFonts w:ascii="Arial" w:hAnsi="Arial"/>
                <w:b w:val="0"/>
                <w:sz w:val="16"/>
              </w:rPr>
              <w:t>State transition, old/new state, actor, patient/episode, reason, related records.</w:t>
            </w:r>
          </w:p>
        </w:tc>
      </w:tr>
      <w:tr>
        <w:tc>
          <w:tcPr>
            <w:tcW w:type="dxa" w:w="5112"/>
            <w:vAlign w:val="center"/>
            <w:shd w:fill="EEF4F8"/>
          </w:tcPr>
          <w:p>
            <w:pPr>
              <w:spacing w:after="0"/>
            </w:pPr>
            <w:r/>
            <w:r>
              <w:rPr>
                <w:rFonts w:ascii="Arial" w:hAnsi="Arial"/>
                <w:b w:val="0"/>
                <w:sz w:val="16"/>
              </w:rPr>
              <w:t>Administrative</w:t>
            </w:r>
          </w:p>
        </w:tc>
        <w:tc>
          <w:tcPr>
            <w:tcW w:type="dxa" w:w="5112"/>
            <w:vAlign w:val="center"/>
            <w:shd w:fill="EEF4F8"/>
          </w:tcPr>
          <w:p>
            <w:pPr>
              <w:spacing w:after="0"/>
            </w:pPr>
            <w:r/>
            <w:r>
              <w:rPr>
                <w:rFonts w:ascii="Arial" w:hAnsi="Arial"/>
                <w:b w:val="0"/>
                <w:sz w:val="16"/>
              </w:rPr>
              <w:t>User/role changes, configuration, deployment, migration, backup, restore, export, secret/key rotation.</w:t>
            </w:r>
          </w:p>
        </w:tc>
      </w:tr>
      <w:tr>
        <w:tc>
          <w:tcPr>
            <w:tcW w:type="dxa" w:w="5112"/>
            <w:vAlign w:val="center"/>
          </w:tcPr>
          <w:p>
            <w:pPr>
              <w:spacing w:after="0"/>
            </w:pPr>
            <w:r/>
            <w:r>
              <w:rPr>
                <w:rFonts w:ascii="Arial" w:hAnsi="Arial"/>
                <w:b w:val="0"/>
                <w:sz w:val="16"/>
              </w:rPr>
              <w:t>Security incident</w:t>
            </w:r>
          </w:p>
        </w:tc>
        <w:tc>
          <w:tcPr>
            <w:tcW w:type="dxa" w:w="5112"/>
            <w:vAlign w:val="center"/>
          </w:tcPr>
          <w:p>
            <w:pPr>
              <w:spacing w:after="0"/>
            </w:pPr>
            <w:r/>
            <w:r>
              <w:rPr>
                <w:rFonts w:ascii="Arial" w:hAnsi="Arial"/>
                <w:b w:val="0"/>
                <w:sz w:val="16"/>
              </w:rPr>
              <w:t>Detection source, severity, affected assets, containment, evidence, notifications, recovery, closure.</w:t>
            </w:r>
          </w:p>
        </w:tc>
      </w:tr>
    </w:tbl>
    <w:p>
      <w:pPr>
        <w:spacing w:after="0"/>
      </w:pPr>
    </w:p>
    <w:p>
      <w:pPr>
        <w:pStyle w:val="ListBullet"/>
        <w:spacing w:after="40"/>
      </w:pPr>
      <w:r>
        <w:rPr>
          <w:rFonts w:ascii="Arial" w:hAnsi="Arial"/>
          <w:sz w:val="18"/>
        </w:rPr>
        <w:t>Restrict update/delete access to audit tables; application code normally appends only.</w:t>
      </w:r>
    </w:p>
    <w:p>
      <w:pPr>
        <w:pStyle w:val="ListBullet"/>
        <w:spacing w:after="40"/>
      </w:pPr>
      <w:r>
        <w:rPr>
          <w:rFonts w:ascii="Arial" w:hAnsi="Arial"/>
          <w:sz w:val="18"/>
        </w:rPr>
        <w:t>Protect logs from web access and rotate them with retention rules.</w:t>
      </w:r>
    </w:p>
    <w:p>
      <w:pPr>
        <w:pStyle w:val="ListBullet"/>
        <w:spacing w:after="40"/>
      </w:pPr>
      <w:r>
        <w:rPr>
          <w:rFonts w:ascii="Arial" w:hAnsi="Arial"/>
          <w:sz w:val="18"/>
        </w:rPr>
        <w:t>Alert or review unusual failed logins, bulk access, repeated authorization denials, exports, model mismatches, audit failures, and backup failures.</w:t>
      </w:r>
    </w:p>
    <w:p>
      <w:pPr>
        <w:pStyle w:val="ListBullet"/>
        <w:spacing w:after="40"/>
      </w:pPr>
      <w:r>
        <w:rPr>
          <w:rFonts w:ascii="Arial" w:hAnsi="Arial"/>
          <w:sz w:val="18"/>
        </w:rPr>
        <w:t>If audit persistence fails during a safety-relevant mutation, the transaction should fail unless an approved emergency downtime workflow applies.</w:t>
      </w:r>
    </w:p>
    <w:p>
      <w:pPr>
        <w:pStyle w:val="Heading1"/>
        <w:keepNext/>
      </w:pPr>
      <w:r>
        <w:rPr>
          <w:rFonts w:ascii="Arial" w:hAnsi="Arial"/>
        </w:rPr>
        <w:t>13. Secure Workflow Invariants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Workflow</w:t>
            </w:r>
          </w:p>
        </w:tc>
        <w:tc>
          <w:tcPr>
            <w:tcW w:type="dxa" w:w="5112"/>
            <w:vAlign w:val="center"/>
            <w:shd w:fill="1F4E78"/>
          </w:tcPr>
          <w:p>
            <w:pPr>
              <w:spacing w:after="0"/>
            </w:pPr>
            <w:r/>
            <w:r>
              <w:rPr>
                <w:rFonts w:ascii="Arial" w:hAnsi="Arial"/>
                <w:b/>
                <w:color w:val="FFFFFF"/>
                <w:sz w:val="17"/>
              </w:rPr>
              <w:t>Security invariant</w:t>
            </w:r>
          </w:p>
        </w:tc>
      </w:tr>
      <w:tr>
        <w:tc>
          <w:tcPr>
            <w:tcW w:type="dxa" w:w="5112"/>
            <w:vAlign w:val="center"/>
          </w:tcPr>
          <w:p>
            <w:pPr>
              <w:spacing w:after="0"/>
            </w:pPr>
            <w:r/>
            <w:r>
              <w:rPr>
                <w:rFonts w:ascii="Arial" w:hAnsi="Arial"/>
                <w:b w:val="0"/>
                <w:sz w:val="16"/>
              </w:rPr>
              <w:t>Patient creation</w:t>
            </w:r>
          </w:p>
        </w:tc>
        <w:tc>
          <w:tcPr>
            <w:tcW w:type="dxa" w:w="5112"/>
            <w:vAlign w:val="center"/>
          </w:tcPr>
          <w:p>
            <w:pPr>
              <w:spacing w:after="0"/>
            </w:pPr>
            <w:r/>
            <w:r>
              <w:rPr>
                <w:rFonts w:ascii="Arial" w:hAnsi="Arial"/>
                <w:b w:val="0"/>
                <w:sz w:val="16"/>
              </w:rPr>
              <w:t>Authorized actor, validated fields, minimum necessary collection, audit event.</w:t>
            </w:r>
          </w:p>
        </w:tc>
      </w:tr>
      <w:tr>
        <w:tc>
          <w:tcPr>
            <w:tcW w:type="dxa" w:w="5112"/>
            <w:vAlign w:val="center"/>
            <w:shd w:fill="EEF4F8"/>
          </w:tcPr>
          <w:p>
            <w:pPr>
              <w:spacing w:after="0"/>
            </w:pPr>
            <w:r/>
            <w:r>
              <w:rPr>
                <w:rFonts w:ascii="Arial" w:hAnsi="Arial"/>
                <w:b w:val="0"/>
                <w:sz w:val="16"/>
              </w:rPr>
              <w:t>Prenatal/medical/ultrasound/birth-plan change</w:t>
            </w:r>
          </w:p>
        </w:tc>
        <w:tc>
          <w:tcPr>
            <w:tcW w:type="dxa" w:w="5112"/>
            <w:vAlign w:val="center"/>
            <w:shd w:fill="EEF4F8"/>
          </w:tcPr>
          <w:p>
            <w:pPr>
              <w:spacing w:after="0"/>
            </w:pPr>
            <w:r/>
            <w:r>
              <w:rPr>
                <w:rFonts w:ascii="Arial" w:hAnsi="Arial"/>
                <w:b w:val="0"/>
                <w:sz w:val="16"/>
              </w:rPr>
              <w:t>Correct patient and active episode, delivered guard, validation, transaction, reassessment trigger, audit.</w:t>
            </w:r>
          </w:p>
        </w:tc>
      </w:tr>
      <w:tr>
        <w:tc>
          <w:tcPr>
            <w:tcW w:type="dxa" w:w="5112"/>
            <w:vAlign w:val="center"/>
          </w:tcPr>
          <w:p>
            <w:pPr>
              <w:spacing w:after="0"/>
            </w:pPr>
            <w:r/>
            <w:r>
              <w:rPr>
                <w:rFonts w:ascii="Arial" w:hAnsi="Arial"/>
                <w:b w:val="0"/>
                <w:sz w:val="16"/>
              </w:rPr>
              <w:t>Assessment</w:t>
            </w:r>
          </w:p>
        </w:tc>
        <w:tc>
          <w:tcPr>
            <w:tcW w:type="dxa" w:w="5112"/>
            <w:vAlign w:val="center"/>
          </w:tcPr>
          <w:p>
            <w:pPr>
              <w:spacing w:after="0"/>
            </w:pPr>
            <w:r/>
            <w:r>
              <w:rPr>
                <w:rFonts w:ascii="Arial" w:hAnsi="Arial"/>
                <w:b w:val="0"/>
                <w:sz w:val="16"/>
              </w:rPr>
              <w:t>Central service only; immutable snapshot; deterministic HIGH precedence; verified model artifact; no LOW on incomplete/invalid evidence.</w:t>
            </w:r>
          </w:p>
        </w:tc>
      </w:tr>
      <w:tr>
        <w:tc>
          <w:tcPr>
            <w:tcW w:type="dxa" w:w="5112"/>
            <w:vAlign w:val="center"/>
            <w:shd w:fill="EEF4F8"/>
          </w:tcPr>
          <w:p>
            <w:pPr>
              <w:spacing w:after="0"/>
            </w:pPr>
            <w:r/>
            <w:r>
              <w:rPr>
                <w:rFonts w:ascii="Arial" w:hAnsi="Arial"/>
                <w:b w:val="0"/>
                <w:sz w:val="16"/>
              </w:rPr>
              <w:t>Referral</w:t>
            </w:r>
          </w:p>
        </w:tc>
        <w:tc>
          <w:tcPr>
            <w:tcW w:type="dxa" w:w="5112"/>
            <w:vAlign w:val="center"/>
            <w:shd w:fill="EEF4F8"/>
          </w:tcPr>
          <w:p>
            <w:pPr>
              <w:spacing w:after="0"/>
            </w:pPr>
            <w:r/>
            <w:r>
              <w:rPr>
                <w:rFonts w:ascii="Arial" w:hAnsi="Arial"/>
                <w:b w:val="0"/>
                <w:sz w:val="16"/>
              </w:rPr>
              <w:t>Creation, sending, acceptance, refusal, completion, and outcome are distinct authorized transitions; email does not equal referral completion.</w:t>
            </w:r>
          </w:p>
        </w:tc>
      </w:tr>
      <w:tr>
        <w:tc>
          <w:tcPr>
            <w:tcW w:type="dxa" w:w="5112"/>
            <w:vAlign w:val="center"/>
          </w:tcPr>
          <w:p>
            <w:pPr>
              <w:spacing w:after="0"/>
            </w:pPr>
            <w:r/>
            <w:r>
              <w:rPr>
                <w:rFonts w:ascii="Arial" w:hAnsi="Arial"/>
                <w:b w:val="0"/>
                <w:sz w:val="16"/>
              </w:rPr>
              <w:t>Patient refusal</w:t>
            </w:r>
          </w:p>
        </w:tc>
        <w:tc>
          <w:tcPr>
            <w:tcW w:type="dxa" w:w="5112"/>
            <w:vAlign w:val="center"/>
          </w:tcPr>
          <w:p>
            <w:pPr>
              <w:spacing w:after="0"/>
            </w:pPr>
            <w:r/>
            <w:r>
              <w:rPr>
                <w:rFonts w:ascii="Arial" w:hAnsi="Arial"/>
                <w:b w:val="0"/>
                <w:sz w:val="16"/>
              </w:rPr>
              <w:t>Document counseling and refusal without changing HIGH or closing unresolved safety obligations.</w:t>
            </w:r>
          </w:p>
        </w:tc>
      </w:tr>
      <w:tr>
        <w:tc>
          <w:tcPr>
            <w:tcW w:type="dxa" w:w="5112"/>
            <w:vAlign w:val="center"/>
            <w:shd w:fill="EEF4F8"/>
          </w:tcPr>
          <w:p>
            <w:pPr>
              <w:spacing w:after="0"/>
            </w:pPr>
            <w:r/>
            <w:r>
              <w:rPr>
                <w:rFonts w:ascii="Arial" w:hAnsi="Arial"/>
                <w:b w:val="0"/>
                <w:sz w:val="16"/>
              </w:rPr>
              <w:t>Delivery</w:t>
            </w:r>
          </w:p>
        </w:tc>
        <w:tc>
          <w:tcPr>
            <w:tcW w:type="dxa" w:w="5112"/>
            <w:vAlign w:val="center"/>
            <w:shd w:fill="EEF4F8"/>
          </w:tcPr>
          <w:p>
            <w:pPr>
              <w:spacing w:after="0"/>
            </w:pPr>
            <w:r/>
            <w:r>
              <w:rPr>
                <w:rFonts w:ascii="Arial" w:hAnsi="Arial"/>
                <w:b w:val="0"/>
                <w:sz w:val="16"/>
              </w:rPr>
              <w:t>Atomic episode closure and baby creation; duplicate protected; delivered record becomes read-only.</w:t>
            </w:r>
          </w:p>
        </w:tc>
      </w:tr>
      <w:tr>
        <w:tc>
          <w:tcPr>
            <w:tcW w:type="dxa" w:w="5112"/>
            <w:vAlign w:val="center"/>
          </w:tcPr>
          <w:p>
            <w:pPr>
              <w:spacing w:after="0"/>
            </w:pPr>
            <w:r/>
            <w:r>
              <w:rPr>
                <w:rFonts w:ascii="Arial" w:hAnsi="Arial"/>
                <w:b w:val="0"/>
                <w:sz w:val="16"/>
              </w:rPr>
              <w:t>New pregnancy</w:t>
            </w:r>
          </w:p>
        </w:tc>
        <w:tc>
          <w:tcPr>
            <w:tcW w:type="dxa" w:w="5112"/>
            <w:vAlign w:val="center"/>
          </w:tcPr>
          <w:p>
            <w:pPr>
              <w:spacing w:after="0"/>
            </w:pPr>
            <w:r/>
            <w:r>
              <w:rPr>
                <w:rFonts w:ascii="Arial" w:hAnsi="Arial"/>
                <w:b w:val="0"/>
                <w:sz w:val="16"/>
              </w:rPr>
              <w:t>Authorized explicit command creates a new episode; prior pregnancy and assessments remain unchanged.</w:t>
            </w:r>
          </w:p>
        </w:tc>
      </w:tr>
      <w:tr>
        <w:tc>
          <w:tcPr>
            <w:tcW w:type="dxa" w:w="5112"/>
            <w:vAlign w:val="center"/>
            <w:shd w:fill="EEF4F8"/>
          </w:tcPr>
          <w:p>
            <w:pPr>
              <w:spacing w:after="0"/>
            </w:pPr>
            <w:r/>
            <w:r>
              <w:rPr>
                <w:rFonts w:ascii="Arial" w:hAnsi="Arial"/>
                <w:b w:val="0"/>
                <w:sz w:val="16"/>
              </w:rPr>
              <w:t>Export/print</w:t>
            </w:r>
          </w:p>
        </w:tc>
        <w:tc>
          <w:tcPr>
            <w:tcW w:type="dxa" w:w="5112"/>
            <w:vAlign w:val="center"/>
            <w:shd w:fill="EEF4F8"/>
          </w:tcPr>
          <w:p>
            <w:pPr>
              <w:spacing w:after="0"/>
            </w:pPr>
            <w:r/>
            <w:r>
              <w:rPr>
                <w:rFonts w:ascii="Arial" w:hAnsi="Arial"/>
                <w:b w:val="0"/>
                <w:sz w:val="16"/>
              </w:rPr>
              <w:t>Minimum necessary, authorized, watermarked/confidential where appropriate, logged, and securely handled after use.</w:t>
            </w:r>
          </w:p>
        </w:tc>
      </w:tr>
    </w:tbl>
    <w:p>
      <w:pPr>
        <w:spacing w:after="0"/>
      </w:pPr>
    </w:p>
    <w:p>
      <w:pPr>
        <w:pStyle w:val="Heading1"/>
        <w:keepNext/>
      </w:pPr>
      <w:r>
        <w:rPr>
          <w:rFonts w:ascii="Arial" w:hAnsi="Arial"/>
        </w:rPr>
        <w:t>14. Availability, Downtime, and Recovery</w:t>
      </w:r>
    </w:p>
    <w:p>
      <w:pPr>
        <w:spacing w:after="100" w:line="259" w:lineRule="auto"/>
      </w:pPr>
      <w:r>
        <w:rPr>
          <w:rFonts w:ascii="Arial" w:hAnsi="Arial"/>
          <w:sz w:val="18"/>
        </w:rPr>
        <w:t>Patient safety requires continuity even when the application, database, Python environment, electricity, network, email, or printer is unavailable. The clinic maintains a simple paper/manual downtime package for urgent assessment, referral contacts, transport, handover, patient counseling, and later reconciliation.</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Scenario</w:t>
            </w:r>
          </w:p>
        </w:tc>
        <w:tc>
          <w:tcPr>
            <w:tcW w:type="dxa" w:w="5112"/>
            <w:vAlign w:val="center"/>
            <w:shd w:fill="1F4E78"/>
          </w:tcPr>
          <w:p>
            <w:pPr>
              <w:spacing w:after="0"/>
            </w:pPr>
            <w:r/>
            <w:r>
              <w:rPr>
                <w:rFonts w:ascii="Arial" w:hAnsi="Arial"/>
                <w:b/>
                <w:color w:val="FFFFFF"/>
                <w:sz w:val="17"/>
              </w:rPr>
              <w:t>Safe response</w:t>
            </w:r>
          </w:p>
        </w:tc>
      </w:tr>
      <w:tr>
        <w:tc>
          <w:tcPr>
            <w:tcW w:type="dxa" w:w="5112"/>
            <w:vAlign w:val="center"/>
          </w:tcPr>
          <w:p>
            <w:pPr>
              <w:spacing w:after="0"/>
            </w:pPr>
            <w:r/>
            <w:r>
              <w:rPr>
                <w:rFonts w:ascii="Arial" w:hAnsi="Arial"/>
                <w:b w:val="0"/>
                <w:sz w:val="16"/>
              </w:rPr>
              <w:t>Application unavailable</w:t>
            </w:r>
          </w:p>
        </w:tc>
        <w:tc>
          <w:tcPr>
            <w:tcW w:type="dxa" w:w="5112"/>
            <w:vAlign w:val="center"/>
          </w:tcPr>
          <w:p>
            <w:pPr>
              <w:spacing w:after="0"/>
            </w:pPr>
            <w:r/>
            <w:r>
              <w:rPr>
                <w:rFonts w:ascii="Arial" w:hAnsi="Arial"/>
                <w:b w:val="0"/>
                <w:sz w:val="16"/>
              </w:rPr>
              <w:t>Use approved downtime forms; do not delay emergency evaluation/referral; record time, actor, patient, observations, action, and later reconciliation.</w:t>
            </w:r>
          </w:p>
        </w:tc>
      </w:tr>
      <w:tr>
        <w:tc>
          <w:tcPr>
            <w:tcW w:type="dxa" w:w="5112"/>
            <w:vAlign w:val="center"/>
            <w:shd w:fill="EEF4F8"/>
          </w:tcPr>
          <w:p>
            <w:pPr>
              <w:spacing w:after="0"/>
            </w:pPr>
            <w:r/>
            <w:r>
              <w:rPr>
                <w:rFonts w:ascii="Arial" w:hAnsi="Arial"/>
                <w:b w:val="0"/>
                <w:sz w:val="16"/>
              </w:rPr>
              <w:t>Python unavailable</w:t>
            </w:r>
          </w:p>
        </w:tc>
        <w:tc>
          <w:tcPr>
            <w:tcW w:type="dxa" w:w="5112"/>
            <w:vAlign w:val="center"/>
            <w:shd w:fill="EEF4F8"/>
          </w:tcPr>
          <w:p>
            <w:pPr>
              <w:spacing w:after="0"/>
            </w:pPr>
            <w:r/>
            <w:r>
              <w:rPr>
                <w:rFonts w:ascii="Arial" w:hAnsi="Arial"/>
                <w:b w:val="0"/>
                <w:sz w:val="16"/>
              </w:rPr>
              <w:t>Apply deterministic HIGH rules; otherwise mark assessment incomplete and continue manual clinical review.</w:t>
            </w:r>
          </w:p>
        </w:tc>
      </w:tr>
      <w:tr>
        <w:tc>
          <w:tcPr>
            <w:tcW w:type="dxa" w:w="5112"/>
            <w:vAlign w:val="center"/>
          </w:tcPr>
          <w:p>
            <w:pPr>
              <w:spacing w:after="0"/>
            </w:pPr>
            <w:r/>
            <w:r>
              <w:rPr>
                <w:rFonts w:ascii="Arial" w:hAnsi="Arial"/>
                <w:b w:val="0"/>
                <w:sz w:val="16"/>
              </w:rPr>
              <w:t>Database unavailable</w:t>
            </w:r>
          </w:p>
        </w:tc>
        <w:tc>
          <w:tcPr>
            <w:tcW w:type="dxa" w:w="5112"/>
            <w:vAlign w:val="center"/>
          </w:tcPr>
          <w:p>
            <w:pPr>
              <w:spacing w:after="0"/>
            </w:pPr>
            <w:r/>
            <w:r>
              <w:rPr>
                <w:rFonts w:ascii="Arial" w:hAnsi="Arial"/>
                <w:b w:val="0"/>
                <w:sz w:val="16"/>
              </w:rPr>
              <w:t>Do not pretend writes succeeded; use downtime record and reconcile through dual review after recovery.</w:t>
            </w:r>
          </w:p>
        </w:tc>
      </w:tr>
      <w:tr>
        <w:tc>
          <w:tcPr>
            <w:tcW w:type="dxa" w:w="5112"/>
            <w:vAlign w:val="center"/>
            <w:shd w:fill="EEF4F8"/>
          </w:tcPr>
          <w:p>
            <w:pPr>
              <w:spacing w:after="0"/>
            </w:pPr>
            <w:r/>
            <w:r>
              <w:rPr>
                <w:rFonts w:ascii="Arial" w:hAnsi="Arial"/>
                <w:b w:val="0"/>
                <w:sz w:val="16"/>
              </w:rPr>
              <w:t>Email unavailable</w:t>
            </w:r>
          </w:p>
        </w:tc>
        <w:tc>
          <w:tcPr>
            <w:tcW w:type="dxa" w:w="5112"/>
            <w:vAlign w:val="center"/>
            <w:shd w:fill="EEF4F8"/>
          </w:tcPr>
          <w:p>
            <w:pPr>
              <w:spacing w:after="0"/>
            </w:pPr>
            <w:r/>
            <w:r>
              <w:rPr>
                <w:rFonts w:ascii="Arial" w:hAnsi="Arial"/>
                <w:b w:val="0"/>
                <w:sz w:val="16"/>
              </w:rPr>
              <w:t>Display/print or communicate through approved alternative; referral state remains unresolved until documented handover.</w:t>
            </w:r>
          </w:p>
        </w:tc>
      </w:tr>
      <w:tr>
        <w:tc>
          <w:tcPr>
            <w:tcW w:type="dxa" w:w="5112"/>
            <w:vAlign w:val="center"/>
          </w:tcPr>
          <w:p>
            <w:pPr>
              <w:spacing w:after="0"/>
            </w:pPr>
            <w:r/>
            <w:r>
              <w:rPr>
                <w:rFonts w:ascii="Arial" w:hAnsi="Arial"/>
                <w:b w:val="0"/>
                <w:sz w:val="16"/>
              </w:rPr>
              <w:t>Suspected compromise</w:t>
            </w:r>
          </w:p>
        </w:tc>
        <w:tc>
          <w:tcPr>
            <w:tcW w:type="dxa" w:w="5112"/>
            <w:vAlign w:val="center"/>
          </w:tcPr>
          <w:p>
            <w:pPr>
              <w:spacing w:after="0"/>
            </w:pPr>
            <w:r/>
            <w:r>
              <w:rPr>
                <w:rFonts w:ascii="Arial" w:hAnsi="Arial"/>
                <w:b w:val="0"/>
                <w:sz w:val="16"/>
              </w:rPr>
              <w:t>Contain affected system, preserve evidence, switch to downtime, restrict access, assess breach and patient-safety impact.</w:t>
            </w:r>
          </w:p>
        </w:tc>
      </w:tr>
      <w:tr>
        <w:tc>
          <w:tcPr>
            <w:tcW w:type="dxa" w:w="5112"/>
            <w:vAlign w:val="center"/>
            <w:shd w:fill="EEF4F8"/>
          </w:tcPr>
          <w:p>
            <w:pPr>
              <w:spacing w:after="0"/>
            </w:pPr>
            <w:r/>
            <w:r>
              <w:rPr>
                <w:rFonts w:ascii="Arial" w:hAnsi="Arial"/>
                <w:b w:val="0"/>
                <w:sz w:val="16"/>
              </w:rPr>
              <w:t>Backup restore</w:t>
            </w:r>
          </w:p>
        </w:tc>
        <w:tc>
          <w:tcPr>
            <w:tcW w:type="dxa" w:w="5112"/>
            <w:vAlign w:val="center"/>
            <w:shd w:fill="EEF4F8"/>
          </w:tcPr>
          <w:p>
            <w:pPr>
              <w:spacing w:after="0"/>
            </w:pPr>
            <w:r/>
            <w:r>
              <w:rPr>
                <w:rFonts w:ascii="Arial" w:hAnsi="Arial"/>
                <w:b w:val="0"/>
                <w:sz w:val="16"/>
              </w:rPr>
              <w:t>Restore to known-good environment, validate integrity and versions, reconcile downtime records, obtain approval before return to service.</w:t>
            </w:r>
          </w:p>
        </w:tc>
      </w:tr>
    </w:tbl>
    <w:p>
      <w:pPr>
        <w:spacing w:after="0"/>
      </w:pPr>
    </w:p>
    <w:p>
      <w:pPr>
        <w:pStyle w:val="Heading1"/>
        <w:keepNext/>
      </w:pPr>
      <w:r>
        <w:rPr>
          <w:rFonts w:ascii="Arial" w:hAnsi="Arial"/>
        </w:rPr>
        <w:t>15. Incident Response and Personal Data Breach Process</w:t>
      </w:r>
    </w:p>
    <w:p>
      <w:pPr>
        <w:pStyle w:val="ListNumber"/>
        <w:spacing w:after="40"/>
      </w:pPr>
      <w:r>
        <w:rPr>
          <w:rFonts w:ascii="Arial" w:hAnsi="Arial"/>
          <w:sz w:val="18"/>
        </w:rPr>
        <w:t>Detect and record the event without exposing more sensitive data.</w:t>
      </w:r>
    </w:p>
    <w:p>
      <w:pPr>
        <w:pStyle w:val="ListNumber"/>
        <w:spacing w:after="40"/>
      </w:pPr>
      <w:r>
        <w:rPr>
          <w:rFonts w:ascii="Arial" w:hAnsi="Arial"/>
          <w:sz w:val="18"/>
        </w:rPr>
        <w:t>Triage severity: confidentiality, integrity, availability, clinical safety, affected patients, and ongoing threat.</w:t>
      </w:r>
    </w:p>
    <w:p>
      <w:pPr>
        <w:pStyle w:val="ListNumber"/>
        <w:spacing w:after="40"/>
      </w:pPr>
      <w:r>
        <w:rPr>
          <w:rFonts w:ascii="Arial" w:hAnsi="Arial"/>
          <w:sz w:val="18"/>
        </w:rPr>
        <w:t>Contain: disable accounts, isolate device/service, revoke tokens, block network path, stop unsafe processing, or switch to downtime.</w:t>
      </w:r>
    </w:p>
    <w:p>
      <w:pPr>
        <w:pStyle w:val="ListNumber"/>
        <w:spacing w:after="40"/>
      </w:pPr>
      <w:r>
        <w:rPr>
          <w:rFonts w:ascii="Arial" w:hAnsi="Arial"/>
          <w:sz w:val="18"/>
        </w:rPr>
        <w:t>Preserve evidence: logs, versions, timestamps, hashes, affected records, commands, and responsible handlers.</w:t>
      </w:r>
    </w:p>
    <w:p>
      <w:pPr>
        <w:pStyle w:val="ListNumber"/>
        <w:spacing w:after="40"/>
      </w:pPr>
      <w:r>
        <w:rPr>
          <w:rFonts w:ascii="Arial" w:hAnsi="Arial"/>
          <w:sz w:val="18"/>
        </w:rPr>
        <w:t>Eradicate and recover from a known-good state; rotate compromised secrets and validate clinical data/model integrity.</w:t>
      </w:r>
    </w:p>
    <w:p>
      <w:pPr>
        <w:pStyle w:val="ListNumber"/>
        <w:spacing w:after="40"/>
      </w:pPr>
      <w:r>
        <w:rPr>
          <w:rFonts w:ascii="Arial" w:hAnsi="Arial"/>
          <w:sz w:val="18"/>
        </w:rPr>
        <w:t>Assess notification and reporting duties with the DPO/clinic leadership under applicable Philippine privacy rules and local policy.</w:t>
      </w:r>
    </w:p>
    <w:p>
      <w:pPr>
        <w:pStyle w:val="ListNumber"/>
        <w:spacing w:after="40"/>
      </w:pPr>
      <w:r>
        <w:rPr>
          <w:rFonts w:ascii="Arial" w:hAnsi="Arial"/>
          <w:sz w:val="18"/>
        </w:rPr>
        <w:t>Reconcile missed clinical workflows, reassess affected decisions, contact patients/receiving facilities where necessary, and document corrective action.</w:t>
      </w:r>
    </w:p>
    <w:p>
      <w:pPr>
        <w:pStyle w:val="ListNumber"/>
        <w:spacing w:after="40"/>
      </w:pPr>
      <w:r>
        <w:rPr>
          <w:rFonts w:ascii="Arial" w:hAnsi="Arial"/>
          <w:sz w:val="18"/>
        </w:rPr>
        <w:t>Complete post-incident review, root-cause analysis, control improvement, revalidation, and closure approval.</w:t>
      </w:r>
    </w:p>
    <w:p>
      <w:pPr>
        <w:pStyle w:val="Heading1"/>
        <w:keepNext/>
      </w:pPr>
      <w:r>
        <w:rPr>
          <w:rFonts w:ascii="Arial" w:hAnsi="Arial"/>
        </w:rPr>
        <w:t>16. Secure Development and Release Architecture</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Lifecycle area</w:t>
            </w:r>
          </w:p>
        </w:tc>
        <w:tc>
          <w:tcPr>
            <w:tcW w:type="dxa" w:w="5112"/>
            <w:vAlign w:val="center"/>
            <w:shd w:fill="1F4E78"/>
          </w:tcPr>
          <w:p>
            <w:pPr>
              <w:spacing w:after="0"/>
            </w:pPr>
            <w:r/>
            <w:r>
              <w:rPr>
                <w:rFonts w:ascii="Arial" w:hAnsi="Arial"/>
                <w:b/>
                <w:color w:val="FFFFFF"/>
                <w:sz w:val="17"/>
              </w:rPr>
              <w:t>Required practice</w:t>
            </w:r>
          </w:p>
        </w:tc>
      </w:tr>
      <w:tr>
        <w:tc>
          <w:tcPr>
            <w:tcW w:type="dxa" w:w="5112"/>
            <w:vAlign w:val="center"/>
          </w:tcPr>
          <w:p>
            <w:pPr>
              <w:spacing w:after="0"/>
            </w:pPr>
            <w:r/>
            <w:r>
              <w:rPr>
                <w:rFonts w:ascii="Arial" w:hAnsi="Arial"/>
                <w:b w:val="0"/>
                <w:sz w:val="16"/>
              </w:rPr>
              <w:t>Requirements</w:t>
            </w:r>
          </w:p>
        </w:tc>
        <w:tc>
          <w:tcPr>
            <w:tcW w:type="dxa" w:w="5112"/>
            <w:vAlign w:val="center"/>
          </w:tcPr>
          <w:p>
            <w:pPr>
              <w:spacing w:after="0"/>
            </w:pPr>
            <w:r/>
            <w:r>
              <w:rPr>
                <w:rFonts w:ascii="Arial" w:hAnsi="Arial"/>
                <w:b w:val="0"/>
                <w:sz w:val="16"/>
              </w:rPr>
              <w:t>Security/privacy acceptance criteria and abuse cases accompany clinical and functional requirements.</w:t>
            </w:r>
          </w:p>
        </w:tc>
      </w:tr>
      <w:tr>
        <w:tc>
          <w:tcPr>
            <w:tcW w:type="dxa" w:w="5112"/>
            <w:vAlign w:val="center"/>
            <w:shd w:fill="EEF4F8"/>
          </w:tcPr>
          <w:p>
            <w:pPr>
              <w:spacing w:after="0"/>
            </w:pPr>
            <w:r/>
            <w:r>
              <w:rPr>
                <w:rFonts w:ascii="Arial" w:hAnsi="Arial"/>
                <w:b w:val="0"/>
                <w:sz w:val="16"/>
              </w:rPr>
              <w:t>Design</w:t>
            </w:r>
          </w:p>
        </w:tc>
        <w:tc>
          <w:tcPr>
            <w:tcW w:type="dxa" w:w="5112"/>
            <w:vAlign w:val="center"/>
            <w:shd w:fill="EEF4F8"/>
          </w:tcPr>
          <w:p>
            <w:pPr>
              <w:spacing w:after="0"/>
            </w:pPr>
            <w:r/>
            <w:r>
              <w:rPr>
                <w:rFonts w:ascii="Arial" w:hAnsi="Arial"/>
                <w:b w:val="0"/>
                <w:sz w:val="16"/>
              </w:rPr>
              <w:t>Threat model trust boundaries, sensitive data, privileges, failure modes, and downtime before implementation.</w:t>
            </w:r>
          </w:p>
        </w:tc>
      </w:tr>
      <w:tr>
        <w:tc>
          <w:tcPr>
            <w:tcW w:type="dxa" w:w="5112"/>
            <w:vAlign w:val="center"/>
          </w:tcPr>
          <w:p>
            <w:pPr>
              <w:spacing w:after="0"/>
            </w:pPr>
            <w:r/>
            <w:r>
              <w:rPr>
                <w:rFonts w:ascii="Arial" w:hAnsi="Arial"/>
                <w:b w:val="0"/>
                <w:sz w:val="16"/>
              </w:rPr>
              <w:t>Source control</w:t>
            </w:r>
          </w:p>
        </w:tc>
        <w:tc>
          <w:tcPr>
            <w:tcW w:type="dxa" w:w="5112"/>
            <w:vAlign w:val="center"/>
          </w:tcPr>
          <w:p>
            <w:pPr>
              <w:spacing w:after="0"/>
            </w:pPr>
            <w:r/>
            <w:r>
              <w:rPr>
                <w:rFonts w:ascii="Arial" w:hAnsi="Arial"/>
                <w:b w:val="0"/>
                <w:sz w:val="16"/>
              </w:rPr>
              <w:t>Private repository, named accounts, protected main branch/tag, peer review, no secrets or patient data.</w:t>
            </w:r>
          </w:p>
        </w:tc>
      </w:tr>
      <w:tr>
        <w:tc>
          <w:tcPr>
            <w:tcW w:type="dxa" w:w="5112"/>
            <w:vAlign w:val="center"/>
            <w:shd w:fill="EEF4F8"/>
          </w:tcPr>
          <w:p>
            <w:pPr>
              <w:spacing w:after="0"/>
            </w:pPr>
            <w:r/>
            <w:r>
              <w:rPr>
                <w:rFonts w:ascii="Arial" w:hAnsi="Arial"/>
                <w:b w:val="0"/>
                <w:sz w:val="16"/>
              </w:rPr>
              <w:t>Dependencies</w:t>
            </w:r>
          </w:p>
        </w:tc>
        <w:tc>
          <w:tcPr>
            <w:tcW w:type="dxa" w:w="5112"/>
            <w:vAlign w:val="center"/>
            <w:shd w:fill="EEF4F8"/>
          </w:tcPr>
          <w:p>
            <w:pPr>
              <w:spacing w:after="0"/>
            </w:pPr>
            <w:r/>
            <w:r>
              <w:rPr>
                <w:rFonts w:ascii="Arial" w:hAnsi="Arial"/>
                <w:b w:val="0"/>
                <w:sz w:val="16"/>
              </w:rPr>
              <w:t>Lock files, trusted sources, vulnerability review, license review, and tested upgrades.</w:t>
            </w:r>
          </w:p>
        </w:tc>
      </w:tr>
      <w:tr>
        <w:tc>
          <w:tcPr>
            <w:tcW w:type="dxa" w:w="5112"/>
            <w:vAlign w:val="center"/>
          </w:tcPr>
          <w:p>
            <w:pPr>
              <w:spacing w:after="0"/>
            </w:pPr>
            <w:r/>
            <w:r>
              <w:rPr>
                <w:rFonts w:ascii="Arial" w:hAnsi="Arial"/>
                <w:b w:val="0"/>
                <w:sz w:val="16"/>
              </w:rPr>
              <w:t>Static/dynamic testing</w:t>
            </w:r>
          </w:p>
        </w:tc>
        <w:tc>
          <w:tcPr>
            <w:tcW w:type="dxa" w:w="5112"/>
            <w:vAlign w:val="center"/>
          </w:tcPr>
          <w:p>
            <w:pPr>
              <w:spacing w:after="0"/>
            </w:pPr>
            <w:r/>
            <w:r>
              <w:rPr>
                <w:rFonts w:ascii="Arial" w:hAnsi="Arial"/>
                <w:b w:val="0"/>
                <w:sz w:val="16"/>
              </w:rPr>
              <w:t>Linting, dependency audit, unit/feature authorization tests, injection tests, upload tests, session tests, and security scan where feasible.</w:t>
            </w:r>
          </w:p>
        </w:tc>
      </w:tr>
      <w:tr>
        <w:tc>
          <w:tcPr>
            <w:tcW w:type="dxa" w:w="5112"/>
            <w:vAlign w:val="center"/>
            <w:shd w:fill="EEF4F8"/>
          </w:tcPr>
          <w:p>
            <w:pPr>
              <w:spacing w:after="0"/>
            </w:pPr>
            <w:r/>
            <w:r>
              <w:rPr>
                <w:rFonts w:ascii="Arial" w:hAnsi="Arial"/>
                <w:b w:val="0"/>
                <w:sz w:val="16"/>
              </w:rPr>
              <w:t>Test data</w:t>
            </w:r>
          </w:p>
        </w:tc>
        <w:tc>
          <w:tcPr>
            <w:tcW w:type="dxa" w:w="5112"/>
            <w:vAlign w:val="center"/>
            <w:shd w:fill="EEF4F8"/>
          </w:tcPr>
          <w:p>
            <w:pPr>
              <w:spacing w:after="0"/>
            </w:pPr>
            <w:r/>
            <w:r>
              <w:rPr>
                <w:rFonts w:ascii="Arial" w:hAnsi="Arial"/>
                <w:b w:val="0"/>
                <w:sz w:val="16"/>
              </w:rPr>
              <w:t>Synthetic or properly de-identified data; production records are not copied into developer laptops without authorization and safeguards.</w:t>
            </w:r>
          </w:p>
        </w:tc>
      </w:tr>
      <w:tr>
        <w:tc>
          <w:tcPr>
            <w:tcW w:type="dxa" w:w="5112"/>
            <w:vAlign w:val="center"/>
          </w:tcPr>
          <w:p>
            <w:pPr>
              <w:spacing w:after="0"/>
            </w:pPr>
            <w:r/>
            <w:r>
              <w:rPr>
                <w:rFonts w:ascii="Arial" w:hAnsi="Arial"/>
                <w:b w:val="0"/>
                <w:sz w:val="16"/>
              </w:rPr>
              <w:t>Build/release</w:t>
            </w:r>
          </w:p>
        </w:tc>
        <w:tc>
          <w:tcPr>
            <w:tcW w:type="dxa" w:w="5112"/>
            <w:vAlign w:val="center"/>
          </w:tcPr>
          <w:p>
            <w:pPr>
              <w:spacing w:after="0"/>
            </w:pPr>
            <w:r/>
            <w:r>
              <w:rPr>
                <w:rFonts w:ascii="Arial" w:hAnsi="Arial"/>
                <w:b w:val="0"/>
                <w:sz w:val="16"/>
              </w:rPr>
              <w:t>Reproducible package, versioned migrations/rules/model/templates, hashes, release approval, backup, rollback plan.</w:t>
            </w:r>
          </w:p>
        </w:tc>
      </w:tr>
      <w:tr>
        <w:tc>
          <w:tcPr>
            <w:tcW w:type="dxa" w:w="5112"/>
            <w:vAlign w:val="center"/>
            <w:shd w:fill="EEF4F8"/>
          </w:tcPr>
          <w:p>
            <w:pPr>
              <w:spacing w:after="0"/>
            </w:pPr>
            <w:r/>
            <w:r>
              <w:rPr>
                <w:rFonts w:ascii="Arial" w:hAnsi="Arial"/>
                <w:b w:val="0"/>
                <w:sz w:val="16"/>
              </w:rPr>
              <w:t>Deployment</w:t>
            </w:r>
          </w:p>
        </w:tc>
        <w:tc>
          <w:tcPr>
            <w:tcW w:type="dxa" w:w="5112"/>
            <w:vAlign w:val="center"/>
            <w:shd w:fill="EEF4F8"/>
          </w:tcPr>
          <w:p>
            <w:pPr>
              <w:spacing w:after="0"/>
            </w:pPr>
            <w:r/>
            <w:r>
              <w:rPr>
                <w:rFonts w:ascii="Arial" w:hAnsi="Arial"/>
                <w:b w:val="0"/>
                <w:sz w:val="16"/>
              </w:rPr>
              <w:t>Debug off, HTTPS, restricted permissions, production secrets, health checks, backups, scheduler/queue supervision.</w:t>
            </w:r>
          </w:p>
        </w:tc>
      </w:tr>
      <w:tr>
        <w:tc>
          <w:tcPr>
            <w:tcW w:type="dxa" w:w="5112"/>
            <w:vAlign w:val="center"/>
          </w:tcPr>
          <w:p>
            <w:pPr>
              <w:spacing w:after="0"/>
            </w:pPr>
            <w:r/>
            <w:r>
              <w:rPr>
                <w:rFonts w:ascii="Arial" w:hAnsi="Arial"/>
                <w:b w:val="0"/>
                <w:sz w:val="16"/>
              </w:rPr>
              <w:t>Change control</w:t>
            </w:r>
          </w:p>
        </w:tc>
        <w:tc>
          <w:tcPr>
            <w:tcW w:type="dxa" w:w="5112"/>
            <w:vAlign w:val="center"/>
          </w:tcPr>
          <w:p>
            <w:pPr>
              <w:spacing w:after="0"/>
            </w:pPr>
            <w:r/>
            <w:r>
              <w:rPr>
                <w:rFonts w:ascii="Arial" w:hAnsi="Arial"/>
                <w:b w:val="0"/>
                <w:sz w:val="16"/>
              </w:rPr>
              <w:t>Security-impact review and revalidation for authentication, authorization, schema, model, subprocess, export, retention, or integration changes.</w:t>
            </w:r>
          </w:p>
        </w:tc>
      </w:tr>
    </w:tbl>
    <w:p>
      <w:pPr>
        <w:spacing w:after="0"/>
      </w:pPr>
    </w:p>
    <w:p>
      <w:pPr>
        <w:pStyle w:val="Heading1"/>
        <w:keepNext/>
      </w:pPr>
      <w:r>
        <w:rPr>
          <w:rFonts w:ascii="Arial" w:hAnsi="Arial"/>
        </w:rPr>
        <w:t>17. Laravel Implementation Map</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Concern</w:t>
            </w:r>
          </w:p>
        </w:tc>
        <w:tc>
          <w:tcPr>
            <w:tcW w:type="dxa" w:w="5112"/>
            <w:vAlign w:val="center"/>
            <w:shd w:fill="1F4E78"/>
          </w:tcPr>
          <w:p>
            <w:pPr>
              <w:spacing w:after="0"/>
            </w:pPr>
            <w:r/>
            <w:r>
              <w:rPr>
                <w:rFonts w:ascii="Arial" w:hAnsi="Arial"/>
                <w:b/>
                <w:color w:val="FFFFFF"/>
                <w:sz w:val="17"/>
              </w:rPr>
              <w:t>Recommended Laravel implementation</w:t>
            </w:r>
          </w:p>
        </w:tc>
      </w:tr>
      <w:tr>
        <w:tc>
          <w:tcPr>
            <w:tcW w:type="dxa" w:w="5112"/>
            <w:vAlign w:val="center"/>
          </w:tcPr>
          <w:p>
            <w:pPr>
              <w:spacing w:after="0"/>
            </w:pPr>
            <w:r/>
            <w:r>
              <w:rPr>
                <w:rFonts w:ascii="Arial" w:hAnsi="Arial"/>
                <w:b w:val="0"/>
                <w:sz w:val="16"/>
              </w:rPr>
              <w:t>Authentication</w:t>
            </w:r>
          </w:p>
        </w:tc>
        <w:tc>
          <w:tcPr>
            <w:tcW w:type="dxa" w:w="5112"/>
            <w:vAlign w:val="center"/>
          </w:tcPr>
          <w:p>
            <w:pPr>
              <w:spacing w:after="0"/>
            </w:pPr>
            <w:r/>
            <w:r>
              <w:rPr>
                <w:rFonts w:ascii="Arial" w:hAnsi="Arial"/>
                <w:b w:val="0"/>
                <w:sz w:val="16"/>
              </w:rPr>
              <w:t>Framework authentication guard, login throttling, password confirmation, session regeneration, auth events.</w:t>
            </w:r>
          </w:p>
        </w:tc>
      </w:tr>
      <w:tr>
        <w:tc>
          <w:tcPr>
            <w:tcW w:type="dxa" w:w="5112"/>
            <w:vAlign w:val="center"/>
            <w:shd w:fill="EEF4F8"/>
          </w:tcPr>
          <w:p>
            <w:pPr>
              <w:spacing w:after="0"/>
            </w:pPr>
            <w:r/>
            <w:r>
              <w:rPr>
                <w:rFonts w:ascii="Arial" w:hAnsi="Arial"/>
                <w:b w:val="0"/>
                <w:sz w:val="16"/>
              </w:rPr>
              <w:t>Authorization</w:t>
            </w:r>
          </w:p>
        </w:tc>
        <w:tc>
          <w:tcPr>
            <w:tcW w:type="dxa" w:w="5112"/>
            <w:vAlign w:val="center"/>
            <w:shd w:fill="EEF4F8"/>
          </w:tcPr>
          <w:p>
            <w:pPr>
              <w:spacing w:after="0"/>
            </w:pPr>
            <w:r/>
            <w:r>
              <w:rPr>
                <w:rFonts w:ascii="Arial" w:hAnsi="Arial"/>
                <w:b w:val="0"/>
                <w:sz w:val="16"/>
              </w:rPr>
              <w:t>Policies for Patient, PregnancyEpisode, PrenatalVisit, MedicalHistory, Ultrasound, BirthPlan, Assessment, Referral, Delivery/Baby, Audit, User.</w:t>
            </w:r>
          </w:p>
        </w:tc>
      </w:tr>
      <w:tr>
        <w:tc>
          <w:tcPr>
            <w:tcW w:type="dxa" w:w="5112"/>
            <w:vAlign w:val="center"/>
          </w:tcPr>
          <w:p>
            <w:pPr>
              <w:spacing w:after="0"/>
            </w:pPr>
            <w:r/>
            <w:r>
              <w:rPr>
                <w:rFonts w:ascii="Arial" w:hAnsi="Arial"/>
                <w:b w:val="0"/>
                <w:sz w:val="16"/>
              </w:rPr>
              <w:t>Validation</w:t>
            </w:r>
          </w:p>
        </w:tc>
        <w:tc>
          <w:tcPr>
            <w:tcW w:type="dxa" w:w="5112"/>
            <w:vAlign w:val="center"/>
          </w:tcPr>
          <w:p>
            <w:pPr>
              <w:spacing w:after="0"/>
            </w:pPr>
            <w:r/>
            <w:r>
              <w:rPr>
                <w:rFonts w:ascii="Arial" w:hAnsi="Arial"/>
                <w:b w:val="0"/>
                <w:sz w:val="16"/>
              </w:rPr>
              <w:t>Form Request classes plus domain/service assertions for ownership, episode state, required records, and transitions.</w:t>
            </w:r>
          </w:p>
        </w:tc>
      </w:tr>
      <w:tr>
        <w:tc>
          <w:tcPr>
            <w:tcW w:type="dxa" w:w="5112"/>
            <w:vAlign w:val="center"/>
            <w:shd w:fill="EEF4F8"/>
          </w:tcPr>
          <w:p>
            <w:pPr>
              <w:spacing w:after="0"/>
            </w:pPr>
            <w:r/>
            <w:r>
              <w:rPr>
                <w:rFonts w:ascii="Arial" w:hAnsi="Arial"/>
                <w:b w:val="0"/>
                <w:sz w:val="16"/>
              </w:rPr>
              <w:t>Clinical services</w:t>
            </w:r>
          </w:p>
        </w:tc>
        <w:tc>
          <w:tcPr>
            <w:tcW w:type="dxa" w:w="5112"/>
            <w:vAlign w:val="center"/>
            <w:shd w:fill="EEF4F8"/>
          </w:tcPr>
          <w:p>
            <w:pPr>
              <w:spacing w:after="0"/>
            </w:pPr>
            <w:r/>
            <w:r>
              <w:rPr>
                <w:rFonts w:ascii="Arial" w:hAnsi="Arial"/>
                <w:b w:val="0"/>
                <w:sz w:val="16"/>
              </w:rPr>
              <w:t>ClinicalDecisionService, ExplainabilityService, RecommendationService, WorkflowService; controllers remain thin.</w:t>
            </w:r>
          </w:p>
        </w:tc>
      </w:tr>
      <w:tr>
        <w:tc>
          <w:tcPr>
            <w:tcW w:type="dxa" w:w="5112"/>
            <w:vAlign w:val="center"/>
          </w:tcPr>
          <w:p>
            <w:pPr>
              <w:spacing w:after="0"/>
            </w:pPr>
            <w:r/>
            <w:r>
              <w:rPr>
                <w:rFonts w:ascii="Arial" w:hAnsi="Arial"/>
                <w:b w:val="0"/>
                <w:sz w:val="16"/>
              </w:rPr>
              <w:t>Audit</w:t>
            </w:r>
          </w:p>
        </w:tc>
        <w:tc>
          <w:tcPr>
            <w:tcW w:type="dxa" w:w="5112"/>
            <w:vAlign w:val="center"/>
          </w:tcPr>
          <w:p>
            <w:pPr>
              <w:spacing w:after="0"/>
            </w:pPr>
            <w:r/>
            <w:r>
              <w:rPr>
                <w:rFonts w:ascii="Arial" w:hAnsi="Arial"/>
                <w:b w:val="0"/>
                <w:sz w:val="16"/>
              </w:rPr>
              <w:t>Central AuditService invoked inside/with transactions, structured event catalogue, correlation middleware.</w:t>
            </w:r>
          </w:p>
        </w:tc>
      </w:tr>
      <w:tr>
        <w:tc>
          <w:tcPr>
            <w:tcW w:type="dxa" w:w="5112"/>
            <w:vAlign w:val="center"/>
            <w:shd w:fill="EEF4F8"/>
          </w:tcPr>
          <w:p>
            <w:pPr>
              <w:spacing w:after="0"/>
            </w:pPr>
            <w:r/>
            <w:r>
              <w:rPr>
                <w:rFonts w:ascii="Arial" w:hAnsi="Arial"/>
                <w:b w:val="0"/>
                <w:sz w:val="16"/>
              </w:rPr>
              <w:t>Rate limiting</w:t>
            </w:r>
          </w:p>
        </w:tc>
        <w:tc>
          <w:tcPr>
            <w:tcW w:type="dxa" w:w="5112"/>
            <w:vAlign w:val="center"/>
            <w:shd w:fill="EEF4F8"/>
          </w:tcPr>
          <w:p>
            <w:pPr>
              <w:spacing w:after="0"/>
            </w:pPr>
            <w:r/>
            <w:r>
              <w:rPr>
                <w:rFonts w:ascii="Arial" w:hAnsi="Arial"/>
                <w:b w:val="0"/>
                <w:sz w:val="16"/>
              </w:rPr>
              <w:t>Named limiters for login, reset, assessment, upload, export, email, and administration.</w:t>
            </w:r>
          </w:p>
        </w:tc>
      </w:tr>
      <w:tr>
        <w:tc>
          <w:tcPr>
            <w:tcW w:type="dxa" w:w="5112"/>
            <w:vAlign w:val="center"/>
          </w:tcPr>
          <w:p>
            <w:pPr>
              <w:spacing w:after="0"/>
            </w:pPr>
            <w:r/>
            <w:r>
              <w:rPr>
                <w:rFonts w:ascii="Arial" w:hAnsi="Arial"/>
                <w:b w:val="0"/>
                <w:sz w:val="16"/>
              </w:rPr>
              <w:t>Files</w:t>
            </w:r>
          </w:p>
        </w:tc>
        <w:tc>
          <w:tcPr>
            <w:tcW w:type="dxa" w:w="5112"/>
            <w:vAlign w:val="center"/>
          </w:tcPr>
          <w:p>
            <w:pPr>
              <w:spacing w:after="0"/>
            </w:pPr>
            <w:r/>
            <w:r>
              <w:rPr>
                <w:rFonts w:ascii="Arial" w:hAnsi="Arial"/>
                <w:b w:val="0"/>
                <w:sz w:val="16"/>
              </w:rPr>
              <w:t>Private disk, randomized path, metadata table, authorized download response.</w:t>
            </w:r>
          </w:p>
        </w:tc>
      </w:tr>
      <w:tr>
        <w:tc>
          <w:tcPr>
            <w:tcW w:type="dxa" w:w="5112"/>
            <w:vAlign w:val="center"/>
            <w:shd w:fill="EEF4F8"/>
          </w:tcPr>
          <w:p>
            <w:pPr>
              <w:spacing w:after="0"/>
            </w:pPr>
            <w:r/>
            <w:r>
              <w:rPr>
                <w:rFonts w:ascii="Arial" w:hAnsi="Arial"/>
                <w:b w:val="0"/>
                <w:sz w:val="16"/>
              </w:rPr>
              <w:t>Secrets</w:t>
            </w:r>
          </w:p>
        </w:tc>
        <w:tc>
          <w:tcPr>
            <w:tcW w:type="dxa" w:w="5112"/>
            <w:vAlign w:val="center"/>
            <w:shd w:fill="EEF4F8"/>
          </w:tcPr>
          <w:p>
            <w:pPr>
              <w:spacing w:after="0"/>
            </w:pPr>
            <w:r/>
            <w:r>
              <w:rPr>
                <w:rFonts w:ascii="Arial" w:hAnsi="Arial"/>
                <w:b w:val="0"/>
                <w:sz w:val="16"/>
              </w:rPr>
              <w:t>Environment/secret manager; config cache; no env display or debug exposure.</w:t>
            </w:r>
          </w:p>
        </w:tc>
      </w:tr>
      <w:tr>
        <w:tc>
          <w:tcPr>
            <w:tcW w:type="dxa" w:w="5112"/>
            <w:vAlign w:val="center"/>
          </w:tcPr>
          <w:p>
            <w:pPr>
              <w:spacing w:after="0"/>
            </w:pPr>
            <w:r/>
            <w:r>
              <w:rPr>
                <w:rFonts w:ascii="Arial" w:hAnsi="Arial"/>
                <w:b w:val="0"/>
                <w:sz w:val="16"/>
              </w:rPr>
              <w:t>Queues</w:t>
            </w:r>
          </w:p>
        </w:tc>
        <w:tc>
          <w:tcPr>
            <w:tcW w:type="dxa" w:w="5112"/>
            <w:vAlign w:val="center"/>
          </w:tcPr>
          <w:p>
            <w:pPr>
              <w:spacing w:after="0"/>
            </w:pPr>
            <w:r/>
            <w:r>
              <w:rPr>
                <w:rFonts w:ascii="Arial" w:hAnsi="Arial"/>
                <w:b w:val="0"/>
                <w:sz w:val="16"/>
              </w:rPr>
              <w:t>Dedicated worker identity, retry/idempotency policy, failed-job monitoring, minimum payload.</w:t>
            </w:r>
          </w:p>
        </w:tc>
      </w:tr>
      <w:tr>
        <w:tc>
          <w:tcPr>
            <w:tcW w:type="dxa" w:w="5112"/>
            <w:vAlign w:val="center"/>
            <w:shd w:fill="EEF4F8"/>
          </w:tcPr>
          <w:p>
            <w:pPr>
              <w:spacing w:after="0"/>
            </w:pPr>
            <w:r/>
            <w:r>
              <w:rPr>
                <w:rFonts w:ascii="Arial" w:hAnsi="Arial"/>
                <w:b w:val="0"/>
                <w:sz w:val="16"/>
              </w:rPr>
              <w:t>Security headers</w:t>
            </w:r>
          </w:p>
        </w:tc>
        <w:tc>
          <w:tcPr>
            <w:tcW w:type="dxa" w:w="5112"/>
            <w:vAlign w:val="center"/>
            <w:shd w:fill="EEF4F8"/>
          </w:tcPr>
          <w:p>
            <w:pPr>
              <w:spacing w:after="0"/>
            </w:pPr>
            <w:r/>
            <w:r>
              <w:rPr>
                <w:rFonts w:ascii="Arial" w:hAnsi="Arial"/>
                <w:b w:val="0"/>
                <w:sz w:val="16"/>
              </w:rPr>
              <w:t>Trusted proxy/host settings, HTTPS enforcement, middleware for headers and CSP rollout.</w:t>
            </w:r>
          </w:p>
        </w:tc>
      </w:tr>
    </w:tbl>
    <w:p>
      <w:pPr>
        <w:spacing w:after="0"/>
      </w:pPr>
    </w:p>
    <w:p>
      <w:pPr>
        <w:pStyle w:val="Heading1"/>
        <w:keepNext/>
      </w:pPr>
      <w:r>
        <w:rPr>
          <w:rFonts w:ascii="Arial" w:hAnsi="Arial"/>
        </w:rPr>
        <w:t>18. Security Verification Scenarios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7"/>
              </w:rPr>
              <w:t>ID</w:t>
            </w:r>
          </w:p>
        </w:tc>
        <w:tc>
          <w:tcPr>
            <w:tcW w:type="dxa" w:w="3408"/>
            <w:vAlign w:val="center"/>
            <w:shd w:fill="1F4E78"/>
          </w:tcPr>
          <w:p>
            <w:pPr>
              <w:spacing w:after="0"/>
            </w:pPr>
            <w:r/>
            <w:r>
              <w:rPr>
                <w:rFonts w:ascii="Arial" w:hAnsi="Arial"/>
                <w:b/>
                <w:color w:val="FFFFFF"/>
                <w:sz w:val="17"/>
              </w:rPr>
              <w:t>Test</w:t>
            </w:r>
          </w:p>
        </w:tc>
        <w:tc>
          <w:tcPr>
            <w:tcW w:type="dxa" w:w="3408"/>
            <w:vAlign w:val="center"/>
            <w:shd w:fill="1F4E78"/>
          </w:tcPr>
          <w:p>
            <w:pPr>
              <w:spacing w:after="0"/>
            </w:pPr>
            <w:r/>
            <w:r>
              <w:rPr>
                <w:rFonts w:ascii="Arial" w:hAnsi="Arial"/>
                <w:b/>
                <w:color w:val="FFFFFF"/>
                <w:sz w:val="17"/>
              </w:rPr>
              <w:t>Expected result</w:t>
            </w:r>
          </w:p>
        </w:tc>
      </w:tr>
      <w:tr>
        <w:tc>
          <w:tcPr>
            <w:tcW w:type="dxa" w:w="3408"/>
            <w:vAlign w:val="center"/>
          </w:tcPr>
          <w:p>
            <w:pPr>
              <w:spacing w:after="0"/>
            </w:pPr>
            <w:r/>
            <w:r>
              <w:rPr>
                <w:rFonts w:ascii="Arial" w:hAnsi="Arial"/>
                <w:b w:val="0"/>
                <w:sz w:val="15"/>
              </w:rPr>
              <w:t>SEC-01</w:t>
            </w:r>
          </w:p>
        </w:tc>
        <w:tc>
          <w:tcPr>
            <w:tcW w:type="dxa" w:w="3408"/>
            <w:vAlign w:val="center"/>
          </w:tcPr>
          <w:p>
            <w:pPr>
              <w:spacing w:after="0"/>
            </w:pPr>
            <w:r/>
            <w:r>
              <w:rPr>
                <w:rFonts w:ascii="Arial" w:hAnsi="Arial"/>
                <w:b w:val="0"/>
                <w:sz w:val="15"/>
              </w:rPr>
              <w:t>Unauthenticated request to patient profile</w:t>
            </w:r>
          </w:p>
        </w:tc>
        <w:tc>
          <w:tcPr>
            <w:tcW w:type="dxa" w:w="3408"/>
            <w:vAlign w:val="center"/>
          </w:tcPr>
          <w:p>
            <w:pPr>
              <w:spacing w:after="0"/>
            </w:pPr>
            <w:r/>
            <w:r>
              <w:rPr>
                <w:rFonts w:ascii="Arial" w:hAnsi="Arial"/>
                <w:b w:val="0"/>
                <w:sz w:val="15"/>
              </w:rPr>
              <w:t>Redirect/deny; no data returned.</w:t>
            </w:r>
          </w:p>
        </w:tc>
      </w:tr>
      <w:tr>
        <w:tc>
          <w:tcPr>
            <w:tcW w:type="dxa" w:w="3408"/>
            <w:vAlign w:val="center"/>
            <w:shd w:fill="EEF4F8"/>
          </w:tcPr>
          <w:p>
            <w:pPr>
              <w:spacing w:after="0"/>
            </w:pPr>
            <w:r/>
            <w:r>
              <w:rPr>
                <w:rFonts w:ascii="Arial" w:hAnsi="Arial"/>
                <w:b w:val="0"/>
                <w:sz w:val="15"/>
              </w:rPr>
              <w:t>SEC-02</w:t>
            </w:r>
          </w:p>
        </w:tc>
        <w:tc>
          <w:tcPr>
            <w:tcW w:type="dxa" w:w="3408"/>
            <w:vAlign w:val="center"/>
            <w:shd w:fill="EEF4F8"/>
          </w:tcPr>
          <w:p>
            <w:pPr>
              <w:spacing w:after="0"/>
            </w:pPr>
            <w:r/>
            <w:r>
              <w:rPr>
                <w:rFonts w:ascii="Arial" w:hAnsi="Arial"/>
                <w:b w:val="0"/>
                <w:sz w:val="15"/>
              </w:rPr>
              <w:t>User changes patient ID in URL</w:t>
            </w:r>
          </w:p>
        </w:tc>
        <w:tc>
          <w:tcPr>
            <w:tcW w:type="dxa" w:w="3408"/>
            <w:vAlign w:val="center"/>
            <w:shd w:fill="EEF4F8"/>
          </w:tcPr>
          <w:p>
            <w:pPr>
              <w:spacing w:after="0"/>
            </w:pPr>
            <w:r/>
            <w:r>
              <w:rPr>
                <w:rFonts w:ascii="Arial" w:hAnsi="Arial"/>
                <w:b w:val="0"/>
                <w:sz w:val="15"/>
              </w:rPr>
              <w:t>Policy/ownership denial; audit denial event.</w:t>
            </w:r>
          </w:p>
        </w:tc>
      </w:tr>
      <w:tr>
        <w:tc>
          <w:tcPr>
            <w:tcW w:type="dxa" w:w="3408"/>
            <w:vAlign w:val="center"/>
          </w:tcPr>
          <w:p>
            <w:pPr>
              <w:spacing w:after="0"/>
            </w:pPr>
            <w:r/>
            <w:r>
              <w:rPr>
                <w:rFonts w:ascii="Arial" w:hAnsi="Arial"/>
                <w:b w:val="0"/>
                <w:sz w:val="15"/>
              </w:rPr>
              <w:t>SEC-03</w:t>
            </w:r>
          </w:p>
        </w:tc>
        <w:tc>
          <w:tcPr>
            <w:tcW w:type="dxa" w:w="3408"/>
            <w:vAlign w:val="center"/>
          </w:tcPr>
          <w:p>
            <w:pPr>
              <w:spacing w:after="0"/>
            </w:pPr>
            <w:r/>
            <w:r>
              <w:rPr>
                <w:rFonts w:ascii="Arial" w:hAnsi="Arial"/>
                <w:b w:val="0"/>
                <w:sz w:val="15"/>
              </w:rPr>
              <w:t>User changes pregnancy episode ID</w:t>
            </w:r>
          </w:p>
        </w:tc>
        <w:tc>
          <w:tcPr>
            <w:tcW w:type="dxa" w:w="3408"/>
            <w:vAlign w:val="center"/>
          </w:tcPr>
          <w:p>
            <w:pPr>
              <w:spacing w:after="0"/>
            </w:pPr>
            <w:r/>
            <w:r>
              <w:rPr>
                <w:rFonts w:ascii="Arial" w:hAnsi="Arial"/>
                <w:b w:val="0"/>
                <w:sz w:val="15"/>
              </w:rPr>
              <w:t>Mismatch rejected; no mutation.</w:t>
            </w:r>
          </w:p>
        </w:tc>
      </w:tr>
      <w:tr>
        <w:tc>
          <w:tcPr>
            <w:tcW w:type="dxa" w:w="3408"/>
            <w:vAlign w:val="center"/>
            <w:shd w:fill="EEF4F8"/>
          </w:tcPr>
          <w:p>
            <w:pPr>
              <w:spacing w:after="0"/>
            </w:pPr>
            <w:r/>
            <w:r>
              <w:rPr>
                <w:rFonts w:ascii="Arial" w:hAnsi="Arial"/>
                <w:b w:val="0"/>
                <w:sz w:val="15"/>
              </w:rPr>
              <w:t>SEC-04</w:t>
            </w:r>
          </w:p>
        </w:tc>
        <w:tc>
          <w:tcPr>
            <w:tcW w:type="dxa" w:w="3408"/>
            <w:vAlign w:val="center"/>
            <w:shd w:fill="EEF4F8"/>
          </w:tcPr>
          <w:p>
            <w:pPr>
              <w:spacing w:after="0"/>
            </w:pPr>
            <w:r/>
            <w:r>
              <w:rPr>
                <w:rFonts w:ascii="Arial" w:hAnsi="Arial"/>
                <w:b w:val="0"/>
                <w:sz w:val="15"/>
              </w:rPr>
              <w:t>Delivered episode edit POST sent manually</w:t>
            </w:r>
          </w:p>
        </w:tc>
        <w:tc>
          <w:tcPr>
            <w:tcW w:type="dxa" w:w="3408"/>
            <w:vAlign w:val="center"/>
            <w:shd w:fill="EEF4F8"/>
          </w:tcPr>
          <w:p>
            <w:pPr>
              <w:spacing w:after="0"/>
            </w:pPr>
            <w:r/>
            <w:r>
              <w:rPr>
                <w:rFonts w:ascii="Arial" w:hAnsi="Arial"/>
                <w:b w:val="0"/>
                <w:sz w:val="15"/>
              </w:rPr>
              <w:t>Denied server-side.</w:t>
            </w:r>
          </w:p>
        </w:tc>
      </w:tr>
      <w:tr>
        <w:tc>
          <w:tcPr>
            <w:tcW w:type="dxa" w:w="3408"/>
            <w:vAlign w:val="center"/>
          </w:tcPr>
          <w:p>
            <w:pPr>
              <w:spacing w:after="0"/>
            </w:pPr>
            <w:r/>
            <w:r>
              <w:rPr>
                <w:rFonts w:ascii="Arial" w:hAnsi="Arial"/>
                <w:b w:val="0"/>
                <w:sz w:val="15"/>
              </w:rPr>
              <w:t>SEC-05</w:t>
            </w:r>
          </w:p>
        </w:tc>
        <w:tc>
          <w:tcPr>
            <w:tcW w:type="dxa" w:w="3408"/>
            <w:vAlign w:val="center"/>
          </w:tcPr>
          <w:p>
            <w:pPr>
              <w:spacing w:after="0"/>
            </w:pPr>
            <w:r/>
            <w:r>
              <w:rPr>
                <w:rFonts w:ascii="Arial" w:hAnsi="Arial"/>
                <w:b w:val="0"/>
                <w:sz w:val="15"/>
              </w:rPr>
              <w:t>CSRF token absent on clinical update</w:t>
            </w:r>
          </w:p>
        </w:tc>
        <w:tc>
          <w:tcPr>
            <w:tcW w:type="dxa" w:w="3408"/>
            <w:vAlign w:val="center"/>
          </w:tcPr>
          <w:p>
            <w:pPr>
              <w:spacing w:after="0"/>
            </w:pPr>
            <w:r/>
            <w:r>
              <w:rPr>
                <w:rFonts w:ascii="Arial" w:hAnsi="Arial"/>
                <w:b w:val="0"/>
                <w:sz w:val="15"/>
              </w:rPr>
              <w:t>Request rejected.</w:t>
            </w:r>
          </w:p>
        </w:tc>
      </w:tr>
      <w:tr>
        <w:tc>
          <w:tcPr>
            <w:tcW w:type="dxa" w:w="3408"/>
            <w:vAlign w:val="center"/>
            <w:shd w:fill="EEF4F8"/>
          </w:tcPr>
          <w:p>
            <w:pPr>
              <w:spacing w:after="0"/>
            </w:pPr>
            <w:r/>
            <w:r>
              <w:rPr>
                <w:rFonts w:ascii="Arial" w:hAnsi="Arial"/>
                <w:b w:val="0"/>
                <w:sz w:val="15"/>
              </w:rPr>
              <w:t>SEC-06</w:t>
            </w:r>
          </w:p>
        </w:tc>
        <w:tc>
          <w:tcPr>
            <w:tcW w:type="dxa" w:w="3408"/>
            <w:vAlign w:val="center"/>
            <w:shd w:fill="EEF4F8"/>
          </w:tcPr>
          <w:p>
            <w:pPr>
              <w:spacing w:after="0"/>
            </w:pPr>
            <w:r/>
            <w:r>
              <w:rPr>
                <w:rFonts w:ascii="Arial" w:hAnsi="Arial"/>
                <w:b w:val="0"/>
                <w:sz w:val="15"/>
              </w:rPr>
              <w:t>SQL injection string in search/name</w:t>
            </w:r>
          </w:p>
        </w:tc>
        <w:tc>
          <w:tcPr>
            <w:tcW w:type="dxa" w:w="3408"/>
            <w:vAlign w:val="center"/>
            <w:shd w:fill="EEF4F8"/>
          </w:tcPr>
          <w:p>
            <w:pPr>
              <w:spacing w:after="0"/>
            </w:pPr>
            <w:r/>
            <w:r>
              <w:rPr>
                <w:rFonts w:ascii="Arial" w:hAnsi="Arial"/>
                <w:b w:val="0"/>
                <w:sz w:val="15"/>
              </w:rPr>
              <w:t>Treated as data; no query alteration.</w:t>
            </w:r>
          </w:p>
        </w:tc>
      </w:tr>
      <w:tr>
        <w:tc>
          <w:tcPr>
            <w:tcW w:type="dxa" w:w="3408"/>
            <w:vAlign w:val="center"/>
          </w:tcPr>
          <w:p>
            <w:pPr>
              <w:spacing w:after="0"/>
            </w:pPr>
            <w:r/>
            <w:r>
              <w:rPr>
                <w:rFonts w:ascii="Arial" w:hAnsi="Arial"/>
                <w:b w:val="0"/>
                <w:sz w:val="15"/>
              </w:rPr>
              <w:t>SEC-07</w:t>
            </w:r>
          </w:p>
        </w:tc>
        <w:tc>
          <w:tcPr>
            <w:tcW w:type="dxa" w:w="3408"/>
            <w:vAlign w:val="center"/>
          </w:tcPr>
          <w:p>
            <w:pPr>
              <w:spacing w:after="0"/>
            </w:pPr>
            <w:r/>
            <w:r>
              <w:rPr>
                <w:rFonts w:ascii="Arial" w:hAnsi="Arial"/>
                <w:b w:val="0"/>
                <w:sz w:val="15"/>
              </w:rPr>
              <w:t>HTML/script in note</w:t>
            </w:r>
          </w:p>
        </w:tc>
        <w:tc>
          <w:tcPr>
            <w:tcW w:type="dxa" w:w="3408"/>
            <w:vAlign w:val="center"/>
          </w:tcPr>
          <w:p>
            <w:pPr>
              <w:spacing w:after="0"/>
            </w:pPr>
            <w:r/>
            <w:r>
              <w:rPr>
                <w:rFonts w:ascii="Arial" w:hAnsi="Arial"/>
                <w:b w:val="0"/>
                <w:sz w:val="15"/>
              </w:rPr>
              <w:t>Stored safely and escaped on output.</w:t>
            </w:r>
          </w:p>
        </w:tc>
      </w:tr>
      <w:tr>
        <w:tc>
          <w:tcPr>
            <w:tcW w:type="dxa" w:w="3408"/>
            <w:vAlign w:val="center"/>
            <w:shd w:fill="EEF4F8"/>
          </w:tcPr>
          <w:p>
            <w:pPr>
              <w:spacing w:after="0"/>
            </w:pPr>
            <w:r/>
            <w:r>
              <w:rPr>
                <w:rFonts w:ascii="Arial" w:hAnsi="Arial"/>
                <w:b w:val="0"/>
                <w:sz w:val="15"/>
              </w:rPr>
              <w:t>SEC-08</w:t>
            </w:r>
          </w:p>
        </w:tc>
        <w:tc>
          <w:tcPr>
            <w:tcW w:type="dxa" w:w="3408"/>
            <w:vAlign w:val="center"/>
            <w:shd w:fill="EEF4F8"/>
          </w:tcPr>
          <w:p>
            <w:pPr>
              <w:spacing w:after="0"/>
            </w:pPr>
            <w:r/>
            <w:r>
              <w:rPr>
                <w:rFonts w:ascii="Arial" w:hAnsi="Arial"/>
                <w:b w:val="0"/>
                <w:sz w:val="15"/>
              </w:rPr>
              <w:t>Oversized or disallowed upload</w:t>
            </w:r>
          </w:p>
        </w:tc>
        <w:tc>
          <w:tcPr>
            <w:tcW w:type="dxa" w:w="3408"/>
            <w:vAlign w:val="center"/>
            <w:shd w:fill="EEF4F8"/>
          </w:tcPr>
          <w:p>
            <w:pPr>
              <w:spacing w:after="0"/>
            </w:pPr>
            <w:r/>
            <w:r>
              <w:rPr>
                <w:rFonts w:ascii="Arial" w:hAnsi="Arial"/>
                <w:b w:val="0"/>
                <w:sz w:val="15"/>
              </w:rPr>
              <w:t>Rejected before storage.</w:t>
            </w:r>
          </w:p>
        </w:tc>
      </w:tr>
      <w:tr>
        <w:tc>
          <w:tcPr>
            <w:tcW w:type="dxa" w:w="3408"/>
            <w:vAlign w:val="center"/>
          </w:tcPr>
          <w:p>
            <w:pPr>
              <w:spacing w:after="0"/>
            </w:pPr>
            <w:r/>
            <w:r>
              <w:rPr>
                <w:rFonts w:ascii="Arial" w:hAnsi="Arial"/>
                <w:b w:val="0"/>
                <w:sz w:val="15"/>
              </w:rPr>
              <w:t>SEC-09</w:t>
            </w:r>
          </w:p>
        </w:tc>
        <w:tc>
          <w:tcPr>
            <w:tcW w:type="dxa" w:w="3408"/>
            <w:vAlign w:val="center"/>
          </w:tcPr>
          <w:p>
            <w:pPr>
              <w:spacing w:after="0"/>
            </w:pPr>
            <w:r/>
            <w:r>
              <w:rPr>
                <w:rFonts w:ascii="Arial" w:hAnsi="Arial"/>
                <w:b w:val="0"/>
                <w:sz w:val="15"/>
              </w:rPr>
              <w:t>Private file URL guessed</w:t>
            </w:r>
          </w:p>
        </w:tc>
        <w:tc>
          <w:tcPr>
            <w:tcW w:type="dxa" w:w="3408"/>
            <w:vAlign w:val="center"/>
          </w:tcPr>
          <w:p>
            <w:pPr>
              <w:spacing w:after="0"/>
            </w:pPr>
            <w:r/>
            <w:r>
              <w:rPr>
                <w:rFonts w:ascii="Arial" w:hAnsi="Arial"/>
                <w:b w:val="0"/>
                <w:sz w:val="15"/>
              </w:rPr>
              <w:t>Authorization required; no public path.</w:t>
            </w:r>
          </w:p>
        </w:tc>
      </w:tr>
      <w:tr>
        <w:tc>
          <w:tcPr>
            <w:tcW w:type="dxa" w:w="3408"/>
            <w:vAlign w:val="center"/>
            <w:shd w:fill="EEF4F8"/>
          </w:tcPr>
          <w:p>
            <w:pPr>
              <w:spacing w:after="0"/>
            </w:pPr>
            <w:r/>
            <w:r>
              <w:rPr>
                <w:rFonts w:ascii="Arial" w:hAnsi="Arial"/>
                <w:b w:val="0"/>
                <w:sz w:val="15"/>
              </w:rPr>
              <w:t>SEC-10</w:t>
            </w:r>
          </w:p>
        </w:tc>
        <w:tc>
          <w:tcPr>
            <w:tcW w:type="dxa" w:w="3408"/>
            <w:vAlign w:val="center"/>
            <w:shd w:fill="EEF4F8"/>
          </w:tcPr>
          <w:p>
            <w:pPr>
              <w:spacing w:after="0"/>
            </w:pPr>
            <w:r/>
            <w:r>
              <w:rPr>
                <w:rFonts w:ascii="Arial" w:hAnsi="Arial"/>
                <w:b w:val="0"/>
                <w:sz w:val="15"/>
              </w:rPr>
              <w:t>Repeated failed login</w:t>
            </w:r>
          </w:p>
        </w:tc>
        <w:tc>
          <w:tcPr>
            <w:tcW w:type="dxa" w:w="3408"/>
            <w:vAlign w:val="center"/>
            <w:shd w:fill="EEF4F8"/>
          </w:tcPr>
          <w:p>
            <w:pPr>
              <w:spacing w:after="0"/>
            </w:pPr>
            <w:r/>
            <w:r>
              <w:rPr>
                <w:rFonts w:ascii="Arial" w:hAnsi="Arial"/>
                <w:b w:val="0"/>
                <w:sz w:val="15"/>
              </w:rPr>
              <w:t>Throttled/locked and logged.</w:t>
            </w:r>
          </w:p>
        </w:tc>
      </w:tr>
      <w:tr>
        <w:tc>
          <w:tcPr>
            <w:tcW w:type="dxa" w:w="3408"/>
            <w:vAlign w:val="center"/>
          </w:tcPr>
          <w:p>
            <w:pPr>
              <w:spacing w:after="0"/>
            </w:pPr>
            <w:r/>
            <w:r>
              <w:rPr>
                <w:rFonts w:ascii="Arial" w:hAnsi="Arial"/>
                <w:b w:val="0"/>
                <w:sz w:val="15"/>
              </w:rPr>
              <w:t>SEC-11</w:t>
            </w:r>
          </w:p>
        </w:tc>
        <w:tc>
          <w:tcPr>
            <w:tcW w:type="dxa" w:w="3408"/>
            <w:vAlign w:val="center"/>
          </w:tcPr>
          <w:p>
            <w:pPr>
              <w:spacing w:after="0"/>
            </w:pPr>
            <w:r/>
            <w:r>
              <w:rPr>
                <w:rFonts w:ascii="Arial" w:hAnsi="Arial"/>
                <w:b w:val="0"/>
                <w:sz w:val="15"/>
              </w:rPr>
              <w:t>Session fixation attempt</w:t>
            </w:r>
          </w:p>
        </w:tc>
        <w:tc>
          <w:tcPr>
            <w:tcW w:type="dxa" w:w="3408"/>
            <w:vAlign w:val="center"/>
          </w:tcPr>
          <w:p>
            <w:pPr>
              <w:spacing w:after="0"/>
            </w:pPr>
            <w:r/>
            <w:r>
              <w:rPr>
                <w:rFonts w:ascii="Arial" w:hAnsi="Arial"/>
                <w:b w:val="0"/>
                <w:sz w:val="15"/>
              </w:rPr>
              <w:t>Session ID regenerated after login.</w:t>
            </w:r>
          </w:p>
        </w:tc>
      </w:tr>
      <w:tr>
        <w:tc>
          <w:tcPr>
            <w:tcW w:type="dxa" w:w="3408"/>
            <w:vAlign w:val="center"/>
            <w:shd w:fill="EEF4F8"/>
          </w:tcPr>
          <w:p>
            <w:pPr>
              <w:spacing w:after="0"/>
            </w:pPr>
            <w:r/>
            <w:r>
              <w:rPr>
                <w:rFonts w:ascii="Arial" w:hAnsi="Arial"/>
                <w:b w:val="0"/>
                <w:sz w:val="15"/>
              </w:rPr>
              <w:t>SEC-12</w:t>
            </w:r>
          </w:p>
        </w:tc>
        <w:tc>
          <w:tcPr>
            <w:tcW w:type="dxa" w:w="3408"/>
            <w:vAlign w:val="center"/>
            <w:shd w:fill="EEF4F8"/>
          </w:tcPr>
          <w:p>
            <w:pPr>
              <w:spacing w:after="0"/>
            </w:pPr>
            <w:r/>
            <w:r>
              <w:rPr>
                <w:rFonts w:ascii="Arial" w:hAnsi="Arial"/>
                <w:b w:val="0"/>
                <w:sz w:val="15"/>
              </w:rPr>
              <w:t>Password reset token reused</w:t>
            </w:r>
          </w:p>
        </w:tc>
        <w:tc>
          <w:tcPr>
            <w:tcW w:type="dxa" w:w="3408"/>
            <w:vAlign w:val="center"/>
            <w:shd w:fill="EEF4F8"/>
          </w:tcPr>
          <w:p>
            <w:pPr>
              <w:spacing w:after="0"/>
            </w:pPr>
            <w:r/>
            <w:r>
              <w:rPr>
                <w:rFonts w:ascii="Arial" w:hAnsi="Arial"/>
                <w:b w:val="0"/>
                <w:sz w:val="15"/>
              </w:rPr>
              <w:t>Second use rejected.</w:t>
            </w:r>
          </w:p>
        </w:tc>
      </w:tr>
      <w:tr>
        <w:tc>
          <w:tcPr>
            <w:tcW w:type="dxa" w:w="3408"/>
            <w:vAlign w:val="center"/>
          </w:tcPr>
          <w:p>
            <w:pPr>
              <w:spacing w:after="0"/>
            </w:pPr>
            <w:r/>
            <w:r>
              <w:rPr>
                <w:rFonts w:ascii="Arial" w:hAnsi="Arial"/>
                <w:b w:val="0"/>
                <w:sz w:val="15"/>
              </w:rPr>
              <w:t>SEC-13</w:t>
            </w:r>
          </w:p>
        </w:tc>
        <w:tc>
          <w:tcPr>
            <w:tcW w:type="dxa" w:w="3408"/>
            <w:vAlign w:val="center"/>
          </w:tcPr>
          <w:p>
            <w:pPr>
              <w:spacing w:after="0"/>
            </w:pPr>
            <w:r/>
            <w:r>
              <w:rPr>
                <w:rFonts w:ascii="Arial" w:hAnsi="Arial"/>
                <w:b w:val="0"/>
                <w:sz w:val="15"/>
              </w:rPr>
              <w:t>Mass assignment adds role/admin field</w:t>
            </w:r>
          </w:p>
        </w:tc>
        <w:tc>
          <w:tcPr>
            <w:tcW w:type="dxa" w:w="3408"/>
            <w:vAlign w:val="center"/>
          </w:tcPr>
          <w:p>
            <w:pPr>
              <w:spacing w:after="0"/>
            </w:pPr>
            <w:r/>
            <w:r>
              <w:rPr>
                <w:rFonts w:ascii="Arial" w:hAnsi="Arial"/>
                <w:b w:val="0"/>
                <w:sz w:val="15"/>
              </w:rPr>
              <w:t>Ignored/rejected.</w:t>
            </w:r>
          </w:p>
        </w:tc>
      </w:tr>
      <w:tr>
        <w:tc>
          <w:tcPr>
            <w:tcW w:type="dxa" w:w="3408"/>
            <w:vAlign w:val="center"/>
            <w:shd w:fill="EEF4F8"/>
          </w:tcPr>
          <w:p>
            <w:pPr>
              <w:spacing w:after="0"/>
            </w:pPr>
            <w:r/>
            <w:r>
              <w:rPr>
                <w:rFonts w:ascii="Arial" w:hAnsi="Arial"/>
                <w:b w:val="0"/>
                <w:sz w:val="15"/>
              </w:rPr>
              <w:t>SEC-14</w:t>
            </w:r>
          </w:p>
        </w:tc>
        <w:tc>
          <w:tcPr>
            <w:tcW w:type="dxa" w:w="3408"/>
            <w:vAlign w:val="center"/>
            <w:shd w:fill="EEF4F8"/>
          </w:tcPr>
          <w:p>
            <w:pPr>
              <w:spacing w:after="0"/>
            </w:pPr>
            <w:r/>
            <w:r>
              <w:rPr>
                <w:rFonts w:ascii="Arial" w:hAnsi="Arial"/>
                <w:b w:val="0"/>
                <w:sz w:val="15"/>
              </w:rPr>
              <w:t>Python feature contains shell characters</w:t>
            </w:r>
          </w:p>
        </w:tc>
        <w:tc>
          <w:tcPr>
            <w:tcW w:type="dxa" w:w="3408"/>
            <w:vAlign w:val="center"/>
            <w:shd w:fill="EEF4F8"/>
          </w:tcPr>
          <w:p>
            <w:pPr>
              <w:spacing w:after="0"/>
            </w:pPr>
            <w:r/>
            <w:r>
              <w:rPr>
                <w:rFonts w:ascii="Arial" w:hAnsi="Arial"/>
                <w:b w:val="0"/>
                <w:sz w:val="15"/>
              </w:rPr>
              <w:t>No command execution; payload handled as data.</w:t>
            </w:r>
          </w:p>
        </w:tc>
      </w:tr>
      <w:tr>
        <w:tc>
          <w:tcPr>
            <w:tcW w:type="dxa" w:w="3408"/>
            <w:vAlign w:val="center"/>
          </w:tcPr>
          <w:p>
            <w:pPr>
              <w:spacing w:after="0"/>
            </w:pPr>
            <w:r/>
            <w:r>
              <w:rPr>
                <w:rFonts w:ascii="Arial" w:hAnsi="Arial"/>
                <w:b w:val="0"/>
                <w:sz w:val="15"/>
              </w:rPr>
              <w:t>SEC-15</w:t>
            </w:r>
          </w:p>
        </w:tc>
        <w:tc>
          <w:tcPr>
            <w:tcW w:type="dxa" w:w="3408"/>
            <w:vAlign w:val="center"/>
          </w:tcPr>
          <w:p>
            <w:pPr>
              <w:spacing w:after="0"/>
            </w:pPr>
            <w:r/>
            <w:r>
              <w:rPr>
                <w:rFonts w:ascii="Arial" w:hAnsi="Arial"/>
                <w:b w:val="0"/>
                <w:sz w:val="15"/>
              </w:rPr>
              <w:t>Python timeout</w:t>
            </w:r>
          </w:p>
        </w:tc>
        <w:tc>
          <w:tcPr>
            <w:tcW w:type="dxa" w:w="3408"/>
            <w:vAlign w:val="center"/>
          </w:tcPr>
          <w:p>
            <w:pPr>
              <w:spacing w:after="0"/>
            </w:pPr>
            <w:r/>
            <w:r>
              <w:rPr>
                <w:rFonts w:ascii="Arial" w:hAnsi="Arial"/>
                <w:b w:val="0"/>
                <w:sz w:val="15"/>
              </w:rPr>
              <w:t>No LOW; deterministic HIGH retained or INCOMPLETE.</w:t>
            </w:r>
          </w:p>
        </w:tc>
      </w:tr>
      <w:tr>
        <w:tc>
          <w:tcPr>
            <w:tcW w:type="dxa" w:w="3408"/>
            <w:vAlign w:val="center"/>
            <w:shd w:fill="EEF4F8"/>
          </w:tcPr>
          <w:p>
            <w:pPr>
              <w:spacing w:after="0"/>
            </w:pPr>
            <w:r/>
            <w:r>
              <w:rPr>
                <w:rFonts w:ascii="Arial" w:hAnsi="Arial"/>
                <w:b w:val="0"/>
                <w:sz w:val="15"/>
              </w:rPr>
              <w:t>SEC-16</w:t>
            </w:r>
          </w:p>
        </w:tc>
        <w:tc>
          <w:tcPr>
            <w:tcW w:type="dxa" w:w="3408"/>
            <w:vAlign w:val="center"/>
            <w:shd w:fill="EEF4F8"/>
          </w:tcPr>
          <w:p>
            <w:pPr>
              <w:spacing w:after="0"/>
            </w:pPr>
            <w:r/>
            <w:r>
              <w:rPr>
                <w:rFonts w:ascii="Arial" w:hAnsi="Arial"/>
                <w:b w:val="0"/>
                <w:sz w:val="15"/>
              </w:rPr>
              <w:t>Model hash mismatch</w:t>
            </w:r>
          </w:p>
        </w:tc>
        <w:tc>
          <w:tcPr>
            <w:tcW w:type="dxa" w:w="3408"/>
            <w:vAlign w:val="center"/>
            <w:shd w:fill="EEF4F8"/>
          </w:tcPr>
          <w:p>
            <w:pPr>
              <w:spacing w:after="0"/>
            </w:pPr>
            <w:r/>
            <w:r>
              <w:rPr>
                <w:rFonts w:ascii="Arial" w:hAnsi="Arial"/>
                <w:b w:val="0"/>
                <w:sz w:val="15"/>
              </w:rPr>
              <w:t>Inference rejected and visible security/operations event.</w:t>
            </w:r>
          </w:p>
        </w:tc>
      </w:tr>
      <w:tr>
        <w:tc>
          <w:tcPr>
            <w:tcW w:type="dxa" w:w="3408"/>
            <w:vAlign w:val="center"/>
          </w:tcPr>
          <w:p>
            <w:pPr>
              <w:spacing w:after="0"/>
            </w:pPr>
            <w:r/>
            <w:r>
              <w:rPr>
                <w:rFonts w:ascii="Arial" w:hAnsi="Arial"/>
                <w:b w:val="0"/>
                <w:sz w:val="15"/>
              </w:rPr>
              <w:t>SEC-17</w:t>
            </w:r>
          </w:p>
        </w:tc>
        <w:tc>
          <w:tcPr>
            <w:tcW w:type="dxa" w:w="3408"/>
            <w:vAlign w:val="center"/>
          </w:tcPr>
          <w:p>
            <w:pPr>
              <w:spacing w:after="0"/>
            </w:pPr>
            <w:r/>
            <w:r>
              <w:rPr>
                <w:rFonts w:ascii="Arial" w:hAnsi="Arial"/>
                <w:b w:val="0"/>
                <w:sz w:val="15"/>
              </w:rPr>
              <w:t>Malformed Python JSON</w:t>
            </w:r>
          </w:p>
        </w:tc>
        <w:tc>
          <w:tcPr>
            <w:tcW w:type="dxa" w:w="3408"/>
            <w:vAlign w:val="center"/>
          </w:tcPr>
          <w:p>
            <w:pPr>
              <w:spacing w:after="0"/>
            </w:pPr>
            <w:r/>
            <w:r>
              <w:rPr>
                <w:rFonts w:ascii="Arial" w:hAnsi="Arial"/>
                <w:b w:val="0"/>
                <w:sz w:val="15"/>
              </w:rPr>
              <w:t>Rejected; safe incomplete state.</w:t>
            </w:r>
          </w:p>
        </w:tc>
      </w:tr>
      <w:tr>
        <w:tc>
          <w:tcPr>
            <w:tcW w:type="dxa" w:w="3408"/>
            <w:vAlign w:val="center"/>
            <w:shd w:fill="EEF4F8"/>
          </w:tcPr>
          <w:p>
            <w:pPr>
              <w:spacing w:after="0"/>
            </w:pPr>
            <w:r/>
            <w:r>
              <w:rPr>
                <w:rFonts w:ascii="Arial" w:hAnsi="Arial"/>
                <w:b w:val="0"/>
                <w:sz w:val="15"/>
              </w:rPr>
              <w:t>SEC-18</w:t>
            </w:r>
          </w:p>
        </w:tc>
        <w:tc>
          <w:tcPr>
            <w:tcW w:type="dxa" w:w="3408"/>
            <w:vAlign w:val="center"/>
            <w:shd w:fill="EEF4F8"/>
          </w:tcPr>
          <w:p>
            <w:pPr>
              <w:spacing w:after="0"/>
            </w:pPr>
            <w:r/>
            <w:r>
              <w:rPr>
                <w:rFonts w:ascii="Arial" w:hAnsi="Arial"/>
                <w:b w:val="0"/>
                <w:sz w:val="15"/>
              </w:rPr>
              <w:t>Python attempts database write</w:t>
            </w:r>
          </w:p>
        </w:tc>
        <w:tc>
          <w:tcPr>
            <w:tcW w:type="dxa" w:w="3408"/>
            <w:vAlign w:val="center"/>
            <w:shd w:fill="EEF4F8"/>
          </w:tcPr>
          <w:p>
            <w:pPr>
              <w:spacing w:after="0"/>
            </w:pPr>
            <w:r/>
            <w:r>
              <w:rPr>
                <w:rFonts w:ascii="Arial" w:hAnsi="Arial"/>
                <w:b w:val="0"/>
                <w:sz w:val="15"/>
              </w:rPr>
              <w:t>OS/database permission denied.</w:t>
            </w:r>
          </w:p>
        </w:tc>
      </w:tr>
      <w:tr>
        <w:tc>
          <w:tcPr>
            <w:tcW w:type="dxa" w:w="3408"/>
            <w:vAlign w:val="center"/>
          </w:tcPr>
          <w:p>
            <w:pPr>
              <w:spacing w:after="0"/>
            </w:pPr>
            <w:r/>
            <w:r>
              <w:rPr>
                <w:rFonts w:ascii="Arial" w:hAnsi="Arial"/>
                <w:b w:val="0"/>
                <w:sz w:val="15"/>
              </w:rPr>
              <w:t>SEC-19</w:t>
            </w:r>
          </w:p>
        </w:tc>
        <w:tc>
          <w:tcPr>
            <w:tcW w:type="dxa" w:w="3408"/>
            <w:vAlign w:val="center"/>
          </w:tcPr>
          <w:p>
            <w:pPr>
              <w:spacing w:after="0"/>
            </w:pPr>
            <w:r/>
            <w:r>
              <w:rPr>
                <w:rFonts w:ascii="Arial" w:hAnsi="Arial"/>
                <w:b w:val="0"/>
                <w:sz w:val="15"/>
              </w:rPr>
              <w:t>Audit write fails during assessment</w:t>
            </w:r>
          </w:p>
        </w:tc>
        <w:tc>
          <w:tcPr>
            <w:tcW w:type="dxa" w:w="3408"/>
            <w:vAlign w:val="center"/>
          </w:tcPr>
          <w:p>
            <w:pPr>
              <w:spacing w:after="0"/>
            </w:pPr>
            <w:r/>
            <w:r>
              <w:rPr>
                <w:rFonts w:ascii="Arial" w:hAnsi="Arial"/>
                <w:b w:val="0"/>
                <w:sz w:val="15"/>
              </w:rPr>
              <w:t>Transaction fails safely; no unlogged final assessment.</w:t>
            </w:r>
          </w:p>
        </w:tc>
      </w:tr>
      <w:tr>
        <w:tc>
          <w:tcPr>
            <w:tcW w:type="dxa" w:w="3408"/>
            <w:vAlign w:val="center"/>
            <w:shd w:fill="EEF4F8"/>
          </w:tcPr>
          <w:p>
            <w:pPr>
              <w:spacing w:after="0"/>
            </w:pPr>
            <w:r/>
            <w:r>
              <w:rPr>
                <w:rFonts w:ascii="Arial" w:hAnsi="Arial"/>
                <w:b w:val="0"/>
                <w:sz w:val="15"/>
              </w:rPr>
              <w:t>SEC-20</w:t>
            </w:r>
          </w:p>
        </w:tc>
        <w:tc>
          <w:tcPr>
            <w:tcW w:type="dxa" w:w="3408"/>
            <w:vAlign w:val="center"/>
            <w:shd w:fill="EEF4F8"/>
          </w:tcPr>
          <w:p>
            <w:pPr>
              <w:spacing w:after="0"/>
            </w:pPr>
            <w:r/>
            <w:r>
              <w:rPr>
                <w:rFonts w:ascii="Arial" w:hAnsi="Arial"/>
                <w:b w:val="0"/>
                <w:sz w:val="15"/>
              </w:rPr>
              <w:t>Email send fails</w:t>
            </w:r>
          </w:p>
        </w:tc>
        <w:tc>
          <w:tcPr>
            <w:tcW w:type="dxa" w:w="3408"/>
            <w:vAlign w:val="center"/>
            <w:shd w:fill="EEF4F8"/>
          </w:tcPr>
          <w:p>
            <w:pPr>
              <w:spacing w:after="0"/>
            </w:pPr>
            <w:r/>
            <w:r>
              <w:rPr>
                <w:rFonts w:ascii="Arial" w:hAnsi="Arial"/>
                <w:b w:val="0"/>
                <w:sz w:val="15"/>
              </w:rPr>
              <w:t>Risk/referral state unchanged; retry/manual action visible.</w:t>
            </w:r>
          </w:p>
        </w:tc>
      </w:tr>
      <w:tr>
        <w:tc>
          <w:tcPr>
            <w:tcW w:type="dxa" w:w="3408"/>
            <w:vAlign w:val="center"/>
          </w:tcPr>
          <w:p>
            <w:pPr>
              <w:spacing w:after="0"/>
            </w:pPr>
            <w:r/>
            <w:r>
              <w:rPr>
                <w:rFonts w:ascii="Arial" w:hAnsi="Arial"/>
                <w:b w:val="0"/>
                <w:sz w:val="15"/>
              </w:rPr>
              <w:t>SEC-21</w:t>
            </w:r>
          </w:p>
        </w:tc>
        <w:tc>
          <w:tcPr>
            <w:tcW w:type="dxa" w:w="3408"/>
            <w:vAlign w:val="center"/>
          </w:tcPr>
          <w:p>
            <w:pPr>
              <w:spacing w:after="0"/>
            </w:pPr>
            <w:r/>
            <w:r>
              <w:rPr>
                <w:rFonts w:ascii="Arial" w:hAnsi="Arial"/>
                <w:b w:val="0"/>
                <w:sz w:val="15"/>
              </w:rPr>
              <w:t>Concurrent delivery submissions</w:t>
            </w:r>
          </w:p>
        </w:tc>
        <w:tc>
          <w:tcPr>
            <w:tcW w:type="dxa" w:w="3408"/>
            <w:vAlign w:val="center"/>
          </w:tcPr>
          <w:p>
            <w:pPr>
              <w:spacing w:after="0"/>
            </w:pPr>
            <w:r/>
            <w:r>
              <w:rPr>
                <w:rFonts w:ascii="Arial" w:hAnsi="Arial"/>
                <w:b w:val="0"/>
                <w:sz w:val="15"/>
              </w:rPr>
              <w:t>Single delivery transition and baby set; duplicate rejected.</w:t>
            </w:r>
          </w:p>
        </w:tc>
      </w:tr>
      <w:tr>
        <w:tc>
          <w:tcPr>
            <w:tcW w:type="dxa" w:w="3408"/>
            <w:vAlign w:val="center"/>
            <w:shd w:fill="EEF4F8"/>
          </w:tcPr>
          <w:p>
            <w:pPr>
              <w:spacing w:after="0"/>
            </w:pPr>
            <w:r/>
            <w:r>
              <w:rPr>
                <w:rFonts w:ascii="Arial" w:hAnsi="Arial"/>
                <w:b w:val="0"/>
                <w:sz w:val="15"/>
              </w:rPr>
              <w:t>SEC-22</w:t>
            </w:r>
          </w:p>
        </w:tc>
        <w:tc>
          <w:tcPr>
            <w:tcW w:type="dxa" w:w="3408"/>
            <w:vAlign w:val="center"/>
            <w:shd w:fill="EEF4F8"/>
          </w:tcPr>
          <w:p>
            <w:pPr>
              <w:spacing w:after="0"/>
            </w:pPr>
            <w:r/>
            <w:r>
              <w:rPr>
                <w:rFonts w:ascii="Arial" w:hAnsi="Arial"/>
                <w:b w:val="0"/>
                <w:sz w:val="15"/>
              </w:rPr>
              <w:t>New pregnancy started for ongoing patient</w:t>
            </w:r>
          </w:p>
        </w:tc>
        <w:tc>
          <w:tcPr>
            <w:tcW w:type="dxa" w:w="3408"/>
            <w:vAlign w:val="center"/>
            <w:shd w:fill="EEF4F8"/>
          </w:tcPr>
          <w:p>
            <w:pPr>
              <w:spacing w:after="0"/>
            </w:pPr>
            <w:r/>
            <w:r>
              <w:rPr>
                <w:rFonts w:ascii="Arial" w:hAnsi="Arial"/>
                <w:b w:val="0"/>
                <w:sz w:val="15"/>
              </w:rPr>
              <w:t>Rejected.</w:t>
            </w:r>
          </w:p>
        </w:tc>
      </w:tr>
      <w:tr>
        <w:tc>
          <w:tcPr>
            <w:tcW w:type="dxa" w:w="3408"/>
            <w:vAlign w:val="center"/>
          </w:tcPr>
          <w:p>
            <w:pPr>
              <w:spacing w:after="0"/>
            </w:pPr>
            <w:r/>
            <w:r>
              <w:rPr>
                <w:rFonts w:ascii="Arial" w:hAnsi="Arial"/>
                <w:b w:val="0"/>
                <w:sz w:val="15"/>
              </w:rPr>
              <w:t>SEC-23</w:t>
            </w:r>
          </w:p>
        </w:tc>
        <w:tc>
          <w:tcPr>
            <w:tcW w:type="dxa" w:w="3408"/>
            <w:vAlign w:val="center"/>
          </w:tcPr>
          <w:p>
            <w:pPr>
              <w:spacing w:after="0"/>
            </w:pPr>
            <w:r/>
            <w:r>
              <w:rPr>
                <w:rFonts w:ascii="Arial" w:hAnsi="Arial"/>
                <w:b w:val="0"/>
                <w:sz w:val="15"/>
              </w:rPr>
              <w:t>Admin browses clinical record without duty</w:t>
            </w:r>
          </w:p>
        </w:tc>
        <w:tc>
          <w:tcPr>
            <w:tcW w:type="dxa" w:w="3408"/>
            <w:vAlign w:val="center"/>
          </w:tcPr>
          <w:p>
            <w:pPr>
              <w:spacing w:after="0"/>
            </w:pPr>
            <w:r/>
            <w:r>
              <w:rPr>
                <w:rFonts w:ascii="Arial" w:hAnsi="Arial"/>
                <w:b w:val="0"/>
                <w:sz w:val="15"/>
              </w:rPr>
              <w:t>Denied or logged and reviewed per role policy.</w:t>
            </w:r>
          </w:p>
        </w:tc>
      </w:tr>
      <w:tr>
        <w:tc>
          <w:tcPr>
            <w:tcW w:type="dxa" w:w="3408"/>
            <w:vAlign w:val="center"/>
            <w:shd w:fill="EEF4F8"/>
          </w:tcPr>
          <w:p>
            <w:pPr>
              <w:spacing w:after="0"/>
            </w:pPr>
            <w:r/>
            <w:r>
              <w:rPr>
                <w:rFonts w:ascii="Arial" w:hAnsi="Arial"/>
                <w:b w:val="0"/>
                <w:sz w:val="15"/>
              </w:rPr>
              <w:t>SEC-24</w:t>
            </w:r>
          </w:p>
        </w:tc>
        <w:tc>
          <w:tcPr>
            <w:tcW w:type="dxa" w:w="3408"/>
            <w:vAlign w:val="center"/>
            <w:shd w:fill="EEF4F8"/>
          </w:tcPr>
          <w:p>
            <w:pPr>
              <w:spacing w:after="0"/>
            </w:pPr>
            <w:r/>
            <w:r>
              <w:rPr>
                <w:rFonts w:ascii="Arial" w:hAnsi="Arial"/>
                <w:b w:val="0"/>
                <w:sz w:val="15"/>
              </w:rPr>
              <w:t>Production debug error forced</w:t>
            </w:r>
          </w:p>
        </w:tc>
        <w:tc>
          <w:tcPr>
            <w:tcW w:type="dxa" w:w="3408"/>
            <w:vAlign w:val="center"/>
            <w:shd w:fill="EEF4F8"/>
          </w:tcPr>
          <w:p>
            <w:pPr>
              <w:spacing w:after="0"/>
            </w:pPr>
            <w:r/>
            <w:r>
              <w:rPr>
                <w:rFonts w:ascii="Arial" w:hAnsi="Arial"/>
                <w:b w:val="0"/>
                <w:sz w:val="15"/>
              </w:rPr>
              <w:t>No stack trace, secrets, SQL, or patient data exposed.</w:t>
            </w:r>
          </w:p>
        </w:tc>
      </w:tr>
      <w:tr>
        <w:tc>
          <w:tcPr>
            <w:tcW w:type="dxa" w:w="3408"/>
            <w:vAlign w:val="center"/>
          </w:tcPr>
          <w:p>
            <w:pPr>
              <w:spacing w:after="0"/>
            </w:pPr>
            <w:r/>
            <w:r>
              <w:rPr>
                <w:rFonts w:ascii="Arial" w:hAnsi="Arial"/>
                <w:b w:val="0"/>
                <w:sz w:val="15"/>
              </w:rPr>
              <w:t>SEC-25</w:t>
            </w:r>
          </w:p>
        </w:tc>
        <w:tc>
          <w:tcPr>
            <w:tcW w:type="dxa" w:w="3408"/>
            <w:vAlign w:val="center"/>
          </w:tcPr>
          <w:p>
            <w:pPr>
              <w:spacing w:after="0"/>
            </w:pPr>
            <w:r/>
            <w:r>
              <w:rPr>
                <w:rFonts w:ascii="Arial" w:hAnsi="Arial"/>
                <w:b w:val="0"/>
                <w:sz w:val="15"/>
              </w:rPr>
              <w:t>Backup file stolen without key</w:t>
            </w:r>
          </w:p>
        </w:tc>
        <w:tc>
          <w:tcPr>
            <w:tcW w:type="dxa" w:w="3408"/>
            <w:vAlign w:val="center"/>
          </w:tcPr>
          <w:p>
            <w:pPr>
              <w:spacing w:after="0"/>
            </w:pPr>
            <w:r/>
            <w:r>
              <w:rPr>
                <w:rFonts w:ascii="Arial" w:hAnsi="Arial"/>
                <w:b w:val="0"/>
                <w:sz w:val="15"/>
              </w:rPr>
              <w:t>Data remains unreadable under approved encryption design.</w:t>
            </w:r>
          </w:p>
        </w:tc>
      </w:tr>
      <w:tr>
        <w:tc>
          <w:tcPr>
            <w:tcW w:type="dxa" w:w="3408"/>
            <w:vAlign w:val="center"/>
            <w:shd w:fill="EEF4F8"/>
          </w:tcPr>
          <w:p>
            <w:pPr>
              <w:spacing w:after="0"/>
            </w:pPr>
            <w:r/>
            <w:r>
              <w:rPr>
                <w:rFonts w:ascii="Arial" w:hAnsi="Arial"/>
                <w:b w:val="0"/>
                <w:sz w:val="15"/>
              </w:rPr>
              <w:t>SEC-26</w:t>
            </w:r>
          </w:p>
        </w:tc>
        <w:tc>
          <w:tcPr>
            <w:tcW w:type="dxa" w:w="3408"/>
            <w:vAlign w:val="center"/>
            <w:shd w:fill="EEF4F8"/>
          </w:tcPr>
          <w:p>
            <w:pPr>
              <w:spacing w:after="0"/>
            </w:pPr>
            <w:r/>
            <w:r>
              <w:rPr>
                <w:rFonts w:ascii="Arial" w:hAnsi="Arial"/>
                <w:b w:val="0"/>
                <w:sz w:val="15"/>
              </w:rPr>
              <w:t>Restore from latest backup</w:t>
            </w:r>
          </w:p>
        </w:tc>
        <w:tc>
          <w:tcPr>
            <w:tcW w:type="dxa" w:w="3408"/>
            <w:vAlign w:val="center"/>
            <w:shd w:fill="EEF4F8"/>
          </w:tcPr>
          <w:p>
            <w:pPr>
              <w:spacing w:after="0"/>
            </w:pPr>
            <w:r/>
            <w:r>
              <w:rPr>
                <w:rFonts w:ascii="Arial" w:hAnsi="Arial"/>
                <w:b w:val="0"/>
                <w:sz w:val="15"/>
              </w:rPr>
              <w:t>Application, records, files, assessments, audit, and versions validated.</w:t>
            </w:r>
          </w:p>
        </w:tc>
      </w:tr>
      <w:tr>
        <w:tc>
          <w:tcPr>
            <w:tcW w:type="dxa" w:w="3408"/>
            <w:vAlign w:val="center"/>
          </w:tcPr>
          <w:p>
            <w:pPr>
              <w:spacing w:after="0"/>
            </w:pPr>
            <w:r/>
            <w:r>
              <w:rPr>
                <w:rFonts w:ascii="Arial" w:hAnsi="Arial"/>
                <w:b w:val="0"/>
                <w:sz w:val="15"/>
              </w:rPr>
              <w:t>SEC-27</w:t>
            </w:r>
          </w:p>
        </w:tc>
        <w:tc>
          <w:tcPr>
            <w:tcW w:type="dxa" w:w="3408"/>
            <w:vAlign w:val="center"/>
          </w:tcPr>
          <w:p>
            <w:pPr>
              <w:spacing w:after="0"/>
            </w:pPr>
            <w:r/>
            <w:r>
              <w:rPr>
                <w:rFonts w:ascii="Arial" w:hAnsi="Arial"/>
                <w:b w:val="0"/>
                <w:sz w:val="15"/>
              </w:rPr>
              <w:t>Revoked staff account session</w:t>
            </w:r>
          </w:p>
        </w:tc>
        <w:tc>
          <w:tcPr>
            <w:tcW w:type="dxa" w:w="3408"/>
            <w:vAlign w:val="center"/>
          </w:tcPr>
          <w:p>
            <w:pPr>
              <w:spacing w:after="0"/>
            </w:pPr>
            <w:r/>
            <w:r>
              <w:rPr>
                <w:rFonts w:ascii="Arial" w:hAnsi="Arial"/>
                <w:b w:val="0"/>
                <w:sz w:val="15"/>
              </w:rPr>
              <w:t>Access terminated and future requests denied.</w:t>
            </w:r>
          </w:p>
        </w:tc>
      </w:tr>
      <w:tr>
        <w:tc>
          <w:tcPr>
            <w:tcW w:type="dxa" w:w="3408"/>
            <w:vAlign w:val="center"/>
            <w:shd w:fill="EEF4F8"/>
          </w:tcPr>
          <w:p>
            <w:pPr>
              <w:spacing w:after="0"/>
            </w:pPr>
            <w:r/>
            <w:r>
              <w:rPr>
                <w:rFonts w:ascii="Arial" w:hAnsi="Arial"/>
                <w:b w:val="0"/>
                <w:sz w:val="15"/>
              </w:rPr>
              <w:t>SEC-28</w:t>
            </w:r>
          </w:p>
        </w:tc>
        <w:tc>
          <w:tcPr>
            <w:tcW w:type="dxa" w:w="3408"/>
            <w:vAlign w:val="center"/>
            <w:shd w:fill="EEF4F8"/>
          </w:tcPr>
          <w:p>
            <w:pPr>
              <w:spacing w:after="0"/>
            </w:pPr>
            <w:r/>
            <w:r>
              <w:rPr>
                <w:rFonts w:ascii="Arial" w:hAnsi="Arial"/>
                <w:b w:val="0"/>
                <w:sz w:val="15"/>
              </w:rPr>
              <w:t>Bulk export attempted</w:t>
            </w:r>
          </w:p>
        </w:tc>
        <w:tc>
          <w:tcPr>
            <w:tcW w:type="dxa" w:w="3408"/>
            <w:vAlign w:val="center"/>
            <w:shd w:fill="EEF4F8"/>
          </w:tcPr>
          <w:p>
            <w:pPr>
              <w:spacing w:after="0"/>
            </w:pPr>
            <w:r/>
            <w:r>
              <w:rPr>
                <w:rFonts w:ascii="Arial" w:hAnsi="Arial"/>
                <w:b w:val="0"/>
                <w:sz w:val="15"/>
              </w:rPr>
              <w:t>Elevated permission, confirmation, audit, limits, and secure output.</w:t>
            </w:r>
          </w:p>
        </w:tc>
      </w:tr>
      <w:tr>
        <w:tc>
          <w:tcPr>
            <w:tcW w:type="dxa" w:w="3408"/>
            <w:vAlign w:val="center"/>
          </w:tcPr>
          <w:p>
            <w:pPr>
              <w:spacing w:after="0"/>
            </w:pPr>
            <w:r/>
            <w:r>
              <w:rPr>
                <w:rFonts w:ascii="Arial" w:hAnsi="Arial"/>
                <w:b w:val="0"/>
                <w:sz w:val="15"/>
              </w:rPr>
              <w:t>SEC-29</w:t>
            </w:r>
          </w:p>
        </w:tc>
        <w:tc>
          <w:tcPr>
            <w:tcW w:type="dxa" w:w="3408"/>
            <w:vAlign w:val="center"/>
          </w:tcPr>
          <w:p>
            <w:pPr>
              <w:spacing w:after="0"/>
            </w:pPr>
            <w:r/>
            <w:r>
              <w:rPr>
                <w:rFonts w:ascii="Arial" w:hAnsi="Arial"/>
                <w:b w:val="0"/>
                <w:sz w:val="15"/>
              </w:rPr>
              <w:t>Dependency vulnerability identified</w:t>
            </w:r>
          </w:p>
        </w:tc>
        <w:tc>
          <w:tcPr>
            <w:tcW w:type="dxa" w:w="3408"/>
            <w:vAlign w:val="center"/>
          </w:tcPr>
          <w:p>
            <w:pPr>
              <w:spacing w:after="0"/>
            </w:pPr>
            <w:r/>
            <w:r>
              <w:rPr>
                <w:rFonts w:ascii="Arial" w:hAnsi="Arial"/>
                <w:b w:val="0"/>
                <w:sz w:val="15"/>
              </w:rPr>
              <w:t>Assessed, patched/mitigated, tested, approved, documented.</w:t>
            </w:r>
          </w:p>
        </w:tc>
      </w:tr>
      <w:tr>
        <w:tc>
          <w:tcPr>
            <w:tcW w:type="dxa" w:w="3408"/>
            <w:vAlign w:val="center"/>
            <w:shd w:fill="EEF4F8"/>
          </w:tcPr>
          <w:p>
            <w:pPr>
              <w:spacing w:after="0"/>
            </w:pPr>
            <w:r/>
            <w:r>
              <w:rPr>
                <w:rFonts w:ascii="Arial" w:hAnsi="Arial"/>
                <w:b w:val="0"/>
                <w:sz w:val="15"/>
              </w:rPr>
              <w:t>SEC-30</w:t>
            </w:r>
          </w:p>
        </w:tc>
        <w:tc>
          <w:tcPr>
            <w:tcW w:type="dxa" w:w="3408"/>
            <w:vAlign w:val="center"/>
            <w:shd w:fill="EEF4F8"/>
          </w:tcPr>
          <w:p>
            <w:pPr>
              <w:spacing w:after="0"/>
            </w:pPr>
            <w:r/>
            <w:r>
              <w:rPr>
                <w:rFonts w:ascii="Arial" w:hAnsi="Arial"/>
                <w:b w:val="0"/>
                <w:sz w:val="15"/>
              </w:rPr>
              <w:t>Security incident affects model artifact</w:t>
            </w:r>
          </w:p>
        </w:tc>
        <w:tc>
          <w:tcPr>
            <w:tcW w:type="dxa" w:w="3408"/>
            <w:vAlign w:val="center"/>
            <w:shd w:fill="EEF4F8"/>
          </w:tcPr>
          <w:p>
            <w:pPr>
              <w:spacing w:after="0"/>
            </w:pPr>
            <w:r/>
            <w:r>
              <w:rPr>
                <w:rFonts w:ascii="Arial" w:hAnsi="Arial"/>
                <w:b w:val="0"/>
                <w:sz w:val="15"/>
              </w:rPr>
              <w:t>Artifact isolated, known-good hash restored, affected assessments identified and reviewed.</w:t>
            </w:r>
          </w:p>
        </w:tc>
      </w:tr>
      <w:tr>
        <w:tc>
          <w:tcPr>
            <w:tcW w:type="dxa" w:w="3408"/>
            <w:vAlign w:val="center"/>
          </w:tcPr>
          <w:p>
            <w:pPr>
              <w:spacing w:after="0"/>
            </w:pPr>
            <w:r/>
            <w:r>
              <w:rPr>
                <w:rFonts w:ascii="Arial" w:hAnsi="Arial"/>
                <w:b w:val="0"/>
                <w:sz w:val="15"/>
              </w:rPr>
              <w:t>SEC-31</w:t>
            </w:r>
          </w:p>
        </w:tc>
        <w:tc>
          <w:tcPr>
            <w:tcW w:type="dxa" w:w="3408"/>
            <w:vAlign w:val="center"/>
          </w:tcPr>
          <w:p>
            <w:pPr>
              <w:spacing w:after="0"/>
            </w:pPr>
            <w:r/>
            <w:r>
              <w:rPr>
                <w:rFonts w:ascii="Arial" w:hAnsi="Arial"/>
                <w:b w:val="0"/>
                <w:sz w:val="15"/>
              </w:rPr>
              <w:t>Downtime clinical record reconciled</w:t>
            </w:r>
          </w:p>
        </w:tc>
        <w:tc>
          <w:tcPr>
            <w:tcW w:type="dxa" w:w="3408"/>
            <w:vAlign w:val="center"/>
          </w:tcPr>
          <w:p>
            <w:pPr>
              <w:spacing w:after="0"/>
            </w:pPr>
            <w:r/>
            <w:r>
              <w:rPr>
                <w:rFonts w:ascii="Arial" w:hAnsi="Arial"/>
                <w:b w:val="0"/>
                <w:sz w:val="15"/>
              </w:rPr>
              <w:t>Dual-reviewed entry linked to original paper record and time.</w:t>
            </w:r>
          </w:p>
        </w:tc>
      </w:tr>
      <w:tr>
        <w:tc>
          <w:tcPr>
            <w:tcW w:type="dxa" w:w="3408"/>
            <w:vAlign w:val="center"/>
            <w:shd w:fill="EEF4F8"/>
          </w:tcPr>
          <w:p>
            <w:pPr>
              <w:spacing w:after="0"/>
            </w:pPr>
            <w:r/>
            <w:r>
              <w:rPr>
                <w:rFonts w:ascii="Arial" w:hAnsi="Arial"/>
                <w:b w:val="0"/>
                <w:sz w:val="15"/>
              </w:rPr>
              <w:t>SEC-32</w:t>
            </w:r>
          </w:p>
        </w:tc>
        <w:tc>
          <w:tcPr>
            <w:tcW w:type="dxa" w:w="3408"/>
            <w:vAlign w:val="center"/>
            <w:shd w:fill="EEF4F8"/>
          </w:tcPr>
          <w:p>
            <w:pPr>
              <w:spacing w:after="0"/>
            </w:pPr>
            <w:r/>
            <w:r>
              <w:rPr>
                <w:rFonts w:ascii="Arial" w:hAnsi="Arial"/>
                <w:b w:val="0"/>
                <w:sz w:val="15"/>
              </w:rPr>
              <w:t>Retention expiration reached</w:t>
            </w:r>
          </w:p>
        </w:tc>
        <w:tc>
          <w:tcPr>
            <w:tcW w:type="dxa" w:w="3408"/>
            <w:vAlign w:val="center"/>
            <w:shd w:fill="EEF4F8"/>
          </w:tcPr>
          <w:p>
            <w:pPr>
              <w:spacing w:after="0"/>
            </w:pPr>
            <w:r/>
            <w:r>
              <w:rPr>
                <w:rFonts w:ascii="Arial" w:hAnsi="Arial"/>
                <w:b w:val="0"/>
                <w:sz w:val="15"/>
              </w:rPr>
              <w:t>Approved secure disposal without deleting legally required audit/history.</w:t>
            </w:r>
          </w:p>
        </w:tc>
      </w:tr>
    </w:tbl>
    <w:p>
      <w:pPr>
        <w:spacing w:after="0"/>
      </w:pPr>
    </w:p>
    <w:p>
      <w:pPr>
        <w:pStyle w:val="Heading1"/>
        <w:keepNext/>
      </w:pPr>
      <w:r>
        <w:rPr>
          <w:rFonts w:ascii="Arial" w:hAnsi="Arial"/>
        </w:rPr>
        <w:t>19. Release-Blocking Security Defects</w:t>
      </w:r>
    </w:p>
    <w:p>
      <w:pPr>
        <w:pStyle w:val="ListBullet"/>
        <w:spacing w:after="40"/>
      </w:pPr>
      <w:r>
        <w:rPr>
          <w:rFonts w:ascii="Arial" w:hAnsi="Arial"/>
          <w:sz w:val="18"/>
        </w:rPr>
        <w:t>Any broken object-level authorization that exposes or mutates another patient or pregnancy episode.</w:t>
      </w:r>
    </w:p>
    <w:p>
      <w:pPr>
        <w:pStyle w:val="ListBullet"/>
        <w:spacing w:after="40"/>
      </w:pPr>
      <w:r>
        <w:rPr>
          <w:rFonts w:ascii="Arial" w:hAnsi="Arial"/>
          <w:sz w:val="18"/>
        </w:rPr>
        <w:t>Any route or service that allows delivered clinical history or immutable assessments to be rewritten without controlled correction history.</w:t>
      </w:r>
    </w:p>
    <w:p>
      <w:pPr>
        <w:pStyle w:val="ListBullet"/>
        <w:spacing w:after="40"/>
      </w:pPr>
      <w:r>
        <w:rPr>
          <w:rFonts w:ascii="Arial" w:hAnsi="Arial"/>
          <w:sz w:val="18"/>
        </w:rPr>
        <w:t>Any path that can return LOW after Python failure, model mismatch, incomplete evidence, or unauthorized input manipulation.</w:t>
      </w:r>
    </w:p>
    <w:p>
      <w:pPr>
        <w:pStyle w:val="ListBullet"/>
        <w:spacing w:after="40"/>
      </w:pPr>
      <w:r>
        <w:rPr>
          <w:rFonts w:ascii="Arial" w:hAnsi="Arial"/>
          <w:sz w:val="18"/>
        </w:rPr>
        <w:t>Plaintext/reversible password storage, shared production accounts, exposed secrets, production debug mode, or public database access.</w:t>
      </w:r>
    </w:p>
    <w:p>
      <w:pPr>
        <w:pStyle w:val="ListBullet"/>
        <w:spacing w:after="40"/>
      </w:pPr>
      <w:r>
        <w:rPr>
          <w:rFonts w:ascii="Arial" w:hAnsi="Arial"/>
          <w:sz w:val="18"/>
        </w:rPr>
        <w:t>Shell command construction using untrusted values, untrusted model deserialization, or Python direct database mutation.</w:t>
      </w:r>
    </w:p>
    <w:p>
      <w:pPr>
        <w:pStyle w:val="ListBullet"/>
        <w:spacing w:after="40"/>
      </w:pPr>
      <w:r>
        <w:rPr>
          <w:rFonts w:ascii="Arial" w:hAnsi="Arial"/>
          <w:sz w:val="18"/>
        </w:rPr>
        <w:t>Public access to uploaded clinical files or backups; unencrypted sensitive backup where encryption is required by policy/risk.</w:t>
      </w:r>
    </w:p>
    <w:p>
      <w:pPr>
        <w:pStyle w:val="ListBullet"/>
        <w:spacing w:after="40"/>
      </w:pPr>
      <w:r>
        <w:rPr>
          <w:rFonts w:ascii="Arial" w:hAnsi="Arial"/>
          <w:sz w:val="18"/>
        </w:rPr>
        <w:t>Audit logging that can be silently bypassed for assessment, referral, delivery, new pregnancy, user/role, export, or restore actions.</w:t>
      </w:r>
    </w:p>
    <w:p>
      <w:pPr>
        <w:pStyle w:val="ListBullet"/>
        <w:spacing w:after="40"/>
      </w:pPr>
      <w:r>
        <w:rPr>
          <w:rFonts w:ascii="Arial" w:hAnsi="Arial"/>
          <w:sz w:val="18"/>
        </w:rPr>
        <w:t>Unrecoverable backup, untested restore, or no functioning downtime process for urgent care and referral.</w:t>
      </w:r>
    </w:p>
    <w:p>
      <w:pPr>
        <w:pStyle w:val="ListBullet"/>
        <w:spacing w:after="40"/>
      </w:pPr>
      <w:r>
        <w:rPr>
          <w:rFonts w:ascii="Arial" w:hAnsi="Arial"/>
          <w:sz w:val="18"/>
        </w:rPr>
        <w:t>Critical dependency, injection, authentication, authorization, or cryptographic defect without approved mitigation.</w:t>
      </w:r>
    </w:p>
    <w:p>
      <w:pPr>
        <w:pStyle w:val="ListBullet"/>
        <w:spacing w:after="40"/>
      </w:pPr>
      <w:r>
        <w:rPr>
          <w:rFonts w:ascii="Arial" w:hAnsi="Arial"/>
          <w:sz w:val="18"/>
        </w:rPr>
        <w:t>Unresolved personal data breach, missing incident owner, or failed security acceptance before release.</w:t>
      </w:r>
    </w:p>
    <w:p>
      <w:pPr>
        <w:pStyle w:val="Heading1"/>
        <w:keepNext/>
      </w:pPr>
      <w:r>
        <w:rPr>
          <w:rFonts w:ascii="Arial" w:hAnsi="Arial"/>
        </w:rPr>
        <w:t>20. Implementation Roadmap</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7"/>
              </w:rPr>
              <w:t>Phase</w:t>
            </w:r>
          </w:p>
        </w:tc>
        <w:tc>
          <w:tcPr>
            <w:tcW w:type="dxa" w:w="3408"/>
            <w:vAlign w:val="center"/>
            <w:shd w:fill="1F4E78"/>
          </w:tcPr>
          <w:p>
            <w:pPr>
              <w:spacing w:after="0"/>
            </w:pPr>
            <w:r/>
            <w:r>
              <w:rPr>
                <w:rFonts w:ascii="Arial" w:hAnsi="Arial"/>
                <w:b/>
                <w:color w:val="FFFFFF"/>
                <w:sz w:val="17"/>
              </w:rPr>
              <w:t>Work products</w:t>
            </w:r>
          </w:p>
        </w:tc>
        <w:tc>
          <w:tcPr>
            <w:tcW w:type="dxa" w:w="3408"/>
            <w:vAlign w:val="center"/>
            <w:shd w:fill="1F4E78"/>
          </w:tcPr>
          <w:p>
            <w:pPr>
              <w:spacing w:after="0"/>
            </w:pPr>
            <w:r/>
            <w:r>
              <w:rPr>
                <w:rFonts w:ascii="Arial" w:hAnsi="Arial"/>
                <w:b/>
                <w:color w:val="FFFFFF"/>
                <w:sz w:val="17"/>
              </w:rPr>
              <w:t>Exit evidence</w:t>
            </w:r>
          </w:p>
        </w:tc>
      </w:tr>
      <w:tr>
        <w:tc>
          <w:tcPr>
            <w:tcW w:type="dxa" w:w="3408"/>
            <w:vAlign w:val="center"/>
          </w:tcPr>
          <w:p>
            <w:pPr>
              <w:spacing w:after="0"/>
            </w:pPr>
            <w:r/>
            <w:r>
              <w:rPr>
                <w:rFonts w:ascii="Arial" w:hAnsi="Arial"/>
                <w:b w:val="0"/>
                <w:sz w:val="16"/>
              </w:rPr>
              <w:t>1. Inventory and baseline</w:t>
            </w:r>
          </w:p>
        </w:tc>
        <w:tc>
          <w:tcPr>
            <w:tcW w:type="dxa" w:w="3408"/>
            <w:vAlign w:val="center"/>
          </w:tcPr>
          <w:p>
            <w:pPr>
              <w:spacing w:after="0"/>
            </w:pPr>
            <w:r/>
            <w:r>
              <w:rPr>
                <w:rFonts w:ascii="Arial" w:hAnsi="Arial"/>
                <w:b w:val="0"/>
                <w:sz w:val="16"/>
              </w:rPr>
              <w:t>Data inventory, roles, trust boundaries, assets, current controls, gaps.</w:t>
            </w:r>
          </w:p>
        </w:tc>
        <w:tc>
          <w:tcPr>
            <w:tcW w:type="dxa" w:w="3408"/>
            <w:vAlign w:val="center"/>
          </w:tcPr>
          <w:p>
            <w:pPr>
              <w:spacing w:after="0"/>
            </w:pPr>
            <w:r/>
            <w:r>
              <w:rPr>
                <w:rFonts w:ascii="Arial" w:hAnsi="Arial"/>
                <w:b w:val="0"/>
                <w:sz w:val="16"/>
              </w:rPr>
              <w:t>Approved scope and risk register.</w:t>
            </w:r>
          </w:p>
        </w:tc>
      </w:tr>
      <w:tr>
        <w:tc>
          <w:tcPr>
            <w:tcW w:type="dxa" w:w="3408"/>
            <w:vAlign w:val="center"/>
            <w:shd w:fill="EEF4F8"/>
          </w:tcPr>
          <w:p>
            <w:pPr>
              <w:spacing w:after="0"/>
            </w:pPr>
            <w:r/>
            <w:r>
              <w:rPr>
                <w:rFonts w:ascii="Arial" w:hAnsi="Arial"/>
                <w:b w:val="0"/>
                <w:sz w:val="16"/>
              </w:rPr>
              <w:t>2. Identity and authorization</w:t>
            </w:r>
          </w:p>
        </w:tc>
        <w:tc>
          <w:tcPr>
            <w:tcW w:type="dxa" w:w="3408"/>
            <w:vAlign w:val="center"/>
            <w:shd w:fill="EEF4F8"/>
          </w:tcPr>
          <w:p>
            <w:pPr>
              <w:spacing w:after="0"/>
            </w:pPr>
            <w:r/>
            <w:r>
              <w:rPr>
                <w:rFonts w:ascii="Arial" w:hAnsi="Arial"/>
                <w:b w:val="0"/>
                <w:sz w:val="16"/>
              </w:rPr>
              <w:t>Unique accounts, role matrix, policies, ownership/episode guards, session controls.</w:t>
            </w:r>
          </w:p>
        </w:tc>
        <w:tc>
          <w:tcPr>
            <w:tcW w:type="dxa" w:w="3408"/>
            <w:vAlign w:val="center"/>
            <w:shd w:fill="EEF4F8"/>
          </w:tcPr>
          <w:p>
            <w:pPr>
              <w:spacing w:after="0"/>
            </w:pPr>
            <w:r/>
            <w:r>
              <w:rPr>
                <w:rFonts w:ascii="Arial" w:hAnsi="Arial"/>
                <w:b w:val="0"/>
                <w:sz w:val="16"/>
              </w:rPr>
              <w:t>Automated positive and negative access tests.</w:t>
            </w:r>
          </w:p>
        </w:tc>
      </w:tr>
      <w:tr>
        <w:tc>
          <w:tcPr>
            <w:tcW w:type="dxa" w:w="3408"/>
            <w:vAlign w:val="center"/>
          </w:tcPr>
          <w:p>
            <w:pPr>
              <w:spacing w:after="0"/>
            </w:pPr>
            <w:r/>
            <w:r>
              <w:rPr>
                <w:rFonts w:ascii="Arial" w:hAnsi="Arial"/>
                <w:b w:val="0"/>
                <w:sz w:val="16"/>
              </w:rPr>
              <w:t>3. Application hardening</w:t>
            </w:r>
          </w:p>
        </w:tc>
        <w:tc>
          <w:tcPr>
            <w:tcW w:type="dxa" w:w="3408"/>
            <w:vAlign w:val="center"/>
          </w:tcPr>
          <w:p>
            <w:pPr>
              <w:spacing w:after="0"/>
            </w:pPr>
            <w:r/>
            <w:r>
              <w:rPr>
                <w:rFonts w:ascii="Arial" w:hAnsi="Arial"/>
                <w:b w:val="0"/>
                <w:sz w:val="16"/>
              </w:rPr>
              <w:t>Validation, CSRF, escaping, uploads, rate limits, headers, error handling.</w:t>
            </w:r>
          </w:p>
        </w:tc>
        <w:tc>
          <w:tcPr>
            <w:tcW w:type="dxa" w:w="3408"/>
            <w:vAlign w:val="center"/>
          </w:tcPr>
          <w:p>
            <w:pPr>
              <w:spacing w:after="0"/>
            </w:pPr>
            <w:r/>
            <w:r>
              <w:rPr>
                <w:rFonts w:ascii="Arial" w:hAnsi="Arial"/>
                <w:b w:val="0"/>
                <w:sz w:val="16"/>
              </w:rPr>
              <w:t>Security test report and fixed critical findings.</w:t>
            </w:r>
          </w:p>
        </w:tc>
      </w:tr>
      <w:tr>
        <w:tc>
          <w:tcPr>
            <w:tcW w:type="dxa" w:w="3408"/>
            <w:vAlign w:val="center"/>
            <w:shd w:fill="EEF4F8"/>
          </w:tcPr>
          <w:p>
            <w:pPr>
              <w:spacing w:after="0"/>
            </w:pPr>
            <w:r/>
            <w:r>
              <w:rPr>
                <w:rFonts w:ascii="Arial" w:hAnsi="Arial"/>
                <w:b w:val="0"/>
                <w:sz w:val="16"/>
              </w:rPr>
              <w:t>4. Python/model hardening</w:t>
            </w:r>
          </w:p>
        </w:tc>
        <w:tc>
          <w:tcPr>
            <w:tcW w:type="dxa" w:w="3408"/>
            <w:vAlign w:val="center"/>
            <w:shd w:fill="EEF4F8"/>
          </w:tcPr>
          <w:p>
            <w:pPr>
              <w:spacing w:after="0"/>
            </w:pPr>
            <w:r/>
            <w:r>
              <w:rPr>
                <w:rFonts w:ascii="Arial" w:hAnsi="Arial"/>
                <w:b w:val="0"/>
                <w:sz w:val="16"/>
              </w:rPr>
              <w:t>Safe process adapter, timeout, schema, hash/version validation, restricted permissions.</w:t>
            </w:r>
          </w:p>
        </w:tc>
        <w:tc>
          <w:tcPr>
            <w:tcW w:type="dxa" w:w="3408"/>
            <w:vAlign w:val="center"/>
            <w:shd w:fill="EEF4F8"/>
          </w:tcPr>
          <w:p>
            <w:pPr>
              <w:spacing w:after="0"/>
            </w:pPr>
            <w:r/>
            <w:r>
              <w:rPr>
                <w:rFonts w:ascii="Arial" w:hAnsi="Arial"/>
                <w:b w:val="0"/>
                <w:sz w:val="16"/>
              </w:rPr>
              <w:t>Tamper, injection, timeout, and failure tests.</w:t>
            </w:r>
          </w:p>
        </w:tc>
      </w:tr>
      <w:tr>
        <w:tc>
          <w:tcPr>
            <w:tcW w:type="dxa" w:w="3408"/>
            <w:vAlign w:val="center"/>
          </w:tcPr>
          <w:p>
            <w:pPr>
              <w:spacing w:after="0"/>
            </w:pPr>
            <w:r/>
            <w:r>
              <w:rPr>
                <w:rFonts w:ascii="Arial" w:hAnsi="Arial"/>
                <w:b w:val="0"/>
                <w:sz w:val="16"/>
              </w:rPr>
              <w:t>5. Data, secrets, and backup</w:t>
            </w:r>
          </w:p>
        </w:tc>
        <w:tc>
          <w:tcPr>
            <w:tcW w:type="dxa" w:w="3408"/>
            <w:vAlign w:val="center"/>
          </w:tcPr>
          <w:p>
            <w:pPr>
              <w:spacing w:after="0"/>
            </w:pPr>
            <w:r/>
            <w:r>
              <w:rPr>
                <w:rFonts w:ascii="Arial" w:hAnsi="Arial"/>
                <w:b w:val="0"/>
                <w:sz w:val="16"/>
              </w:rPr>
              <w:t>Private storage, least-privilege DB, secret handling, encrypted backup, restore.</w:t>
            </w:r>
          </w:p>
        </w:tc>
        <w:tc>
          <w:tcPr>
            <w:tcW w:type="dxa" w:w="3408"/>
            <w:vAlign w:val="center"/>
          </w:tcPr>
          <w:p>
            <w:pPr>
              <w:spacing w:after="0"/>
            </w:pPr>
            <w:r/>
            <w:r>
              <w:rPr>
                <w:rFonts w:ascii="Arial" w:hAnsi="Arial"/>
                <w:b w:val="0"/>
                <w:sz w:val="16"/>
              </w:rPr>
              <w:t>Successful restore and access review.</w:t>
            </w:r>
          </w:p>
        </w:tc>
      </w:tr>
      <w:tr>
        <w:tc>
          <w:tcPr>
            <w:tcW w:type="dxa" w:w="3408"/>
            <w:vAlign w:val="center"/>
            <w:shd w:fill="EEF4F8"/>
          </w:tcPr>
          <w:p>
            <w:pPr>
              <w:spacing w:after="0"/>
            </w:pPr>
            <w:r/>
            <w:r>
              <w:rPr>
                <w:rFonts w:ascii="Arial" w:hAnsi="Arial"/>
                <w:b w:val="0"/>
                <w:sz w:val="16"/>
              </w:rPr>
              <w:t>6. Audit and monitoring</w:t>
            </w:r>
          </w:p>
        </w:tc>
        <w:tc>
          <w:tcPr>
            <w:tcW w:type="dxa" w:w="3408"/>
            <w:vAlign w:val="center"/>
            <w:shd w:fill="EEF4F8"/>
          </w:tcPr>
          <w:p>
            <w:pPr>
              <w:spacing w:after="0"/>
            </w:pPr>
            <w:r/>
            <w:r>
              <w:rPr>
                <w:rFonts w:ascii="Arial" w:hAnsi="Arial"/>
                <w:b w:val="0"/>
                <w:sz w:val="16"/>
              </w:rPr>
              <w:t>Event catalogue, correlation IDs, protected logs, review process, alerts.</w:t>
            </w:r>
          </w:p>
        </w:tc>
        <w:tc>
          <w:tcPr>
            <w:tcW w:type="dxa" w:w="3408"/>
            <w:vAlign w:val="center"/>
            <w:shd w:fill="EEF4F8"/>
          </w:tcPr>
          <w:p>
            <w:pPr>
              <w:spacing w:after="0"/>
            </w:pPr>
            <w:r/>
            <w:r>
              <w:rPr>
                <w:rFonts w:ascii="Arial" w:hAnsi="Arial"/>
                <w:b w:val="0"/>
                <w:sz w:val="16"/>
              </w:rPr>
              <w:t>Reconstruction exercise and monitoring evidence.</w:t>
            </w:r>
          </w:p>
        </w:tc>
      </w:tr>
      <w:tr>
        <w:tc>
          <w:tcPr>
            <w:tcW w:type="dxa" w:w="3408"/>
            <w:vAlign w:val="center"/>
          </w:tcPr>
          <w:p>
            <w:pPr>
              <w:spacing w:after="0"/>
            </w:pPr>
            <w:r/>
            <w:r>
              <w:rPr>
                <w:rFonts w:ascii="Arial" w:hAnsi="Arial"/>
                <w:b w:val="0"/>
                <w:sz w:val="16"/>
              </w:rPr>
              <w:t>7. Incident and downtime</w:t>
            </w:r>
          </w:p>
        </w:tc>
        <w:tc>
          <w:tcPr>
            <w:tcW w:type="dxa" w:w="3408"/>
            <w:vAlign w:val="center"/>
          </w:tcPr>
          <w:p>
            <w:pPr>
              <w:spacing w:after="0"/>
            </w:pPr>
            <w:r/>
            <w:r>
              <w:rPr>
                <w:rFonts w:ascii="Arial" w:hAnsi="Arial"/>
                <w:b w:val="0"/>
                <w:sz w:val="16"/>
              </w:rPr>
              <w:t>Runbooks, contacts, paper forms, breach process, reconciliation.</w:t>
            </w:r>
          </w:p>
        </w:tc>
        <w:tc>
          <w:tcPr>
            <w:tcW w:type="dxa" w:w="3408"/>
            <w:vAlign w:val="center"/>
          </w:tcPr>
          <w:p>
            <w:pPr>
              <w:spacing w:after="0"/>
            </w:pPr>
            <w:r/>
            <w:r>
              <w:rPr>
                <w:rFonts w:ascii="Arial" w:hAnsi="Arial"/>
                <w:b w:val="0"/>
                <w:sz w:val="16"/>
              </w:rPr>
              <w:t>Tabletop exercise and corrective actions.</w:t>
            </w:r>
          </w:p>
        </w:tc>
      </w:tr>
      <w:tr>
        <w:tc>
          <w:tcPr>
            <w:tcW w:type="dxa" w:w="3408"/>
            <w:vAlign w:val="center"/>
            <w:shd w:fill="EEF4F8"/>
          </w:tcPr>
          <w:p>
            <w:pPr>
              <w:spacing w:after="0"/>
            </w:pPr>
            <w:r/>
            <w:r>
              <w:rPr>
                <w:rFonts w:ascii="Arial" w:hAnsi="Arial"/>
                <w:b w:val="0"/>
                <w:sz w:val="16"/>
              </w:rPr>
              <w:t>8. Release assurance</w:t>
            </w:r>
          </w:p>
        </w:tc>
        <w:tc>
          <w:tcPr>
            <w:tcW w:type="dxa" w:w="3408"/>
            <w:vAlign w:val="center"/>
            <w:shd w:fill="EEF4F8"/>
          </w:tcPr>
          <w:p>
            <w:pPr>
              <w:spacing w:after="0"/>
            </w:pPr>
            <w:r/>
            <w:r>
              <w:rPr>
                <w:rFonts w:ascii="Arial" w:hAnsi="Arial"/>
                <w:b w:val="0"/>
                <w:sz w:val="16"/>
              </w:rPr>
              <w:t>Dependency review, vulnerability testing, privacy/security acceptance, rollback package.</w:t>
            </w:r>
          </w:p>
        </w:tc>
        <w:tc>
          <w:tcPr>
            <w:tcW w:type="dxa" w:w="3408"/>
            <w:vAlign w:val="center"/>
            <w:shd w:fill="EEF4F8"/>
          </w:tcPr>
          <w:p>
            <w:pPr>
              <w:spacing w:after="0"/>
            </w:pPr>
            <w:r/>
            <w:r>
              <w:rPr>
                <w:rFonts w:ascii="Arial" w:hAnsi="Arial"/>
                <w:b w:val="0"/>
                <w:sz w:val="16"/>
              </w:rPr>
              <w:t>Signed release checklist and no blocking defects.</w:t>
            </w:r>
          </w:p>
        </w:tc>
      </w:tr>
    </w:tbl>
    <w:p>
      <w:pPr>
        <w:spacing w:after="0"/>
      </w:pPr>
    </w:p>
    <w:p>
      <w:pPr>
        <w:pStyle w:val="Heading1"/>
        <w:keepNext/>
      </w:pPr>
      <w:r>
        <w:rPr>
          <w:rFonts w:ascii="Arial" w:hAnsi="Arial"/>
        </w:rPr>
        <w:t>21. Panel Defense Questions and Answers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Question</w:t>
            </w:r>
          </w:p>
        </w:tc>
        <w:tc>
          <w:tcPr>
            <w:tcW w:type="dxa" w:w="5112"/>
            <w:vAlign w:val="center"/>
            <w:shd w:fill="1F4E78"/>
          </w:tcPr>
          <w:p>
            <w:pPr>
              <w:spacing w:after="0"/>
            </w:pPr>
            <w:r/>
            <w:r>
              <w:rPr>
                <w:rFonts w:ascii="Arial" w:hAnsi="Arial"/>
                <w:b/>
                <w:color w:val="FFFFFF"/>
                <w:sz w:val="17"/>
              </w:rPr>
              <w:t>Defense-ready answer</w:t>
            </w:r>
          </w:p>
        </w:tc>
      </w:tr>
      <w:tr>
        <w:tc>
          <w:tcPr>
            <w:tcW w:type="dxa" w:w="5112"/>
            <w:vAlign w:val="center"/>
          </w:tcPr>
          <w:p>
            <w:pPr>
              <w:spacing w:after="0"/>
            </w:pPr>
            <w:r/>
            <w:r>
              <w:rPr>
                <w:rFonts w:ascii="Arial" w:hAnsi="Arial"/>
                <w:b w:val="0"/>
                <w:sz w:val="16"/>
              </w:rPr>
              <w:t>Why is Laravel the security boundary?</w:t>
            </w:r>
          </w:p>
        </w:tc>
        <w:tc>
          <w:tcPr>
            <w:tcW w:type="dxa" w:w="5112"/>
            <w:vAlign w:val="center"/>
          </w:tcPr>
          <w:p>
            <w:pPr>
              <w:spacing w:after="0"/>
            </w:pPr>
            <w:r/>
            <w:r>
              <w:rPr>
                <w:rFonts w:ascii="Arial" w:hAnsi="Arial"/>
                <w:b w:val="0"/>
                <w:sz w:val="16"/>
              </w:rPr>
              <w:t>It already controls authenticated sessions, policies, validation, transactions, data access, workflow, and audit. Allowing Python or the browser to bypass Laravel would duplicate trust decisions and weaken accountability.</w:t>
            </w:r>
          </w:p>
        </w:tc>
      </w:tr>
      <w:tr>
        <w:tc>
          <w:tcPr>
            <w:tcW w:type="dxa" w:w="5112"/>
            <w:vAlign w:val="center"/>
            <w:shd w:fill="EEF4F8"/>
          </w:tcPr>
          <w:p>
            <w:pPr>
              <w:spacing w:after="0"/>
            </w:pPr>
            <w:r/>
            <w:r>
              <w:rPr>
                <w:rFonts w:ascii="Arial" w:hAnsi="Arial"/>
                <w:b w:val="0"/>
                <w:sz w:val="16"/>
              </w:rPr>
              <w:t>How do you protect patient records from another logged-in user?</w:t>
            </w:r>
          </w:p>
        </w:tc>
        <w:tc>
          <w:tcPr>
            <w:tcW w:type="dxa" w:w="5112"/>
            <w:vAlign w:val="center"/>
            <w:shd w:fill="EEF4F8"/>
          </w:tcPr>
          <w:p>
            <w:pPr>
              <w:spacing w:after="0"/>
            </w:pPr>
            <w:r/>
            <w:r>
              <w:rPr>
                <w:rFonts w:ascii="Arial" w:hAnsi="Arial"/>
                <w:b w:val="0"/>
                <w:sz w:val="16"/>
              </w:rPr>
              <w:t>Every action uses server-side policies and queries scoped to the authorized patient and pregnancy episode. Hiding a button is not considered security, and negative ID-tampering tests are required.</w:t>
            </w:r>
          </w:p>
        </w:tc>
      </w:tr>
      <w:tr>
        <w:tc>
          <w:tcPr>
            <w:tcW w:type="dxa" w:w="5112"/>
            <w:vAlign w:val="center"/>
          </w:tcPr>
          <w:p>
            <w:pPr>
              <w:spacing w:after="0"/>
            </w:pPr>
            <w:r/>
            <w:r>
              <w:rPr>
                <w:rFonts w:ascii="Arial" w:hAnsi="Arial"/>
                <w:b w:val="0"/>
                <w:sz w:val="16"/>
              </w:rPr>
              <w:t>Can the AI access the database?</w:t>
            </w:r>
          </w:p>
        </w:tc>
        <w:tc>
          <w:tcPr>
            <w:tcW w:type="dxa" w:w="5112"/>
            <w:vAlign w:val="center"/>
          </w:tcPr>
          <w:p>
            <w:pPr>
              <w:spacing w:after="0"/>
            </w:pPr>
            <w:r/>
            <w:r>
              <w:rPr>
                <w:rFonts w:ascii="Arial" w:hAnsi="Arial"/>
                <w:b w:val="0"/>
                <w:sz w:val="16"/>
              </w:rPr>
              <w:t>No. Python receives only the required feature payload and has no database credentials or write authority. Laravel validates its output and alone persists the final assessment.</w:t>
            </w:r>
          </w:p>
        </w:tc>
      </w:tr>
      <w:tr>
        <w:tc>
          <w:tcPr>
            <w:tcW w:type="dxa" w:w="5112"/>
            <w:vAlign w:val="center"/>
            <w:shd w:fill="EEF4F8"/>
          </w:tcPr>
          <w:p>
            <w:pPr>
              <w:spacing w:after="0"/>
            </w:pPr>
            <w:r/>
            <w:r>
              <w:rPr>
                <w:rFonts w:ascii="Arial" w:hAnsi="Arial"/>
                <w:b w:val="0"/>
                <w:sz w:val="16"/>
              </w:rPr>
              <w:t>What happens if the model is changed secretly?</w:t>
            </w:r>
          </w:p>
        </w:tc>
        <w:tc>
          <w:tcPr>
            <w:tcW w:type="dxa" w:w="5112"/>
            <w:vAlign w:val="center"/>
            <w:shd w:fill="EEF4F8"/>
          </w:tcPr>
          <w:p>
            <w:pPr>
              <w:spacing w:after="0"/>
            </w:pPr>
            <w:r/>
            <w:r>
              <w:rPr>
                <w:rFonts w:ascii="Arial" w:hAnsi="Arial"/>
                <w:b w:val="0"/>
                <w:sz w:val="16"/>
              </w:rPr>
              <w:t>The approved model version and cryptographic hash are verified. A mismatch blocks inference, creates a visible event, and cannot produce LOW.</w:t>
            </w:r>
          </w:p>
        </w:tc>
      </w:tr>
      <w:tr>
        <w:tc>
          <w:tcPr>
            <w:tcW w:type="dxa" w:w="5112"/>
            <w:vAlign w:val="center"/>
          </w:tcPr>
          <w:p>
            <w:pPr>
              <w:spacing w:after="0"/>
            </w:pPr>
            <w:r/>
            <w:r>
              <w:rPr>
                <w:rFonts w:ascii="Arial" w:hAnsi="Arial"/>
                <w:b w:val="0"/>
                <w:sz w:val="16"/>
              </w:rPr>
              <w:t>Does encryption alone make the system compliant with the Data Privacy Act?</w:t>
            </w:r>
          </w:p>
        </w:tc>
        <w:tc>
          <w:tcPr>
            <w:tcW w:type="dxa" w:w="5112"/>
            <w:vAlign w:val="center"/>
          </w:tcPr>
          <w:p>
            <w:pPr>
              <w:spacing w:after="0"/>
            </w:pPr>
            <w:r/>
            <w:r>
              <w:rPr>
                <w:rFonts w:ascii="Arial" w:hAnsi="Arial"/>
                <w:b w:val="0"/>
                <w:sz w:val="16"/>
              </w:rPr>
              <w:t>No. Compliance requires organizational, physical, and technical safeguards, legitimate purpose, transparency, proportionality, retention, confidentiality, incident response, and accountable governance.</w:t>
            </w:r>
          </w:p>
        </w:tc>
      </w:tr>
      <w:tr>
        <w:tc>
          <w:tcPr>
            <w:tcW w:type="dxa" w:w="5112"/>
            <w:vAlign w:val="center"/>
            <w:shd w:fill="EEF4F8"/>
          </w:tcPr>
          <w:p>
            <w:pPr>
              <w:spacing w:after="0"/>
            </w:pPr>
            <w:r/>
            <w:r>
              <w:rPr>
                <w:rFonts w:ascii="Arial" w:hAnsi="Arial"/>
                <w:b w:val="0"/>
                <w:sz w:val="16"/>
              </w:rPr>
              <w:t>How do you avoid delaying emergency care during an outage?</w:t>
            </w:r>
          </w:p>
        </w:tc>
        <w:tc>
          <w:tcPr>
            <w:tcW w:type="dxa" w:w="5112"/>
            <w:vAlign w:val="center"/>
            <w:shd w:fill="EEF4F8"/>
          </w:tcPr>
          <w:p>
            <w:pPr>
              <w:spacing w:after="0"/>
            </w:pPr>
            <w:r/>
            <w:r>
              <w:rPr>
                <w:rFonts w:ascii="Arial" w:hAnsi="Arial"/>
                <w:b w:val="0"/>
                <w:sz w:val="16"/>
              </w:rPr>
              <w:t>The clinic uses an approved downtime and referral procedure. Software failure never prevents urgent manual evaluation, handover, transport, or later reconciliation.</w:t>
            </w:r>
          </w:p>
        </w:tc>
      </w:tr>
      <w:tr>
        <w:tc>
          <w:tcPr>
            <w:tcW w:type="dxa" w:w="5112"/>
            <w:vAlign w:val="center"/>
          </w:tcPr>
          <w:p>
            <w:pPr>
              <w:spacing w:after="0"/>
            </w:pPr>
            <w:r/>
            <w:r>
              <w:rPr>
                <w:rFonts w:ascii="Arial" w:hAnsi="Arial"/>
                <w:b w:val="0"/>
                <w:sz w:val="16"/>
              </w:rPr>
              <w:t>How are insiders controlled in a small clinic?</w:t>
            </w:r>
          </w:p>
        </w:tc>
        <w:tc>
          <w:tcPr>
            <w:tcW w:type="dxa" w:w="5112"/>
            <w:vAlign w:val="center"/>
          </w:tcPr>
          <w:p>
            <w:pPr>
              <w:spacing w:after="0"/>
            </w:pPr>
            <w:r/>
            <w:r>
              <w:rPr>
                <w:rFonts w:ascii="Arial" w:hAnsi="Arial"/>
                <w:b w:val="0"/>
                <w:sz w:val="16"/>
              </w:rPr>
              <w:t>Unique accounts, least privilege, purpose-based access, protected audit trails, periodic review, secure workstation practices, and dual review for high-impact administration where staffing permits.</w:t>
            </w:r>
          </w:p>
        </w:tc>
      </w:tr>
      <w:tr>
        <w:tc>
          <w:tcPr>
            <w:tcW w:type="dxa" w:w="5112"/>
            <w:vAlign w:val="center"/>
            <w:shd w:fill="EEF4F8"/>
          </w:tcPr>
          <w:p>
            <w:pPr>
              <w:spacing w:after="0"/>
            </w:pPr>
            <w:r/>
            <w:r>
              <w:rPr>
                <w:rFonts w:ascii="Arial" w:hAnsi="Arial"/>
                <w:b w:val="0"/>
                <w:sz w:val="16"/>
              </w:rPr>
              <w:t>Why are delivered records read-only?</w:t>
            </w:r>
          </w:p>
        </w:tc>
        <w:tc>
          <w:tcPr>
            <w:tcW w:type="dxa" w:w="5112"/>
            <w:vAlign w:val="center"/>
            <w:shd w:fill="EEF4F8"/>
          </w:tcPr>
          <w:p>
            <w:pPr>
              <w:spacing w:after="0"/>
            </w:pPr>
            <w:r/>
            <w:r>
              <w:rPr>
                <w:rFonts w:ascii="Arial" w:hAnsi="Arial"/>
                <w:b w:val="0"/>
                <w:sz w:val="16"/>
              </w:rPr>
              <w:t>They are historical clinical evidence. A later pregnancy must create a new episode; changing the old episode would corrupt lineage and assessment reconstruction.</w:t>
            </w:r>
          </w:p>
        </w:tc>
      </w:tr>
      <w:tr>
        <w:tc>
          <w:tcPr>
            <w:tcW w:type="dxa" w:w="5112"/>
            <w:vAlign w:val="center"/>
          </w:tcPr>
          <w:p>
            <w:pPr>
              <w:spacing w:after="0"/>
            </w:pPr>
            <w:r/>
            <w:r>
              <w:rPr>
                <w:rFonts w:ascii="Arial" w:hAnsi="Arial"/>
                <w:b w:val="0"/>
                <w:sz w:val="16"/>
              </w:rPr>
              <w:t>How do you prove the security works?</w:t>
            </w:r>
          </w:p>
        </w:tc>
        <w:tc>
          <w:tcPr>
            <w:tcW w:type="dxa" w:w="5112"/>
            <w:vAlign w:val="center"/>
          </w:tcPr>
          <w:p>
            <w:pPr>
              <w:spacing w:after="0"/>
            </w:pPr>
            <w:r/>
            <w:r>
              <w:rPr>
                <w:rFonts w:ascii="Arial" w:hAnsi="Arial"/>
                <w:b w:val="0"/>
                <w:sz w:val="16"/>
              </w:rPr>
              <w:t>Through traceable verification: authentication, authorization, injection, upload, session, subprocess, model-integrity, backup/restore, incident, and downtime scenarios with release-blocking criteria.</w:t>
            </w:r>
          </w:p>
        </w:tc>
      </w:tr>
    </w:tbl>
    <w:p>
      <w:pPr>
        <w:spacing w:after="0"/>
      </w:pPr>
    </w:p>
    <w:p>
      <w:pPr>
        <w:pStyle w:val="Heading1"/>
        <w:keepNext/>
      </w:pPr>
      <w:r>
        <w:rPr>
          <w:rFonts w:ascii="Arial" w:hAnsi="Arial"/>
        </w:rPr>
        <w:t>22. Authoritative Security Invariants</w:t>
      </w:r>
    </w:p>
    <w:p>
      <w:pPr>
        <w:pStyle w:val="ListBullet"/>
        <w:spacing w:after="40"/>
      </w:pPr>
      <w:r>
        <w:rPr>
          <w:rFonts w:ascii="Arial" w:hAnsi="Arial"/>
          <w:sz w:val="18"/>
        </w:rPr>
        <w:t>All human actions are attributable to unique authenticated accounts.</w:t>
      </w:r>
    </w:p>
    <w:p>
      <w:pPr>
        <w:pStyle w:val="ListBullet"/>
        <w:spacing w:after="40"/>
      </w:pPr>
      <w:r>
        <w:rPr>
          <w:rFonts w:ascii="Arial" w:hAnsi="Arial"/>
          <w:sz w:val="18"/>
        </w:rPr>
        <w:t>Authorization is enforced on the server for the exact resource, patient, pregnancy episode, action, and state.</w:t>
      </w:r>
    </w:p>
    <w:p>
      <w:pPr>
        <w:pStyle w:val="ListBullet"/>
        <w:spacing w:after="40"/>
      </w:pPr>
      <w:r>
        <w:rPr>
          <w:rFonts w:ascii="Arial" w:hAnsi="Arial"/>
          <w:sz w:val="18"/>
        </w:rPr>
        <w:t>Health data, credentials, secrets, logs, uploads, model artifacts, and backups are never intentionally exposed through the public web root.</w:t>
      </w:r>
    </w:p>
    <w:p>
      <w:pPr>
        <w:pStyle w:val="ListBullet"/>
        <w:spacing w:after="40"/>
      </w:pPr>
      <w:r>
        <w:rPr>
          <w:rFonts w:ascii="Arial" w:hAnsi="Arial"/>
          <w:sz w:val="18"/>
        </w:rPr>
        <w:t>Python cannot authenticate users, query/write MySQL, change final state, or bypass Laravel validation and audit.</w:t>
      </w:r>
    </w:p>
    <w:p>
      <w:pPr>
        <w:pStyle w:val="ListBullet"/>
        <w:spacing w:after="40"/>
      </w:pPr>
      <w:r>
        <w:rPr>
          <w:rFonts w:ascii="Arial" w:hAnsi="Arial"/>
          <w:sz w:val="18"/>
        </w:rPr>
        <w:t>Unknown or tampered rule/model/schema artifacts cannot participate in a production assessment.</w:t>
      </w:r>
    </w:p>
    <w:p>
      <w:pPr>
        <w:pStyle w:val="ListBullet"/>
        <w:spacing w:after="40"/>
      </w:pPr>
      <w:r>
        <w:rPr>
          <w:rFonts w:ascii="Arial" w:hAnsi="Arial"/>
          <w:sz w:val="18"/>
        </w:rPr>
        <w:t>No missing, invalid, unauthorized, or failed evidence path may silently become LOW.</w:t>
      </w:r>
    </w:p>
    <w:p>
      <w:pPr>
        <w:pStyle w:val="ListBullet"/>
        <w:spacing w:after="40"/>
      </w:pPr>
      <w:r>
        <w:rPr>
          <w:rFonts w:ascii="Arial" w:hAnsi="Arial"/>
          <w:sz w:val="18"/>
        </w:rPr>
        <w:t>Clinical and security audit history is append-oriented, protected, retained, and reconstructable.</w:t>
      </w:r>
    </w:p>
    <w:p>
      <w:pPr>
        <w:pStyle w:val="ListBullet"/>
        <w:spacing w:after="40"/>
      </w:pPr>
      <w:r>
        <w:rPr>
          <w:rFonts w:ascii="Arial" w:hAnsi="Arial"/>
          <w:sz w:val="18"/>
        </w:rPr>
        <w:t>Delivered pregnancy history remains read-only and a new pregnancy creates a separate episode.</w:t>
      </w:r>
    </w:p>
    <w:p>
      <w:pPr>
        <w:pStyle w:val="ListBullet"/>
        <w:spacing w:after="40"/>
      </w:pPr>
      <w:r>
        <w:rPr>
          <w:rFonts w:ascii="Arial" w:hAnsi="Arial"/>
          <w:sz w:val="18"/>
        </w:rPr>
        <w:t>Email, print, queue, and other downstream failures never change clinical truth or close unresolved referrals.</w:t>
      </w:r>
    </w:p>
    <w:p>
      <w:pPr>
        <w:pStyle w:val="ListBullet"/>
        <w:spacing w:after="40"/>
      </w:pPr>
      <w:r>
        <w:rPr>
          <w:rFonts w:ascii="Arial" w:hAnsi="Arial"/>
          <w:sz w:val="18"/>
        </w:rPr>
        <w:t>Backups are protected and restoration is tested; downtime procedures preserve urgent care and referral continuity.</w:t>
      </w:r>
    </w:p>
    <w:p>
      <w:pPr>
        <w:pStyle w:val="ListBullet"/>
        <w:spacing w:after="40"/>
      </w:pPr>
      <w:r>
        <w:rPr>
          <w:rFonts w:ascii="Arial" w:hAnsi="Arial"/>
          <w:sz w:val="18"/>
        </w:rPr>
        <w:t>Security/privacy controls and risks are reviewed after material changes and incidents.</w:t>
      </w:r>
    </w:p>
    <w:p>
      <w:pPr>
        <w:pStyle w:val="ListBullet"/>
        <w:spacing w:after="40"/>
      </w:pPr>
      <w:r>
        <w:rPr>
          <w:rFonts w:ascii="Arial" w:hAnsi="Arial"/>
          <w:sz w:val="18"/>
        </w:rPr>
        <w:t>No release proceeds with unresolved release-blocking security defects.</w:t>
      </w:r>
    </w:p>
    <w:p>
      <w:pPr>
        <w:pStyle w:val="Heading1"/>
        <w:keepNext/>
      </w:pPr>
      <w:r>
        <w:rPr>
          <w:rFonts w:ascii="Arial" w:hAnsi="Arial"/>
        </w:rPr>
        <w:t>23. Relationship to Remaining Document 6 Parts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Part</w:t>
            </w:r>
          </w:p>
        </w:tc>
        <w:tc>
          <w:tcPr>
            <w:tcW w:type="dxa" w:w="5112"/>
            <w:vAlign w:val="center"/>
            <w:shd w:fill="1F4E78"/>
          </w:tcPr>
          <w:p>
            <w:pPr>
              <w:spacing w:after="0"/>
            </w:pPr>
            <w:r/>
            <w:r>
              <w:rPr>
                <w:rFonts w:ascii="Arial" w:hAnsi="Arial"/>
                <w:b/>
                <w:color w:val="FFFFFF"/>
                <w:sz w:val="17"/>
              </w:rPr>
              <w:t>Security handoff</w:t>
            </w:r>
          </w:p>
        </w:tc>
      </w:tr>
      <w:tr>
        <w:tc>
          <w:tcPr>
            <w:tcW w:type="dxa" w:w="5112"/>
            <w:vAlign w:val="center"/>
          </w:tcPr>
          <w:p>
            <w:pPr>
              <w:spacing w:after="0"/>
            </w:pPr>
            <w:r/>
            <w:r>
              <w:rPr>
                <w:rFonts w:ascii="Arial" w:hAnsi="Arial"/>
                <w:b w:val="0"/>
                <w:sz w:val="16"/>
              </w:rPr>
              <w:t>Part 8 - System Integration Framework</w:t>
            </w:r>
          </w:p>
        </w:tc>
        <w:tc>
          <w:tcPr>
            <w:tcW w:type="dxa" w:w="5112"/>
            <w:vAlign w:val="center"/>
          </w:tcPr>
          <w:p>
            <w:pPr>
              <w:spacing w:after="0"/>
            </w:pPr>
            <w:r/>
            <w:r>
              <w:rPr>
                <w:rFonts w:ascii="Arial" w:hAnsi="Arial"/>
                <w:b w:val="0"/>
                <w:sz w:val="16"/>
              </w:rPr>
              <w:t>Uses these trust boundaries, identities, authenticated contracts, minimum-data payloads, integrity checks, timeout behavior, audit correlation, and third-party safeguards for every integration.</w:t>
            </w:r>
          </w:p>
        </w:tc>
      </w:tr>
      <w:tr>
        <w:tc>
          <w:tcPr>
            <w:tcW w:type="dxa" w:w="5112"/>
            <w:vAlign w:val="center"/>
            <w:shd w:fill="EEF4F8"/>
          </w:tcPr>
          <w:p>
            <w:pPr>
              <w:spacing w:after="0"/>
            </w:pPr>
            <w:r/>
            <w:r>
              <w:rPr>
                <w:rFonts w:ascii="Arial" w:hAnsi="Arial"/>
                <w:b w:val="0"/>
                <w:sz w:val="16"/>
              </w:rPr>
              <w:t>Part 9 - Deployment Guide</w:t>
            </w:r>
          </w:p>
        </w:tc>
        <w:tc>
          <w:tcPr>
            <w:tcW w:type="dxa" w:w="5112"/>
            <w:vAlign w:val="center"/>
            <w:shd w:fill="EEF4F8"/>
          </w:tcPr>
          <w:p>
            <w:pPr>
              <w:spacing w:after="0"/>
            </w:pPr>
            <w:r/>
            <w:r>
              <w:rPr>
                <w:rFonts w:ascii="Arial" w:hAnsi="Arial"/>
                <w:b w:val="0"/>
                <w:sz w:val="16"/>
              </w:rPr>
              <w:t>Applies production permissions, HTTPS, secrets, service identities, environment hardening, backup, monitoring, and rollback controls.</w:t>
            </w:r>
          </w:p>
        </w:tc>
      </w:tr>
      <w:tr>
        <w:tc>
          <w:tcPr>
            <w:tcW w:type="dxa" w:w="5112"/>
            <w:vAlign w:val="center"/>
          </w:tcPr>
          <w:p>
            <w:pPr>
              <w:spacing w:after="0"/>
            </w:pPr>
            <w:r/>
            <w:r>
              <w:rPr>
                <w:rFonts w:ascii="Arial" w:hAnsi="Arial"/>
                <w:b w:val="0"/>
                <w:sz w:val="16"/>
              </w:rPr>
              <w:t>Part 10 - Verification and Validation</w:t>
            </w:r>
          </w:p>
        </w:tc>
        <w:tc>
          <w:tcPr>
            <w:tcW w:type="dxa" w:w="5112"/>
            <w:vAlign w:val="center"/>
          </w:tcPr>
          <w:p>
            <w:pPr>
              <w:spacing w:after="0"/>
            </w:pPr>
            <w:r/>
            <w:r>
              <w:rPr>
                <w:rFonts w:ascii="Arial" w:hAnsi="Arial"/>
                <w:b w:val="0"/>
                <w:sz w:val="16"/>
              </w:rPr>
              <w:t>Turns security requirements and scenarios into traceable test evidence and acceptance decisions.</w:t>
            </w:r>
          </w:p>
        </w:tc>
      </w:tr>
      <w:tr>
        <w:tc>
          <w:tcPr>
            <w:tcW w:type="dxa" w:w="5112"/>
            <w:vAlign w:val="center"/>
            <w:shd w:fill="EEF4F8"/>
          </w:tcPr>
          <w:p>
            <w:pPr>
              <w:spacing w:after="0"/>
            </w:pPr>
            <w:r/>
            <w:r>
              <w:rPr>
                <w:rFonts w:ascii="Arial" w:hAnsi="Arial"/>
                <w:b w:val="0"/>
                <w:sz w:val="16"/>
              </w:rPr>
              <w:t>Part 11 - Maintenance and Evolution</w:t>
            </w:r>
          </w:p>
        </w:tc>
        <w:tc>
          <w:tcPr>
            <w:tcW w:type="dxa" w:w="5112"/>
            <w:vAlign w:val="center"/>
            <w:shd w:fill="EEF4F8"/>
          </w:tcPr>
          <w:p>
            <w:pPr>
              <w:spacing w:after="0"/>
            </w:pPr>
            <w:r/>
            <w:r>
              <w:rPr>
                <w:rFonts w:ascii="Arial" w:hAnsi="Arial"/>
                <w:b w:val="0"/>
                <w:sz w:val="16"/>
              </w:rPr>
              <w:t>Maintains patching, vulnerability response, account review, key rotation, incident learning, artifact governance, and revalidation.</w:t>
            </w:r>
          </w:p>
        </w:tc>
      </w:tr>
      <w:tr>
        <w:tc>
          <w:tcPr>
            <w:tcW w:type="dxa" w:w="5112"/>
            <w:vAlign w:val="center"/>
          </w:tcPr>
          <w:p>
            <w:pPr>
              <w:spacing w:after="0"/>
            </w:pPr>
            <w:r/>
            <w:r>
              <w:rPr>
                <w:rFonts w:ascii="Arial" w:hAnsi="Arial"/>
                <w:b w:val="0"/>
                <w:sz w:val="16"/>
              </w:rPr>
              <w:t>Part 12 - Complete Implementation Guide</w:t>
            </w:r>
          </w:p>
        </w:tc>
        <w:tc>
          <w:tcPr>
            <w:tcW w:type="dxa" w:w="5112"/>
            <w:vAlign w:val="center"/>
          </w:tcPr>
          <w:p>
            <w:pPr>
              <w:spacing w:after="0"/>
            </w:pPr>
            <w:r/>
            <w:r>
              <w:rPr>
                <w:rFonts w:ascii="Arial" w:hAnsi="Arial"/>
                <w:b w:val="0"/>
                <w:sz w:val="16"/>
              </w:rPr>
              <w:t>Consolidates security deliverables into the final build, release, operations, and handover package.</w:t>
            </w:r>
          </w:p>
        </w:tc>
      </w:tr>
    </w:tbl>
    <w:p>
      <w:pPr>
        <w:spacing w:after="0"/>
      </w:pPr>
    </w:p>
    <w:p>
      <w:pPr>
        <w:pStyle w:val="Heading1"/>
        <w:keepNext/>
      </w:pPr>
      <w:r>
        <w:rPr>
          <w:rFonts w:ascii="Arial" w:hAnsi="Arial"/>
        </w:rPr>
        <w:t>References</w:t>
      </w:r>
    </w:p>
    <w:p>
      <w:pPr>
        <w:spacing w:after="100" w:line="259" w:lineRule="auto"/>
      </w:pPr>
      <w:r>
        <w:rPr>
          <w:rFonts w:ascii="Arial" w:hAnsi="Arial"/>
          <w:sz w:val="18"/>
        </w:rPr>
        <w:t>[1] Republic of the Philippines. Republic Act No. 10173, Data Privacy Act of 2012. National Privacy Commission. https://privacy.gov.ph/data-privacy-act/</w:t>
      </w:r>
    </w:p>
    <w:p>
      <w:pPr>
        <w:spacing w:after="100" w:line="259" w:lineRule="auto"/>
      </w:pPr>
      <w:r>
        <w:rPr>
          <w:rFonts w:ascii="Arial" w:hAnsi="Arial"/>
          <w:sz w:val="18"/>
        </w:rPr>
        <w:t>[2] National Privacy Commission. Implementing Rules and Regulations of the Data Privacy Act of 2012, including organizational, physical, and technical security measures. https://privacy.gov.ph/implementing-rules-regulations-data-privacy-act-2012/</w:t>
      </w:r>
    </w:p>
    <w:p>
      <w:pPr>
        <w:spacing w:after="100" w:line="259" w:lineRule="auto"/>
      </w:pPr>
      <w:r>
        <w:rPr>
          <w:rFonts w:ascii="Arial" w:hAnsi="Arial"/>
          <w:sz w:val="18"/>
        </w:rPr>
        <w:t>[3] National Privacy Commission. Data Security guidance. https://privacy.gov.ph/data-security/</w:t>
      </w:r>
    </w:p>
    <w:p>
      <w:pPr>
        <w:spacing w:after="100" w:line="259" w:lineRule="auto"/>
      </w:pPr>
      <w:r>
        <w:rPr>
          <w:rFonts w:ascii="Arial" w:hAnsi="Arial"/>
          <w:sz w:val="18"/>
        </w:rPr>
        <w:t>[4] NIST. SP 800-218, Secure Software Development Framework (SSDF) Version 1.1. 2022. https://doi.org/10.6028/NIST.SP.800-218</w:t>
      </w:r>
    </w:p>
    <w:p>
      <w:pPr>
        <w:spacing w:after="100" w:line="259" w:lineRule="auto"/>
      </w:pPr>
      <w:r>
        <w:rPr>
          <w:rFonts w:ascii="Arial" w:hAnsi="Arial"/>
          <w:sz w:val="18"/>
        </w:rPr>
        <w:t>[5] NIST. SP 800-63B-4, Digital Identity Guidelines: Authentication and Authenticator Management. 2025. https://csrc.nist.gov/pubs/sp/800/63/b/4/final</w:t>
      </w:r>
    </w:p>
    <w:p>
      <w:pPr>
        <w:spacing w:after="100" w:line="259" w:lineRule="auto"/>
      </w:pPr>
      <w:r>
        <w:rPr>
          <w:rFonts w:ascii="Arial" w:hAnsi="Arial"/>
          <w:sz w:val="18"/>
        </w:rPr>
        <w:t>[6] OWASP Foundation. Application Security Verification Standard (ASVS) 5.0.0. 2025. https://owasp.org/www-project-application-security-verification-standard/</w:t>
      </w:r>
    </w:p>
    <w:p>
      <w:pPr>
        <w:spacing w:after="100" w:line="259" w:lineRule="auto"/>
      </w:pPr>
      <w:r>
        <w:rPr>
          <w:rFonts w:ascii="Arial" w:hAnsi="Arial"/>
          <w:sz w:val="18"/>
        </w:rPr>
        <w:t>[7] OWASP Foundation. OWASP Top 10:2025. https://owasp.org/Top10/2025/</w:t>
      </w:r>
    </w:p>
    <w:p>
      <w:pPr>
        <w:spacing w:after="100" w:line="259" w:lineRule="auto"/>
      </w:pPr>
      <w:r>
        <w:rPr>
          <w:rFonts w:ascii="Arial" w:hAnsi="Arial"/>
          <w:sz w:val="18"/>
        </w:rPr>
        <w:t>[8] Laravel. Laravel documentation: Authentication, Authorization, Hashing, Encryption, CSRF Protection, Validation, Rate Limiting, Filesystem, Logging, Queues, and Deployment. https://laravel.com/docs</w:t>
      </w:r>
    </w:p>
    <w:p>
      <w:pPr>
        <w:spacing w:after="100" w:line="259" w:lineRule="auto"/>
      </w:pPr>
      <w:r>
        <w:rPr>
          <w:rFonts w:ascii="Arial" w:hAnsi="Arial"/>
          <w:sz w:val="18"/>
        </w:rPr>
        <w:t>[9] Python Software Foundation. Python subprocess and security considerations. https://docs.python.org/3/library/subprocess.html</w:t>
      </w:r>
    </w:p>
    <w:p>
      <w:pPr>
        <w:spacing w:after="100" w:line="259" w:lineRule="auto"/>
      </w:pPr>
      <w:r>
        <w:rPr>
          <w:rFonts w:ascii="Arial" w:hAnsi="Arial"/>
          <w:sz w:val="18"/>
        </w:rPr>
        <w:t>[10] MySQL. MySQL Reference Manual: accounts, privileges, encryption, backup, transactions, and security. https://dev.mysql.com/doc/</w:t>
      </w:r>
    </w:p>
    <w:p>
      <w:pPr>
        <w:spacing w:after="100" w:line="259" w:lineRule="auto"/>
      </w:pPr>
      <w:r>
        <w:rPr>
          <w:rFonts w:ascii="Arial" w:hAnsi="Arial"/>
          <w:sz w:val="18"/>
        </w:rPr>
        <w:t>[11] Internal authority: Documents 0-5 and Document 6 Parts 1-6, 9-12 for clinical scope, data, assessment, explainability, recommendation, workflow, deployment, validation, maintenance, and implementation constraints.</w:t>
      </w:r>
    </w:p>
    <w:p>
      <w:pPr>
        <w:pStyle w:val="Heading1"/>
        <w:keepNext/>
      </w:pPr>
      <w:r>
        <w:rPr>
          <w:rFonts w:ascii="Arial" w:hAnsi="Arial"/>
        </w:rPr>
        <w:t>Appendix A. Security Readiness Checklist</w:t>
      </w:r>
    </w:p>
    <w:p>
      <w:pPr>
        <w:pStyle w:val="ListBullet"/>
        <w:spacing w:after="40"/>
      </w:pPr>
      <w:r>
        <w:rPr>
          <w:rFonts w:ascii="Arial" w:hAnsi="Arial"/>
          <w:sz w:val="18"/>
        </w:rPr>
        <w:t>☐ Named accounts and approved role assignments; no shared production credentials.</w:t>
      </w:r>
    </w:p>
    <w:p>
      <w:pPr>
        <w:pStyle w:val="ListBullet"/>
        <w:spacing w:after="40"/>
      </w:pPr>
      <w:r>
        <w:rPr>
          <w:rFonts w:ascii="Arial" w:hAnsi="Arial"/>
          <w:sz w:val="18"/>
        </w:rPr>
        <w:t>☐ All patient and pregnancy routes/services have positive and negative authorization tests.</w:t>
      </w:r>
    </w:p>
    <w:p>
      <w:pPr>
        <w:pStyle w:val="ListBullet"/>
        <w:spacing w:after="40"/>
      </w:pPr>
      <w:r>
        <w:rPr>
          <w:rFonts w:ascii="Arial" w:hAnsi="Arial"/>
          <w:sz w:val="18"/>
        </w:rPr>
        <w:t>☐ HTTPS, secure cookies, session rotation, throttling, password hashing, and reset controls configured.</w:t>
      </w:r>
    </w:p>
    <w:p>
      <w:pPr>
        <w:pStyle w:val="ListBullet"/>
        <w:spacing w:after="40"/>
      </w:pPr>
      <w:r>
        <w:rPr>
          <w:rFonts w:ascii="Arial" w:hAnsi="Arial"/>
          <w:sz w:val="18"/>
        </w:rPr>
        <w:t>☐ Production debug disabled; generic errors and protected diagnostics verified.</w:t>
      </w:r>
    </w:p>
    <w:p>
      <w:pPr>
        <w:pStyle w:val="ListBullet"/>
        <w:spacing w:after="40"/>
      </w:pPr>
      <w:r>
        <w:rPr>
          <w:rFonts w:ascii="Arial" w:hAnsi="Arial"/>
          <w:sz w:val="18"/>
        </w:rPr>
        <w:t>☐ All input validated; output escaped; CSRF active; uploads private and allowlisted.</w:t>
      </w:r>
    </w:p>
    <w:p>
      <w:pPr>
        <w:pStyle w:val="ListBullet"/>
        <w:spacing w:after="40"/>
      </w:pPr>
      <w:r>
        <w:rPr>
          <w:rFonts w:ascii="Arial" w:hAnsi="Arial"/>
          <w:sz w:val="18"/>
        </w:rPr>
        <w:t>☐ Laravel-to-Python adapter uses safe process invocation, timeout, strict JSON, and artifact hash verification.</w:t>
      </w:r>
    </w:p>
    <w:p>
      <w:pPr>
        <w:pStyle w:val="ListBullet"/>
        <w:spacing w:after="40"/>
      </w:pPr>
      <w:r>
        <w:rPr>
          <w:rFonts w:ascii="Arial" w:hAnsi="Arial"/>
          <w:sz w:val="18"/>
        </w:rPr>
        <w:t>☐ MySQL and private storage are not public; application account follows least privilege.</w:t>
      </w:r>
    </w:p>
    <w:p>
      <w:pPr>
        <w:pStyle w:val="ListBullet"/>
        <w:spacing w:after="40"/>
      </w:pPr>
      <w:r>
        <w:rPr>
          <w:rFonts w:ascii="Arial" w:hAnsi="Arial"/>
          <w:sz w:val="18"/>
        </w:rPr>
        <w:t>☐ Secrets absent from source control, logs, screenshots, build artifacts, and documentation samples.</w:t>
      </w:r>
    </w:p>
    <w:p>
      <w:pPr>
        <w:pStyle w:val="ListBullet"/>
        <w:spacing w:after="40"/>
      </w:pPr>
      <w:r>
        <w:rPr>
          <w:rFonts w:ascii="Arial" w:hAnsi="Arial"/>
          <w:sz w:val="18"/>
        </w:rPr>
        <w:t>☐ Assessment, referral, delivery, new pregnancy, user/role, export, backup, restore, and security events audited.</w:t>
      </w:r>
    </w:p>
    <w:p>
      <w:pPr>
        <w:pStyle w:val="ListBullet"/>
        <w:spacing w:after="40"/>
      </w:pPr>
      <w:r>
        <w:rPr>
          <w:rFonts w:ascii="Arial" w:hAnsi="Arial"/>
          <w:sz w:val="18"/>
        </w:rPr>
        <w:t>☐ Encrypted/protected backups completed and restore tested to a clean environment.</w:t>
      </w:r>
    </w:p>
    <w:p>
      <w:pPr>
        <w:pStyle w:val="ListBullet"/>
        <w:spacing w:after="40"/>
      </w:pPr>
      <w:r>
        <w:rPr>
          <w:rFonts w:ascii="Arial" w:hAnsi="Arial"/>
          <w:sz w:val="18"/>
        </w:rPr>
        <w:t>☐ Downtime, incident, breach assessment, patient-safety reconciliation, and communication procedures exercised.</w:t>
      </w:r>
    </w:p>
    <w:p>
      <w:pPr>
        <w:pStyle w:val="ListBullet"/>
        <w:spacing w:after="40"/>
      </w:pPr>
      <w:r>
        <w:rPr>
          <w:rFonts w:ascii="Arial" w:hAnsi="Arial"/>
          <w:sz w:val="18"/>
        </w:rPr>
        <w:t>☐ Dependency and vulnerability reviews completed; no release-blocking defects remain.</w:t>
      </w:r>
    </w:p>
    <w:p>
      <w:pPr>
        <w:pStyle w:val="ListBullet"/>
        <w:spacing w:after="40"/>
      </w:pPr>
      <w:r>
        <w:rPr>
          <w:rFonts w:ascii="Arial" w:hAnsi="Arial"/>
          <w:sz w:val="18"/>
        </w:rPr>
        <w:t>☐ DPO/clinic leadership, technical owner, and clinical owner approve security/privacy readiness before real-world use.</w:t>
      </w:r>
    </w:p>
    <w:p>
      <w:pPr>
        <w:pStyle w:val="Heading1"/>
        <w:keepNext/>
      </w:pPr>
      <w:r>
        <w:rPr>
          <w:rFonts w:ascii="Arial" w:hAnsi="Arial"/>
        </w:rPr>
        <w:t>Appendix B. Minimum Security Handover Package</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7"/>
              </w:rPr>
              <w:t>Artifact</w:t>
            </w:r>
          </w:p>
        </w:tc>
        <w:tc>
          <w:tcPr>
            <w:tcW w:type="dxa" w:w="5112"/>
            <w:vAlign w:val="center"/>
            <w:shd w:fill="1F4E78"/>
          </w:tcPr>
          <w:p>
            <w:pPr>
              <w:spacing w:after="0"/>
            </w:pPr>
            <w:r/>
            <w:r>
              <w:rPr>
                <w:rFonts w:ascii="Arial" w:hAnsi="Arial"/>
                <w:b/>
                <w:color w:val="FFFFFF"/>
                <w:sz w:val="17"/>
              </w:rPr>
              <w:t>Minimum content</w:t>
            </w:r>
          </w:p>
        </w:tc>
      </w:tr>
      <w:tr>
        <w:tc>
          <w:tcPr>
            <w:tcW w:type="dxa" w:w="5112"/>
            <w:vAlign w:val="center"/>
          </w:tcPr>
          <w:p>
            <w:pPr>
              <w:spacing w:after="0"/>
            </w:pPr>
            <w:r/>
            <w:r>
              <w:rPr>
                <w:rFonts w:ascii="Arial" w:hAnsi="Arial"/>
                <w:b w:val="0"/>
                <w:sz w:val="16"/>
              </w:rPr>
              <w:t>Security architecture</w:t>
            </w:r>
          </w:p>
        </w:tc>
        <w:tc>
          <w:tcPr>
            <w:tcW w:type="dxa" w:w="5112"/>
            <w:vAlign w:val="center"/>
          </w:tcPr>
          <w:p>
            <w:pPr>
              <w:spacing w:after="0"/>
            </w:pPr>
            <w:r/>
            <w:r>
              <w:rPr>
                <w:rFonts w:ascii="Arial" w:hAnsi="Arial"/>
                <w:b w:val="0"/>
                <w:sz w:val="16"/>
              </w:rPr>
              <w:t>Trust boundaries, roles, controls, threat model, invariants, accepted risks.</w:t>
            </w:r>
          </w:p>
        </w:tc>
      </w:tr>
      <w:tr>
        <w:tc>
          <w:tcPr>
            <w:tcW w:type="dxa" w:w="5112"/>
            <w:vAlign w:val="center"/>
            <w:shd w:fill="EEF4F8"/>
          </w:tcPr>
          <w:p>
            <w:pPr>
              <w:spacing w:after="0"/>
            </w:pPr>
            <w:r/>
            <w:r>
              <w:rPr>
                <w:rFonts w:ascii="Arial" w:hAnsi="Arial"/>
                <w:b w:val="0"/>
                <w:sz w:val="16"/>
              </w:rPr>
              <w:t>Access-control matrix</w:t>
            </w:r>
          </w:p>
        </w:tc>
        <w:tc>
          <w:tcPr>
            <w:tcW w:type="dxa" w:w="5112"/>
            <w:vAlign w:val="center"/>
            <w:shd w:fill="EEF4F8"/>
          </w:tcPr>
          <w:p>
            <w:pPr>
              <w:spacing w:after="0"/>
            </w:pPr>
            <w:r/>
            <w:r>
              <w:rPr>
                <w:rFonts w:ascii="Arial" w:hAnsi="Arial"/>
                <w:b w:val="0"/>
                <w:sz w:val="16"/>
              </w:rPr>
              <w:t>Role-to-action permissions, patient/episode scope, administration and export privileges.</w:t>
            </w:r>
          </w:p>
        </w:tc>
      </w:tr>
      <w:tr>
        <w:tc>
          <w:tcPr>
            <w:tcW w:type="dxa" w:w="5112"/>
            <w:vAlign w:val="center"/>
          </w:tcPr>
          <w:p>
            <w:pPr>
              <w:spacing w:after="0"/>
            </w:pPr>
            <w:r/>
            <w:r>
              <w:rPr>
                <w:rFonts w:ascii="Arial" w:hAnsi="Arial"/>
                <w:b w:val="0"/>
                <w:sz w:val="16"/>
              </w:rPr>
              <w:t>Privacy package</w:t>
            </w:r>
          </w:p>
        </w:tc>
        <w:tc>
          <w:tcPr>
            <w:tcW w:type="dxa" w:w="5112"/>
            <w:vAlign w:val="center"/>
          </w:tcPr>
          <w:p>
            <w:pPr>
              <w:spacing w:after="0"/>
            </w:pPr>
            <w:r/>
            <w:r>
              <w:rPr>
                <w:rFonts w:ascii="Arial" w:hAnsi="Arial"/>
                <w:b w:val="0"/>
                <w:sz w:val="16"/>
              </w:rPr>
              <w:t>Data inventory, purpose, lawful basis/local policy, notices, retention, rights handling, third parties.</w:t>
            </w:r>
          </w:p>
        </w:tc>
      </w:tr>
      <w:tr>
        <w:tc>
          <w:tcPr>
            <w:tcW w:type="dxa" w:w="5112"/>
            <w:vAlign w:val="center"/>
            <w:shd w:fill="EEF4F8"/>
          </w:tcPr>
          <w:p>
            <w:pPr>
              <w:spacing w:after="0"/>
            </w:pPr>
            <w:r/>
            <w:r>
              <w:rPr>
                <w:rFonts w:ascii="Arial" w:hAnsi="Arial"/>
                <w:b w:val="0"/>
                <w:sz w:val="16"/>
              </w:rPr>
              <w:t>Secret/key register</w:t>
            </w:r>
          </w:p>
        </w:tc>
        <w:tc>
          <w:tcPr>
            <w:tcW w:type="dxa" w:w="5112"/>
            <w:vAlign w:val="center"/>
            <w:shd w:fill="EEF4F8"/>
          </w:tcPr>
          <w:p>
            <w:pPr>
              <w:spacing w:after="0"/>
            </w:pPr>
            <w:r/>
            <w:r>
              <w:rPr>
                <w:rFonts w:ascii="Arial" w:hAnsi="Arial"/>
                <w:b w:val="0"/>
                <w:sz w:val="16"/>
              </w:rPr>
              <w:t>Secret owner, location, purpose, rotation, recovery and revocation process; never secret values.</w:t>
            </w:r>
          </w:p>
        </w:tc>
      </w:tr>
      <w:tr>
        <w:tc>
          <w:tcPr>
            <w:tcW w:type="dxa" w:w="5112"/>
            <w:vAlign w:val="center"/>
          </w:tcPr>
          <w:p>
            <w:pPr>
              <w:spacing w:after="0"/>
            </w:pPr>
            <w:r/>
            <w:r>
              <w:rPr>
                <w:rFonts w:ascii="Arial" w:hAnsi="Arial"/>
                <w:b w:val="0"/>
                <w:sz w:val="16"/>
              </w:rPr>
              <w:t>Secure configuration</w:t>
            </w:r>
          </w:p>
        </w:tc>
        <w:tc>
          <w:tcPr>
            <w:tcW w:type="dxa" w:w="5112"/>
            <w:vAlign w:val="center"/>
          </w:tcPr>
          <w:p>
            <w:pPr>
              <w:spacing w:after="0"/>
            </w:pPr>
            <w:r/>
            <w:r>
              <w:rPr>
                <w:rFonts w:ascii="Arial" w:hAnsi="Arial"/>
                <w:b w:val="0"/>
                <w:sz w:val="16"/>
              </w:rPr>
              <w:t>Production environment checklist, HTTPS, permissions, services, debug, headers, sessions, rate limits.</w:t>
            </w:r>
          </w:p>
        </w:tc>
      </w:tr>
      <w:tr>
        <w:tc>
          <w:tcPr>
            <w:tcW w:type="dxa" w:w="5112"/>
            <w:vAlign w:val="center"/>
            <w:shd w:fill="EEF4F8"/>
          </w:tcPr>
          <w:p>
            <w:pPr>
              <w:spacing w:after="0"/>
            </w:pPr>
            <w:r/>
            <w:r>
              <w:rPr>
                <w:rFonts w:ascii="Arial" w:hAnsi="Arial"/>
                <w:b w:val="0"/>
                <w:sz w:val="16"/>
              </w:rPr>
              <w:t>Test evidence</w:t>
            </w:r>
          </w:p>
        </w:tc>
        <w:tc>
          <w:tcPr>
            <w:tcW w:type="dxa" w:w="5112"/>
            <w:vAlign w:val="center"/>
            <w:shd w:fill="EEF4F8"/>
          </w:tcPr>
          <w:p>
            <w:pPr>
              <w:spacing w:after="0"/>
            </w:pPr>
            <w:r/>
            <w:r>
              <w:rPr>
                <w:rFonts w:ascii="Arial" w:hAnsi="Arial"/>
                <w:b w:val="0"/>
                <w:sz w:val="16"/>
              </w:rPr>
              <w:t>Authorization, injection, upload, session, Python/model, backup/restore, incident, and downtime results.</w:t>
            </w:r>
          </w:p>
        </w:tc>
      </w:tr>
      <w:tr>
        <w:tc>
          <w:tcPr>
            <w:tcW w:type="dxa" w:w="5112"/>
            <w:vAlign w:val="center"/>
          </w:tcPr>
          <w:p>
            <w:pPr>
              <w:spacing w:after="0"/>
            </w:pPr>
            <w:r/>
            <w:r>
              <w:rPr>
                <w:rFonts w:ascii="Arial" w:hAnsi="Arial"/>
                <w:b w:val="0"/>
                <w:sz w:val="16"/>
              </w:rPr>
              <w:t>Operations runbooks</w:t>
            </w:r>
          </w:p>
        </w:tc>
        <w:tc>
          <w:tcPr>
            <w:tcW w:type="dxa" w:w="5112"/>
            <w:vAlign w:val="center"/>
          </w:tcPr>
          <w:p>
            <w:pPr>
              <w:spacing w:after="0"/>
            </w:pPr>
            <w:r/>
            <w:r>
              <w:rPr>
                <w:rFonts w:ascii="Arial" w:hAnsi="Arial"/>
                <w:b w:val="0"/>
                <w:sz w:val="16"/>
              </w:rPr>
              <w:t>Account lifecycle, patching, backup, restore, incident, breach, downtime, log review, escalation.</w:t>
            </w:r>
          </w:p>
        </w:tc>
      </w:tr>
      <w:tr>
        <w:tc>
          <w:tcPr>
            <w:tcW w:type="dxa" w:w="5112"/>
            <w:vAlign w:val="center"/>
            <w:shd w:fill="EEF4F8"/>
          </w:tcPr>
          <w:p>
            <w:pPr>
              <w:spacing w:after="0"/>
            </w:pPr>
            <w:r/>
            <w:r>
              <w:rPr>
                <w:rFonts w:ascii="Arial" w:hAnsi="Arial"/>
                <w:b w:val="0"/>
                <w:sz w:val="16"/>
              </w:rPr>
              <w:t>Release record</w:t>
            </w:r>
          </w:p>
        </w:tc>
        <w:tc>
          <w:tcPr>
            <w:tcW w:type="dxa" w:w="5112"/>
            <w:vAlign w:val="center"/>
            <w:shd w:fill="EEF4F8"/>
          </w:tcPr>
          <w:p>
            <w:pPr>
              <w:spacing w:after="0"/>
            </w:pPr>
            <w:r/>
            <w:r>
              <w:rPr>
                <w:rFonts w:ascii="Arial" w:hAnsi="Arial"/>
                <w:b w:val="0"/>
                <w:sz w:val="16"/>
              </w:rPr>
              <w:t>Versions/hashes, dependency review, migrations, known risks, approvals, rollback and validation evidence.</w:t>
            </w:r>
          </w:p>
        </w:tc>
      </w:tr>
    </w:tbl>
    <w:p>
      <w:pPr>
        <w:spacing w:after="0"/>
      </w:pPr>
    </w:p>
    <w:sectPr w:rsidR="00FC693F" w:rsidRPr="0006063C" w:rsidSect="00034616">
      <w:headerReference w:type="default" r:id="rId9"/>
      <w:footerReference w:type="default" r:id="rId10"/>
      <w:pgSz w:w="12240" w:h="15840"/>
      <w:pgMar w:top="835" w:right="1008" w:bottom="835"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4"/>
      </w:rPr>
      <w:t>DOCUMENT 6 | PART 7 | July 2026     •     Security, privacy, resilience, and accountable clinical computing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05050"/>
        <w:sz w:val="15"/>
      </w:rPr>
      <w:t>DOCUMENT 6 | CDSS IMPLEMENTATION GUIDE</w:t>
      <w:br/>
      <w:t>Part 7 - CDSS Security Architecture | Laravel + Python maternity CDSS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2F5469"/>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