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rial" w:hAnsi="Arial"/>
          <w:b/>
          <w:color w:val="1F4E78"/>
          <w:sz w:val="34"/>
        </w:rPr>
        <w:t>DOCUMENT 6</w:t>
      </w:r>
    </w:p>
    <w:p>
      <w:pPr>
        <w:jc w:val="center"/>
      </w:pPr>
      <w:r>
        <w:rPr>
          <w:rFonts w:ascii="Arial" w:hAnsi="Arial"/>
          <w:b/>
          <w:color w:val="1F4E78"/>
          <w:sz w:val="44"/>
        </w:rPr>
        <w:t>Clinical Decision Support System</w:t>
        <w:br/>
        <w:t>Implementation Guide</w:t>
      </w:r>
    </w:p>
    <w:p>
      <w:pPr>
        <w:spacing w:before="300"/>
        <w:jc w:val="center"/>
      </w:pPr>
      <w:r>
        <w:rPr>
          <w:rFonts w:ascii="Arial" w:hAnsi="Arial"/>
          <w:b/>
          <w:color w:val="2F5469"/>
          <w:sz w:val="32"/>
        </w:rPr>
        <w:t>PART 8</w:t>
      </w:r>
    </w:p>
    <w:p>
      <w:pPr>
        <w:jc w:val="center"/>
      </w:pPr>
      <w:r>
        <w:rPr>
          <w:rFonts w:ascii="Arial" w:hAnsi="Arial"/>
          <w:b/>
          <w:color w:val="1F4E78"/>
          <w:sz w:val="50"/>
        </w:rPr>
        <w:t>System Integration Framework</w:t>
      </w:r>
    </w:p>
    <w:p>
      <w:pPr>
        <w:spacing w:before="160"/>
        <w:jc w:val="center"/>
      </w:pPr>
      <w:r>
        <w:rPr>
          <w:rFonts w:ascii="Arial" w:hAnsi="Arial"/>
          <w:color w:val="464646"/>
          <w:sz w:val="22"/>
        </w:rPr>
        <w:t>End-to-End Component Contracts, Laravel-Python Boundary, Database Transactions, Domain Events, Queues, Email, Referral, Audit, Failure Recovery, Interoperability Readiness, Verification, and Release Governance</w:t>
      </w:r>
    </w:p>
    <w:tbl>
      <w:tblPr>
        <w:tblW w:type="auto" w:w="0"/>
        <w:jc w:val="center"/>
        <w:tblLook w:firstColumn="1" w:firstRow="1" w:lastColumn="0" w:lastRow="0" w:noHBand="0" w:noVBand="1" w:val="04A0"/>
      </w:tblPr>
      <w:tblGrid>
        <w:gridCol w:w="10224"/>
      </w:tblGrid>
      <w:tr>
        <w:tc>
          <w:tcPr>
            <w:tcW w:type="dxa" w:w="10224"/>
            <w:shd w:fill="EAF2F8"/>
            <w:tcBorders>
              <w:top w:val="single" w:sz="10" w:color="1F4E78"/>
              <w:left w:val="single" w:sz="10" w:color="1F4E78"/>
              <w:bottom w:val="single" w:sz="10" w:color="1F4E78"/>
              <w:right w:val="single" w:sz="10" w:color="1F4E78"/>
            </w:tcBorders>
          </w:tcPr>
          <w:p>
            <w:pPr>
              <w:spacing w:after="60"/>
            </w:pPr>
            <w:r>
              <w:rPr>
                <w:rFonts w:ascii="Arial" w:hAnsi="Arial"/>
                <w:b/>
                <w:color w:val="1F4E78"/>
                <w:sz w:val="20"/>
              </w:rPr>
              <w:t>Purpose of this guide</w:t>
            </w:r>
          </w:p>
          <w:p>
            <w:pPr>
              <w:spacing w:after="0"/>
            </w:pPr>
            <w:r>
              <w:rPr>
                <w:rFonts w:ascii="Arial" w:hAnsi="Arial"/>
                <w:sz w:val="18"/>
              </w:rPr>
              <w:t>Part 8 defines how every architectural component from Parts 1-7 communicates as one safe and testable maternity CDSS. It establishes the authoritative integration boundaries, data contracts, transaction rules, event flow, external-process protocol, failure behavior, and traceability needed to connect clinical records, assessment, explanation, recommendation, workflow, referral, email, audit, security, and deployment without allowing hidden coupling or unsafe partial success.</w:t>
            </w:r>
          </w:p>
        </w:tc>
      </w:tr>
    </w:tbl>
    <w:p>
      <w:pPr>
        <w:spacing w:after="0"/>
      </w:pPr>
    </w:p>
    <w:p>
      <w:pPr>
        <w:spacing w:before="360"/>
        <w:jc w:val="center"/>
      </w:pPr>
      <w:r>
        <w:rPr>
          <w:rFonts w:ascii="Arial" w:hAnsi="Arial"/>
          <w:sz w:val="22"/>
        </w:rPr>
        <w:t>Capstone Project</w:t>
        <w:br/>
        <w:t>Development of an Explainable Clinical Decision Support System (CDSS)</w:t>
        <w:br/>
        <w:t>for a Web-Based Maternity Management System in a Philippine Lying-in Clinic</w:t>
      </w:r>
    </w:p>
    <w:p>
      <w:pPr>
        <w:spacing w:before="240"/>
        <w:jc w:val="center"/>
      </w:pPr>
      <w:r>
        <w:rPr>
          <w:rFonts w:ascii="Arial" w:hAnsi="Arial"/>
          <w:i/>
          <w:sz w:val="18"/>
        </w:rPr>
        <w:t>Authoritative system integration specification | July 2026</w:t>
      </w:r>
    </w:p>
    <w:p>
      <w:r>
        <w:br w:type="page"/>
      </w:r>
    </w:p>
    <w:p>
      <w:pPr>
        <w:pStyle w:val="Heading1"/>
        <w:keepNext/>
      </w:pPr>
      <w:r>
        <w:t>Clinical Integration Safety Statement</w:t>
      </w:r>
    </w:p>
    <w:tbl>
      <w:tblPr>
        <w:tblW w:type="auto" w:w="0"/>
        <w:jc w:val="center"/>
        <w:tblLook w:firstColumn="1" w:firstRow="1" w:lastColumn="0" w:lastRow="0" w:noHBand="0" w:noVBand="1" w:val="04A0"/>
      </w:tblPr>
      <w:tblGrid>
        <w:gridCol w:w="10224"/>
      </w:tblGrid>
      <w:tr>
        <w:tc>
          <w:tcPr>
            <w:tcW w:type="dxa" w:w="10224"/>
            <w:shd w:fill="FFF2CC"/>
            <w:tcBorders>
              <w:top w:val="single" w:sz="10" w:color="C69214"/>
              <w:left w:val="single" w:sz="10" w:color="C69214"/>
              <w:bottom w:val="single" w:sz="10" w:color="C69214"/>
              <w:right w:val="single" w:sz="10" w:color="C69214"/>
            </w:tcBorders>
          </w:tcPr>
          <w:p>
            <w:pPr>
              <w:spacing w:after="60"/>
            </w:pPr>
            <w:r>
              <w:rPr>
                <w:rFonts w:ascii="Arial" w:hAnsi="Arial"/>
                <w:b/>
                <w:color w:val="1F4E78"/>
                <w:sz w:val="20"/>
              </w:rPr>
              <w:t>Safety boundary</w:t>
            </w:r>
          </w:p>
          <w:p>
            <w:pPr>
              <w:spacing w:after="0"/>
            </w:pPr>
            <w:r>
              <w:rPr>
                <w:rFonts w:ascii="Arial" w:hAnsi="Arial"/>
                <w:sz w:val="18"/>
              </w:rPr>
              <w:t>Integration success means more than receiving a response or writing a row. A clinically meaningful operation is successful only when validated data, the correct pregnancy episode, the authoritative assessment result, explanation, recommendation, workflow state, and audit evidence remain mutually consistent. Any missing, malformed, stale, unauthorized, timed-out, or contradictory component response must fail safely, remain visible, and never be silently converted into LOW risk.</w:t>
            </w:r>
          </w:p>
        </w:tc>
      </w:tr>
    </w:tbl>
    <w:p>
      <w:pPr>
        <w:spacing w:after="0"/>
      </w:pPr>
    </w:p>
    <w:p>
      <w:pPr>
        <w:pStyle w:val="Heading1"/>
        <w:keepNext/>
      </w:pPr>
      <w:r>
        <w:t>Executive Integration Decision</w:t>
      </w:r>
    </w:p>
    <w:p>
      <w:pPr>
        <w:spacing w:after="100" w:line="259" w:lineRule="auto"/>
      </w:pPr>
      <w:r>
        <w:rPr>
          <w:rFonts w:ascii="Arial" w:hAnsi="Arial"/>
          <w:sz w:val="18"/>
        </w:rPr>
        <w:t>Laravel shall remain the system-of-record application and the sole orchestration boundary. Controllers receive requests but do not directly implement clinical decisions, invoke arbitrary Python commands, send mail inside open transactions, or mutate multiple workflow records independently. Application services coordinate typed contracts; domain engines remain deterministic; MySQL commits authoritative state atomically; post-commit events trigger non-critical side effects; and every cross-boundary call carries a correlation identifier, version metadata, and explicit success or failure status.</w:t>
      </w:r>
    </w:p>
    <w:p>
      <w:pPr>
        <w:spacing w:after="100" w:line="259" w:lineRule="auto"/>
      </w:pPr>
      <w:r>
        <w:rPr>
          <w:rFonts w:ascii="Arial" w:hAnsi="Arial"/>
          <w:sz w:val="18"/>
        </w:rPr>
        <w:t>The existing implementation may continue to invoke the Python Random Forest locally, but that call must be isolated behind a PythonInferenceGateway. The current shell_exec/escapeshellarg approach is treated as a transitional adapter, not the architectural contract. The preferred target uses Laravel Process or an equivalent argument-safe process API with a fixed executable, fixed script, standard-input JSON, strict timeout, restricted working directory, validated JSON output, and no patient-supplied command fragments.</w:t>
      </w:r>
    </w:p>
    <w:tbl>
      <w:tblPr>
        <w:tblW w:type="auto" w:w="0"/>
        <w:jc w:val="center"/>
        <w:tblLook w:firstColumn="1" w:firstRow="1" w:lastColumn="0" w:lastRow="0" w:noHBand="0" w:noVBand="1" w:val="04A0"/>
      </w:tblPr>
      <w:tblGrid>
        <w:gridCol w:w="10224"/>
      </w:tblGrid>
      <w:tr>
        <w:tc>
          <w:tcPr>
            <w:tcW w:type="dxa" w:w="10224"/>
            <w:shd w:fill="EAF2F8"/>
            <w:tcBorders>
              <w:top w:val="single" w:sz="10" w:color="1F4E78"/>
              <w:left w:val="single" w:sz="10" w:color="1F4E78"/>
              <w:bottom w:val="single" w:sz="10" w:color="1F4E78"/>
              <w:right w:val="single" w:sz="10" w:color="1F4E78"/>
            </w:tcBorders>
          </w:tcPr>
          <w:p>
            <w:pPr>
              <w:spacing w:after="60"/>
            </w:pPr>
            <w:r>
              <w:rPr>
                <w:rFonts w:ascii="Arial" w:hAnsi="Arial"/>
                <w:b/>
                <w:color w:val="1F4E78"/>
                <w:sz w:val="20"/>
              </w:rPr>
              <w:t>Authoritative integration rule</w:t>
            </w:r>
          </w:p>
          <w:p>
            <w:pPr>
              <w:spacing w:after="0"/>
            </w:pPr>
            <w:r>
              <w:rPr>
                <w:rFonts w:ascii="Arial" w:hAnsi="Arial"/>
                <w:sz w:val="18"/>
              </w:rPr>
              <w:t>No component may infer success from the absence of an exception alone. Every boundary validates identity, episode scope, schema version, required fields, units, enum values, artifact versions, output status, and persistence outcome. Unknown or invalid integration output is represented explicitly and routes the assessment to ASSESSMENT INCOMPLETE or another safe workflow state.</w:t>
            </w:r>
          </w:p>
        </w:tc>
      </w:tr>
    </w:tbl>
    <w:p>
      <w:pPr>
        <w:spacing w:after="0"/>
      </w:pPr>
    </w:p>
    <w:p>
      <w:pPr>
        <w:pStyle w:val="Heading1"/>
        <w:keepNext/>
      </w:pPr>
      <w:r>
        <w:t>1. Purpose and Scope</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6"/>
              </w:rPr>
              <w:t>In scope</w:t>
            </w:r>
          </w:p>
        </w:tc>
        <w:tc>
          <w:tcPr>
            <w:tcW w:type="dxa" w:w="5112"/>
            <w:vAlign w:val="center"/>
            <w:shd w:fill="1F4E78"/>
          </w:tcPr>
          <w:p>
            <w:pPr>
              <w:spacing w:after="0"/>
            </w:pPr>
            <w:r/>
            <w:r>
              <w:rPr>
                <w:rFonts w:ascii="Arial" w:hAnsi="Arial"/>
                <w:b/>
                <w:color w:val="FFFFFF"/>
                <w:sz w:val="16"/>
              </w:rPr>
              <w:t>Outside scope</w:t>
            </w:r>
          </w:p>
        </w:tc>
      </w:tr>
      <w:tr>
        <w:tc>
          <w:tcPr>
            <w:tcW w:type="dxa" w:w="5112"/>
            <w:vAlign w:val="center"/>
          </w:tcPr>
          <w:p>
            <w:pPr>
              <w:spacing w:after="0"/>
            </w:pPr>
            <w:r/>
            <w:r>
              <w:rPr>
                <w:rFonts w:ascii="Arial" w:hAnsi="Arial"/>
                <w:b w:val="0"/>
                <w:sz w:val="16"/>
              </w:rPr>
              <w:t>Internal component integration across browser, Laravel controllers, application services, domain engines, MySQL, Python inference, queues, mail, referral, audit, reports, scheduler, and deployment operations.</w:t>
            </w:r>
          </w:p>
        </w:tc>
        <w:tc>
          <w:tcPr>
            <w:tcW w:type="dxa" w:w="5112"/>
            <w:vAlign w:val="center"/>
          </w:tcPr>
          <w:p>
            <w:pPr>
              <w:spacing w:after="0"/>
            </w:pPr>
            <w:r/>
            <w:r>
              <w:rPr>
                <w:rFonts w:ascii="Arial" w:hAnsi="Arial"/>
                <w:b w:val="0"/>
                <w:sz w:val="16"/>
              </w:rPr>
              <w:t>Replacing professional judgment, diagnosing disease, automatically accepting referrals, autonomous emergency dispatch, or claiming interoperability certification.</w:t>
            </w:r>
          </w:p>
        </w:tc>
      </w:tr>
      <w:tr>
        <w:tc>
          <w:tcPr>
            <w:tcW w:type="dxa" w:w="5112"/>
            <w:vAlign w:val="center"/>
            <w:shd w:fill="EEF4F8"/>
          </w:tcPr>
          <w:p>
            <w:pPr>
              <w:spacing w:after="0"/>
            </w:pPr>
            <w:r/>
            <w:r>
              <w:rPr>
                <w:rFonts w:ascii="Arial" w:hAnsi="Arial"/>
                <w:b w:val="0"/>
                <w:sz w:val="16"/>
              </w:rPr>
              <w:t>Synchronous and asynchronous contracts, transaction boundaries, idempotency, versioning, retries, timeouts, observability, integration tests, and safe degradation.</w:t>
            </w:r>
          </w:p>
        </w:tc>
        <w:tc>
          <w:tcPr>
            <w:tcW w:type="dxa" w:w="5112"/>
            <w:vAlign w:val="center"/>
            <w:shd w:fill="EEF4F8"/>
          </w:tcPr>
          <w:p>
            <w:pPr>
              <w:spacing w:after="0"/>
            </w:pPr>
            <w:r/>
            <w:r>
              <w:rPr>
                <w:rFonts w:ascii="Arial" w:hAnsi="Arial"/>
                <w:b w:val="0"/>
                <w:sz w:val="16"/>
              </w:rPr>
              <w:t>Direct live integration to a hospital EHR, national registry, laboratory, ultrasound device, SMS gateway, or payment platform unless separately approved and implemented.</w:t>
            </w:r>
          </w:p>
        </w:tc>
      </w:tr>
      <w:tr>
        <w:tc>
          <w:tcPr>
            <w:tcW w:type="dxa" w:w="5112"/>
            <w:vAlign w:val="center"/>
          </w:tcPr>
          <w:p>
            <w:pPr>
              <w:spacing w:after="0"/>
            </w:pPr>
            <w:r/>
            <w:r>
              <w:rPr>
                <w:rFonts w:ascii="Arial" w:hAnsi="Arial"/>
                <w:b w:val="0"/>
                <w:sz w:val="16"/>
              </w:rPr>
              <w:t>Future-ready export and API design using structured identifiers and mappings compatible with recognized health-information standards.</w:t>
            </w:r>
          </w:p>
        </w:tc>
        <w:tc>
          <w:tcPr>
            <w:tcW w:type="dxa" w:w="5112"/>
            <w:vAlign w:val="center"/>
          </w:tcPr>
          <w:p>
            <w:pPr>
              <w:spacing w:after="0"/>
            </w:pPr>
            <w:r/>
            <w:r>
              <w:rPr>
                <w:rFonts w:ascii="Arial" w:hAnsi="Arial"/>
                <w:b w:val="0"/>
                <w:sz w:val="16"/>
              </w:rPr>
              <w:t>Claiming current FHIR conformance merely because concepts are mapped to possible FHIR resources.</w:t>
            </w:r>
          </w:p>
        </w:tc>
      </w:tr>
    </w:tbl>
    <w:p>
      <w:pPr>
        <w:spacing w:after="0"/>
      </w:pPr>
    </w:p>
    <w:p>
      <w:pPr>
        <w:pStyle w:val="Heading1"/>
        <w:keepNext/>
      </w:pPr>
      <w:r>
        <w:t>2. Integration Principles and Invariants</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6"/>
              </w:rPr>
              <w:t>Principle</w:t>
            </w:r>
          </w:p>
        </w:tc>
        <w:tc>
          <w:tcPr>
            <w:tcW w:type="dxa" w:w="5112"/>
            <w:vAlign w:val="center"/>
            <w:shd w:fill="1F4E78"/>
          </w:tcPr>
          <w:p>
            <w:pPr>
              <w:spacing w:after="0"/>
            </w:pPr>
            <w:r/>
            <w:r>
              <w:rPr>
                <w:rFonts w:ascii="Arial" w:hAnsi="Arial"/>
                <w:b/>
                <w:color w:val="FFFFFF"/>
                <w:sz w:val="16"/>
              </w:rPr>
              <w:t>Required behavior</w:t>
            </w:r>
          </w:p>
        </w:tc>
      </w:tr>
      <w:tr>
        <w:tc>
          <w:tcPr>
            <w:tcW w:type="dxa" w:w="5112"/>
            <w:vAlign w:val="center"/>
          </w:tcPr>
          <w:p>
            <w:pPr>
              <w:spacing w:after="0"/>
            </w:pPr>
            <w:r/>
            <w:r>
              <w:rPr>
                <w:rFonts w:ascii="Arial" w:hAnsi="Arial"/>
                <w:b w:val="0"/>
                <w:sz w:val="16"/>
              </w:rPr>
              <w:t>Single orchestrator</w:t>
            </w:r>
          </w:p>
        </w:tc>
        <w:tc>
          <w:tcPr>
            <w:tcW w:type="dxa" w:w="5112"/>
            <w:vAlign w:val="center"/>
          </w:tcPr>
          <w:p>
            <w:pPr>
              <w:spacing w:after="0"/>
            </w:pPr>
            <w:r/>
            <w:r>
              <w:rPr>
                <w:rFonts w:ascii="Arial" w:hAnsi="Arial"/>
                <w:b w:val="0"/>
                <w:sz w:val="16"/>
              </w:rPr>
              <w:t>Laravel application services own use-case coordination; controllers and Blade views remain thin.</w:t>
            </w:r>
          </w:p>
        </w:tc>
      </w:tr>
      <w:tr>
        <w:tc>
          <w:tcPr>
            <w:tcW w:type="dxa" w:w="5112"/>
            <w:vAlign w:val="center"/>
            <w:shd w:fill="EEF4F8"/>
          </w:tcPr>
          <w:p>
            <w:pPr>
              <w:spacing w:after="0"/>
            </w:pPr>
            <w:r/>
            <w:r>
              <w:rPr>
                <w:rFonts w:ascii="Arial" w:hAnsi="Arial"/>
                <w:b w:val="0"/>
                <w:sz w:val="16"/>
              </w:rPr>
              <w:t>Single source of truth</w:t>
            </w:r>
          </w:p>
        </w:tc>
        <w:tc>
          <w:tcPr>
            <w:tcW w:type="dxa" w:w="5112"/>
            <w:vAlign w:val="center"/>
            <w:shd w:fill="EEF4F8"/>
          </w:tcPr>
          <w:p>
            <w:pPr>
              <w:spacing w:after="0"/>
            </w:pPr>
            <w:r/>
            <w:r>
              <w:rPr>
                <w:rFonts w:ascii="Arial" w:hAnsi="Arial"/>
                <w:b w:val="0"/>
                <w:sz w:val="16"/>
              </w:rPr>
              <w:t>MySQL records the authoritative patient, pregnancy episode, clinical record, assessment, recommendation, referral, delivery, and audit state.</w:t>
            </w:r>
          </w:p>
        </w:tc>
      </w:tr>
      <w:tr>
        <w:tc>
          <w:tcPr>
            <w:tcW w:type="dxa" w:w="5112"/>
            <w:vAlign w:val="center"/>
          </w:tcPr>
          <w:p>
            <w:pPr>
              <w:spacing w:after="0"/>
            </w:pPr>
            <w:r/>
            <w:r>
              <w:rPr>
                <w:rFonts w:ascii="Arial" w:hAnsi="Arial"/>
                <w:b w:val="0"/>
                <w:sz w:val="16"/>
              </w:rPr>
              <w:t>Episode scope everywhere</w:t>
            </w:r>
          </w:p>
        </w:tc>
        <w:tc>
          <w:tcPr>
            <w:tcW w:type="dxa" w:w="5112"/>
            <w:vAlign w:val="center"/>
          </w:tcPr>
          <w:p>
            <w:pPr>
              <w:spacing w:after="0"/>
            </w:pPr>
            <w:r/>
            <w:r>
              <w:rPr>
                <w:rFonts w:ascii="Arial" w:hAnsi="Arial"/>
                <w:b w:val="0"/>
                <w:sz w:val="16"/>
              </w:rPr>
              <w:t>Every clinically meaningful command and event carries patient_id and pregnancy_episode_id; patient_id alone is insufficient.</w:t>
            </w:r>
          </w:p>
        </w:tc>
      </w:tr>
      <w:tr>
        <w:tc>
          <w:tcPr>
            <w:tcW w:type="dxa" w:w="5112"/>
            <w:vAlign w:val="center"/>
            <w:shd w:fill="EEF4F8"/>
          </w:tcPr>
          <w:p>
            <w:pPr>
              <w:spacing w:after="0"/>
            </w:pPr>
            <w:r/>
            <w:r>
              <w:rPr>
                <w:rFonts w:ascii="Arial" w:hAnsi="Arial"/>
                <w:b w:val="0"/>
                <w:sz w:val="16"/>
              </w:rPr>
              <w:t>Explicit contracts</w:t>
            </w:r>
          </w:p>
        </w:tc>
        <w:tc>
          <w:tcPr>
            <w:tcW w:type="dxa" w:w="5112"/>
            <w:vAlign w:val="center"/>
            <w:shd w:fill="EEF4F8"/>
          </w:tcPr>
          <w:p>
            <w:pPr>
              <w:spacing w:after="0"/>
            </w:pPr>
            <w:r/>
            <w:r>
              <w:rPr>
                <w:rFonts w:ascii="Arial" w:hAnsi="Arial"/>
                <w:b w:val="0"/>
                <w:sz w:val="16"/>
              </w:rPr>
              <w:t>Boundaries exchange documented DTOs or JSON schemas, never loosely interpreted arrays or human prose.</w:t>
            </w:r>
          </w:p>
        </w:tc>
      </w:tr>
      <w:tr>
        <w:tc>
          <w:tcPr>
            <w:tcW w:type="dxa" w:w="5112"/>
            <w:vAlign w:val="center"/>
          </w:tcPr>
          <w:p>
            <w:pPr>
              <w:spacing w:after="0"/>
            </w:pPr>
            <w:r/>
            <w:r>
              <w:rPr>
                <w:rFonts w:ascii="Arial" w:hAnsi="Arial"/>
                <w:b w:val="0"/>
                <w:sz w:val="16"/>
              </w:rPr>
              <w:t>Validate at every boundary</w:t>
            </w:r>
          </w:p>
        </w:tc>
        <w:tc>
          <w:tcPr>
            <w:tcW w:type="dxa" w:w="5112"/>
            <w:vAlign w:val="center"/>
          </w:tcPr>
          <w:p>
            <w:pPr>
              <w:spacing w:after="0"/>
            </w:pPr>
            <w:r/>
            <w:r>
              <w:rPr>
                <w:rFonts w:ascii="Arial" w:hAnsi="Arial"/>
                <w:b w:val="0"/>
                <w:sz w:val="16"/>
              </w:rPr>
              <w:t>Input validation is repeated where trust changes: browser-to-Laravel, service-to-engine, Laravel-to-Python, event-to-listener, and export-to-recipient.</w:t>
            </w:r>
          </w:p>
        </w:tc>
      </w:tr>
      <w:tr>
        <w:tc>
          <w:tcPr>
            <w:tcW w:type="dxa" w:w="5112"/>
            <w:vAlign w:val="center"/>
            <w:shd w:fill="EEF4F8"/>
          </w:tcPr>
          <w:p>
            <w:pPr>
              <w:spacing w:after="0"/>
            </w:pPr>
            <w:r/>
            <w:r>
              <w:rPr>
                <w:rFonts w:ascii="Arial" w:hAnsi="Arial"/>
                <w:b w:val="0"/>
                <w:sz w:val="16"/>
              </w:rPr>
              <w:t>Atomic core, asynchronous edges</w:t>
            </w:r>
          </w:p>
        </w:tc>
        <w:tc>
          <w:tcPr>
            <w:tcW w:type="dxa" w:w="5112"/>
            <w:vAlign w:val="center"/>
            <w:shd w:fill="EEF4F8"/>
          </w:tcPr>
          <w:p>
            <w:pPr>
              <w:spacing w:after="0"/>
            </w:pPr>
            <w:r/>
            <w:r>
              <w:rPr>
                <w:rFonts w:ascii="Arial" w:hAnsi="Arial"/>
                <w:b w:val="0"/>
                <w:sz w:val="16"/>
              </w:rPr>
              <w:t>Clinical state commits in one transaction; email, non-critical notifications, exports, and monitoring run after commit.</w:t>
            </w:r>
          </w:p>
        </w:tc>
      </w:tr>
      <w:tr>
        <w:tc>
          <w:tcPr>
            <w:tcW w:type="dxa" w:w="5112"/>
            <w:vAlign w:val="center"/>
          </w:tcPr>
          <w:p>
            <w:pPr>
              <w:spacing w:after="0"/>
            </w:pPr>
            <w:r/>
            <w:r>
              <w:rPr>
                <w:rFonts w:ascii="Arial" w:hAnsi="Arial"/>
                <w:b w:val="0"/>
                <w:sz w:val="16"/>
              </w:rPr>
              <w:t>Idempotent effects</w:t>
            </w:r>
          </w:p>
        </w:tc>
        <w:tc>
          <w:tcPr>
            <w:tcW w:type="dxa" w:w="5112"/>
            <w:vAlign w:val="center"/>
          </w:tcPr>
          <w:p>
            <w:pPr>
              <w:spacing w:after="0"/>
            </w:pPr>
            <w:r/>
            <w:r>
              <w:rPr>
                <w:rFonts w:ascii="Arial" w:hAnsi="Arial"/>
                <w:b w:val="0"/>
                <w:sz w:val="16"/>
              </w:rPr>
              <w:t>Retries cannot create duplicate assessments, referrals, delivery records, baby records, emails, or audit events.</w:t>
            </w:r>
          </w:p>
        </w:tc>
      </w:tr>
      <w:tr>
        <w:tc>
          <w:tcPr>
            <w:tcW w:type="dxa" w:w="5112"/>
            <w:vAlign w:val="center"/>
            <w:shd w:fill="EEF4F8"/>
          </w:tcPr>
          <w:p>
            <w:pPr>
              <w:spacing w:after="0"/>
            </w:pPr>
            <w:r/>
            <w:r>
              <w:rPr>
                <w:rFonts w:ascii="Arial" w:hAnsi="Arial"/>
                <w:b w:val="0"/>
                <w:sz w:val="16"/>
              </w:rPr>
              <w:t>Deterministic reconstruction</w:t>
            </w:r>
          </w:p>
        </w:tc>
        <w:tc>
          <w:tcPr>
            <w:tcW w:type="dxa" w:w="5112"/>
            <w:vAlign w:val="center"/>
            <w:shd w:fill="EEF4F8"/>
          </w:tcPr>
          <w:p>
            <w:pPr>
              <w:spacing w:after="0"/>
            </w:pPr>
            <w:r/>
            <w:r>
              <w:rPr>
                <w:rFonts w:ascii="Arial" w:hAnsi="Arial"/>
                <w:b w:val="0"/>
                <w:sz w:val="16"/>
              </w:rPr>
              <w:t>A stored assessment can be reconstructed from its immutable input snapshot, rule/model versions, output, and explanation/recommendation versions.</w:t>
            </w:r>
          </w:p>
        </w:tc>
      </w:tr>
      <w:tr>
        <w:tc>
          <w:tcPr>
            <w:tcW w:type="dxa" w:w="5112"/>
            <w:vAlign w:val="center"/>
          </w:tcPr>
          <w:p>
            <w:pPr>
              <w:spacing w:after="0"/>
            </w:pPr>
            <w:r/>
            <w:r>
              <w:rPr>
                <w:rFonts w:ascii="Arial" w:hAnsi="Arial"/>
                <w:b w:val="0"/>
                <w:sz w:val="16"/>
              </w:rPr>
              <w:t>Safe failure</w:t>
            </w:r>
          </w:p>
        </w:tc>
        <w:tc>
          <w:tcPr>
            <w:tcW w:type="dxa" w:w="5112"/>
            <w:vAlign w:val="center"/>
          </w:tcPr>
          <w:p>
            <w:pPr>
              <w:spacing w:after="0"/>
            </w:pPr>
            <w:r/>
            <w:r>
              <w:rPr>
                <w:rFonts w:ascii="Arial" w:hAnsi="Arial"/>
                <w:b w:val="0"/>
                <w:sz w:val="16"/>
              </w:rPr>
              <w:t>Timeouts and malformed responses never default to LOW and never erase the prior valid historical assessment.</w:t>
            </w:r>
          </w:p>
        </w:tc>
      </w:tr>
      <w:tr>
        <w:tc>
          <w:tcPr>
            <w:tcW w:type="dxa" w:w="5112"/>
            <w:vAlign w:val="center"/>
            <w:shd w:fill="EEF4F8"/>
          </w:tcPr>
          <w:p>
            <w:pPr>
              <w:spacing w:after="0"/>
            </w:pPr>
            <w:r/>
            <w:r>
              <w:rPr>
                <w:rFonts w:ascii="Arial" w:hAnsi="Arial"/>
                <w:b w:val="0"/>
                <w:sz w:val="16"/>
              </w:rPr>
              <w:t>Version before change</w:t>
            </w:r>
          </w:p>
        </w:tc>
        <w:tc>
          <w:tcPr>
            <w:tcW w:type="dxa" w:w="5112"/>
            <w:vAlign w:val="center"/>
            <w:shd w:fill="EEF4F8"/>
          </w:tcPr>
          <w:p>
            <w:pPr>
              <w:spacing w:after="0"/>
            </w:pPr>
            <w:r/>
            <w:r>
              <w:rPr>
                <w:rFonts w:ascii="Arial" w:hAnsi="Arial"/>
                <w:b w:val="0"/>
                <w:sz w:val="16"/>
              </w:rPr>
              <w:t>Contract, rule, model, template, and mapping changes are versioned and compatibility-tested before deployment.</w:t>
            </w:r>
          </w:p>
        </w:tc>
      </w:tr>
    </w:tbl>
    <w:p>
      <w:pPr>
        <w:spacing w:after="0"/>
      </w:pPr>
    </w:p>
    <w:p>
      <w:pPr>
        <w:pStyle w:val="Heading1"/>
        <w:keepNext/>
      </w:pPr>
      <w:r>
        <w:t>3. End-to-End Integration Context</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408"/>
        <w:gridCol w:w="3408"/>
        <w:gridCol w:w="3408"/>
      </w:tblGrid>
      <w:tr>
        <w:tc>
          <w:tcPr>
            <w:tcW w:type="dxa" w:w="3408"/>
            <w:vAlign w:val="center"/>
            <w:shd w:fill="1F4E78"/>
          </w:tcPr>
          <w:p>
            <w:pPr>
              <w:spacing w:after="0"/>
            </w:pPr>
            <w:r/>
            <w:r>
              <w:rPr>
                <w:rFonts w:ascii="Arial" w:hAnsi="Arial"/>
                <w:b/>
                <w:color w:val="FFFFFF"/>
                <w:sz w:val="16"/>
              </w:rPr>
              <w:t>Layer / component</w:t>
            </w:r>
          </w:p>
        </w:tc>
        <w:tc>
          <w:tcPr>
            <w:tcW w:type="dxa" w:w="3408"/>
            <w:vAlign w:val="center"/>
            <w:shd w:fill="1F4E78"/>
          </w:tcPr>
          <w:p>
            <w:pPr>
              <w:spacing w:after="0"/>
            </w:pPr>
            <w:r/>
            <w:r>
              <w:rPr>
                <w:rFonts w:ascii="Arial" w:hAnsi="Arial"/>
                <w:b/>
                <w:color w:val="FFFFFF"/>
                <w:sz w:val="16"/>
              </w:rPr>
              <w:t>Primary responsibility</w:t>
            </w:r>
          </w:p>
        </w:tc>
        <w:tc>
          <w:tcPr>
            <w:tcW w:type="dxa" w:w="3408"/>
            <w:vAlign w:val="center"/>
            <w:shd w:fill="1F4E78"/>
          </w:tcPr>
          <w:p>
            <w:pPr>
              <w:spacing w:after="0"/>
            </w:pPr>
            <w:r/>
            <w:r>
              <w:rPr>
                <w:rFonts w:ascii="Arial" w:hAnsi="Arial"/>
                <w:b/>
                <w:color w:val="FFFFFF"/>
                <w:sz w:val="16"/>
              </w:rPr>
              <w:t>Permitted dependencies</w:t>
            </w:r>
          </w:p>
        </w:tc>
      </w:tr>
      <w:tr>
        <w:tc>
          <w:tcPr>
            <w:tcW w:type="dxa" w:w="3408"/>
            <w:vAlign w:val="center"/>
          </w:tcPr>
          <w:p>
            <w:pPr>
              <w:spacing w:after="0"/>
            </w:pPr>
            <w:r/>
            <w:r>
              <w:rPr>
                <w:rFonts w:ascii="Arial" w:hAnsi="Arial"/>
                <w:b w:val="0"/>
                <w:sz w:val="16"/>
              </w:rPr>
              <w:t>Browser / Blade UI</w:t>
            </w:r>
          </w:p>
        </w:tc>
        <w:tc>
          <w:tcPr>
            <w:tcW w:type="dxa" w:w="3408"/>
            <w:vAlign w:val="center"/>
          </w:tcPr>
          <w:p>
            <w:pPr>
              <w:spacing w:after="0"/>
            </w:pPr>
            <w:r/>
            <w:r>
              <w:rPr>
                <w:rFonts w:ascii="Arial" w:hAnsi="Arial"/>
                <w:b w:val="0"/>
                <w:sz w:val="16"/>
              </w:rPr>
              <w:t>Collect validated user intent, display authorized data and status.</w:t>
            </w:r>
          </w:p>
        </w:tc>
        <w:tc>
          <w:tcPr>
            <w:tcW w:type="dxa" w:w="3408"/>
            <w:vAlign w:val="center"/>
          </w:tcPr>
          <w:p>
            <w:pPr>
              <w:spacing w:after="0"/>
            </w:pPr>
            <w:r/>
            <w:r>
              <w:rPr>
                <w:rFonts w:ascii="Arial" w:hAnsi="Arial"/>
                <w:b w:val="0"/>
                <w:sz w:val="16"/>
              </w:rPr>
              <w:t>HTTPS routes, CSRF/session, Laravel responses only.</w:t>
            </w:r>
          </w:p>
        </w:tc>
      </w:tr>
      <w:tr>
        <w:tc>
          <w:tcPr>
            <w:tcW w:type="dxa" w:w="3408"/>
            <w:vAlign w:val="center"/>
            <w:shd w:fill="EEF4F8"/>
          </w:tcPr>
          <w:p>
            <w:pPr>
              <w:spacing w:after="0"/>
            </w:pPr>
            <w:r/>
            <w:r>
              <w:rPr>
                <w:rFonts w:ascii="Arial" w:hAnsi="Arial"/>
                <w:b w:val="0"/>
                <w:sz w:val="16"/>
              </w:rPr>
              <w:t>Controllers + Form Requests</w:t>
            </w:r>
          </w:p>
        </w:tc>
        <w:tc>
          <w:tcPr>
            <w:tcW w:type="dxa" w:w="3408"/>
            <w:vAlign w:val="center"/>
            <w:shd w:fill="EEF4F8"/>
          </w:tcPr>
          <w:p>
            <w:pPr>
              <w:spacing w:after="0"/>
            </w:pPr>
            <w:r/>
            <w:r>
              <w:rPr>
                <w:rFonts w:ascii="Arial" w:hAnsi="Arial"/>
                <w:b w:val="0"/>
                <w:sz w:val="16"/>
              </w:rPr>
              <w:t>Authenticate, authorize, validate transport input, call one use-case service.</w:t>
            </w:r>
          </w:p>
        </w:tc>
        <w:tc>
          <w:tcPr>
            <w:tcW w:type="dxa" w:w="3408"/>
            <w:vAlign w:val="center"/>
            <w:shd w:fill="EEF4F8"/>
          </w:tcPr>
          <w:p>
            <w:pPr>
              <w:spacing w:after="0"/>
            </w:pPr>
            <w:r/>
            <w:r>
              <w:rPr>
                <w:rFonts w:ascii="Arial" w:hAnsi="Arial"/>
                <w:b w:val="0"/>
                <w:sz w:val="16"/>
              </w:rPr>
              <w:t>Policies, Form Requests, application services.</w:t>
            </w:r>
          </w:p>
        </w:tc>
      </w:tr>
      <w:tr>
        <w:tc>
          <w:tcPr>
            <w:tcW w:type="dxa" w:w="3408"/>
            <w:vAlign w:val="center"/>
          </w:tcPr>
          <w:p>
            <w:pPr>
              <w:spacing w:after="0"/>
            </w:pPr>
            <w:r/>
            <w:r>
              <w:rPr>
                <w:rFonts w:ascii="Arial" w:hAnsi="Arial"/>
                <w:b w:val="0"/>
                <w:sz w:val="16"/>
              </w:rPr>
              <w:t>Application services</w:t>
            </w:r>
          </w:p>
        </w:tc>
        <w:tc>
          <w:tcPr>
            <w:tcW w:type="dxa" w:w="3408"/>
            <w:vAlign w:val="center"/>
          </w:tcPr>
          <w:p>
            <w:pPr>
              <w:spacing w:after="0"/>
            </w:pPr>
            <w:r/>
            <w:r>
              <w:rPr>
                <w:rFonts w:ascii="Arial" w:hAnsi="Arial"/>
                <w:b w:val="0"/>
                <w:sz w:val="16"/>
              </w:rPr>
              <w:t>Coordinate transaction, snapshot, engines, persistence, events, and idempotency.</w:t>
            </w:r>
          </w:p>
        </w:tc>
        <w:tc>
          <w:tcPr>
            <w:tcW w:type="dxa" w:w="3408"/>
            <w:vAlign w:val="center"/>
          </w:tcPr>
          <w:p>
            <w:pPr>
              <w:spacing w:after="0"/>
            </w:pPr>
            <w:r/>
            <w:r>
              <w:rPr>
                <w:rFonts w:ascii="Arial" w:hAnsi="Arial"/>
                <w:b w:val="0"/>
                <w:sz w:val="16"/>
              </w:rPr>
              <w:t>Repositories/models, domain engines, event dispatcher, clock/ID providers.</w:t>
            </w:r>
          </w:p>
        </w:tc>
      </w:tr>
      <w:tr>
        <w:tc>
          <w:tcPr>
            <w:tcW w:type="dxa" w:w="3408"/>
            <w:vAlign w:val="center"/>
            <w:shd w:fill="EEF4F8"/>
          </w:tcPr>
          <w:p>
            <w:pPr>
              <w:spacing w:after="0"/>
            </w:pPr>
            <w:r/>
            <w:r>
              <w:rPr>
                <w:rFonts w:ascii="Arial" w:hAnsi="Arial"/>
                <w:b w:val="0"/>
                <w:sz w:val="16"/>
              </w:rPr>
              <w:t>Clinical domain engines</w:t>
            </w:r>
          </w:p>
        </w:tc>
        <w:tc>
          <w:tcPr>
            <w:tcW w:type="dxa" w:w="3408"/>
            <w:vAlign w:val="center"/>
            <w:shd w:fill="EEF4F8"/>
          </w:tcPr>
          <w:p>
            <w:pPr>
              <w:spacing w:after="0"/>
            </w:pPr>
            <w:r/>
            <w:r>
              <w:rPr>
                <w:rFonts w:ascii="Arial" w:hAnsi="Arial"/>
                <w:b w:val="0"/>
                <w:sz w:val="16"/>
              </w:rPr>
              <w:t>Completeness, rule assessment, result resolution, explanation, recommendation.</w:t>
            </w:r>
          </w:p>
        </w:tc>
        <w:tc>
          <w:tcPr>
            <w:tcW w:type="dxa" w:w="3408"/>
            <w:vAlign w:val="center"/>
            <w:shd w:fill="EEF4F8"/>
          </w:tcPr>
          <w:p>
            <w:pPr>
              <w:spacing w:after="0"/>
            </w:pPr>
            <w:r/>
            <w:r>
              <w:rPr>
                <w:rFonts w:ascii="Arial" w:hAnsi="Arial"/>
                <w:b w:val="0"/>
                <w:sz w:val="16"/>
              </w:rPr>
              <w:t>Typed immutable inputs; no HTTP, Blade, mail, or direct controller dependency.</w:t>
            </w:r>
          </w:p>
        </w:tc>
      </w:tr>
      <w:tr>
        <w:tc>
          <w:tcPr>
            <w:tcW w:type="dxa" w:w="3408"/>
            <w:vAlign w:val="center"/>
          </w:tcPr>
          <w:p>
            <w:pPr>
              <w:spacing w:after="0"/>
            </w:pPr>
            <w:r/>
            <w:r>
              <w:rPr>
                <w:rFonts w:ascii="Arial" w:hAnsi="Arial"/>
                <w:b w:val="0"/>
                <w:sz w:val="16"/>
              </w:rPr>
              <w:t>Python inference adapter</w:t>
            </w:r>
          </w:p>
        </w:tc>
        <w:tc>
          <w:tcPr>
            <w:tcW w:type="dxa" w:w="3408"/>
            <w:vAlign w:val="center"/>
          </w:tcPr>
          <w:p>
            <w:pPr>
              <w:spacing w:after="0"/>
            </w:pPr>
            <w:r/>
            <w:r>
              <w:rPr>
                <w:rFonts w:ascii="Arial" w:hAnsi="Arial"/>
                <w:b w:val="0"/>
                <w:sz w:val="16"/>
              </w:rPr>
              <w:t>Translate approved features to/from the Random Forest runtime.</w:t>
            </w:r>
          </w:p>
        </w:tc>
        <w:tc>
          <w:tcPr>
            <w:tcW w:type="dxa" w:w="3408"/>
            <w:vAlign w:val="center"/>
          </w:tcPr>
          <w:p>
            <w:pPr>
              <w:spacing w:after="0"/>
            </w:pPr>
            <w:r/>
            <w:r>
              <w:rPr>
                <w:rFonts w:ascii="Arial" w:hAnsi="Arial"/>
                <w:b w:val="0"/>
                <w:sz w:val="16"/>
              </w:rPr>
              <w:t>Fixed Python executable/script/model artifact; no direct database write.</w:t>
            </w:r>
          </w:p>
        </w:tc>
      </w:tr>
      <w:tr>
        <w:tc>
          <w:tcPr>
            <w:tcW w:type="dxa" w:w="3408"/>
            <w:vAlign w:val="center"/>
            <w:shd w:fill="EEF4F8"/>
          </w:tcPr>
          <w:p>
            <w:pPr>
              <w:spacing w:after="0"/>
            </w:pPr>
            <w:r/>
            <w:r>
              <w:rPr>
                <w:rFonts w:ascii="Arial" w:hAnsi="Arial"/>
                <w:b w:val="0"/>
                <w:sz w:val="16"/>
              </w:rPr>
              <w:t>MySQL</w:t>
            </w:r>
          </w:p>
        </w:tc>
        <w:tc>
          <w:tcPr>
            <w:tcW w:type="dxa" w:w="3408"/>
            <w:vAlign w:val="center"/>
            <w:shd w:fill="EEF4F8"/>
          </w:tcPr>
          <w:p>
            <w:pPr>
              <w:spacing w:after="0"/>
            </w:pPr>
            <w:r/>
            <w:r>
              <w:rPr>
                <w:rFonts w:ascii="Arial" w:hAnsi="Arial"/>
                <w:b w:val="0"/>
                <w:sz w:val="16"/>
              </w:rPr>
              <w:t>Authoritative transactional state and historical evidence.</w:t>
            </w:r>
          </w:p>
        </w:tc>
        <w:tc>
          <w:tcPr>
            <w:tcW w:type="dxa" w:w="3408"/>
            <w:vAlign w:val="center"/>
            <w:shd w:fill="EEF4F8"/>
          </w:tcPr>
          <w:p>
            <w:pPr>
              <w:spacing w:after="0"/>
            </w:pPr>
            <w:r/>
            <w:r>
              <w:rPr>
                <w:rFonts w:ascii="Arial" w:hAnsi="Arial"/>
                <w:b w:val="0"/>
                <w:sz w:val="16"/>
              </w:rPr>
              <w:t>Laravel service identity only; controlled backup/restore.</w:t>
            </w:r>
          </w:p>
        </w:tc>
      </w:tr>
      <w:tr>
        <w:tc>
          <w:tcPr>
            <w:tcW w:type="dxa" w:w="3408"/>
            <w:vAlign w:val="center"/>
          </w:tcPr>
          <w:p>
            <w:pPr>
              <w:spacing w:after="0"/>
            </w:pPr>
            <w:r/>
            <w:r>
              <w:rPr>
                <w:rFonts w:ascii="Arial" w:hAnsi="Arial"/>
                <w:b w:val="0"/>
                <w:sz w:val="16"/>
              </w:rPr>
              <w:t>Events / queues / scheduler</w:t>
            </w:r>
          </w:p>
        </w:tc>
        <w:tc>
          <w:tcPr>
            <w:tcW w:type="dxa" w:w="3408"/>
            <w:vAlign w:val="center"/>
          </w:tcPr>
          <w:p>
            <w:pPr>
              <w:spacing w:after="0"/>
            </w:pPr>
            <w:r/>
            <w:r>
              <w:rPr>
                <w:rFonts w:ascii="Arial" w:hAnsi="Arial"/>
                <w:b w:val="0"/>
                <w:sz w:val="16"/>
              </w:rPr>
              <w:t>Decouple committed clinical state from side effects and periodic work.</w:t>
            </w:r>
          </w:p>
        </w:tc>
        <w:tc>
          <w:tcPr>
            <w:tcW w:type="dxa" w:w="3408"/>
            <w:vAlign w:val="center"/>
          </w:tcPr>
          <w:p>
            <w:pPr>
              <w:spacing w:after="0"/>
            </w:pPr>
            <w:r/>
            <w:r>
              <w:rPr>
                <w:rFonts w:ascii="Arial" w:hAnsi="Arial"/>
                <w:b w:val="0"/>
                <w:sz w:val="16"/>
              </w:rPr>
              <w:t>After-commit events, idempotent listeners/jobs.</w:t>
            </w:r>
          </w:p>
        </w:tc>
      </w:tr>
      <w:tr>
        <w:tc>
          <w:tcPr>
            <w:tcW w:type="dxa" w:w="3408"/>
            <w:vAlign w:val="center"/>
            <w:shd w:fill="EEF4F8"/>
          </w:tcPr>
          <w:p>
            <w:pPr>
              <w:spacing w:after="0"/>
            </w:pPr>
            <w:r/>
            <w:r>
              <w:rPr>
                <w:rFonts w:ascii="Arial" w:hAnsi="Arial"/>
                <w:b w:val="0"/>
                <w:sz w:val="16"/>
              </w:rPr>
              <w:t>Mail / print / referral outputs</w:t>
            </w:r>
          </w:p>
        </w:tc>
        <w:tc>
          <w:tcPr>
            <w:tcW w:type="dxa" w:w="3408"/>
            <w:vAlign w:val="center"/>
            <w:shd w:fill="EEF4F8"/>
          </w:tcPr>
          <w:p>
            <w:pPr>
              <w:spacing w:after="0"/>
            </w:pPr>
            <w:r/>
            <w:r>
              <w:rPr>
                <w:rFonts w:ascii="Arial" w:hAnsi="Arial"/>
                <w:b w:val="0"/>
                <w:sz w:val="16"/>
              </w:rPr>
              <w:t>Project minimum necessary information to intended recipients.</w:t>
            </w:r>
          </w:p>
        </w:tc>
        <w:tc>
          <w:tcPr>
            <w:tcW w:type="dxa" w:w="3408"/>
            <w:vAlign w:val="center"/>
            <w:shd w:fill="EEF4F8"/>
          </w:tcPr>
          <w:p>
            <w:pPr>
              <w:spacing w:after="0"/>
            </w:pPr>
            <w:r/>
            <w:r>
              <w:rPr>
                <w:rFonts w:ascii="Arial" w:hAnsi="Arial"/>
                <w:b w:val="0"/>
                <w:sz w:val="16"/>
              </w:rPr>
              <w:t>Authorized templates and committed records only.</w:t>
            </w:r>
          </w:p>
        </w:tc>
      </w:tr>
      <w:tr>
        <w:tc>
          <w:tcPr>
            <w:tcW w:type="dxa" w:w="3408"/>
            <w:vAlign w:val="center"/>
          </w:tcPr>
          <w:p>
            <w:pPr>
              <w:spacing w:after="0"/>
            </w:pPr>
            <w:r/>
            <w:r>
              <w:rPr>
                <w:rFonts w:ascii="Arial" w:hAnsi="Arial"/>
                <w:b w:val="0"/>
                <w:sz w:val="16"/>
              </w:rPr>
              <w:t>Audit / monitoring</w:t>
            </w:r>
          </w:p>
        </w:tc>
        <w:tc>
          <w:tcPr>
            <w:tcW w:type="dxa" w:w="3408"/>
            <w:vAlign w:val="center"/>
          </w:tcPr>
          <w:p>
            <w:pPr>
              <w:spacing w:after="0"/>
            </w:pPr>
            <w:r/>
            <w:r>
              <w:rPr>
                <w:rFonts w:ascii="Arial" w:hAnsi="Arial"/>
                <w:b w:val="0"/>
                <w:sz w:val="16"/>
              </w:rPr>
              <w:t>Record who did what, why, when, from which version and outcome.</w:t>
            </w:r>
          </w:p>
        </w:tc>
        <w:tc>
          <w:tcPr>
            <w:tcW w:type="dxa" w:w="3408"/>
            <w:vAlign w:val="center"/>
          </w:tcPr>
          <w:p>
            <w:pPr>
              <w:spacing w:after="0"/>
            </w:pPr>
            <w:r/>
            <w:r>
              <w:rPr>
                <w:rFonts w:ascii="Arial" w:hAnsi="Arial"/>
                <w:b w:val="0"/>
                <w:sz w:val="16"/>
              </w:rPr>
              <w:t>Structured events and protected operational telemetry.</w:t>
            </w:r>
          </w:p>
        </w:tc>
      </w:tr>
    </w:tbl>
    <w:p>
      <w:pPr>
        <w:spacing w:after="0"/>
      </w:pPr>
    </w:p>
    <w:tbl>
      <w:tblPr>
        <w:tblW w:type="auto" w:w="0"/>
        <w:jc w:val="center"/>
        <w:tblLook w:firstColumn="1" w:firstRow="1" w:lastColumn="0" w:lastRow="0" w:noHBand="0" w:noVBand="1" w:val="04A0"/>
      </w:tblPr>
      <w:tblGrid>
        <w:gridCol w:w="10224"/>
      </w:tblGrid>
      <w:tr>
        <w:tc>
          <w:tcPr>
            <w:tcW w:type="dxa" w:w="10224"/>
            <w:shd w:fill="EAF2F8"/>
            <w:tcBorders>
              <w:top w:val="single" w:sz="10" w:color="1F4E78"/>
              <w:left w:val="single" w:sz="10" w:color="1F4E78"/>
              <w:bottom w:val="single" w:sz="10" w:color="1F4E78"/>
              <w:right w:val="single" w:sz="10" w:color="1F4E78"/>
            </w:tcBorders>
          </w:tcPr>
          <w:p>
            <w:pPr>
              <w:spacing w:after="60"/>
            </w:pPr>
            <w:r>
              <w:rPr>
                <w:rFonts w:ascii="Arial" w:hAnsi="Arial"/>
                <w:b/>
                <w:color w:val="1F4E78"/>
                <w:sz w:val="20"/>
              </w:rPr>
              <w:t>Logical flow</w:t>
            </w:r>
          </w:p>
          <w:p>
            <w:pPr>
              <w:spacing w:after="0"/>
            </w:pPr>
            <w:r>
              <w:rPr>
                <w:rFonts w:ascii="Arial" w:hAnsi="Arial"/>
                <w:sz w:val="18"/>
              </w:rPr>
              <w:t>Browser -&gt; Controller/Form Request -&gt; Policy -&gt; Application Service -&gt; Transaction -&gt; Snapshot/Engines -&gt; Persistence -&gt; Commit -&gt; Domain Event -&gt; Queue/Listencers -&gt; Email/Reporting/Monitoring. Python is invoked only through the inference adapter during the assessment stage and never becomes the system of record.</w:t>
            </w:r>
          </w:p>
        </w:tc>
      </w:tr>
    </w:tbl>
    <w:p>
      <w:pPr>
        <w:spacing w:after="0"/>
      </w:pPr>
    </w:p>
    <w:p>
      <w:pPr>
        <w:pStyle w:val="Heading1"/>
        <w:keepNext/>
      </w:pPr>
      <w:r>
        <w:t>4. Canonical Integration Contracts</w:t>
      </w:r>
    </w:p>
    <w:p>
      <w:pPr>
        <w:spacing w:after="100" w:line="259" w:lineRule="auto"/>
      </w:pPr>
      <w:r>
        <w:rPr>
          <w:rFonts w:ascii="Arial" w:hAnsi="Arial"/>
          <w:sz w:val="18"/>
        </w:rPr>
        <w:t>Contracts are named, versioned, typed, and small enough to test independently. In PHP they may be immutable DTOs/value objects; across the Python boundary they are JSON documents. Each contract includes schema_version, correlation_id, generated_at, patient_id, pregnancy_episode_id, and producer version where relevant.</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408"/>
        <w:gridCol w:w="3408"/>
        <w:gridCol w:w="3408"/>
      </w:tblGrid>
      <w:tr>
        <w:tc>
          <w:tcPr>
            <w:tcW w:type="dxa" w:w="3408"/>
            <w:vAlign w:val="center"/>
            <w:shd w:fill="1F4E78"/>
          </w:tcPr>
          <w:p>
            <w:pPr>
              <w:spacing w:after="0"/>
            </w:pPr>
            <w:r/>
            <w:r>
              <w:rPr>
                <w:rFonts w:ascii="Arial" w:hAnsi="Arial"/>
                <w:b/>
                <w:color w:val="FFFFFF"/>
                <w:sz w:val="16"/>
              </w:rPr>
              <w:t>Contract</w:t>
            </w:r>
          </w:p>
        </w:tc>
        <w:tc>
          <w:tcPr>
            <w:tcW w:type="dxa" w:w="3408"/>
            <w:vAlign w:val="center"/>
            <w:shd w:fill="1F4E78"/>
          </w:tcPr>
          <w:p>
            <w:pPr>
              <w:spacing w:after="0"/>
            </w:pPr>
            <w:r/>
            <w:r>
              <w:rPr>
                <w:rFonts w:ascii="Arial" w:hAnsi="Arial"/>
                <w:b/>
                <w:color w:val="FFFFFF"/>
                <w:sz w:val="16"/>
              </w:rPr>
              <w:t>Required content</w:t>
            </w:r>
          </w:p>
        </w:tc>
        <w:tc>
          <w:tcPr>
            <w:tcW w:type="dxa" w:w="3408"/>
            <w:vAlign w:val="center"/>
            <w:shd w:fill="1F4E78"/>
          </w:tcPr>
          <w:p>
            <w:pPr>
              <w:spacing w:after="0"/>
            </w:pPr>
            <w:r/>
            <w:r>
              <w:rPr>
                <w:rFonts w:ascii="Arial" w:hAnsi="Arial"/>
                <w:b/>
                <w:color w:val="FFFFFF"/>
                <w:sz w:val="16"/>
              </w:rPr>
              <w:t>Producer -&gt; consumer</w:t>
            </w:r>
          </w:p>
        </w:tc>
      </w:tr>
      <w:tr>
        <w:tc>
          <w:tcPr>
            <w:tcW w:type="dxa" w:w="3408"/>
            <w:vAlign w:val="center"/>
          </w:tcPr>
          <w:p>
            <w:pPr>
              <w:spacing w:after="0"/>
            </w:pPr>
            <w:r/>
            <w:r>
              <w:rPr>
                <w:rFonts w:ascii="Arial" w:hAnsi="Arial"/>
                <w:b w:val="0"/>
                <w:sz w:val="16"/>
              </w:rPr>
              <w:t>ClinicalRecordChanged</w:t>
            </w:r>
          </w:p>
        </w:tc>
        <w:tc>
          <w:tcPr>
            <w:tcW w:type="dxa" w:w="3408"/>
            <w:vAlign w:val="center"/>
          </w:tcPr>
          <w:p>
            <w:pPr>
              <w:spacing w:after="0"/>
            </w:pPr>
            <w:r/>
            <w:r>
              <w:rPr>
                <w:rFonts w:ascii="Arial" w:hAnsi="Arial"/>
                <w:b w:val="0"/>
                <w:sz w:val="16"/>
              </w:rPr>
              <w:t>record_type, record_id, operation, changed_fields, actor_id, occurred_at.</w:t>
            </w:r>
          </w:p>
        </w:tc>
        <w:tc>
          <w:tcPr>
            <w:tcW w:type="dxa" w:w="3408"/>
            <w:vAlign w:val="center"/>
          </w:tcPr>
          <w:p>
            <w:pPr>
              <w:spacing w:after="0"/>
            </w:pPr>
            <w:r/>
            <w:r>
              <w:rPr>
                <w:rFonts w:ascii="Arial" w:hAnsi="Arial"/>
                <w:b w:val="0"/>
                <w:sz w:val="16"/>
              </w:rPr>
              <w:t>Clinical CRUD service -&gt; reassessment coordinator/audit.</w:t>
            </w:r>
          </w:p>
        </w:tc>
      </w:tr>
      <w:tr>
        <w:tc>
          <w:tcPr>
            <w:tcW w:type="dxa" w:w="3408"/>
            <w:vAlign w:val="center"/>
            <w:shd w:fill="EEF4F8"/>
          </w:tcPr>
          <w:p>
            <w:pPr>
              <w:spacing w:after="0"/>
            </w:pPr>
            <w:r/>
            <w:r>
              <w:rPr>
                <w:rFonts w:ascii="Arial" w:hAnsi="Arial"/>
                <w:b w:val="0"/>
                <w:sz w:val="16"/>
              </w:rPr>
              <w:t>AssessmentCommand</w:t>
            </w:r>
          </w:p>
        </w:tc>
        <w:tc>
          <w:tcPr>
            <w:tcW w:type="dxa" w:w="3408"/>
            <w:vAlign w:val="center"/>
            <w:shd w:fill="EEF4F8"/>
          </w:tcPr>
          <w:p>
            <w:pPr>
              <w:spacing w:after="0"/>
            </w:pPr>
            <w:r/>
            <w:r>
              <w:rPr>
                <w:rFonts w:ascii="Arial" w:hAnsi="Arial"/>
                <w:b w:val="0"/>
                <w:sz w:val="16"/>
              </w:rPr>
              <w:t>patient/episode identity, trigger, actor, expected episode version, requested_at.</w:t>
            </w:r>
          </w:p>
        </w:tc>
        <w:tc>
          <w:tcPr>
            <w:tcW w:type="dxa" w:w="3408"/>
            <w:vAlign w:val="center"/>
            <w:shd w:fill="EEF4F8"/>
          </w:tcPr>
          <w:p>
            <w:pPr>
              <w:spacing w:after="0"/>
            </w:pPr>
            <w:r/>
            <w:r>
              <w:rPr>
                <w:rFonts w:ascii="Arial" w:hAnsi="Arial"/>
                <w:b w:val="0"/>
                <w:sz w:val="16"/>
              </w:rPr>
              <w:t>Controller/workflow -&gt; AssessmentApplicationService.</w:t>
            </w:r>
          </w:p>
        </w:tc>
      </w:tr>
      <w:tr>
        <w:tc>
          <w:tcPr>
            <w:tcW w:type="dxa" w:w="3408"/>
            <w:vAlign w:val="center"/>
          </w:tcPr>
          <w:p>
            <w:pPr>
              <w:spacing w:after="0"/>
            </w:pPr>
            <w:r/>
            <w:r>
              <w:rPr>
                <w:rFonts w:ascii="Arial" w:hAnsi="Arial"/>
                <w:b w:val="0"/>
                <w:sz w:val="16"/>
              </w:rPr>
              <w:t>AssessmentSnapshot</w:t>
            </w:r>
          </w:p>
        </w:tc>
        <w:tc>
          <w:tcPr>
            <w:tcW w:type="dxa" w:w="3408"/>
            <w:vAlign w:val="center"/>
          </w:tcPr>
          <w:p>
            <w:pPr>
              <w:spacing w:after="0"/>
            </w:pPr>
            <w:r/>
            <w:r>
              <w:rPr>
                <w:rFonts w:ascii="Arial" w:hAnsi="Arial"/>
                <w:b w:val="0"/>
                <w:sz w:val="16"/>
              </w:rPr>
              <w:t>normalized demographics, latest visit, medical history, birth plan, ultrasound, completeness flags, source record IDs/timestamps.</w:t>
            </w:r>
          </w:p>
        </w:tc>
        <w:tc>
          <w:tcPr>
            <w:tcW w:type="dxa" w:w="3408"/>
            <w:vAlign w:val="center"/>
          </w:tcPr>
          <w:p>
            <w:pPr>
              <w:spacing w:after="0"/>
            </w:pPr>
            <w:r/>
            <w:r>
              <w:rPr>
                <w:rFonts w:ascii="Arial" w:hAnsi="Arial"/>
                <w:b w:val="0"/>
                <w:sz w:val="16"/>
              </w:rPr>
              <w:t>Snapshot builder -&gt; assessment engines/persistence.</w:t>
            </w:r>
          </w:p>
        </w:tc>
      </w:tr>
      <w:tr>
        <w:tc>
          <w:tcPr>
            <w:tcW w:type="dxa" w:w="3408"/>
            <w:vAlign w:val="center"/>
            <w:shd w:fill="EEF4F8"/>
          </w:tcPr>
          <w:p>
            <w:pPr>
              <w:spacing w:after="0"/>
            </w:pPr>
            <w:r/>
            <w:r>
              <w:rPr>
                <w:rFonts w:ascii="Arial" w:hAnsi="Arial"/>
                <w:b w:val="0"/>
                <w:sz w:val="16"/>
              </w:rPr>
              <w:t>InferenceRequest v1</w:t>
            </w:r>
          </w:p>
        </w:tc>
        <w:tc>
          <w:tcPr>
            <w:tcW w:type="dxa" w:w="3408"/>
            <w:vAlign w:val="center"/>
            <w:shd w:fill="EEF4F8"/>
          </w:tcPr>
          <w:p>
            <w:pPr>
              <w:spacing w:after="0"/>
            </w:pPr>
            <w:r/>
            <w:r>
              <w:rPr>
                <w:rFonts w:ascii="Arial" w:hAnsi="Arial"/>
                <w:b w:val="0"/>
                <w:sz w:val="16"/>
              </w:rPr>
              <w:t>schema_version, request_id, feature_schema_version, ordered named features, model_requested.</w:t>
            </w:r>
          </w:p>
        </w:tc>
        <w:tc>
          <w:tcPr>
            <w:tcW w:type="dxa" w:w="3408"/>
            <w:vAlign w:val="center"/>
            <w:shd w:fill="EEF4F8"/>
          </w:tcPr>
          <w:p>
            <w:pPr>
              <w:spacing w:after="0"/>
            </w:pPr>
            <w:r/>
            <w:r>
              <w:rPr>
                <w:rFonts w:ascii="Arial" w:hAnsi="Arial"/>
                <w:b w:val="0"/>
                <w:sz w:val="16"/>
              </w:rPr>
              <w:t>PythonInferenceGateway -&gt; Python script.</w:t>
            </w:r>
          </w:p>
        </w:tc>
      </w:tr>
      <w:tr>
        <w:tc>
          <w:tcPr>
            <w:tcW w:type="dxa" w:w="3408"/>
            <w:vAlign w:val="center"/>
          </w:tcPr>
          <w:p>
            <w:pPr>
              <w:spacing w:after="0"/>
            </w:pPr>
            <w:r/>
            <w:r>
              <w:rPr>
                <w:rFonts w:ascii="Arial" w:hAnsi="Arial"/>
                <w:b w:val="0"/>
                <w:sz w:val="16"/>
              </w:rPr>
              <w:t>InferenceResponse v1</w:t>
            </w:r>
          </w:p>
        </w:tc>
        <w:tc>
          <w:tcPr>
            <w:tcW w:type="dxa" w:w="3408"/>
            <w:vAlign w:val="center"/>
          </w:tcPr>
          <w:p>
            <w:pPr>
              <w:spacing w:after="0"/>
            </w:pPr>
            <w:r/>
            <w:r>
              <w:rPr>
                <w:rFonts w:ascii="Arial" w:hAnsi="Arial"/>
                <w:b w:val="0"/>
                <w:sz w:val="16"/>
              </w:rPr>
              <w:t>schema_version, request_id, status, predicted_class, probabilities if approved, model_version, model_hash, warnings, duration_ms.</w:t>
            </w:r>
          </w:p>
        </w:tc>
        <w:tc>
          <w:tcPr>
            <w:tcW w:type="dxa" w:w="3408"/>
            <w:vAlign w:val="center"/>
          </w:tcPr>
          <w:p>
            <w:pPr>
              <w:spacing w:after="0"/>
            </w:pPr>
            <w:r/>
            <w:r>
              <w:rPr>
                <w:rFonts w:ascii="Arial" w:hAnsi="Arial"/>
                <w:b w:val="0"/>
                <w:sz w:val="16"/>
              </w:rPr>
              <w:t>Python script -&gt; gateway.</w:t>
            </w:r>
          </w:p>
        </w:tc>
      </w:tr>
      <w:tr>
        <w:tc>
          <w:tcPr>
            <w:tcW w:type="dxa" w:w="3408"/>
            <w:vAlign w:val="center"/>
            <w:shd w:fill="EEF4F8"/>
          </w:tcPr>
          <w:p>
            <w:pPr>
              <w:spacing w:after="0"/>
            </w:pPr>
            <w:r/>
            <w:r>
              <w:rPr>
                <w:rFonts w:ascii="Arial" w:hAnsi="Arial"/>
                <w:b w:val="0"/>
                <w:sz w:val="16"/>
              </w:rPr>
              <w:t>AssessmentDecision</w:t>
            </w:r>
          </w:p>
        </w:tc>
        <w:tc>
          <w:tcPr>
            <w:tcW w:type="dxa" w:w="3408"/>
            <w:vAlign w:val="center"/>
            <w:shd w:fill="EEF4F8"/>
          </w:tcPr>
          <w:p>
            <w:pPr>
              <w:spacing w:after="0"/>
            </w:pPr>
            <w:r/>
            <w:r>
              <w:rPr>
                <w:rFonts w:ascii="Arial" w:hAnsi="Arial"/>
                <w:b w:val="0"/>
                <w:sz w:val="16"/>
              </w:rPr>
              <w:t>final_state HIGH/LOW/ASSESSMENT INCOMPLETE, reasons, urgent flags, rule version, model result/status.</w:t>
            </w:r>
          </w:p>
        </w:tc>
        <w:tc>
          <w:tcPr>
            <w:tcW w:type="dxa" w:w="3408"/>
            <w:vAlign w:val="center"/>
            <w:shd w:fill="EEF4F8"/>
          </w:tcPr>
          <w:p>
            <w:pPr>
              <w:spacing w:after="0"/>
            </w:pPr>
            <w:r/>
            <w:r>
              <w:rPr>
                <w:rFonts w:ascii="Arial" w:hAnsi="Arial"/>
                <w:b w:val="0"/>
                <w:sz w:val="16"/>
              </w:rPr>
              <w:t>Resolver -&gt; explanation/recommendation/persistence.</w:t>
            </w:r>
          </w:p>
        </w:tc>
      </w:tr>
      <w:tr>
        <w:tc>
          <w:tcPr>
            <w:tcW w:type="dxa" w:w="3408"/>
            <w:vAlign w:val="center"/>
          </w:tcPr>
          <w:p>
            <w:pPr>
              <w:spacing w:after="0"/>
            </w:pPr>
            <w:r/>
            <w:r>
              <w:rPr>
                <w:rFonts w:ascii="Arial" w:hAnsi="Arial"/>
                <w:b w:val="0"/>
                <w:sz w:val="16"/>
              </w:rPr>
              <w:t>ExplanationBundle</w:t>
            </w:r>
          </w:p>
        </w:tc>
        <w:tc>
          <w:tcPr>
            <w:tcW w:type="dxa" w:w="3408"/>
            <w:vAlign w:val="center"/>
          </w:tcPr>
          <w:p>
            <w:pPr>
              <w:spacing w:after="0"/>
            </w:pPr>
            <w:r/>
            <w:r>
              <w:rPr>
                <w:rFonts w:ascii="Arial" w:hAnsi="Arial"/>
                <w:b w:val="0"/>
                <w:sz w:val="16"/>
              </w:rPr>
              <w:t>summary, rule evidence, ML disclosure, missing-data explanation, audience projections, template version.</w:t>
            </w:r>
          </w:p>
        </w:tc>
        <w:tc>
          <w:tcPr>
            <w:tcW w:type="dxa" w:w="3408"/>
            <w:vAlign w:val="center"/>
          </w:tcPr>
          <w:p>
            <w:pPr>
              <w:spacing w:after="0"/>
            </w:pPr>
            <w:r/>
            <w:r>
              <w:rPr>
                <w:rFonts w:ascii="Arial" w:hAnsi="Arial"/>
                <w:b w:val="0"/>
                <w:sz w:val="16"/>
              </w:rPr>
              <w:t>Explainability Engine -&gt; UI/referral/audit.</w:t>
            </w:r>
          </w:p>
        </w:tc>
      </w:tr>
      <w:tr>
        <w:tc>
          <w:tcPr>
            <w:tcW w:type="dxa" w:w="3408"/>
            <w:vAlign w:val="center"/>
            <w:shd w:fill="EEF4F8"/>
          </w:tcPr>
          <w:p>
            <w:pPr>
              <w:spacing w:after="0"/>
            </w:pPr>
            <w:r/>
            <w:r>
              <w:rPr>
                <w:rFonts w:ascii="Arial" w:hAnsi="Arial"/>
                <w:b w:val="0"/>
                <w:sz w:val="16"/>
              </w:rPr>
              <w:t>RecommendationBundle</w:t>
            </w:r>
          </w:p>
        </w:tc>
        <w:tc>
          <w:tcPr>
            <w:tcW w:type="dxa" w:w="3408"/>
            <w:vAlign w:val="center"/>
            <w:shd w:fill="EEF4F8"/>
          </w:tcPr>
          <w:p>
            <w:pPr>
              <w:spacing w:after="0"/>
            </w:pPr>
            <w:r/>
            <w:r>
              <w:rPr>
                <w:rFonts w:ascii="Arial" w:hAnsi="Arial"/>
                <w:b w:val="0"/>
                <w:sz w:val="16"/>
              </w:rPr>
              <w:t>priority, action, timeframe, rationale link, audience, referral/counseling flags, catalogue version.</w:t>
            </w:r>
          </w:p>
        </w:tc>
        <w:tc>
          <w:tcPr>
            <w:tcW w:type="dxa" w:w="3408"/>
            <w:vAlign w:val="center"/>
            <w:shd w:fill="EEF4F8"/>
          </w:tcPr>
          <w:p>
            <w:pPr>
              <w:spacing w:after="0"/>
            </w:pPr>
            <w:r/>
            <w:r>
              <w:rPr>
                <w:rFonts w:ascii="Arial" w:hAnsi="Arial"/>
                <w:b w:val="0"/>
                <w:sz w:val="16"/>
              </w:rPr>
              <w:t>Recommendation Engine -&gt; workflow/UI/referral.</w:t>
            </w:r>
          </w:p>
        </w:tc>
      </w:tr>
      <w:tr>
        <w:tc>
          <w:tcPr>
            <w:tcW w:type="dxa" w:w="3408"/>
            <w:vAlign w:val="center"/>
          </w:tcPr>
          <w:p>
            <w:pPr>
              <w:spacing w:after="0"/>
            </w:pPr>
            <w:r/>
            <w:r>
              <w:rPr>
                <w:rFonts w:ascii="Arial" w:hAnsi="Arial"/>
                <w:b w:val="0"/>
                <w:sz w:val="16"/>
              </w:rPr>
              <w:t>AssessmentCompleted</w:t>
            </w:r>
          </w:p>
        </w:tc>
        <w:tc>
          <w:tcPr>
            <w:tcW w:type="dxa" w:w="3408"/>
            <w:vAlign w:val="center"/>
          </w:tcPr>
          <w:p>
            <w:pPr>
              <w:spacing w:after="0"/>
            </w:pPr>
            <w:r/>
            <w:r>
              <w:rPr>
                <w:rFonts w:ascii="Arial" w:hAnsi="Arial"/>
                <w:b w:val="0"/>
                <w:sz w:val="16"/>
              </w:rPr>
              <w:t>assessment_id, final_state, versions, trigger, correlation_id, committed_at.</w:t>
            </w:r>
          </w:p>
        </w:tc>
        <w:tc>
          <w:tcPr>
            <w:tcW w:type="dxa" w:w="3408"/>
            <w:vAlign w:val="center"/>
          </w:tcPr>
          <w:p>
            <w:pPr>
              <w:spacing w:after="0"/>
            </w:pPr>
            <w:r/>
            <w:r>
              <w:rPr>
                <w:rFonts w:ascii="Arial" w:hAnsi="Arial"/>
                <w:b w:val="0"/>
                <w:sz w:val="16"/>
              </w:rPr>
              <w:t>Assessment service after commit -&gt; listeners.</w:t>
            </w:r>
          </w:p>
        </w:tc>
      </w:tr>
      <w:tr>
        <w:tc>
          <w:tcPr>
            <w:tcW w:type="dxa" w:w="3408"/>
            <w:vAlign w:val="center"/>
            <w:shd w:fill="EEF4F8"/>
          </w:tcPr>
          <w:p>
            <w:pPr>
              <w:spacing w:after="0"/>
            </w:pPr>
            <w:r/>
            <w:r>
              <w:rPr>
                <w:rFonts w:ascii="Arial" w:hAnsi="Arial"/>
                <w:b w:val="0"/>
                <w:sz w:val="16"/>
              </w:rPr>
              <w:t>WorkflowTransitioned</w:t>
            </w:r>
          </w:p>
        </w:tc>
        <w:tc>
          <w:tcPr>
            <w:tcW w:type="dxa" w:w="3408"/>
            <w:vAlign w:val="center"/>
            <w:shd w:fill="EEF4F8"/>
          </w:tcPr>
          <w:p>
            <w:pPr>
              <w:spacing w:after="0"/>
            </w:pPr>
            <w:r/>
            <w:r>
              <w:rPr>
                <w:rFonts w:ascii="Arial" w:hAnsi="Arial"/>
                <w:b w:val="0"/>
                <w:sz w:val="16"/>
              </w:rPr>
              <w:t>entity, from_state, to_state, reason, actor, related assessment/referral/delivery ID.</w:t>
            </w:r>
          </w:p>
        </w:tc>
        <w:tc>
          <w:tcPr>
            <w:tcW w:type="dxa" w:w="3408"/>
            <w:vAlign w:val="center"/>
            <w:shd w:fill="EEF4F8"/>
          </w:tcPr>
          <w:p>
            <w:pPr>
              <w:spacing w:after="0"/>
            </w:pPr>
            <w:r/>
            <w:r>
              <w:rPr>
                <w:rFonts w:ascii="Arial" w:hAnsi="Arial"/>
                <w:b w:val="0"/>
                <w:sz w:val="16"/>
              </w:rPr>
              <w:t>Workflow services -&gt; audit/dashboard/notification.</w:t>
            </w:r>
          </w:p>
        </w:tc>
      </w:tr>
    </w:tbl>
    <w:p>
      <w:pPr>
        <w:spacing w:after="0"/>
      </w:pPr>
    </w:p>
    <w:p>
      <w:pPr>
        <w:pStyle w:val="Heading1"/>
        <w:keepNext/>
      </w:pPr>
      <w:r>
        <w:t>5. Contract Envelope and Error Model</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6"/>
              </w:rPr>
              <w:t>Field</w:t>
            </w:r>
          </w:p>
        </w:tc>
        <w:tc>
          <w:tcPr>
            <w:tcW w:type="dxa" w:w="5112"/>
            <w:vAlign w:val="center"/>
            <w:shd w:fill="1F4E78"/>
          </w:tcPr>
          <w:p>
            <w:pPr>
              <w:spacing w:after="0"/>
            </w:pPr>
            <w:r/>
            <w:r>
              <w:rPr>
                <w:rFonts w:ascii="Arial" w:hAnsi="Arial"/>
                <w:b/>
                <w:color w:val="FFFFFF"/>
                <w:sz w:val="16"/>
              </w:rPr>
              <w:t>Rule</w:t>
            </w:r>
          </w:p>
        </w:tc>
      </w:tr>
      <w:tr>
        <w:tc>
          <w:tcPr>
            <w:tcW w:type="dxa" w:w="5112"/>
            <w:vAlign w:val="center"/>
          </w:tcPr>
          <w:p>
            <w:pPr>
              <w:spacing w:after="0"/>
            </w:pPr>
            <w:r/>
            <w:r>
              <w:rPr>
                <w:rFonts w:ascii="Arial" w:hAnsi="Arial"/>
                <w:b w:val="0"/>
                <w:sz w:val="16"/>
              </w:rPr>
              <w:t>schema_version</w:t>
            </w:r>
          </w:p>
        </w:tc>
        <w:tc>
          <w:tcPr>
            <w:tcW w:type="dxa" w:w="5112"/>
            <w:vAlign w:val="center"/>
          </w:tcPr>
          <w:p>
            <w:pPr>
              <w:spacing w:after="0"/>
            </w:pPr>
            <w:r/>
            <w:r>
              <w:rPr>
                <w:rFonts w:ascii="Arial" w:hAnsi="Arial"/>
                <w:b w:val="0"/>
                <w:sz w:val="16"/>
              </w:rPr>
              <w:t>Semantic or date-based version; required at every machine boundary.</w:t>
            </w:r>
          </w:p>
        </w:tc>
      </w:tr>
      <w:tr>
        <w:tc>
          <w:tcPr>
            <w:tcW w:type="dxa" w:w="5112"/>
            <w:vAlign w:val="center"/>
            <w:shd w:fill="EEF4F8"/>
          </w:tcPr>
          <w:p>
            <w:pPr>
              <w:spacing w:after="0"/>
            </w:pPr>
            <w:r/>
            <w:r>
              <w:rPr>
                <w:rFonts w:ascii="Arial" w:hAnsi="Arial"/>
                <w:b w:val="0"/>
                <w:sz w:val="16"/>
              </w:rPr>
              <w:t>correlation_id</w:t>
            </w:r>
          </w:p>
        </w:tc>
        <w:tc>
          <w:tcPr>
            <w:tcW w:type="dxa" w:w="5112"/>
            <w:vAlign w:val="center"/>
            <w:shd w:fill="EEF4F8"/>
          </w:tcPr>
          <w:p>
            <w:pPr>
              <w:spacing w:after="0"/>
            </w:pPr>
            <w:r/>
            <w:r>
              <w:rPr>
                <w:rFonts w:ascii="Arial" w:hAnsi="Arial"/>
                <w:b w:val="0"/>
                <w:sz w:val="16"/>
              </w:rPr>
              <w:t>Generated once per user or scheduled use case and propagated to logs, process call, events, jobs, and audit.</w:t>
            </w:r>
          </w:p>
        </w:tc>
      </w:tr>
      <w:tr>
        <w:tc>
          <w:tcPr>
            <w:tcW w:type="dxa" w:w="5112"/>
            <w:vAlign w:val="center"/>
          </w:tcPr>
          <w:p>
            <w:pPr>
              <w:spacing w:after="0"/>
            </w:pPr>
            <w:r/>
            <w:r>
              <w:rPr>
                <w:rFonts w:ascii="Arial" w:hAnsi="Arial"/>
                <w:b w:val="0"/>
                <w:sz w:val="16"/>
              </w:rPr>
              <w:t>request_id / idempotency_key</w:t>
            </w:r>
          </w:p>
        </w:tc>
        <w:tc>
          <w:tcPr>
            <w:tcW w:type="dxa" w:w="5112"/>
            <w:vAlign w:val="center"/>
          </w:tcPr>
          <w:p>
            <w:pPr>
              <w:spacing w:after="0"/>
            </w:pPr>
            <w:r/>
            <w:r>
              <w:rPr>
                <w:rFonts w:ascii="Arial" w:hAnsi="Arial"/>
                <w:b w:val="0"/>
                <w:sz w:val="16"/>
              </w:rPr>
              <w:t>Unique operation identifier; reused on retry of the same logical request.</w:t>
            </w:r>
          </w:p>
        </w:tc>
      </w:tr>
      <w:tr>
        <w:tc>
          <w:tcPr>
            <w:tcW w:type="dxa" w:w="5112"/>
            <w:vAlign w:val="center"/>
            <w:shd w:fill="EEF4F8"/>
          </w:tcPr>
          <w:p>
            <w:pPr>
              <w:spacing w:after="0"/>
            </w:pPr>
            <w:r/>
            <w:r>
              <w:rPr>
                <w:rFonts w:ascii="Arial" w:hAnsi="Arial"/>
                <w:b w:val="0"/>
                <w:sz w:val="16"/>
              </w:rPr>
              <w:t>status</w:t>
            </w:r>
          </w:p>
        </w:tc>
        <w:tc>
          <w:tcPr>
            <w:tcW w:type="dxa" w:w="5112"/>
            <w:vAlign w:val="center"/>
            <w:shd w:fill="EEF4F8"/>
          </w:tcPr>
          <w:p>
            <w:pPr>
              <w:spacing w:after="0"/>
            </w:pPr>
            <w:r/>
            <w:r>
              <w:rPr>
                <w:rFonts w:ascii="Arial" w:hAnsi="Arial"/>
                <w:b w:val="0"/>
                <w:sz w:val="16"/>
              </w:rPr>
              <w:t>One of SUCCESS, INVALID_REQUEST, INCOMPLETE_INPUT, TIMEOUT, PROCESS_FAILURE, INVALID_RESPONSE, VERSION_MISMATCH, UNAUTHORIZED, CONFLICT, PERSISTENCE_FAILURE.</w:t>
            </w:r>
          </w:p>
        </w:tc>
      </w:tr>
      <w:tr>
        <w:tc>
          <w:tcPr>
            <w:tcW w:type="dxa" w:w="5112"/>
            <w:vAlign w:val="center"/>
          </w:tcPr>
          <w:p>
            <w:pPr>
              <w:spacing w:after="0"/>
            </w:pPr>
            <w:r/>
            <w:r>
              <w:rPr>
                <w:rFonts w:ascii="Arial" w:hAnsi="Arial"/>
                <w:b w:val="0"/>
                <w:sz w:val="16"/>
              </w:rPr>
              <w:t>errors[]</w:t>
            </w:r>
          </w:p>
        </w:tc>
        <w:tc>
          <w:tcPr>
            <w:tcW w:type="dxa" w:w="5112"/>
            <w:vAlign w:val="center"/>
          </w:tcPr>
          <w:p>
            <w:pPr>
              <w:spacing w:after="0"/>
            </w:pPr>
            <w:r/>
            <w:r>
              <w:rPr>
                <w:rFonts w:ascii="Arial" w:hAnsi="Arial"/>
                <w:b w:val="0"/>
                <w:sz w:val="16"/>
              </w:rPr>
              <w:t>Machine code, safe message, field/path, retryable boolean; no stack traces or secrets in user output.</w:t>
            </w:r>
          </w:p>
        </w:tc>
      </w:tr>
      <w:tr>
        <w:tc>
          <w:tcPr>
            <w:tcW w:type="dxa" w:w="5112"/>
            <w:vAlign w:val="center"/>
            <w:shd w:fill="EEF4F8"/>
          </w:tcPr>
          <w:p>
            <w:pPr>
              <w:spacing w:after="0"/>
            </w:pPr>
            <w:r/>
            <w:r>
              <w:rPr>
                <w:rFonts w:ascii="Arial" w:hAnsi="Arial"/>
                <w:b w:val="0"/>
                <w:sz w:val="16"/>
              </w:rPr>
              <w:t>warnings[]</w:t>
            </w:r>
          </w:p>
        </w:tc>
        <w:tc>
          <w:tcPr>
            <w:tcW w:type="dxa" w:w="5112"/>
            <w:vAlign w:val="center"/>
            <w:shd w:fill="EEF4F8"/>
          </w:tcPr>
          <w:p>
            <w:pPr>
              <w:spacing w:after="0"/>
            </w:pPr>
            <w:r/>
            <w:r>
              <w:rPr>
                <w:rFonts w:ascii="Arial" w:hAnsi="Arial"/>
                <w:b w:val="0"/>
                <w:sz w:val="16"/>
              </w:rPr>
              <w:t>Non-fatal issue that does not change success semantics; warnings are persisted when clinically relevant.</w:t>
            </w:r>
          </w:p>
        </w:tc>
      </w:tr>
      <w:tr>
        <w:tc>
          <w:tcPr>
            <w:tcW w:type="dxa" w:w="5112"/>
            <w:vAlign w:val="center"/>
          </w:tcPr>
          <w:p>
            <w:pPr>
              <w:spacing w:after="0"/>
            </w:pPr>
            <w:r/>
            <w:r>
              <w:rPr>
                <w:rFonts w:ascii="Arial" w:hAnsi="Arial"/>
                <w:b w:val="0"/>
                <w:sz w:val="16"/>
              </w:rPr>
              <w:t>producer</w:t>
            </w:r>
          </w:p>
        </w:tc>
        <w:tc>
          <w:tcPr>
            <w:tcW w:type="dxa" w:w="5112"/>
            <w:vAlign w:val="center"/>
          </w:tcPr>
          <w:p>
            <w:pPr>
              <w:spacing w:after="0"/>
            </w:pPr>
            <w:r/>
            <w:r>
              <w:rPr>
                <w:rFonts w:ascii="Arial" w:hAnsi="Arial"/>
                <w:b w:val="0"/>
                <w:sz w:val="16"/>
              </w:rPr>
              <w:t>Component and deployed version that created the contract.</w:t>
            </w:r>
          </w:p>
        </w:tc>
      </w:tr>
      <w:tr>
        <w:tc>
          <w:tcPr>
            <w:tcW w:type="dxa" w:w="5112"/>
            <w:vAlign w:val="center"/>
            <w:shd w:fill="EEF4F8"/>
          </w:tcPr>
          <w:p>
            <w:pPr>
              <w:spacing w:after="0"/>
            </w:pPr>
            <w:r/>
            <w:r>
              <w:rPr>
                <w:rFonts w:ascii="Arial" w:hAnsi="Arial"/>
                <w:b w:val="0"/>
                <w:sz w:val="16"/>
              </w:rPr>
              <w:t>occurred_at</w:t>
            </w:r>
          </w:p>
        </w:tc>
        <w:tc>
          <w:tcPr>
            <w:tcW w:type="dxa" w:w="5112"/>
            <w:vAlign w:val="center"/>
            <w:shd w:fill="EEF4F8"/>
          </w:tcPr>
          <w:p>
            <w:pPr>
              <w:spacing w:after="0"/>
            </w:pPr>
            <w:r/>
            <w:r>
              <w:rPr>
                <w:rFonts w:ascii="Arial" w:hAnsi="Arial"/>
                <w:b w:val="0"/>
                <w:sz w:val="16"/>
              </w:rPr>
              <w:t>UTC timestamp for machine processing; display is localized to clinic timezone.</w:t>
            </w:r>
          </w:p>
        </w:tc>
      </w:tr>
    </w:tbl>
    <w:p>
      <w:pPr>
        <w:spacing w:after="0"/>
      </w:pPr>
    </w:p>
    <w:p>
      <w:pPr>
        <w:spacing w:after="100" w:line="259" w:lineRule="auto"/>
      </w:pPr>
      <w:r>
        <w:rPr>
          <w:rFonts w:ascii="Arial" w:hAnsi="Arial"/>
          <w:sz w:val="18"/>
        </w:rPr>
        <w:t>Exceptions are reserved for unexpected or infrastructure failures; expected clinical states such as missing ultrasound, absent birth plan, invalid ML output, or patient referral refusal are represented as explicit domain results. This prevents operational errors from being confused with clinical outcomes.</w:t>
      </w:r>
    </w:p>
    <w:p>
      <w:pPr>
        <w:pStyle w:val="Heading1"/>
        <w:keepNext/>
      </w:pPr>
      <w:r>
        <w:t>6. Assessment Orchestration Sequence</w:t>
      </w:r>
    </w:p>
    <w:p>
      <w:pPr>
        <w:pStyle w:val="ListNumber"/>
        <w:spacing w:after="40"/>
      </w:pPr>
      <w:r>
        <w:rPr>
          <w:rFonts w:ascii="Arial" w:hAnsi="Arial"/>
          <w:sz w:val="18"/>
        </w:rPr>
        <w:t>Authorize the actor against the patient and active pregnancy episode; reject delivered or mismatched episodes for mutation.</w:t>
      </w:r>
    </w:p>
    <w:p>
      <w:pPr>
        <w:pStyle w:val="ListNumber"/>
        <w:spacing w:after="40"/>
      </w:pPr>
      <w:r>
        <w:rPr>
          <w:rFonts w:ascii="Arial" w:hAnsi="Arial"/>
          <w:sz w:val="18"/>
        </w:rPr>
        <w:t>Acquire an idempotency key and, where the operation can race, lock or verify the current episode/version.</w:t>
      </w:r>
    </w:p>
    <w:p>
      <w:pPr>
        <w:pStyle w:val="ListNumber"/>
        <w:spacing w:after="40"/>
      </w:pPr>
      <w:r>
        <w:rPr>
          <w:rFonts w:ascii="Arial" w:hAnsi="Arial"/>
          <w:sz w:val="18"/>
        </w:rPr>
        <w:t>Build one immutable AssessmentSnapshot from committed source records; record IDs, timestamps, and missing sections.</w:t>
      </w:r>
    </w:p>
    <w:p>
      <w:pPr>
        <w:pStyle w:val="ListNumber"/>
        <w:spacing w:after="40"/>
      </w:pPr>
      <w:r>
        <w:rPr>
          <w:rFonts w:ascii="Arial" w:hAnsi="Arial"/>
          <w:sz w:val="18"/>
        </w:rPr>
        <w:t>Run server-side completeness validation. If required data is missing, produce ASSESSMENT INCOMPLETE without requesting a clinically interpretable LOW/HIGH result.</w:t>
      </w:r>
    </w:p>
    <w:p>
      <w:pPr>
        <w:pStyle w:val="ListNumber"/>
        <w:spacing w:after="40"/>
      </w:pPr>
      <w:r>
        <w:rPr>
          <w:rFonts w:ascii="Arial" w:hAnsi="Arial"/>
          <w:sz w:val="18"/>
        </w:rPr>
        <w:t>Evaluate deterministic HIGH rules using the approved rule catalogue.</w:t>
      </w:r>
    </w:p>
    <w:p>
      <w:pPr>
        <w:pStyle w:val="ListNumber"/>
        <w:spacing w:after="40"/>
      </w:pPr>
      <w:r>
        <w:rPr>
          <w:rFonts w:ascii="Arial" w:hAnsi="Arial"/>
          <w:sz w:val="18"/>
        </w:rPr>
        <w:t>Build the exact ML feature contract and invoke Python through PythonInferenceGateway with fixed timeout and validated versions.</w:t>
      </w:r>
    </w:p>
    <w:p>
      <w:pPr>
        <w:pStyle w:val="ListNumber"/>
        <w:spacing w:after="40"/>
      </w:pPr>
      <w:r>
        <w:rPr>
          <w:rFonts w:ascii="Arial" w:hAnsi="Arial"/>
          <w:sz w:val="18"/>
        </w:rPr>
        <w:t>Validate response schema, request_id, class allowlist, model version/hash, and error-like output. Invalid inference becomes an explicit invalid ML result.</w:t>
      </w:r>
    </w:p>
    <w:p>
      <w:pPr>
        <w:pStyle w:val="ListNumber"/>
        <w:spacing w:after="40"/>
      </w:pPr>
      <w:r>
        <w:rPr>
          <w:rFonts w:ascii="Arial" w:hAnsi="Arial"/>
          <w:sz w:val="18"/>
        </w:rPr>
        <w:t>Resolve the final assessment: rule-based HIGH overrides; valid ML HIGH contributes HIGH; LOW requires complete input, no rule-based HIGH, and valid ML LOW; otherwise INCOMPLETE.</w:t>
      </w:r>
    </w:p>
    <w:p>
      <w:pPr>
        <w:pStyle w:val="ListNumber"/>
        <w:spacing w:after="40"/>
      </w:pPr>
      <w:r>
        <w:rPr>
          <w:rFonts w:ascii="Arial" w:hAnsi="Arial"/>
          <w:sz w:val="18"/>
        </w:rPr>
        <w:t>Build ExplanationBundle and RecommendationBundle from the finalized decision, not directly from raw controller fields.</w:t>
      </w:r>
    </w:p>
    <w:p>
      <w:pPr>
        <w:pStyle w:val="ListNumber"/>
        <w:spacing w:after="40"/>
      </w:pPr>
      <w:r>
        <w:rPr>
          <w:rFonts w:ascii="Arial" w:hAnsi="Arial"/>
          <w:sz w:val="18"/>
        </w:rPr>
        <w:t>Persist snapshot, decision, reasons, versions, explanation, recommendations, and audit evidence atomically.</w:t>
      </w:r>
    </w:p>
    <w:p>
      <w:pPr>
        <w:pStyle w:val="ListNumber"/>
        <w:spacing w:after="40"/>
      </w:pPr>
      <w:r>
        <w:rPr>
          <w:rFonts w:ascii="Arial" w:hAnsi="Arial"/>
          <w:sz w:val="18"/>
        </w:rPr>
        <w:t>Commit, then dispatch AssessmentCompleted for email/dashboard/non-critical actions.</w:t>
      </w:r>
    </w:p>
    <w:p>
      <w:pPr>
        <w:pStyle w:val="Heading1"/>
        <w:keepNext/>
      </w:pPr>
      <w:r>
        <w:t>7. Laravel-to-Python Integration Protocol</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6"/>
              </w:rPr>
              <w:t>Concern</w:t>
            </w:r>
          </w:p>
        </w:tc>
        <w:tc>
          <w:tcPr>
            <w:tcW w:type="dxa" w:w="5112"/>
            <w:vAlign w:val="center"/>
            <w:shd w:fill="1F4E78"/>
          </w:tcPr>
          <w:p>
            <w:pPr>
              <w:spacing w:after="0"/>
            </w:pPr>
            <w:r/>
            <w:r>
              <w:rPr>
                <w:rFonts w:ascii="Arial" w:hAnsi="Arial"/>
                <w:b/>
                <w:color w:val="FFFFFF"/>
                <w:sz w:val="16"/>
              </w:rPr>
              <w:t>Required design</w:t>
            </w:r>
          </w:p>
        </w:tc>
      </w:tr>
      <w:tr>
        <w:tc>
          <w:tcPr>
            <w:tcW w:type="dxa" w:w="5112"/>
            <w:vAlign w:val="center"/>
          </w:tcPr>
          <w:p>
            <w:pPr>
              <w:spacing w:after="0"/>
            </w:pPr>
            <w:r/>
            <w:r>
              <w:rPr>
                <w:rFonts w:ascii="Arial" w:hAnsi="Arial"/>
                <w:b w:val="0"/>
                <w:sz w:val="16"/>
              </w:rPr>
              <w:t>Invocation</w:t>
            </w:r>
          </w:p>
        </w:tc>
        <w:tc>
          <w:tcPr>
            <w:tcW w:type="dxa" w:w="5112"/>
            <w:vAlign w:val="center"/>
          </w:tcPr>
          <w:p>
            <w:pPr>
              <w:spacing w:after="0"/>
            </w:pPr>
            <w:r/>
            <w:r>
              <w:rPr>
                <w:rFonts w:ascii="Arial" w:hAnsi="Arial"/>
                <w:b w:val="0"/>
                <w:sz w:val="16"/>
              </w:rPr>
              <w:t>Use a fixed configured Python executable and script. Prefer Laravel Process/Symfony Process with argument arrays or fixed command plus JSON standard input. Transitional shell_exec must use fixed paths and escapeshellarg for every argument, with no user-built command fragments.</w:t>
            </w:r>
          </w:p>
        </w:tc>
      </w:tr>
      <w:tr>
        <w:tc>
          <w:tcPr>
            <w:tcW w:type="dxa" w:w="5112"/>
            <w:vAlign w:val="center"/>
            <w:shd w:fill="EEF4F8"/>
          </w:tcPr>
          <w:p>
            <w:pPr>
              <w:spacing w:after="0"/>
            </w:pPr>
            <w:r/>
            <w:r>
              <w:rPr>
                <w:rFonts w:ascii="Arial" w:hAnsi="Arial"/>
                <w:b w:val="0"/>
                <w:sz w:val="16"/>
              </w:rPr>
              <w:t>Input transport</w:t>
            </w:r>
          </w:p>
        </w:tc>
        <w:tc>
          <w:tcPr>
            <w:tcW w:type="dxa" w:w="5112"/>
            <w:vAlign w:val="center"/>
            <w:shd w:fill="EEF4F8"/>
          </w:tcPr>
          <w:p>
            <w:pPr>
              <w:spacing w:after="0"/>
            </w:pPr>
            <w:r/>
            <w:r>
              <w:rPr>
                <w:rFonts w:ascii="Arial" w:hAnsi="Arial"/>
                <w:b w:val="0"/>
                <w:sz w:val="16"/>
              </w:rPr>
              <w:t>UTF-8 JSON over standard input or a protected temporary file with randomized name and restrictive permissions. Do not place patient names or free text in command-line arguments.</w:t>
            </w:r>
          </w:p>
        </w:tc>
      </w:tr>
      <w:tr>
        <w:tc>
          <w:tcPr>
            <w:tcW w:type="dxa" w:w="5112"/>
            <w:vAlign w:val="center"/>
          </w:tcPr>
          <w:p>
            <w:pPr>
              <w:spacing w:after="0"/>
            </w:pPr>
            <w:r/>
            <w:r>
              <w:rPr>
                <w:rFonts w:ascii="Arial" w:hAnsi="Arial"/>
                <w:b w:val="0"/>
                <w:sz w:val="16"/>
              </w:rPr>
              <w:t>Feature order</w:t>
            </w:r>
          </w:p>
        </w:tc>
        <w:tc>
          <w:tcPr>
            <w:tcW w:type="dxa" w:w="5112"/>
            <w:vAlign w:val="center"/>
          </w:tcPr>
          <w:p>
            <w:pPr>
              <w:spacing w:after="0"/>
            </w:pPr>
            <w:r/>
            <w:r>
              <w:rPr>
                <w:rFonts w:ascii="Arial" w:hAnsi="Arial"/>
                <w:b w:val="0"/>
                <w:sz w:val="16"/>
              </w:rPr>
              <w:t>Python consumes named features validated against feature_schema_version; model training and inference use the same canonical order and encoding.</w:t>
            </w:r>
          </w:p>
        </w:tc>
      </w:tr>
      <w:tr>
        <w:tc>
          <w:tcPr>
            <w:tcW w:type="dxa" w:w="5112"/>
            <w:vAlign w:val="center"/>
            <w:shd w:fill="EEF4F8"/>
          </w:tcPr>
          <w:p>
            <w:pPr>
              <w:spacing w:after="0"/>
            </w:pPr>
            <w:r/>
            <w:r>
              <w:rPr>
                <w:rFonts w:ascii="Arial" w:hAnsi="Arial"/>
                <w:b w:val="0"/>
                <w:sz w:val="16"/>
              </w:rPr>
              <w:t>Timeout</w:t>
            </w:r>
          </w:p>
        </w:tc>
        <w:tc>
          <w:tcPr>
            <w:tcW w:type="dxa" w:w="5112"/>
            <w:vAlign w:val="center"/>
            <w:shd w:fill="EEF4F8"/>
          </w:tcPr>
          <w:p>
            <w:pPr>
              <w:spacing w:after="0"/>
            </w:pPr>
            <w:r/>
            <w:r>
              <w:rPr>
                <w:rFonts w:ascii="Arial" w:hAnsi="Arial"/>
                <w:b w:val="0"/>
                <w:sz w:val="16"/>
              </w:rPr>
              <w:t>Use a short explicit wall-clock timeout and treat timeout as ML unavailable/invalid, never LOW.</w:t>
            </w:r>
          </w:p>
        </w:tc>
      </w:tr>
      <w:tr>
        <w:tc>
          <w:tcPr>
            <w:tcW w:type="dxa" w:w="5112"/>
            <w:vAlign w:val="center"/>
          </w:tcPr>
          <w:p>
            <w:pPr>
              <w:spacing w:after="0"/>
            </w:pPr>
            <w:r/>
            <w:r>
              <w:rPr>
                <w:rFonts w:ascii="Arial" w:hAnsi="Arial"/>
                <w:b w:val="0"/>
                <w:sz w:val="16"/>
              </w:rPr>
              <w:t>Working directory/environment</w:t>
            </w:r>
          </w:p>
        </w:tc>
        <w:tc>
          <w:tcPr>
            <w:tcW w:type="dxa" w:w="5112"/>
            <w:vAlign w:val="center"/>
          </w:tcPr>
          <w:p>
            <w:pPr>
              <w:spacing w:after="0"/>
            </w:pPr>
            <w:r/>
            <w:r>
              <w:rPr>
                <w:rFonts w:ascii="Arial" w:hAnsi="Arial"/>
                <w:b w:val="0"/>
                <w:sz w:val="16"/>
              </w:rPr>
              <w:t>Set a known restricted directory and minimal environment; do not inherit unnecessary PATH or secrets.</w:t>
            </w:r>
          </w:p>
        </w:tc>
      </w:tr>
      <w:tr>
        <w:tc>
          <w:tcPr>
            <w:tcW w:type="dxa" w:w="5112"/>
            <w:vAlign w:val="center"/>
            <w:shd w:fill="EEF4F8"/>
          </w:tcPr>
          <w:p>
            <w:pPr>
              <w:spacing w:after="0"/>
            </w:pPr>
            <w:r/>
            <w:r>
              <w:rPr>
                <w:rFonts w:ascii="Arial" w:hAnsi="Arial"/>
                <w:b w:val="0"/>
                <w:sz w:val="16"/>
              </w:rPr>
              <w:t>Output</w:t>
            </w:r>
          </w:p>
        </w:tc>
        <w:tc>
          <w:tcPr>
            <w:tcW w:type="dxa" w:w="5112"/>
            <w:vAlign w:val="center"/>
            <w:shd w:fill="EEF4F8"/>
          </w:tcPr>
          <w:p>
            <w:pPr>
              <w:spacing w:after="0"/>
            </w:pPr>
            <w:r/>
            <w:r>
              <w:rPr>
                <w:rFonts w:ascii="Arial" w:hAnsi="Arial"/>
                <w:b w:val="0"/>
                <w:sz w:val="16"/>
              </w:rPr>
              <w:t>Exactly one JSON response on stdout. Diagnostics go to stderr and are captured/redacted. Extra prose invalidates the response.</w:t>
            </w:r>
          </w:p>
        </w:tc>
      </w:tr>
      <w:tr>
        <w:tc>
          <w:tcPr>
            <w:tcW w:type="dxa" w:w="5112"/>
            <w:vAlign w:val="center"/>
          </w:tcPr>
          <w:p>
            <w:pPr>
              <w:spacing w:after="0"/>
            </w:pPr>
            <w:r/>
            <w:r>
              <w:rPr>
                <w:rFonts w:ascii="Arial" w:hAnsi="Arial"/>
                <w:b w:val="0"/>
                <w:sz w:val="16"/>
              </w:rPr>
              <w:t>Exit code</w:t>
            </w:r>
          </w:p>
        </w:tc>
        <w:tc>
          <w:tcPr>
            <w:tcW w:type="dxa" w:w="5112"/>
            <w:vAlign w:val="center"/>
          </w:tcPr>
          <w:p>
            <w:pPr>
              <w:spacing w:after="0"/>
            </w:pPr>
            <w:r/>
            <w:r>
              <w:rPr>
                <w:rFonts w:ascii="Arial" w:hAnsi="Arial"/>
                <w:b w:val="0"/>
                <w:sz w:val="16"/>
              </w:rPr>
              <w:t>0 only for a valid protocol response; non-zero maps to PROCESS_FAILURE. A valid business status may still report INVALID_REQUEST inside JSON.</w:t>
            </w:r>
          </w:p>
        </w:tc>
      </w:tr>
      <w:tr>
        <w:tc>
          <w:tcPr>
            <w:tcW w:type="dxa" w:w="5112"/>
            <w:vAlign w:val="center"/>
            <w:shd w:fill="EEF4F8"/>
          </w:tcPr>
          <w:p>
            <w:pPr>
              <w:spacing w:after="0"/>
            </w:pPr>
            <w:r/>
            <w:r>
              <w:rPr>
                <w:rFonts w:ascii="Arial" w:hAnsi="Arial"/>
                <w:b w:val="0"/>
                <w:sz w:val="16"/>
              </w:rPr>
              <w:t>Artifact integrity</w:t>
            </w:r>
          </w:p>
        </w:tc>
        <w:tc>
          <w:tcPr>
            <w:tcW w:type="dxa" w:w="5112"/>
            <w:vAlign w:val="center"/>
            <w:shd w:fill="EEF4F8"/>
          </w:tcPr>
          <w:p>
            <w:pPr>
              <w:spacing w:after="0"/>
            </w:pPr>
            <w:r/>
            <w:r>
              <w:rPr>
                <w:rFonts w:ascii="Arial" w:hAnsi="Arial"/>
                <w:b w:val="0"/>
                <w:sz w:val="16"/>
              </w:rPr>
              <w:t>Response returns model_version/hash; gateway checks against deployed allowlist. Python verifies feature and model compatibility before prediction.</w:t>
            </w:r>
          </w:p>
        </w:tc>
      </w:tr>
      <w:tr>
        <w:tc>
          <w:tcPr>
            <w:tcW w:type="dxa" w:w="5112"/>
            <w:vAlign w:val="center"/>
          </w:tcPr>
          <w:p>
            <w:pPr>
              <w:spacing w:after="0"/>
            </w:pPr>
            <w:r/>
            <w:r>
              <w:rPr>
                <w:rFonts w:ascii="Arial" w:hAnsi="Arial"/>
                <w:b w:val="0"/>
                <w:sz w:val="16"/>
              </w:rPr>
              <w:t>Database access</w:t>
            </w:r>
          </w:p>
        </w:tc>
        <w:tc>
          <w:tcPr>
            <w:tcW w:type="dxa" w:w="5112"/>
            <w:vAlign w:val="center"/>
          </w:tcPr>
          <w:p>
            <w:pPr>
              <w:spacing w:after="0"/>
            </w:pPr>
            <w:r/>
            <w:r>
              <w:rPr>
                <w:rFonts w:ascii="Arial" w:hAnsi="Arial"/>
                <w:b w:val="0"/>
                <w:sz w:val="16"/>
              </w:rPr>
              <w:t>Python receives only approved features and writes nothing to MySQL. Laravel owns persistence and audit.</w:t>
            </w:r>
          </w:p>
        </w:tc>
      </w:tr>
      <w:tr>
        <w:tc>
          <w:tcPr>
            <w:tcW w:type="dxa" w:w="5112"/>
            <w:vAlign w:val="center"/>
            <w:shd w:fill="EEF4F8"/>
          </w:tcPr>
          <w:p>
            <w:pPr>
              <w:spacing w:after="0"/>
            </w:pPr>
            <w:r/>
            <w:r>
              <w:rPr>
                <w:rFonts w:ascii="Arial" w:hAnsi="Arial"/>
                <w:b w:val="0"/>
                <w:sz w:val="16"/>
              </w:rPr>
              <w:t>Testing</w:t>
            </w:r>
          </w:p>
        </w:tc>
        <w:tc>
          <w:tcPr>
            <w:tcW w:type="dxa" w:w="5112"/>
            <w:vAlign w:val="center"/>
            <w:shd w:fill="EEF4F8"/>
          </w:tcPr>
          <w:p>
            <w:pPr>
              <w:spacing w:after="0"/>
            </w:pPr>
            <w:r/>
            <w:r>
              <w:rPr>
                <w:rFonts w:ascii="Arial" w:hAnsi="Arial"/>
                <w:b w:val="0"/>
                <w:sz w:val="16"/>
              </w:rPr>
              <w:t>Use Process::fake or gateway test doubles for Laravel tests; maintain separate Python contract and golden-vector tests.</w:t>
            </w:r>
          </w:p>
        </w:tc>
      </w:tr>
    </w:tbl>
    <w:p>
      <w:pPr>
        <w:spacing w:after="0"/>
      </w:pPr>
    </w:p>
    <w:tbl>
      <w:tblPr>
        <w:tblW w:type="auto" w:w="0"/>
        <w:jc w:val="center"/>
        <w:tblLook w:firstColumn="1" w:firstRow="1" w:lastColumn="0" w:lastRow="0" w:noHBand="0" w:noVBand="1" w:val="04A0"/>
      </w:tblPr>
      <w:tblGrid>
        <w:gridCol w:w="10224"/>
      </w:tblGrid>
      <w:tr>
        <w:tc>
          <w:tcPr>
            <w:tcW w:type="dxa" w:w="10224"/>
            <w:shd w:fill="EAF2F8"/>
            <w:tcBorders>
              <w:top w:val="single" w:sz="10" w:color="1F4E78"/>
              <w:left w:val="single" w:sz="10" w:color="1F4E78"/>
              <w:bottom w:val="single" w:sz="10" w:color="1F4E78"/>
              <w:right w:val="single" w:sz="10" w:color="1F4E78"/>
            </w:tcBorders>
          </w:tcPr>
          <w:p>
            <w:pPr>
              <w:spacing w:after="60"/>
            </w:pPr>
            <w:r>
              <w:rPr>
                <w:rFonts w:ascii="Arial" w:hAnsi="Arial"/>
                <w:b/>
                <w:color w:val="1F4E78"/>
                <w:sz w:val="20"/>
              </w:rPr>
              <w:t>Example request</w:t>
            </w:r>
          </w:p>
          <w:p>
            <w:pPr>
              <w:spacing w:after="0"/>
            </w:pPr>
            <w:r>
              <w:rPr>
                <w:rFonts w:ascii="Arial" w:hAnsi="Arial"/>
                <w:sz w:val="18"/>
              </w:rPr>
              <w:t>{"schema_version":"1.0","request_id":"...","feature_schema_version":"maternal-risk-v1","features":{"age":28,"systolic_bp":118,"diastolic_bp":76,"diabetes":false,"anemia":false,"previous_cs":false,"miscarriage_count":0}}</w:t>
            </w:r>
          </w:p>
        </w:tc>
      </w:tr>
    </w:tbl>
    <w:p>
      <w:pPr>
        <w:spacing w:after="0"/>
      </w:pPr>
    </w:p>
    <w:tbl>
      <w:tblPr>
        <w:tblW w:type="auto" w:w="0"/>
        <w:jc w:val="center"/>
        <w:tblLook w:firstColumn="1" w:firstRow="1" w:lastColumn="0" w:lastRow="0" w:noHBand="0" w:noVBand="1" w:val="04A0"/>
      </w:tblPr>
      <w:tblGrid>
        <w:gridCol w:w="10224"/>
      </w:tblGrid>
      <w:tr>
        <w:tc>
          <w:tcPr>
            <w:tcW w:type="dxa" w:w="10224"/>
            <w:shd w:fill="EAF2F8"/>
            <w:tcBorders>
              <w:top w:val="single" w:sz="10" w:color="1F4E78"/>
              <w:left w:val="single" w:sz="10" w:color="1F4E78"/>
              <w:bottom w:val="single" w:sz="10" w:color="1F4E78"/>
              <w:right w:val="single" w:sz="10" w:color="1F4E78"/>
            </w:tcBorders>
          </w:tcPr>
          <w:p>
            <w:pPr>
              <w:spacing w:after="60"/>
            </w:pPr>
            <w:r>
              <w:rPr>
                <w:rFonts w:ascii="Arial" w:hAnsi="Arial"/>
                <w:b/>
                <w:color w:val="1F4E78"/>
                <w:sz w:val="20"/>
              </w:rPr>
              <w:t>Example response</w:t>
            </w:r>
          </w:p>
          <w:p>
            <w:pPr>
              <w:spacing w:after="0"/>
            </w:pPr>
            <w:r>
              <w:rPr>
                <w:rFonts w:ascii="Arial" w:hAnsi="Arial"/>
                <w:sz w:val="18"/>
              </w:rPr>
              <w:t>{"schema_version":"1.0","request_id":"...","status":"SUCCESS","predicted_class":"LOW","model_version":"rf-2026-01","model_hash":"sha256:...","warnings":[],"duration_ms":34}</w:t>
            </w:r>
          </w:p>
        </w:tc>
      </w:tr>
    </w:tbl>
    <w:p>
      <w:pPr>
        <w:spacing w:after="0"/>
      </w:pPr>
    </w:p>
    <w:p>
      <w:pPr>
        <w:pStyle w:val="Heading1"/>
        <w:keepNext/>
      </w:pPr>
      <w:r>
        <w:t>8. Feature Mapping and Semantic Integrity</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6"/>
              </w:rPr>
              <w:t>Mapping risk</w:t>
            </w:r>
          </w:p>
        </w:tc>
        <w:tc>
          <w:tcPr>
            <w:tcW w:type="dxa" w:w="5112"/>
            <w:vAlign w:val="center"/>
            <w:shd w:fill="1F4E78"/>
          </w:tcPr>
          <w:p>
            <w:pPr>
              <w:spacing w:after="0"/>
            </w:pPr>
            <w:r/>
            <w:r>
              <w:rPr>
                <w:rFonts w:ascii="Arial" w:hAnsi="Arial"/>
                <w:b/>
                <w:color w:val="FFFFFF"/>
                <w:sz w:val="16"/>
              </w:rPr>
              <w:t>Control</w:t>
            </w:r>
          </w:p>
        </w:tc>
      </w:tr>
      <w:tr>
        <w:tc>
          <w:tcPr>
            <w:tcW w:type="dxa" w:w="5112"/>
            <w:vAlign w:val="center"/>
          </w:tcPr>
          <w:p>
            <w:pPr>
              <w:spacing w:after="0"/>
            </w:pPr>
            <w:r/>
            <w:r>
              <w:rPr>
                <w:rFonts w:ascii="Arial" w:hAnsi="Arial"/>
                <w:b w:val="0"/>
                <w:sz w:val="16"/>
              </w:rPr>
              <w:t>Same field, different meaning</w:t>
            </w:r>
          </w:p>
        </w:tc>
        <w:tc>
          <w:tcPr>
            <w:tcW w:type="dxa" w:w="5112"/>
            <w:vAlign w:val="center"/>
          </w:tcPr>
          <w:p>
            <w:pPr>
              <w:spacing w:after="0"/>
            </w:pPr>
            <w:r/>
            <w:r>
              <w:rPr>
                <w:rFonts w:ascii="Arial" w:hAnsi="Arial"/>
                <w:b w:val="0"/>
                <w:sz w:val="16"/>
              </w:rPr>
              <w:t>Maintain a data dictionary defining clinical meaning, source, type, unit, allowed values, missing semantics, and transformation.</w:t>
            </w:r>
          </w:p>
        </w:tc>
      </w:tr>
      <w:tr>
        <w:tc>
          <w:tcPr>
            <w:tcW w:type="dxa" w:w="5112"/>
            <w:vAlign w:val="center"/>
            <w:shd w:fill="EEF4F8"/>
          </w:tcPr>
          <w:p>
            <w:pPr>
              <w:spacing w:after="0"/>
            </w:pPr>
            <w:r/>
            <w:r>
              <w:rPr>
                <w:rFonts w:ascii="Arial" w:hAnsi="Arial"/>
                <w:b w:val="0"/>
                <w:sz w:val="16"/>
              </w:rPr>
              <w:t>Unit mismatch</w:t>
            </w:r>
          </w:p>
        </w:tc>
        <w:tc>
          <w:tcPr>
            <w:tcW w:type="dxa" w:w="5112"/>
            <w:vAlign w:val="center"/>
            <w:shd w:fill="EEF4F8"/>
          </w:tcPr>
          <w:p>
            <w:pPr>
              <w:spacing w:after="0"/>
            </w:pPr>
            <w:r/>
            <w:r>
              <w:rPr>
                <w:rFonts w:ascii="Arial" w:hAnsi="Arial"/>
                <w:b w:val="0"/>
                <w:sz w:val="16"/>
              </w:rPr>
              <w:t>Normalize before inference and retain original value/unit in the assessment snapshot.</w:t>
            </w:r>
          </w:p>
        </w:tc>
      </w:tr>
      <w:tr>
        <w:tc>
          <w:tcPr>
            <w:tcW w:type="dxa" w:w="5112"/>
            <w:vAlign w:val="center"/>
          </w:tcPr>
          <w:p>
            <w:pPr>
              <w:spacing w:after="0"/>
            </w:pPr>
            <w:r/>
            <w:r>
              <w:rPr>
                <w:rFonts w:ascii="Arial" w:hAnsi="Arial"/>
                <w:b w:val="0"/>
                <w:sz w:val="16"/>
              </w:rPr>
              <w:t>Boolean ambiguity</w:t>
            </w:r>
          </w:p>
        </w:tc>
        <w:tc>
          <w:tcPr>
            <w:tcW w:type="dxa" w:w="5112"/>
            <w:vAlign w:val="center"/>
          </w:tcPr>
          <w:p>
            <w:pPr>
              <w:spacing w:after="0"/>
            </w:pPr>
            <w:r/>
            <w:r>
              <w:rPr>
                <w:rFonts w:ascii="Arial" w:hAnsi="Arial"/>
                <w:b w:val="0"/>
                <w:sz w:val="16"/>
              </w:rPr>
              <w:t>Use true/false/null; null is unknown, not false.</w:t>
            </w:r>
          </w:p>
        </w:tc>
      </w:tr>
      <w:tr>
        <w:tc>
          <w:tcPr>
            <w:tcW w:type="dxa" w:w="5112"/>
            <w:vAlign w:val="center"/>
            <w:shd w:fill="EEF4F8"/>
          </w:tcPr>
          <w:p>
            <w:pPr>
              <w:spacing w:after="0"/>
            </w:pPr>
            <w:r/>
            <w:r>
              <w:rPr>
                <w:rFonts w:ascii="Arial" w:hAnsi="Arial"/>
                <w:b w:val="0"/>
                <w:sz w:val="16"/>
              </w:rPr>
              <w:t>Enum drift</w:t>
            </w:r>
          </w:p>
        </w:tc>
        <w:tc>
          <w:tcPr>
            <w:tcW w:type="dxa" w:w="5112"/>
            <w:vAlign w:val="center"/>
            <w:shd w:fill="EEF4F8"/>
          </w:tcPr>
          <w:p>
            <w:pPr>
              <w:spacing w:after="0"/>
            </w:pPr>
            <w:r/>
            <w:r>
              <w:rPr>
                <w:rFonts w:ascii="Arial" w:hAnsi="Arial"/>
                <w:b w:val="0"/>
                <w:sz w:val="16"/>
              </w:rPr>
              <w:t>Reject unrecognized presentation, fluid, heartbeat, parity, or history values; never silently map to normal.</w:t>
            </w:r>
          </w:p>
        </w:tc>
      </w:tr>
      <w:tr>
        <w:tc>
          <w:tcPr>
            <w:tcW w:type="dxa" w:w="5112"/>
            <w:vAlign w:val="center"/>
          </w:tcPr>
          <w:p>
            <w:pPr>
              <w:spacing w:after="0"/>
            </w:pPr>
            <w:r/>
            <w:r>
              <w:rPr>
                <w:rFonts w:ascii="Arial" w:hAnsi="Arial"/>
                <w:b w:val="0"/>
                <w:sz w:val="16"/>
              </w:rPr>
              <w:t>Latest-record ambiguity</w:t>
            </w:r>
          </w:p>
        </w:tc>
        <w:tc>
          <w:tcPr>
            <w:tcW w:type="dxa" w:w="5112"/>
            <w:vAlign w:val="center"/>
          </w:tcPr>
          <w:p>
            <w:pPr>
              <w:spacing w:after="0"/>
            </w:pPr>
            <w:r/>
            <w:r>
              <w:rPr>
                <w:rFonts w:ascii="Arial" w:hAnsi="Arial"/>
                <w:b w:val="0"/>
                <w:sz w:val="16"/>
              </w:rPr>
              <w:t>Define deterministic selection rules such as latest committed prenatal visit within the same episode by clinical date then ID.</w:t>
            </w:r>
          </w:p>
        </w:tc>
      </w:tr>
      <w:tr>
        <w:tc>
          <w:tcPr>
            <w:tcW w:type="dxa" w:w="5112"/>
            <w:vAlign w:val="center"/>
            <w:shd w:fill="EEF4F8"/>
          </w:tcPr>
          <w:p>
            <w:pPr>
              <w:spacing w:after="0"/>
            </w:pPr>
            <w:r/>
            <w:r>
              <w:rPr>
                <w:rFonts w:ascii="Arial" w:hAnsi="Arial"/>
                <w:b w:val="0"/>
                <w:sz w:val="16"/>
              </w:rPr>
              <w:t>Training-serving skew</w:t>
            </w:r>
          </w:p>
        </w:tc>
        <w:tc>
          <w:tcPr>
            <w:tcW w:type="dxa" w:w="5112"/>
            <w:vAlign w:val="center"/>
            <w:shd w:fill="EEF4F8"/>
          </w:tcPr>
          <w:p>
            <w:pPr>
              <w:spacing w:after="0"/>
            </w:pPr>
            <w:r/>
            <w:r>
              <w:rPr>
                <w:rFonts w:ascii="Arial" w:hAnsi="Arial"/>
                <w:b w:val="0"/>
                <w:sz w:val="16"/>
              </w:rPr>
              <w:t>Generate Python feature schema and tests from one versioned specification; compare golden vectors across PHP and Python.</w:t>
            </w:r>
          </w:p>
        </w:tc>
      </w:tr>
      <w:tr>
        <w:tc>
          <w:tcPr>
            <w:tcW w:type="dxa" w:w="5112"/>
            <w:vAlign w:val="center"/>
          </w:tcPr>
          <w:p>
            <w:pPr>
              <w:spacing w:after="0"/>
            </w:pPr>
            <w:r/>
            <w:r>
              <w:rPr>
                <w:rFonts w:ascii="Arial" w:hAnsi="Arial"/>
                <w:b w:val="0"/>
                <w:sz w:val="16"/>
              </w:rPr>
              <w:t>Missing values</w:t>
            </w:r>
          </w:p>
        </w:tc>
        <w:tc>
          <w:tcPr>
            <w:tcW w:type="dxa" w:w="5112"/>
            <w:vAlign w:val="center"/>
          </w:tcPr>
          <w:p>
            <w:pPr>
              <w:spacing w:after="0"/>
            </w:pPr>
            <w:r/>
            <w:r>
              <w:rPr>
                <w:rFonts w:ascii="Arial" w:hAnsi="Arial"/>
                <w:b w:val="0"/>
                <w:sz w:val="16"/>
              </w:rPr>
              <w:t>Completeness rules decide whether assessment can be finalized; imputation must be explicitly trained, documented, versioned, and never invented ad hoc in Laravel.</w:t>
            </w:r>
          </w:p>
        </w:tc>
      </w:tr>
      <w:tr>
        <w:tc>
          <w:tcPr>
            <w:tcW w:type="dxa" w:w="5112"/>
            <w:vAlign w:val="center"/>
            <w:shd w:fill="EEF4F8"/>
          </w:tcPr>
          <w:p>
            <w:pPr>
              <w:spacing w:after="0"/>
            </w:pPr>
            <w:r/>
            <w:r>
              <w:rPr>
                <w:rFonts w:ascii="Arial" w:hAnsi="Arial"/>
                <w:b w:val="0"/>
                <w:sz w:val="16"/>
              </w:rPr>
              <w:t>Derived fields</w:t>
            </w:r>
          </w:p>
        </w:tc>
        <w:tc>
          <w:tcPr>
            <w:tcW w:type="dxa" w:w="5112"/>
            <w:vAlign w:val="center"/>
            <w:shd w:fill="EEF4F8"/>
          </w:tcPr>
          <w:p>
            <w:pPr>
              <w:spacing w:after="0"/>
            </w:pPr>
            <w:r/>
            <w:r>
              <w:rPr>
                <w:rFonts w:ascii="Arial" w:hAnsi="Arial"/>
                <w:b w:val="0"/>
                <w:sz w:val="16"/>
              </w:rPr>
              <w:t>Record formula/version and source values; age and gestational measures are computed consistently for the assessment date.</w:t>
            </w:r>
          </w:p>
        </w:tc>
      </w:tr>
    </w:tbl>
    <w:p>
      <w:pPr>
        <w:spacing w:after="0"/>
      </w:pPr>
    </w:p>
    <w:p>
      <w:pPr>
        <w:pStyle w:val="Heading1"/>
        <w:keepNext/>
      </w:pPr>
      <w:r>
        <w:t>9. Database Transaction and Consistency Framework</w:t>
      </w:r>
    </w:p>
    <w:p>
      <w:pPr>
        <w:spacing w:after="100" w:line="259" w:lineRule="auto"/>
      </w:pPr>
      <w:r>
        <w:rPr>
          <w:rFonts w:ascii="Arial" w:hAnsi="Arial"/>
          <w:sz w:val="18"/>
        </w:rPr>
        <w:t>Use DB::transaction for use cases that must succeed or fail together. The transaction includes authoritative writes only; slow external side effects do not remain inside the transaction unless their failure must invalidate the clinical operation and the integration has a reliable compensation design.</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408"/>
        <w:gridCol w:w="3408"/>
        <w:gridCol w:w="3408"/>
      </w:tblGrid>
      <w:tr>
        <w:tc>
          <w:tcPr>
            <w:tcW w:type="dxa" w:w="3408"/>
            <w:vAlign w:val="center"/>
            <w:shd w:fill="1F4E78"/>
          </w:tcPr>
          <w:p>
            <w:pPr>
              <w:spacing w:after="0"/>
            </w:pPr>
            <w:r/>
            <w:r>
              <w:rPr>
                <w:rFonts w:ascii="Arial" w:hAnsi="Arial"/>
                <w:b/>
                <w:color w:val="FFFFFF"/>
                <w:sz w:val="16"/>
              </w:rPr>
              <w:t>Use case</w:t>
            </w:r>
          </w:p>
        </w:tc>
        <w:tc>
          <w:tcPr>
            <w:tcW w:type="dxa" w:w="3408"/>
            <w:vAlign w:val="center"/>
            <w:shd w:fill="1F4E78"/>
          </w:tcPr>
          <w:p>
            <w:pPr>
              <w:spacing w:after="0"/>
            </w:pPr>
            <w:r/>
            <w:r>
              <w:rPr>
                <w:rFonts w:ascii="Arial" w:hAnsi="Arial"/>
                <w:b/>
                <w:color w:val="FFFFFF"/>
                <w:sz w:val="16"/>
              </w:rPr>
              <w:t>Atomic transaction contents</w:t>
            </w:r>
          </w:p>
        </w:tc>
        <w:tc>
          <w:tcPr>
            <w:tcW w:type="dxa" w:w="3408"/>
            <w:vAlign w:val="center"/>
            <w:shd w:fill="1F4E78"/>
          </w:tcPr>
          <w:p>
            <w:pPr>
              <w:spacing w:after="0"/>
            </w:pPr>
            <w:r/>
            <w:r>
              <w:rPr>
                <w:rFonts w:ascii="Arial" w:hAnsi="Arial"/>
                <w:b/>
                <w:color w:val="FFFFFF"/>
                <w:sz w:val="16"/>
              </w:rPr>
              <w:t>After-commit effects</w:t>
            </w:r>
          </w:p>
        </w:tc>
      </w:tr>
      <w:tr>
        <w:tc>
          <w:tcPr>
            <w:tcW w:type="dxa" w:w="3408"/>
            <w:vAlign w:val="center"/>
          </w:tcPr>
          <w:p>
            <w:pPr>
              <w:spacing w:after="0"/>
            </w:pPr>
            <w:r/>
            <w:r>
              <w:rPr>
                <w:rFonts w:ascii="Arial" w:hAnsi="Arial"/>
                <w:b w:val="0"/>
                <w:sz w:val="16"/>
              </w:rPr>
              <w:t>Assessment</w:t>
            </w:r>
          </w:p>
        </w:tc>
        <w:tc>
          <w:tcPr>
            <w:tcW w:type="dxa" w:w="3408"/>
            <w:vAlign w:val="center"/>
          </w:tcPr>
          <w:p>
            <w:pPr>
              <w:spacing w:after="0"/>
            </w:pPr>
            <w:r/>
            <w:r>
              <w:rPr>
                <w:rFonts w:ascii="Arial" w:hAnsi="Arial"/>
                <w:b w:val="0"/>
                <w:sz w:val="16"/>
              </w:rPr>
              <w:t>Assessment row, immutable snapshot, reasons, explanation/recommendation references or serialized bundles, current summary pointer, audit event.</w:t>
            </w:r>
          </w:p>
        </w:tc>
        <w:tc>
          <w:tcPr>
            <w:tcW w:type="dxa" w:w="3408"/>
            <w:vAlign w:val="center"/>
          </w:tcPr>
          <w:p>
            <w:pPr>
              <w:spacing w:after="0"/>
            </w:pPr>
            <w:r/>
            <w:r>
              <w:rPr>
                <w:rFonts w:ascii="Arial" w:hAnsi="Arial"/>
                <w:b w:val="0"/>
                <w:sz w:val="16"/>
              </w:rPr>
              <w:t>Dashboard refresh, optional email/task, monitoring metric.</w:t>
            </w:r>
          </w:p>
        </w:tc>
      </w:tr>
      <w:tr>
        <w:tc>
          <w:tcPr>
            <w:tcW w:type="dxa" w:w="3408"/>
            <w:vAlign w:val="center"/>
            <w:shd w:fill="EEF4F8"/>
          </w:tcPr>
          <w:p>
            <w:pPr>
              <w:spacing w:after="0"/>
            </w:pPr>
            <w:r/>
            <w:r>
              <w:rPr>
                <w:rFonts w:ascii="Arial" w:hAnsi="Arial"/>
                <w:b w:val="0"/>
                <w:sz w:val="16"/>
              </w:rPr>
              <w:t>Referral initiation</w:t>
            </w:r>
          </w:p>
        </w:tc>
        <w:tc>
          <w:tcPr>
            <w:tcW w:type="dxa" w:w="3408"/>
            <w:vAlign w:val="center"/>
            <w:shd w:fill="EEF4F8"/>
          </w:tcPr>
          <w:p>
            <w:pPr>
              <w:spacing w:after="0"/>
            </w:pPr>
            <w:r/>
            <w:r>
              <w:rPr>
                <w:rFonts w:ascii="Arial" w:hAnsi="Arial"/>
                <w:b w:val="0"/>
                <w:sz w:val="16"/>
              </w:rPr>
              <w:t>Referral record, assessment/recommendation link, state transition, audit.</w:t>
            </w:r>
          </w:p>
        </w:tc>
        <w:tc>
          <w:tcPr>
            <w:tcW w:type="dxa" w:w="3408"/>
            <w:vAlign w:val="center"/>
            <w:shd w:fill="EEF4F8"/>
          </w:tcPr>
          <w:p>
            <w:pPr>
              <w:spacing w:after="0"/>
            </w:pPr>
            <w:r/>
            <w:r>
              <w:rPr>
                <w:rFonts w:ascii="Arial" w:hAnsi="Arial"/>
                <w:b w:val="0"/>
                <w:sz w:val="16"/>
              </w:rPr>
              <w:t>Print generation, facility communication task, reminder.</w:t>
            </w:r>
          </w:p>
        </w:tc>
      </w:tr>
      <w:tr>
        <w:tc>
          <w:tcPr>
            <w:tcW w:type="dxa" w:w="3408"/>
            <w:vAlign w:val="center"/>
          </w:tcPr>
          <w:p>
            <w:pPr>
              <w:spacing w:after="0"/>
            </w:pPr>
            <w:r/>
            <w:r>
              <w:rPr>
                <w:rFonts w:ascii="Arial" w:hAnsi="Arial"/>
                <w:b w:val="0"/>
                <w:sz w:val="16"/>
              </w:rPr>
              <w:t>Referral refusal</w:t>
            </w:r>
          </w:p>
        </w:tc>
        <w:tc>
          <w:tcPr>
            <w:tcW w:type="dxa" w:w="3408"/>
            <w:vAlign w:val="center"/>
          </w:tcPr>
          <w:p>
            <w:pPr>
              <w:spacing w:after="0"/>
            </w:pPr>
            <w:r/>
            <w:r>
              <w:rPr>
                <w:rFonts w:ascii="Arial" w:hAnsi="Arial"/>
                <w:b w:val="0"/>
                <w:sz w:val="16"/>
              </w:rPr>
              <w:t>Refusal record/waiver metadata, referral state, counseling evidence, unchanged HIGH status, audit.</w:t>
            </w:r>
          </w:p>
        </w:tc>
        <w:tc>
          <w:tcPr>
            <w:tcW w:type="dxa" w:w="3408"/>
            <w:vAlign w:val="center"/>
          </w:tcPr>
          <w:p>
            <w:pPr>
              <w:spacing w:after="0"/>
            </w:pPr>
            <w:r/>
            <w:r>
              <w:rPr>
                <w:rFonts w:ascii="Arial" w:hAnsi="Arial"/>
                <w:b w:val="0"/>
                <w:sz w:val="16"/>
              </w:rPr>
              <w:t>Follow-up reminder or supervisor notice.</w:t>
            </w:r>
          </w:p>
        </w:tc>
      </w:tr>
      <w:tr>
        <w:tc>
          <w:tcPr>
            <w:tcW w:type="dxa" w:w="3408"/>
            <w:vAlign w:val="center"/>
            <w:shd w:fill="EEF4F8"/>
          </w:tcPr>
          <w:p>
            <w:pPr>
              <w:spacing w:after="0"/>
            </w:pPr>
            <w:r/>
            <w:r>
              <w:rPr>
                <w:rFonts w:ascii="Arial" w:hAnsi="Arial"/>
                <w:b w:val="0"/>
                <w:sz w:val="16"/>
              </w:rPr>
              <w:t>Mark as Delivered</w:t>
            </w:r>
          </w:p>
        </w:tc>
        <w:tc>
          <w:tcPr>
            <w:tcW w:type="dxa" w:w="3408"/>
            <w:vAlign w:val="center"/>
            <w:shd w:fill="EEF4F8"/>
          </w:tcPr>
          <w:p>
            <w:pPr>
              <w:spacing w:after="0"/>
            </w:pPr>
            <w:r/>
            <w:r>
              <w:rPr>
                <w:rFonts w:ascii="Arial" w:hAnsi="Arial"/>
                <w:b w:val="0"/>
                <w:sz w:val="16"/>
              </w:rPr>
              <w:t>Episode/patient delivery state, delivery details, baby records, closure of mutable workflow, audit.</w:t>
            </w:r>
          </w:p>
        </w:tc>
        <w:tc>
          <w:tcPr>
            <w:tcW w:type="dxa" w:w="3408"/>
            <w:vAlign w:val="center"/>
            <w:shd w:fill="EEF4F8"/>
          </w:tcPr>
          <w:p>
            <w:pPr>
              <w:spacing w:after="0"/>
            </w:pPr>
            <w:r/>
            <w:r>
              <w:rPr>
                <w:rFonts w:ascii="Arial" w:hAnsi="Arial"/>
                <w:b w:val="0"/>
                <w:sz w:val="16"/>
              </w:rPr>
              <w:t>Completion email/report and archival tasks.</w:t>
            </w:r>
          </w:p>
        </w:tc>
      </w:tr>
      <w:tr>
        <w:tc>
          <w:tcPr>
            <w:tcW w:type="dxa" w:w="3408"/>
            <w:vAlign w:val="center"/>
          </w:tcPr>
          <w:p>
            <w:pPr>
              <w:spacing w:after="0"/>
            </w:pPr>
            <w:r/>
            <w:r>
              <w:rPr>
                <w:rFonts w:ascii="Arial" w:hAnsi="Arial"/>
                <w:b w:val="0"/>
                <w:sz w:val="16"/>
              </w:rPr>
              <w:t>Start New Pregnancy</w:t>
            </w:r>
          </w:p>
        </w:tc>
        <w:tc>
          <w:tcPr>
            <w:tcW w:type="dxa" w:w="3408"/>
            <w:vAlign w:val="center"/>
          </w:tcPr>
          <w:p>
            <w:pPr>
              <w:spacing w:after="0"/>
            </w:pPr>
            <w:r/>
            <w:r>
              <w:rPr>
                <w:rFonts w:ascii="Arial" w:hAnsi="Arial"/>
                <w:b w:val="0"/>
                <w:sz w:val="16"/>
              </w:rPr>
              <w:t>New episode, active pointer/status, provenance to prior episode, audit.</w:t>
            </w:r>
          </w:p>
        </w:tc>
        <w:tc>
          <w:tcPr>
            <w:tcW w:type="dxa" w:w="3408"/>
            <w:vAlign w:val="center"/>
          </w:tcPr>
          <w:p>
            <w:pPr>
              <w:spacing w:after="0"/>
            </w:pPr>
            <w:r/>
            <w:r>
              <w:rPr>
                <w:rFonts w:ascii="Arial" w:hAnsi="Arial"/>
                <w:b w:val="0"/>
                <w:sz w:val="16"/>
              </w:rPr>
              <w:t>Onboarding task; no copying of previous assessment as current.</w:t>
            </w:r>
          </w:p>
        </w:tc>
      </w:tr>
    </w:tbl>
    <w:p>
      <w:pPr>
        <w:spacing w:after="0"/>
      </w:pPr>
    </w:p>
    <w:p>
      <w:pPr>
        <w:pStyle w:val="ListBullet"/>
        <w:spacing w:after="40"/>
      </w:pPr>
      <w:r>
        <w:rPr>
          <w:rFonts w:ascii="Arial" w:hAnsi="Arial"/>
          <w:sz w:val="18"/>
        </w:rPr>
        <w:t>Use deadlock retry only for safe idempotent transactions and log retry exhaustion.</w:t>
      </w:r>
    </w:p>
    <w:p>
      <w:pPr>
        <w:pStyle w:val="ListBullet"/>
        <w:spacing w:after="40"/>
      </w:pPr>
      <w:r>
        <w:rPr>
          <w:rFonts w:ascii="Arial" w:hAnsi="Arial"/>
          <w:sz w:val="18"/>
        </w:rPr>
        <w:t>Use unique constraints for one logical delivery per episode, idempotency keys, and other duplicate-sensitive records.</w:t>
      </w:r>
    </w:p>
    <w:p>
      <w:pPr>
        <w:pStyle w:val="ListBullet"/>
        <w:spacing w:after="40"/>
      </w:pPr>
      <w:r>
        <w:rPr>
          <w:rFonts w:ascii="Arial" w:hAnsi="Arial"/>
          <w:sz w:val="18"/>
        </w:rPr>
        <w:t>Events and queued jobs that depend on newly committed rows must dispatch after commit; rollback discards them.</w:t>
      </w:r>
    </w:p>
    <w:p>
      <w:pPr>
        <w:pStyle w:val="ListBullet"/>
        <w:spacing w:after="40"/>
      </w:pPr>
      <w:r>
        <w:rPr>
          <w:rFonts w:ascii="Arial" w:hAnsi="Arial"/>
          <w:sz w:val="18"/>
        </w:rPr>
        <w:t>Never send email before the transaction commits because the message could describe a state that was rolled back.</w:t>
      </w:r>
    </w:p>
    <w:p>
      <w:pPr>
        <w:pStyle w:val="Heading1"/>
        <w:keepNext/>
      </w:pPr>
      <w:r>
        <w:t>10. Domain Events, Queues, and Scheduler</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408"/>
        <w:gridCol w:w="3408"/>
        <w:gridCol w:w="3408"/>
      </w:tblGrid>
      <w:tr>
        <w:tc>
          <w:tcPr>
            <w:tcW w:type="dxa" w:w="3408"/>
            <w:vAlign w:val="center"/>
            <w:shd w:fill="1F4E78"/>
          </w:tcPr>
          <w:p>
            <w:pPr>
              <w:spacing w:after="0"/>
            </w:pPr>
            <w:r/>
            <w:r>
              <w:rPr>
                <w:rFonts w:ascii="Arial" w:hAnsi="Arial"/>
                <w:b/>
                <w:color w:val="FFFFFF"/>
                <w:sz w:val="16"/>
              </w:rPr>
              <w:t>Mechanism</w:t>
            </w:r>
          </w:p>
        </w:tc>
        <w:tc>
          <w:tcPr>
            <w:tcW w:type="dxa" w:w="3408"/>
            <w:vAlign w:val="center"/>
            <w:shd w:fill="1F4E78"/>
          </w:tcPr>
          <w:p>
            <w:pPr>
              <w:spacing w:after="0"/>
            </w:pPr>
            <w:r/>
            <w:r>
              <w:rPr>
                <w:rFonts w:ascii="Arial" w:hAnsi="Arial"/>
                <w:b/>
                <w:color w:val="FFFFFF"/>
                <w:sz w:val="16"/>
              </w:rPr>
              <w:t>Appropriate use</w:t>
            </w:r>
          </w:p>
        </w:tc>
        <w:tc>
          <w:tcPr>
            <w:tcW w:type="dxa" w:w="3408"/>
            <w:vAlign w:val="center"/>
            <w:shd w:fill="1F4E78"/>
          </w:tcPr>
          <w:p>
            <w:pPr>
              <w:spacing w:after="0"/>
            </w:pPr>
            <w:r/>
            <w:r>
              <w:rPr>
                <w:rFonts w:ascii="Arial" w:hAnsi="Arial"/>
                <w:b/>
                <w:color w:val="FFFFFF"/>
                <w:sz w:val="16"/>
              </w:rPr>
              <w:t>Safety requirement</w:t>
            </w:r>
          </w:p>
        </w:tc>
      </w:tr>
      <w:tr>
        <w:tc>
          <w:tcPr>
            <w:tcW w:type="dxa" w:w="3408"/>
            <w:vAlign w:val="center"/>
          </w:tcPr>
          <w:p>
            <w:pPr>
              <w:spacing w:after="0"/>
            </w:pPr>
            <w:r/>
            <w:r>
              <w:rPr>
                <w:rFonts w:ascii="Arial" w:hAnsi="Arial"/>
                <w:b w:val="0"/>
                <w:sz w:val="16"/>
              </w:rPr>
              <w:t>Synchronous service call</w:t>
            </w:r>
          </w:p>
        </w:tc>
        <w:tc>
          <w:tcPr>
            <w:tcW w:type="dxa" w:w="3408"/>
            <w:vAlign w:val="center"/>
          </w:tcPr>
          <w:p>
            <w:pPr>
              <w:spacing w:after="0"/>
            </w:pPr>
            <w:r/>
            <w:r>
              <w:rPr>
                <w:rFonts w:ascii="Arial" w:hAnsi="Arial"/>
                <w:b w:val="0"/>
                <w:sz w:val="16"/>
              </w:rPr>
              <w:t>Authorization, validation, completeness, assessment resolution, essential persistence.</w:t>
            </w:r>
          </w:p>
        </w:tc>
        <w:tc>
          <w:tcPr>
            <w:tcW w:type="dxa" w:w="3408"/>
            <w:vAlign w:val="center"/>
          </w:tcPr>
          <w:p>
            <w:pPr>
              <w:spacing w:after="0"/>
            </w:pPr>
            <w:r/>
            <w:r>
              <w:rPr>
                <w:rFonts w:ascii="Arial" w:hAnsi="Arial"/>
                <w:b w:val="0"/>
                <w:sz w:val="16"/>
              </w:rPr>
              <w:t>Caller receives definitive success/failure in the same request.</w:t>
            </w:r>
          </w:p>
        </w:tc>
      </w:tr>
      <w:tr>
        <w:tc>
          <w:tcPr>
            <w:tcW w:type="dxa" w:w="3408"/>
            <w:vAlign w:val="center"/>
            <w:shd w:fill="EEF4F8"/>
          </w:tcPr>
          <w:p>
            <w:pPr>
              <w:spacing w:after="0"/>
            </w:pPr>
            <w:r/>
            <w:r>
              <w:rPr>
                <w:rFonts w:ascii="Arial" w:hAnsi="Arial"/>
                <w:b w:val="0"/>
                <w:sz w:val="16"/>
              </w:rPr>
              <w:t>After-commit domain event</w:t>
            </w:r>
          </w:p>
        </w:tc>
        <w:tc>
          <w:tcPr>
            <w:tcW w:type="dxa" w:w="3408"/>
            <w:vAlign w:val="center"/>
            <w:shd w:fill="EEF4F8"/>
          </w:tcPr>
          <w:p>
            <w:pPr>
              <w:spacing w:after="0"/>
            </w:pPr>
            <w:r/>
            <w:r>
              <w:rPr>
                <w:rFonts w:ascii="Arial" w:hAnsi="Arial"/>
                <w:b w:val="0"/>
                <w:sz w:val="16"/>
              </w:rPr>
              <w:t>Announce a committed fact such as AssessmentCompleted or PatientDelivered.</w:t>
            </w:r>
          </w:p>
        </w:tc>
        <w:tc>
          <w:tcPr>
            <w:tcW w:type="dxa" w:w="3408"/>
            <w:vAlign w:val="center"/>
            <w:shd w:fill="EEF4F8"/>
          </w:tcPr>
          <w:p>
            <w:pPr>
              <w:spacing w:after="0"/>
            </w:pPr>
            <w:r/>
            <w:r>
              <w:rPr>
                <w:rFonts w:ascii="Arial" w:hAnsi="Arial"/>
                <w:b w:val="0"/>
                <w:sz w:val="16"/>
              </w:rPr>
              <w:t>Event payload references committed IDs and version; listeners cannot rewrite the original fact.</w:t>
            </w:r>
          </w:p>
        </w:tc>
      </w:tr>
      <w:tr>
        <w:tc>
          <w:tcPr>
            <w:tcW w:type="dxa" w:w="3408"/>
            <w:vAlign w:val="center"/>
          </w:tcPr>
          <w:p>
            <w:pPr>
              <w:spacing w:after="0"/>
            </w:pPr>
            <w:r/>
            <w:r>
              <w:rPr>
                <w:rFonts w:ascii="Arial" w:hAnsi="Arial"/>
                <w:b w:val="0"/>
                <w:sz w:val="16"/>
              </w:rPr>
              <w:t>Queued listener/job</w:t>
            </w:r>
          </w:p>
        </w:tc>
        <w:tc>
          <w:tcPr>
            <w:tcW w:type="dxa" w:w="3408"/>
            <w:vAlign w:val="center"/>
          </w:tcPr>
          <w:p>
            <w:pPr>
              <w:spacing w:after="0"/>
            </w:pPr>
            <w:r/>
            <w:r>
              <w:rPr>
                <w:rFonts w:ascii="Arial" w:hAnsi="Arial"/>
                <w:b w:val="0"/>
                <w:sz w:val="16"/>
              </w:rPr>
              <w:t>Email, reminder, report generation, non-critical export, metrics.</w:t>
            </w:r>
          </w:p>
        </w:tc>
        <w:tc>
          <w:tcPr>
            <w:tcW w:type="dxa" w:w="3408"/>
            <w:vAlign w:val="center"/>
          </w:tcPr>
          <w:p>
            <w:pPr>
              <w:spacing w:after="0"/>
            </w:pPr>
            <w:r/>
            <w:r>
              <w:rPr>
                <w:rFonts w:ascii="Arial" w:hAnsi="Arial"/>
                <w:b w:val="0"/>
                <w:sz w:val="16"/>
              </w:rPr>
              <w:t>Idempotent, bounded retries, timeout, failed-job handling, no clinically unsafe infinite retry.</w:t>
            </w:r>
          </w:p>
        </w:tc>
      </w:tr>
      <w:tr>
        <w:tc>
          <w:tcPr>
            <w:tcW w:type="dxa" w:w="3408"/>
            <w:vAlign w:val="center"/>
            <w:shd w:fill="EEF4F8"/>
          </w:tcPr>
          <w:p>
            <w:pPr>
              <w:spacing w:after="0"/>
            </w:pPr>
            <w:r/>
            <w:r>
              <w:rPr>
                <w:rFonts w:ascii="Arial" w:hAnsi="Arial"/>
                <w:b w:val="0"/>
                <w:sz w:val="16"/>
              </w:rPr>
              <w:t>Scheduler</w:t>
            </w:r>
          </w:p>
        </w:tc>
        <w:tc>
          <w:tcPr>
            <w:tcW w:type="dxa" w:w="3408"/>
            <w:vAlign w:val="center"/>
            <w:shd w:fill="EEF4F8"/>
          </w:tcPr>
          <w:p>
            <w:pPr>
              <w:spacing w:after="0"/>
            </w:pPr>
            <w:r/>
            <w:r>
              <w:rPr>
                <w:rFonts w:ascii="Arial" w:hAnsi="Arial"/>
                <w:b w:val="0"/>
                <w:sz w:val="16"/>
              </w:rPr>
              <w:t>Due follow-up reminders, queue health, backup checks, database monitoring, periodic reconciliation.</w:t>
            </w:r>
          </w:p>
        </w:tc>
        <w:tc>
          <w:tcPr>
            <w:tcW w:type="dxa" w:w="3408"/>
            <w:vAlign w:val="center"/>
            <w:shd w:fill="EEF4F8"/>
          </w:tcPr>
          <w:p>
            <w:pPr>
              <w:spacing w:after="0"/>
            </w:pPr>
            <w:r/>
            <w:r>
              <w:rPr>
                <w:rFonts w:ascii="Arial" w:hAnsi="Arial"/>
                <w:b w:val="0"/>
                <w:sz w:val="16"/>
              </w:rPr>
              <w:t>Uses explicit timezone, overlap prevention, audit/monitoring, and safe catch-up rules.</w:t>
            </w:r>
          </w:p>
        </w:tc>
      </w:tr>
      <w:tr>
        <w:tc>
          <w:tcPr>
            <w:tcW w:type="dxa" w:w="3408"/>
            <w:vAlign w:val="center"/>
          </w:tcPr>
          <w:p>
            <w:pPr>
              <w:spacing w:after="0"/>
            </w:pPr>
            <w:r/>
            <w:r>
              <w:rPr>
                <w:rFonts w:ascii="Arial" w:hAnsi="Arial"/>
                <w:b w:val="0"/>
                <w:sz w:val="16"/>
              </w:rPr>
              <w:t>Manual command</w:t>
            </w:r>
          </w:p>
        </w:tc>
        <w:tc>
          <w:tcPr>
            <w:tcW w:type="dxa" w:w="3408"/>
            <w:vAlign w:val="center"/>
          </w:tcPr>
          <w:p>
            <w:pPr>
              <w:spacing w:after="0"/>
            </w:pPr>
            <w:r/>
            <w:r>
              <w:rPr>
                <w:rFonts w:ascii="Arial" w:hAnsi="Arial"/>
                <w:b w:val="0"/>
                <w:sz w:val="16"/>
              </w:rPr>
              <w:t>Controlled repair, reconciliation, migration, or reprocessing.</w:t>
            </w:r>
          </w:p>
        </w:tc>
        <w:tc>
          <w:tcPr>
            <w:tcW w:type="dxa" w:w="3408"/>
            <w:vAlign w:val="center"/>
          </w:tcPr>
          <w:p>
            <w:pPr>
              <w:spacing w:after="0"/>
            </w:pPr>
            <w:r/>
            <w:r>
              <w:rPr>
                <w:rFonts w:ascii="Arial" w:hAnsi="Arial"/>
                <w:b w:val="0"/>
                <w:sz w:val="16"/>
              </w:rPr>
              <w:t>Authorized operator, dry run where possible, correlation ID, audit, backups, and documented rollback.</w:t>
            </w:r>
          </w:p>
        </w:tc>
      </w:tr>
    </w:tbl>
    <w:p>
      <w:pPr>
        <w:spacing w:after="0"/>
      </w:pPr>
    </w:p>
    <w:p>
      <w:pPr>
        <w:spacing w:after="100" w:line="259" w:lineRule="auto"/>
      </w:pPr>
      <w:r>
        <w:rPr>
          <w:rFonts w:ascii="Arial" w:hAnsi="Arial"/>
          <w:sz w:val="18"/>
        </w:rPr>
        <w:t>Queued effects use a stable deduplication key such as event_type + aggregate_id + aggregate_version + channel. A retry may resend only when policy permits and delivery status proves the previous attempt did not complete. Clinical records must show notification status separately from the underlying recommendation or referral state.</w:t>
      </w:r>
    </w:p>
    <w:p>
      <w:pPr>
        <w:pStyle w:val="Heading1"/>
        <w:keepNext/>
      </w:pPr>
      <w:r>
        <w:t>11. Email, Print, and Referral Integration</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6"/>
              </w:rPr>
              <w:t>Channel</w:t>
            </w:r>
          </w:p>
        </w:tc>
        <w:tc>
          <w:tcPr>
            <w:tcW w:type="dxa" w:w="5112"/>
            <w:vAlign w:val="center"/>
            <w:shd w:fill="1F4E78"/>
          </w:tcPr>
          <w:p>
            <w:pPr>
              <w:spacing w:after="0"/>
            </w:pPr>
            <w:r/>
            <w:r>
              <w:rPr>
                <w:rFonts w:ascii="Arial" w:hAnsi="Arial"/>
                <w:b/>
                <w:color w:val="FFFFFF"/>
                <w:sz w:val="16"/>
              </w:rPr>
              <w:t>Integration contract</w:t>
            </w:r>
          </w:p>
        </w:tc>
      </w:tr>
      <w:tr>
        <w:tc>
          <w:tcPr>
            <w:tcW w:type="dxa" w:w="5112"/>
            <w:vAlign w:val="center"/>
          </w:tcPr>
          <w:p>
            <w:pPr>
              <w:spacing w:after="0"/>
            </w:pPr>
            <w:r/>
            <w:r>
              <w:rPr>
                <w:rFonts w:ascii="Arial" w:hAnsi="Arial"/>
                <w:b w:val="0"/>
                <w:sz w:val="16"/>
              </w:rPr>
              <w:t>Email reminder</w:t>
            </w:r>
          </w:p>
        </w:tc>
        <w:tc>
          <w:tcPr>
            <w:tcW w:type="dxa" w:w="5112"/>
            <w:vAlign w:val="center"/>
          </w:tcPr>
          <w:p>
            <w:pPr>
              <w:spacing w:after="0"/>
            </w:pPr>
            <w:r/>
            <w:r>
              <w:rPr>
                <w:rFonts w:ascii="Arial" w:hAnsi="Arial"/>
                <w:b w:val="0"/>
                <w:sz w:val="16"/>
              </w:rPr>
              <w:t>Contains minimum necessary information, approved template/version, recipient source, related episode/task ID, send status, attempt count, and timestamp. No full diagnosis or sensitive narrative in subject line.</w:t>
            </w:r>
          </w:p>
        </w:tc>
      </w:tr>
      <w:tr>
        <w:tc>
          <w:tcPr>
            <w:tcW w:type="dxa" w:w="5112"/>
            <w:vAlign w:val="center"/>
            <w:shd w:fill="EEF4F8"/>
          </w:tcPr>
          <w:p>
            <w:pPr>
              <w:spacing w:after="0"/>
            </w:pPr>
            <w:r/>
            <w:r>
              <w:rPr>
                <w:rFonts w:ascii="Arial" w:hAnsi="Arial"/>
                <w:b w:val="0"/>
                <w:sz w:val="16"/>
              </w:rPr>
              <w:t>Referral printout</w:t>
            </w:r>
          </w:p>
        </w:tc>
        <w:tc>
          <w:tcPr>
            <w:tcW w:type="dxa" w:w="5112"/>
            <w:vAlign w:val="center"/>
            <w:shd w:fill="EEF4F8"/>
          </w:tcPr>
          <w:p>
            <w:pPr>
              <w:spacing w:after="0"/>
            </w:pPr>
            <w:r/>
            <w:r>
              <w:rPr>
                <w:rFonts w:ascii="Arial" w:hAnsi="Arial"/>
                <w:b w:val="0"/>
                <w:sz w:val="16"/>
              </w:rPr>
              <w:t>Generated only from committed assessment/referral data; includes patient identity required for referral, reasons, urgency, date, clinic contact, and document/version identifier. Print action is audited.</w:t>
            </w:r>
          </w:p>
        </w:tc>
      </w:tr>
      <w:tr>
        <w:tc>
          <w:tcPr>
            <w:tcW w:type="dxa" w:w="5112"/>
            <w:vAlign w:val="center"/>
          </w:tcPr>
          <w:p>
            <w:pPr>
              <w:spacing w:after="0"/>
            </w:pPr>
            <w:r/>
            <w:r>
              <w:rPr>
                <w:rFonts w:ascii="Arial" w:hAnsi="Arial"/>
                <w:b w:val="0"/>
                <w:sz w:val="16"/>
              </w:rPr>
              <w:t>Facility communication</w:t>
            </w:r>
          </w:p>
        </w:tc>
        <w:tc>
          <w:tcPr>
            <w:tcW w:type="dxa" w:w="5112"/>
            <w:vAlign w:val="center"/>
          </w:tcPr>
          <w:p>
            <w:pPr>
              <w:spacing w:after="0"/>
            </w:pPr>
            <w:r/>
            <w:r>
              <w:rPr>
                <w:rFonts w:ascii="Arial" w:hAnsi="Arial"/>
                <w:b w:val="0"/>
                <w:sz w:val="16"/>
              </w:rPr>
              <w:t>A communication attempt is not referral acceptance or completion. Store contacted_at, method, recipient, response, and next action separately.</w:t>
            </w:r>
          </w:p>
        </w:tc>
      </w:tr>
      <w:tr>
        <w:tc>
          <w:tcPr>
            <w:tcW w:type="dxa" w:w="5112"/>
            <w:vAlign w:val="center"/>
            <w:shd w:fill="EEF4F8"/>
          </w:tcPr>
          <w:p>
            <w:pPr>
              <w:spacing w:after="0"/>
            </w:pPr>
            <w:r/>
            <w:r>
              <w:rPr>
                <w:rFonts w:ascii="Arial" w:hAnsi="Arial"/>
                <w:b w:val="0"/>
                <w:sz w:val="16"/>
              </w:rPr>
              <w:t>Patient refusal</w:t>
            </w:r>
          </w:p>
        </w:tc>
        <w:tc>
          <w:tcPr>
            <w:tcW w:type="dxa" w:w="5112"/>
            <w:vAlign w:val="center"/>
            <w:shd w:fill="EEF4F8"/>
          </w:tcPr>
          <w:p>
            <w:pPr>
              <w:spacing w:after="0"/>
            </w:pPr>
            <w:r/>
            <w:r>
              <w:rPr>
                <w:rFonts w:ascii="Arial" w:hAnsi="Arial"/>
                <w:b w:val="0"/>
                <w:sz w:val="16"/>
              </w:rPr>
              <w:t>Refusal/waiver records counseling and decision; does not alter the HIGH assessment or remove the recommendation.</w:t>
            </w:r>
          </w:p>
        </w:tc>
      </w:tr>
      <w:tr>
        <w:tc>
          <w:tcPr>
            <w:tcW w:type="dxa" w:w="5112"/>
            <w:vAlign w:val="center"/>
          </w:tcPr>
          <w:p>
            <w:pPr>
              <w:spacing w:after="0"/>
            </w:pPr>
            <w:r/>
            <w:r>
              <w:rPr>
                <w:rFonts w:ascii="Arial" w:hAnsi="Arial"/>
                <w:b w:val="0"/>
                <w:sz w:val="16"/>
              </w:rPr>
              <w:t>Dashboard</w:t>
            </w:r>
          </w:p>
        </w:tc>
        <w:tc>
          <w:tcPr>
            <w:tcW w:type="dxa" w:w="5112"/>
            <w:vAlign w:val="center"/>
          </w:tcPr>
          <w:p>
            <w:pPr>
              <w:spacing w:after="0"/>
            </w:pPr>
            <w:r/>
            <w:r>
              <w:rPr>
                <w:rFonts w:ascii="Arial" w:hAnsi="Arial"/>
                <w:b w:val="0"/>
                <w:sz w:val="16"/>
              </w:rPr>
              <w:t>Displays current summary derived from authoritative records; links to historical immutable assessments rather than recomputing old results in the view.</w:t>
            </w:r>
          </w:p>
        </w:tc>
      </w:tr>
    </w:tbl>
    <w:p>
      <w:pPr>
        <w:spacing w:after="0"/>
      </w:pPr>
    </w:p>
    <w:p>
      <w:pPr>
        <w:pStyle w:val="Heading1"/>
        <w:keepNext/>
      </w:pPr>
      <w:r>
        <w:t>12. Audit and Observability Correlation</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6"/>
              </w:rPr>
              <w:t>Evidence</w:t>
            </w:r>
          </w:p>
        </w:tc>
        <w:tc>
          <w:tcPr>
            <w:tcW w:type="dxa" w:w="5112"/>
            <w:vAlign w:val="center"/>
            <w:shd w:fill="1F4E78"/>
          </w:tcPr>
          <w:p>
            <w:pPr>
              <w:spacing w:after="0"/>
            </w:pPr>
            <w:r/>
            <w:r>
              <w:rPr>
                <w:rFonts w:ascii="Arial" w:hAnsi="Arial"/>
                <w:b/>
                <w:color w:val="FFFFFF"/>
                <w:sz w:val="16"/>
              </w:rPr>
              <w:t>Minimum fields</w:t>
            </w:r>
          </w:p>
        </w:tc>
      </w:tr>
      <w:tr>
        <w:tc>
          <w:tcPr>
            <w:tcW w:type="dxa" w:w="5112"/>
            <w:vAlign w:val="center"/>
          </w:tcPr>
          <w:p>
            <w:pPr>
              <w:spacing w:after="0"/>
            </w:pPr>
            <w:r/>
            <w:r>
              <w:rPr>
                <w:rFonts w:ascii="Arial" w:hAnsi="Arial"/>
                <w:b w:val="0"/>
                <w:sz w:val="16"/>
              </w:rPr>
              <w:t>Clinical audit event</w:t>
            </w:r>
          </w:p>
        </w:tc>
        <w:tc>
          <w:tcPr>
            <w:tcW w:type="dxa" w:w="5112"/>
            <w:vAlign w:val="center"/>
          </w:tcPr>
          <w:p>
            <w:pPr>
              <w:spacing w:after="0"/>
            </w:pPr>
            <w:r/>
            <w:r>
              <w:rPr>
                <w:rFonts w:ascii="Arial" w:hAnsi="Arial"/>
                <w:b w:val="0"/>
                <w:sz w:val="16"/>
              </w:rPr>
              <w:t>actor_id, action, patient_id, episode_id, target type/ID, before/after or changed fields, reason, occurred_at, correlation_id.</w:t>
            </w:r>
          </w:p>
        </w:tc>
      </w:tr>
      <w:tr>
        <w:tc>
          <w:tcPr>
            <w:tcW w:type="dxa" w:w="5112"/>
            <w:vAlign w:val="center"/>
            <w:shd w:fill="EEF4F8"/>
          </w:tcPr>
          <w:p>
            <w:pPr>
              <w:spacing w:after="0"/>
            </w:pPr>
            <w:r/>
            <w:r>
              <w:rPr>
                <w:rFonts w:ascii="Arial" w:hAnsi="Arial"/>
                <w:b w:val="0"/>
                <w:sz w:val="16"/>
              </w:rPr>
              <w:t>Assessment trace</w:t>
            </w:r>
          </w:p>
        </w:tc>
        <w:tc>
          <w:tcPr>
            <w:tcW w:type="dxa" w:w="5112"/>
            <w:vAlign w:val="center"/>
            <w:shd w:fill="EEF4F8"/>
          </w:tcPr>
          <w:p>
            <w:pPr>
              <w:spacing w:after="0"/>
            </w:pPr>
            <w:r/>
            <w:r>
              <w:rPr>
                <w:rFonts w:ascii="Arial" w:hAnsi="Arial"/>
                <w:b w:val="0"/>
                <w:sz w:val="16"/>
              </w:rPr>
              <w:t>snapshot ID/hash, source record IDs, rule version, model version/hash/status, final decision, reasons, explanation/recommendation versions.</w:t>
            </w:r>
          </w:p>
        </w:tc>
      </w:tr>
      <w:tr>
        <w:tc>
          <w:tcPr>
            <w:tcW w:type="dxa" w:w="5112"/>
            <w:vAlign w:val="center"/>
          </w:tcPr>
          <w:p>
            <w:pPr>
              <w:spacing w:after="0"/>
            </w:pPr>
            <w:r/>
            <w:r>
              <w:rPr>
                <w:rFonts w:ascii="Arial" w:hAnsi="Arial"/>
                <w:b w:val="0"/>
                <w:sz w:val="16"/>
              </w:rPr>
              <w:t>Process telemetry</w:t>
            </w:r>
          </w:p>
        </w:tc>
        <w:tc>
          <w:tcPr>
            <w:tcW w:type="dxa" w:w="5112"/>
            <w:vAlign w:val="center"/>
          </w:tcPr>
          <w:p>
            <w:pPr>
              <w:spacing w:after="0"/>
            </w:pPr>
            <w:r/>
            <w:r>
              <w:rPr>
                <w:rFonts w:ascii="Arial" w:hAnsi="Arial"/>
                <w:b w:val="0"/>
                <w:sz w:val="16"/>
              </w:rPr>
              <w:t>correlation_id, request_id, duration, exit code category, timeout flag, response validation status; exclude raw sensitive features unless protected and justified.</w:t>
            </w:r>
          </w:p>
        </w:tc>
      </w:tr>
      <w:tr>
        <w:tc>
          <w:tcPr>
            <w:tcW w:type="dxa" w:w="5112"/>
            <w:vAlign w:val="center"/>
            <w:shd w:fill="EEF4F8"/>
          </w:tcPr>
          <w:p>
            <w:pPr>
              <w:spacing w:after="0"/>
            </w:pPr>
            <w:r/>
            <w:r>
              <w:rPr>
                <w:rFonts w:ascii="Arial" w:hAnsi="Arial"/>
                <w:b w:val="0"/>
                <w:sz w:val="16"/>
              </w:rPr>
              <w:t>Queue telemetry</w:t>
            </w:r>
          </w:p>
        </w:tc>
        <w:tc>
          <w:tcPr>
            <w:tcW w:type="dxa" w:w="5112"/>
            <w:vAlign w:val="center"/>
            <w:shd w:fill="EEF4F8"/>
          </w:tcPr>
          <w:p>
            <w:pPr>
              <w:spacing w:after="0"/>
            </w:pPr>
            <w:r/>
            <w:r>
              <w:rPr>
                <w:rFonts w:ascii="Arial" w:hAnsi="Arial"/>
                <w:b w:val="0"/>
                <w:sz w:val="16"/>
              </w:rPr>
              <w:t>job type, dedup key, attempts, scheduled/start/end time, result, failure code.</w:t>
            </w:r>
          </w:p>
        </w:tc>
      </w:tr>
      <w:tr>
        <w:tc>
          <w:tcPr>
            <w:tcW w:type="dxa" w:w="5112"/>
            <w:vAlign w:val="center"/>
          </w:tcPr>
          <w:p>
            <w:pPr>
              <w:spacing w:after="0"/>
            </w:pPr>
            <w:r/>
            <w:r>
              <w:rPr>
                <w:rFonts w:ascii="Arial" w:hAnsi="Arial"/>
                <w:b w:val="0"/>
                <w:sz w:val="16"/>
              </w:rPr>
              <w:t>Notification evidence</w:t>
            </w:r>
          </w:p>
        </w:tc>
        <w:tc>
          <w:tcPr>
            <w:tcW w:type="dxa" w:w="5112"/>
            <w:vAlign w:val="center"/>
          </w:tcPr>
          <w:p>
            <w:pPr>
              <w:spacing w:after="0"/>
            </w:pPr>
            <w:r/>
            <w:r>
              <w:rPr>
                <w:rFonts w:ascii="Arial" w:hAnsi="Arial"/>
                <w:b w:val="0"/>
                <w:sz w:val="16"/>
              </w:rPr>
              <w:t>recipient category, channel, template version, result, provider message ID if available; do not log message body unnecessarily.</w:t>
            </w:r>
          </w:p>
        </w:tc>
      </w:tr>
      <w:tr>
        <w:tc>
          <w:tcPr>
            <w:tcW w:type="dxa" w:w="5112"/>
            <w:vAlign w:val="center"/>
            <w:shd w:fill="EEF4F8"/>
          </w:tcPr>
          <w:p>
            <w:pPr>
              <w:spacing w:after="0"/>
            </w:pPr>
            <w:r/>
            <w:r>
              <w:rPr>
                <w:rFonts w:ascii="Arial" w:hAnsi="Arial"/>
                <w:b w:val="0"/>
                <w:sz w:val="16"/>
              </w:rPr>
              <w:t>Security event</w:t>
            </w:r>
          </w:p>
        </w:tc>
        <w:tc>
          <w:tcPr>
            <w:tcW w:type="dxa" w:w="5112"/>
            <w:vAlign w:val="center"/>
            <w:shd w:fill="EEF4F8"/>
          </w:tcPr>
          <w:p>
            <w:pPr>
              <w:spacing w:after="0"/>
            </w:pPr>
            <w:r/>
            <w:r>
              <w:rPr>
                <w:rFonts w:ascii="Arial" w:hAnsi="Arial"/>
                <w:b w:val="0"/>
                <w:sz w:val="16"/>
              </w:rPr>
              <w:t>login failure, denied authorization, export, restore, model mismatch, integrity failure, administrative change.</w:t>
            </w:r>
          </w:p>
        </w:tc>
      </w:tr>
    </w:tbl>
    <w:p>
      <w:pPr>
        <w:spacing w:after="0"/>
      </w:pPr>
    </w:p>
    <w:p>
      <w:pPr>
        <w:spacing w:after="100" w:line="259" w:lineRule="auto"/>
      </w:pPr>
      <w:r>
        <w:rPr>
          <w:rFonts w:ascii="Arial" w:hAnsi="Arial"/>
          <w:sz w:val="18"/>
        </w:rPr>
        <w:t>Correlation IDs allow the team to reconstruct one use case across HTTP logs, application logs, database audit, Python call, event, queue job, and email without exposing patient details in log search terms. Monitoring alerts on rates and failures; the clinical record remains the source of truth.</w:t>
      </w:r>
    </w:p>
    <w:p>
      <w:pPr>
        <w:pStyle w:val="Heading1"/>
        <w:keepNext/>
      </w:pPr>
      <w:r>
        <w:t>13. Failure Handling and Safe Degradation</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408"/>
        <w:gridCol w:w="3408"/>
        <w:gridCol w:w="3408"/>
      </w:tblGrid>
      <w:tr>
        <w:tc>
          <w:tcPr>
            <w:tcW w:type="dxa" w:w="3408"/>
            <w:vAlign w:val="center"/>
            <w:shd w:fill="1F4E78"/>
          </w:tcPr>
          <w:p>
            <w:pPr>
              <w:spacing w:after="0"/>
            </w:pPr>
            <w:r/>
            <w:r>
              <w:rPr>
                <w:rFonts w:ascii="Arial" w:hAnsi="Arial"/>
                <w:b/>
                <w:color w:val="FFFFFF"/>
                <w:sz w:val="16"/>
              </w:rPr>
              <w:t>Failure</w:t>
            </w:r>
          </w:p>
        </w:tc>
        <w:tc>
          <w:tcPr>
            <w:tcW w:type="dxa" w:w="3408"/>
            <w:vAlign w:val="center"/>
            <w:shd w:fill="1F4E78"/>
          </w:tcPr>
          <w:p>
            <w:pPr>
              <w:spacing w:after="0"/>
            </w:pPr>
            <w:r/>
            <w:r>
              <w:rPr>
                <w:rFonts w:ascii="Arial" w:hAnsi="Arial"/>
                <w:b/>
                <w:color w:val="FFFFFF"/>
                <w:sz w:val="16"/>
              </w:rPr>
              <w:t>System response</w:t>
            </w:r>
          </w:p>
        </w:tc>
        <w:tc>
          <w:tcPr>
            <w:tcW w:type="dxa" w:w="3408"/>
            <w:vAlign w:val="center"/>
            <w:shd w:fill="1F4E78"/>
          </w:tcPr>
          <w:p>
            <w:pPr>
              <w:spacing w:after="0"/>
            </w:pPr>
            <w:r/>
            <w:r>
              <w:rPr>
                <w:rFonts w:ascii="Arial" w:hAnsi="Arial"/>
                <w:b/>
                <w:color w:val="FFFFFF"/>
                <w:sz w:val="16"/>
              </w:rPr>
              <w:t>Prohibited response</w:t>
            </w:r>
          </w:p>
        </w:tc>
      </w:tr>
      <w:tr>
        <w:tc>
          <w:tcPr>
            <w:tcW w:type="dxa" w:w="3408"/>
            <w:vAlign w:val="center"/>
          </w:tcPr>
          <w:p>
            <w:pPr>
              <w:spacing w:after="0"/>
            </w:pPr>
            <w:r/>
            <w:r>
              <w:rPr>
                <w:rFonts w:ascii="Arial" w:hAnsi="Arial"/>
                <w:b w:val="0"/>
                <w:sz w:val="16"/>
              </w:rPr>
              <w:t>Python timeout/unavailable</w:t>
            </w:r>
          </w:p>
        </w:tc>
        <w:tc>
          <w:tcPr>
            <w:tcW w:type="dxa" w:w="3408"/>
            <w:vAlign w:val="center"/>
          </w:tcPr>
          <w:p>
            <w:pPr>
              <w:spacing w:after="0"/>
            </w:pPr>
            <w:r/>
            <w:r>
              <w:rPr>
                <w:rFonts w:ascii="Arial" w:hAnsi="Arial"/>
                <w:b w:val="0"/>
                <w:sz w:val="16"/>
              </w:rPr>
              <w:t>Record invalid ML status; apply deterministic HIGH rules; final result is HIGH if rules trigger, otherwise ASSESSMENT INCOMPLETE; show retry/review guidance.</w:t>
            </w:r>
          </w:p>
        </w:tc>
        <w:tc>
          <w:tcPr>
            <w:tcW w:type="dxa" w:w="3408"/>
            <w:vAlign w:val="center"/>
          </w:tcPr>
          <w:p>
            <w:pPr>
              <w:spacing w:after="0"/>
            </w:pPr>
            <w:r/>
            <w:r>
              <w:rPr>
                <w:rFonts w:ascii="Arial" w:hAnsi="Arial"/>
                <w:b w:val="0"/>
                <w:sz w:val="16"/>
              </w:rPr>
              <w:t>Default LOW, hide error, or reuse a stale LOW as current.</w:t>
            </w:r>
          </w:p>
        </w:tc>
      </w:tr>
      <w:tr>
        <w:tc>
          <w:tcPr>
            <w:tcW w:type="dxa" w:w="3408"/>
            <w:vAlign w:val="center"/>
            <w:shd w:fill="EEF4F8"/>
          </w:tcPr>
          <w:p>
            <w:pPr>
              <w:spacing w:after="0"/>
            </w:pPr>
            <w:r/>
            <w:r>
              <w:rPr>
                <w:rFonts w:ascii="Arial" w:hAnsi="Arial"/>
                <w:b w:val="0"/>
                <w:sz w:val="16"/>
              </w:rPr>
              <w:t>Malformed/version-mismatched Python JSON</w:t>
            </w:r>
          </w:p>
        </w:tc>
        <w:tc>
          <w:tcPr>
            <w:tcW w:type="dxa" w:w="3408"/>
            <w:vAlign w:val="center"/>
            <w:shd w:fill="EEF4F8"/>
          </w:tcPr>
          <w:p>
            <w:pPr>
              <w:spacing w:after="0"/>
            </w:pPr>
            <w:r/>
            <w:r>
              <w:rPr>
                <w:rFonts w:ascii="Arial" w:hAnsi="Arial"/>
                <w:b w:val="0"/>
                <w:sz w:val="16"/>
              </w:rPr>
              <w:t>Reject response, log protocol failure, preserve evidence, safe final state.</w:t>
            </w:r>
          </w:p>
        </w:tc>
        <w:tc>
          <w:tcPr>
            <w:tcW w:type="dxa" w:w="3408"/>
            <w:vAlign w:val="center"/>
            <w:shd w:fill="EEF4F8"/>
          </w:tcPr>
          <w:p>
            <w:pPr>
              <w:spacing w:after="0"/>
            </w:pPr>
            <w:r/>
            <w:r>
              <w:rPr>
                <w:rFonts w:ascii="Arial" w:hAnsi="Arial"/>
                <w:b w:val="0"/>
                <w:sz w:val="16"/>
              </w:rPr>
              <w:t>Parse fragments or guess the class.</w:t>
            </w:r>
          </w:p>
        </w:tc>
      </w:tr>
      <w:tr>
        <w:tc>
          <w:tcPr>
            <w:tcW w:type="dxa" w:w="3408"/>
            <w:vAlign w:val="center"/>
          </w:tcPr>
          <w:p>
            <w:pPr>
              <w:spacing w:after="0"/>
            </w:pPr>
            <w:r/>
            <w:r>
              <w:rPr>
                <w:rFonts w:ascii="Arial" w:hAnsi="Arial"/>
                <w:b w:val="0"/>
                <w:sz w:val="16"/>
              </w:rPr>
              <w:t>Database failure/rollback</w:t>
            </w:r>
          </w:p>
        </w:tc>
        <w:tc>
          <w:tcPr>
            <w:tcW w:type="dxa" w:w="3408"/>
            <w:vAlign w:val="center"/>
          </w:tcPr>
          <w:p>
            <w:pPr>
              <w:spacing w:after="0"/>
            </w:pPr>
            <w:r/>
            <w:r>
              <w:rPr>
                <w:rFonts w:ascii="Arial" w:hAnsi="Arial"/>
                <w:b w:val="0"/>
                <w:sz w:val="16"/>
              </w:rPr>
              <w:t>Return failure, commit no partial clinical state, dispatch no success event.</w:t>
            </w:r>
          </w:p>
        </w:tc>
        <w:tc>
          <w:tcPr>
            <w:tcW w:type="dxa" w:w="3408"/>
            <w:vAlign w:val="center"/>
          </w:tcPr>
          <w:p>
            <w:pPr>
              <w:spacing w:after="0"/>
            </w:pPr>
            <w:r/>
            <w:r>
              <w:rPr>
                <w:rFonts w:ascii="Arial" w:hAnsi="Arial"/>
                <w:b w:val="0"/>
                <w:sz w:val="16"/>
              </w:rPr>
              <w:t>Send email or display success from uncommitted data.</w:t>
            </w:r>
          </w:p>
        </w:tc>
      </w:tr>
      <w:tr>
        <w:tc>
          <w:tcPr>
            <w:tcW w:type="dxa" w:w="3408"/>
            <w:vAlign w:val="center"/>
            <w:shd w:fill="EEF4F8"/>
          </w:tcPr>
          <w:p>
            <w:pPr>
              <w:spacing w:after="0"/>
            </w:pPr>
            <w:r/>
            <w:r>
              <w:rPr>
                <w:rFonts w:ascii="Arial" w:hAnsi="Arial"/>
                <w:b w:val="0"/>
                <w:sz w:val="16"/>
              </w:rPr>
              <w:t>Queue/email failure</w:t>
            </w:r>
          </w:p>
        </w:tc>
        <w:tc>
          <w:tcPr>
            <w:tcW w:type="dxa" w:w="3408"/>
            <w:vAlign w:val="center"/>
            <w:shd w:fill="EEF4F8"/>
          </w:tcPr>
          <w:p>
            <w:pPr>
              <w:spacing w:after="0"/>
            </w:pPr>
            <w:r/>
            <w:r>
              <w:rPr>
                <w:rFonts w:ascii="Arial" w:hAnsi="Arial"/>
                <w:b w:val="0"/>
                <w:sz w:val="16"/>
              </w:rPr>
              <w:t>Keep committed clinical state; mark side effect failed/pending and retry within policy.</w:t>
            </w:r>
          </w:p>
        </w:tc>
        <w:tc>
          <w:tcPr>
            <w:tcW w:type="dxa" w:w="3408"/>
            <w:vAlign w:val="center"/>
            <w:shd w:fill="EEF4F8"/>
          </w:tcPr>
          <w:p>
            <w:pPr>
              <w:spacing w:after="0"/>
            </w:pPr>
            <w:r/>
            <w:r>
              <w:rPr>
                <w:rFonts w:ascii="Arial" w:hAnsi="Arial"/>
                <w:b w:val="0"/>
                <w:sz w:val="16"/>
              </w:rPr>
              <w:t>Rollback completed assessment or referral solely because email failed.</w:t>
            </w:r>
          </w:p>
        </w:tc>
      </w:tr>
      <w:tr>
        <w:tc>
          <w:tcPr>
            <w:tcW w:type="dxa" w:w="3408"/>
            <w:vAlign w:val="center"/>
          </w:tcPr>
          <w:p>
            <w:pPr>
              <w:spacing w:after="0"/>
            </w:pPr>
            <w:r/>
            <w:r>
              <w:rPr>
                <w:rFonts w:ascii="Arial" w:hAnsi="Arial"/>
                <w:b w:val="0"/>
                <w:sz w:val="16"/>
              </w:rPr>
              <w:t>Duplicate request</w:t>
            </w:r>
          </w:p>
        </w:tc>
        <w:tc>
          <w:tcPr>
            <w:tcW w:type="dxa" w:w="3408"/>
            <w:vAlign w:val="center"/>
          </w:tcPr>
          <w:p>
            <w:pPr>
              <w:spacing w:after="0"/>
            </w:pPr>
            <w:r/>
            <w:r>
              <w:rPr>
                <w:rFonts w:ascii="Arial" w:hAnsi="Arial"/>
                <w:b w:val="0"/>
                <w:sz w:val="16"/>
              </w:rPr>
              <w:t>Return or reference the existing result for the idempotency key.</w:t>
            </w:r>
          </w:p>
        </w:tc>
        <w:tc>
          <w:tcPr>
            <w:tcW w:type="dxa" w:w="3408"/>
            <w:vAlign w:val="center"/>
          </w:tcPr>
          <w:p>
            <w:pPr>
              <w:spacing w:after="0"/>
            </w:pPr>
            <w:r/>
            <w:r>
              <w:rPr>
                <w:rFonts w:ascii="Arial" w:hAnsi="Arial"/>
                <w:b w:val="0"/>
                <w:sz w:val="16"/>
              </w:rPr>
              <w:t>Create a second delivery, baby set, referral, or assessment side effect.</w:t>
            </w:r>
          </w:p>
        </w:tc>
      </w:tr>
      <w:tr>
        <w:tc>
          <w:tcPr>
            <w:tcW w:type="dxa" w:w="3408"/>
            <w:vAlign w:val="center"/>
            <w:shd w:fill="EEF4F8"/>
          </w:tcPr>
          <w:p>
            <w:pPr>
              <w:spacing w:after="0"/>
            </w:pPr>
            <w:r/>
            <w:r>
              <w:rPr>
                <w:rFonts w:ascii="Arial" w:hAnsi="Arial"/>
                <w:b w:val="0"/>
                <w:sz w:val="16"/>
              </w:rPr>
              <w:t>Stale concurrent update</w:t>
            </w:r>
          </w:p>
        </w:tc>
        <w:tc>
          <w:tcPr>
            <w:tcW w:type="dxa" w:w="3408"/>
            <w:vAlign w:val="center"/>
            <w:shd w:fill="EEF4F8"/>
          </w:tcPr>
          <w:p>
            <w:pPr>
              <w:spacing w:after="0"/>
            </w:pPr>
            <w:r/>
            <w:r>
              <w:rPr>
                <w:rFonts w:ascii="Arial" w:hAnsi="Arial"/>
                <w:b w:val="0"/>
                <w:sz w:val="16"/>
              </w:rPr>
              <w:t>Reject with conflict and ask user to refresh/review; preserve both audit attempts as appropriate.</w:t>
            </w:r>
          </w:p>
        </w:tc>
        <w:tc>
          <w:tcPr>
            <w:tcW w:type="dxa" w:w="3408"/>
            <w:vAlign w:val="center"/>
            <w:shd w:fill="EEF4F8"/>
          </w:tcPr>
          <w:p>
            <w:pPr>
              <w:spacing w:after="0"/>
            </w:pPr>
            <w:r/>
            <w:r>
              <w:rPr>
                <w:rFonts w:ascii="Arial" w:hAnsi="Arial"/>
                <w:b w:val="0"/>
                <w:sz w:val="16"/>
              </w:rPr>
              <w:t>Overwrite newer clinical data silently.</w:t>
            </w:r>
          </w:p>
        </w:tc>
      </w:tr>
      <w:tr>
        <w:tc>
          <w:tcPr>
            <w:tcW w:type="dxa" w:w="3408"/>
            <w:vAlign w:val="center"/>
          </w:tcPr>
          <w:p>
            <w:pPr>
              <w:spacing w:after="0"/>
            </w:pPr>
            <w:r/>
            <w:r>
              <w:rPr>
                <w:rFonts w:ascii="Arial" w:hAnsi="Arial"/>
                <w:b w:val="0"/>
                <w:sz w:val="16"/>
              </w:rPr>
              <w:t>Authorization failure</w:t>
            </w:r>
          </w:p>
        </w:tc>
        <w:tc>
          <w:tcPr>
            <w:tcW w:type="dxa" w:w="3408"/>
            <w:vAlign w:val="center"/>
          </w:tcPr>
          <w:p>
            <w:pPr>
              <w:spacing w:after="0"/>
            </w:pPr>
            <w:r/>
            <w:r>
              <w:rPr>
                <w:rFonts w:ascii="Arial" w:hAnsi="Arial"/>
                <w:b w:val="0"/>
                <w:sz w:val="16"/>
              </w:rPr>
              <w:t>Deny, log appropriately, disclose no unnecessary resource details.</w:t>
            </w:r>
          </w:p>
        </w:tc>
        <w:tc>
          <w:tcPr>
            <w:tcW w:type="dxa" w:w="3408"/>
            <w:vAlign w:val="center"/>
          </w:tcPr>
          <w:p>
            <w:pPr>
              <w:spacing w:after="0"/>
            </w:pPr>
            <w:r/>
            <w:r>
              <w:rPr>
                <w:rFonts w:ascii="Arial" w:hAnsi="Arial"/>
                <w:b w:val="0"/>
                <w:sz w:val="16"/>
              </w:rPr>
              <w:t>Rely on hidden buttons or continue service execution.</w:t>
            </w:r>
          </w:p>
        </w:tc>
      </w:tr>
      <w:tr>
        <w:tc>
          <w:tcPr>
            <w:tcW w:type="dxa" w:w="3408"/>
            <w:vAlign w:val="center"/>
            <w:shd w:fill="EEF4F8"/>
          </w:tcPr>
          <w:p>
            <w:pPr>
              <w:spacing w:after="0"/>
            </w:pPr>
            <w:r/>
            <w:r>
              <w:rPr>
                <w:rFonts w:ascii="Arial" w:hAnsi="Arial"/>
                <w:b w:val="0"/>
                <w:sz w:val="16"/>
              </w:rPr>
              <w:t>Model hash mismatch</w:t>
            </w:r>
          </w:p>
        </w:tc>
        <w:tc>
          <w:tcPr>
            <w:tcW w:type="dxa" w:w="3408"/>
            <w:vAlign w:val="center"/>
            <w:shd w:fill="EEF4F8"/>
          </w:tcPr>
          <w:p>
            <w:pPr>
              <w:spacing w:after="0"/>
            </w:pPr>
            <w:r/>
            <w:r>
              <w:rPr>
                <w:rFonts w:ascii="Arial" w:hAnsi="Arial"/>
                <w:b w:val="0"/>
                <w:sz w:val="16"/>
              </w:rPr>
              <w:t>Disable ML adapter, alert, use safe assessment behavior.</w:t>
            </w:r>
          </w:p>
        </w:tc>
        <w:tc>
          <w:tcPr>
            <w:tcW w:type="dxa" w:w="3408"/>
            <w:vAlign w:val="center"/>
            <w:shd w:fill="EEF4F8"/>
          </w:tcPr>
          <w:p>
            <w:pPr>
              <w:spacing w:after="0"/>
            </w:pPr>
            <w:r/>
            <w:r>
              <w:rPr>
                <w:rFonts w:ascii="Arial" w:hAnsi="Arial"/>
                <w:b w:val="0"/>
                <w:sz w:val="16"/>
              </w:rPr>
              <w:t>Run an unapproved artifact.</w:t>
            </w:r>
          </w:p>
        </w:tc>
      </w:tr>
      <w:tr>
        <w:tc>
          <w:tcPr>
            <w:tcW w:type="dxa" w:w="3408"/>
            <w:vAlign w:val="center"/>
          </w:tcPr>
          <w:p>
            <w:pPr>
              <w:spacing w:after="0"/>
            </w:pPr>
            <w:r/>
            <w:r>
              <w:rPr>
                <w:rFonts w:ascii="Arial" w:hAnsi="Arial"/>
                <w:b w:val="0"/>
                <w:sz w:val="16"/>
              </w:rPr>
              <w:t>System downtime</w:t>
            </w:r>
          </w:p>
        </w:tc>
        <w:tc>
          <w:tcPr>
            <w:tcW w:type="dxa" w:w="3408"/>
            <w:vAlign w:val="center"/>
          </w:tcPr>
          <w:p>
            <w:pPr>
              <w:spacing w:after="0"/>
            </w:pPr>
            <w:r/>
            <w:r>
              <w:rPr>
                <w:rFonts w:ascii="Arial" w:hAnsi="Arial"/>
                <w:b w:val="0"/>
                <w:sz w:val="16"/>
              </w:rPr>
              <w:t>Use approved paper/manual workflow for urgent care/referral, then reconcile with provenance.</w:t>
            </w:r>
          </w:p>
        </w:tc>
        <w:tc>
          <w:tcPr>
            <w:tcW w:type="dxa" w:w="3408"/>
            <w:vAlign w:val="center"/>
          </w:tcPr>
          <w:p>
            <w:pPr>
              <w:spacing w:after="0"/>
            </w:pPr>
            <w:r/>
            <w:r>
              <w:rPr>
                <w:rFonts w:ascii="Arial" w:hAnsi="Arial"/>
                <w:b w:val="0"/>
                <w:sz w:val="16"/>
              </w:rPr>
              <w:t>Delay emergency action until the application returns.</w:t>
            </w:r>
          </w:p>
        </w:tc>
      </w:tr>
    </w:tbl>
    <w:p>
      <w:pPr>
        <w:spacing w:after="0"/>
      </w:pPr>
    </w:p>
    <w:p>
      <w:pPr>
        <w:pStyle w:val="Heading1"/>
        <w:keepNext/>
      </w:pPr>
      <w:r>
        <w:t>14. Versioning and Compatibility Policy</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6"/>
              </w:rPr>
              <w:t>Versioned item</w:t>
            </w:r>
          </w:p>
        </w:tc>
        <w:tc>
          <w:tcPr>
            <w:tcW w:type="dxa" w:w="5112"/>
            <w:vAlign w:val="center"/>
            <w:shd w:fill="1F4E78"/>
          </w:tcPr>
          <w:p>
            <w:pPr>
              <w:spacing w:after="0"/>
            </w:pPr>
            <w:r/>
            <w:r>
              <w:rPr>
                <w:rFonts w:ascii="Arial" w:hAnsi="Arial"/>
                <w:b/>
                <w:color w:val="FFFFFF"/>
                <w:sz w:val="16"/>
              </w:rPr>
              <w:t>Compatibility rule</w:t>
            </w:r>
          </w:p>
        </w:tc>
      </w:tr>
      <w:tr>
        <w:tc>
          <w:tcPr>
            <w:tcW w:type="dxa" w:w="5112"/>
            <w:vAlign w:val="center"/>
          </w:tcPr>
          <w:p>
            <w:pPr>
              <w:spacing w:after="0"/>
            </w:pPr>
            <w:r/>
            <w:r>
              <w:rPr>
                <w:rFonts w:ascii="Arial" w:hAnsi="Arial"/>
                <w:b w:val="0"/>
                <w:sz w:val="16"/>
              </w:rPr>
              <w:t>Database schema</w:t>
            </w:r>
          </w:p>
        </w:tc>
        <w:tc>
          <w:tcPr>
            <w:tcW w:type="dxa" w:w="5112"/>
            <w:vAlign w:val="center"/>
          </w:tcPr>
          <w:p>
            <w:pPr>
              <w:spacing w:after="0"/>
            </w:pPr>
            <w:r/>
            <w:r>
              <w:rPr>
                <w:rFonts w:ascii="Arial" w:hAnsi="Arial"/>
                <w:b w:val="0"/>
                <w:sz w:val="16"/>
              </w:rPr>
              <w:t>Forward migrations are reviewed and backed up; deployment order ensures code can tolerate transition where necessary.</w:t>
            </w:r>
          </w:p>
        </w:tc>
      </w:tr>
      <w:tr>
        <w:tc>
          <w:tcPr>
            <w:tcW w:type="dxa" w:w="5112"/>
            <w:vAlign w:val="center"/>
            <w:shd w:fill="EEF4F8"/>
          </w:tcPr>
          <w:p>
            <w:pPr>
              <w:spacing w:after="0"/>
            </w:pPr>
            <w:r/>
            <w:r>
              <w:rPr>
                <w:rFonts w:ascii="Arial" w:hAnsi="Arial"/>
                <w:b w:val="0"/>
                <w:sz w:val="16"/>
              </w:rPr>
              <w:t>Integration contract</w:t>
            </w:r>
          </w:p>
        </w:tc>
        <w:tc>
          <w:tcPr>
            <w:tcW w:type="dxa" w:w="5112"/>
            <w:vAlign w:val="center"/>
            <w:shd w:fill="EEF4F8"/>
          </w:tcPr>
          <w:p>
            <w:pPr>
              <w:spacing w:after="0"/>
            </w:pPr>
            <w:r/>
            <w:r>
              <w:rPr>
                <w:rFonts w:ascii="Arial" w:hAnsi="Arial"/>
                <w:b w:val="0"/>
                <w:sz w:val="16"/>
              </w:rPr>
              <w:t>Additive optional fields may remain backward-compatible; renamed, removed, semantic, enum, or required-field changes require a major version.</w:t>
            </w:r>
          </w:p>
        </w:tc>
      </w:tr>
      <w:tr>
        <w:tc>
          <w:tcPr>
            <w:tcW w:type="dxa" w:w="5112"/>
            <w:vAlign w:val="center"/>
          </w:tcPr>
          <w:p>
            <w:pPr>
              <w:spacing w:after="0"/>
            </w:pPr>
            <w:r/>
            <w:r>
              <w:rPr>
                <w:rFonts w:ascii="Arial" w:hAnsi="Arial"/>
                <w:b w:val="0"/>
                <w:sz w:val="16"/>
              </w:rPr>
              <w:t>Feature schema</w:t>
            </w:r>
          </w:p>
        </w:tc>
        <w:tc>
          <w:tcPr>
            <w:tcW w:type="dxa" w:w="5112"/>
            <w:vAlign w:val="center"/>
          </w:tcPr>
          <w:p>
            <w:pPr>
              <w:spacing w:after="0"/>
            </w:pPr>
            <w:r/>
            <w:r>
              <w:rPr>
                <w:rFonts w:ascii="Arial" w:hAnsi="Arial"/>
                <w:b w:val="0"/>
                <w:sz w:val="16"/>
              </w:rPr>
              <w:t>Any order, type, encoding, unit, missing rule, or derivation change creates a new feature schema and model compatibility test.</w:t>
            </w:r>
          </w:p>
        </w:tc>
      </w:tr>
      <w:tr>
        <w:tc>
          <w:tcPr>
            <w:tcW w:type="dxa" w:w="5112"/>
            <w:vAlign w:val="center"/>
            <w:shd w:fill="EEF4F8"/>
          </w:tcPr>
          <w:p>
            <w:pPr>
              <w:spacing w:after="0"/>
            </w:pPr>
            <w:r/>
            <w:r>
              <w:rPr>
                <w:rFonts w:ascii="Arial" w:hAnsi="Arial"/>
                <w:b w:val="0"/>
                <w:sz w:val="16"/>
              </w:rPr>
              <w:t>Rule catalogue</w:t>
            </w:r>
          </w:p>
        </w:tc>
        <w:tc>
          <w:tcPr>
            <w:tcW w:type="dxa" w:w="5112"/>
            <w:vAlign w:val="center"/>
            <w:shd w:fill="EEF4F8"/>
          </w:tcPr>
          <w:p>
            <w:pPr>
              <w:spacing w:after="0"/>
            </w:pPr>
            <w:r/>
            <w:r>
              <w:rPr>
                <w:rFonts w:ascii="Arial" w:hAnsi="Arial"/>
                <w:b w:val="0"/>
                <w:sz w:val="16"/>
              </w:rPr>
              <w:t>New or modified HIGH conditions create a new version retained with each assessment.</w:t>
            </w:r>
          </w:p>
        </w:tc>
      </w:tr>
      <w:tr>
        <w:tc>
          <w:tcPr>
            <w:tcW w:type="dxa" w:w="5112"/>
            <w:vAlign w:val="center"/>
          </w:tcPr>
          <w:p>
            <w:pPr>
              <w:spacing w:after="0"/>
            </w:pPr>
            <w:r/>
            <w:r>
              <w:rPr>
                <w:rFonts w:ascii="Arial" w:hAnsi="Arial"/>
                <w:b w:val="0"/>
                <w:sz w:val="16"/>
              </w:rPr>
              <w:t>Model artifact</w:t>
            </w:r>
          </w:p>
        </w:tc>
        <w:tc>
          <w:tcPr>
            <w:tcW w:type="dxa" w:w="5112"/>
            <w:vAlign w:val="center"/>
          </w:tcPr>
          <w:p>
            <w:pPr>
              <w:spacing w:after="0"/>
            </w:pPr>
            <w:r/>
            <w:r>
              <w:rPr>
                <w:rFonts w:ascii="Arial" w:hAnsi="Arial"/>
                <w:b w:val="0"/>
                <w:sz w:val="16"/>
              </w:rPr>
              <w:t>Version and cryptographic hash are immutable identifiers; rollback restores a previously approved pair.</w:t>
            </w:r>
          </w:p>
        </w:tc>
      </w:tr>
      <w:tr>
        <w:tc>
          <w:tcPr>
            <w:tcW w:type="dxa" w:w="5112"/>
            <w:vAlign w:val="center"/>
            <w:shd w:fill="EEF4F8"/>
          </w:tcPr>
          <w:p>
            <w:pPr>
              <w:spacing w:after="0"/>
            </w:pPr>
            <w:r/>
            <w:r>
              <w:rPr>
                <w:rFonts w:ascii="Arial" w:hAnsi="Arial"/>
                <w:b w:val="0"/>
                <w:sz w:val="16"/>
              </w:rPr>
              <w:t>Explanation/recommendation templates</w:t>
            </w:r>
          </w:p>
        </w:tc>
        <w:tc>
          <w:tcPr>
            <w:tcW w:type="dxa" w:w="5112"/>
            <w:vAlign w:val="center"/>
            <w:shd w:fill="EEF4F8"/>
          </w:tcPr>
          <w:p>
            <w:pPr>
              <w:spacing w:after="0"/>
            </w:pPr>
            <w:r/>
            <w:r>
              <w:rPr>
                <w:rFonts w:ascii="Arial" w:hAnsi="Arial"/>
                <w:b w:val="0"/>
                <w:sz w:val="16"/>
              </w:rPr>
              <w:t>Versioned separately so historical text remains reconstructable.</w:t>
            </w:r>
          </w:p>
        </w:tc>
      </w:tr>
      <w:tr>
        <w:tc>
          <w:tcPr>
            <w:tcW w:type="dxa" w:w="5112"/>
            <w:vAlign w:val="center"/>
          </w:tcPr>
          <w:p>
            <w:pPr>
              <w:spacing w:after="0"/>
            </w:pPr>
            <w:r/>
            <w:r>
              <w:rPr>
                <w:rFonts w:ascii="Arial" w:hAnsi="Arial"/>
                <w:b w:val="0"/>
                <w:sz w:val="16"/>
              </w:rPr>
              <w:t>Events/jobs</w:t>
            </w:r>
          </w:p>
        </w:tc>
        <w:tc>
          <w:tcPr>
            <w:tcW w:type="dxa" w:w="5112"/>
            <w:vAlign w:val="center"/>
          </w:tcPr>
          <w:p>
            <w:pPr>
              <w:spacing w:after="0"/>
            </w:pPr>
            <w:r/>
            <w:r>
              <w:rPr>
                <w:rFonts w:ascii="Arial" w:hAnsi="Arial"/>
                <w:b w:val="0"/>
                <w:sz w:val="16"/>
              </w:rPr>
              <w:t>Consumers declare supported versions; deployment avoids publishing events that active consumers cannot parse.</w:t>
            </w:r>
          </w:p>
        </w:tc>
      </w:tr>
      <w:tr>
        <w:tc>
          <w:tcPr>
            <w:tcW w:type="dxa" w:w="5112"/>
            <w:vAlign w:val="center"/>
            <w:shd w:fill="EEF4F8"/>
          </w:tcPr>
          <w:p>
            <w:pPr>
              <w:spacing w:after="0"/>
            </w:pPr>
            <w:r/>
            <w:r>
              <w:rPr>
                <w:rFonts w:ascii="Arial" w:hAnsi="Arial"/>
                <w:b w:val="0"/>
                <w:sz w:val="16"/>
              </w:rPr>
              <w:t>Exports/FHIR mappings</w:t>
            </w:r>
          </w:p>
        </w:tc>
        <w:tc>
          <w:tcPr>
            <w:tcW w:type="dxa" w:w="5112"/>
            <w:vAlign w:val="center"/>
            <w:shd w:fill="EEF4F8"/>
          </w:tcPr>
          <w:p>
            <w:pPr>
              <w:spacing w:after="0"/>
            </w:pPr>
            <w:r/>
            <w:r>
              <w:rPr>
                <w:rFonts w:ascii="Arial" w:hAnsi="Arial"/>
                <w:b w:val="0"/>
                <w:sz w:val="16"/>
              </w:rPr>
              <w:t>Mapping profile and terminology versions accompany the export; no conformance claim without formal validation.</w:t>
            </w:r>
          </w:p>
        </w:tc>
      </w:tr>
    </w:tbl>
    <w:p>
      <w:pPr>
        <w:spacing w:after="0"/>
      </w:pPr>
    </w:p>
    <w:p>
      <w:pPr>
        <w:pStyle w:val="Heading1"/>
        <w:keepNext/>
      </w:pPr>
      <w:r>
        <w:t>15. Interoperability and FHIR Readiness</w:t>
      </w:r>
    </w:p>
    <w:p>
      <w:pPr>
        <w:spacing w:after="100" w:line="259" w:lineRule="auto"/>
      </w:pPr>
      <w:r>
        <w:rPr>
          <w:rFonts w:ascii="Arial" w:hAnsi="Arial"/>
          <w:sz w:val="18"/>
        </w:rPr>
        <w:t>The present capstone is an internally integrated web application, not a certified interoperable EHR. However, future exchange should use stable identifiers, structured data, provenance, audit, terminology mappings, and explicit consent/purpose. HL7 FHIR may provide a future resource-based exchange model, but implementation requires approved profiles, terminology bindings, security, validation, and recipient agreements.</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408"/>
        <w:gridCol w:w="3408"/>
        <w:gridCol w:w="3408"/>
      </w:tblGrid>
      <w:tr>
        <w:tc>
          <w:tcPr>
            <w:tcW w:type="dxa" w:w="3408"/>
            <w:vAlign w:val="center"/>
            <w:shd w:fill="1F4E78"/>
          </w:tcPr>
          <w:p>
            <w:pPr>
              <w:spacing w:after="0"/>
            </w:pPr>
            <w:r/>
            <w:r>
              <w:rPr>
                <w:rFonts w:ascii="Arial" w:hAnsi="Arial"/>
                <w:b/>
                <w:color w:val="FFFFFF"/>
                <w:sz w:val="16"/>
              </w:rPr>
              <w:t>Local concept</w:t>
            </w:r>
          </w:p>
        </w:tc>
        <w:tc>
          <w:tcPr>
            <w:tcW w:type="dxa" w:w="3408"/>
            <w:vAlign w:val="center"/>
            <w:shd w:fill="1F4E78"/>
          </w:tcPr>
          <w:p>
            <w:pPr>
              <w:spacing w:after="0"/>
            </w:pPr>
            <w:r/>
            <w:r>
              <w:rPr>
                <w:rFonts w:ascii="Arial" w:hAnsi="Arial"/>
                <w:b/>
                <w:color w:val="FFFFFF"/>
                <w:sz w:val="16"/>
              </w:rPr>
              <w:t>Potential future FHIR direction</w:t>
            </w:r>
          </w:p>
        </w:tc>
        <w:tc>
          <w:tcPr>
            <w:tcW w:type="dxa" w:w="3408"/>
            <w:vAlign w:val="center"/>
            <w:shd w:fill="1F4E78"/>
          </w:tcPr>
          <w:p>
            <w:pPr>
              <w:spacing w:after="0"/>
            </w:pPr>
            <w:r/>
            <w:r>
              <w:rPr>
                <w:rFonts w:ascii="Arial" w:hAnsi="Arial"/>
                <w:b/>
                <w:color w:val="FFFFFF"/>
                <w:sz w:val="16"/>
              </w:rPr>
              <w:t>Caution</w:t>
            </w:r>
          </w:p>
        </w:tc>
      </w:tr>
      <w:tr>
        <w:tc>
          <w:tcPr>
            <w:tcW w:type="dxa" w:w="3408"/>
            <w:vAlign w:val="center"/>
          </w:tcPr>
          <w:p>
            <w:pPr>
              <w:spacing w:after="0"/>
            </w:pPr>
            <w:r/>
            <w:r>
              <w:rPr>
                <w:rFonts w:ascii="Arial" w:hAnsi="Arial"/>
                <w:b w:val="0"/>
                <w:sz w:val="16"/>
              </w:rPr>
              <w:t>Patient</w:t>
            </w:r>
          </w:p>
        </w:tc>
        <w:tc>
          <w:tcPr>
            <w:tcW w:type="dxa" w:w="3408"/>
            <w:vAlign w:val="center"/>
          </w:tcPr>
          <w:p>
            <w:pPr>
              <w:spacing w:after="0"/>
            </w:pPr>
            <w:r/>
            <w:r>
              <w:rPr>
                <w:rFonts w:ascii="Arial" w:hAnsi="Arial"/>
                <w:b w:val="0"/>
                <w:sz w:val="16"/>
              </w:rPr>
              <w:t>Patient</w:t>
            </w:r>
          </w:p>
        </w:tc>
        <w:tc>
          <w:tcPr>
            <w:tcW w:type="dxa" w:w="3408"/>
            <w:vAlign w:val="center"/>
          </w:tcPr>
          <w:p>
            <w:pPr>
              <w:spacing w:after="0"/>
            </w:pPr>
            <w:r/>
            <w:r>
              <w:rPr>
                <w:rFonts w:ascii="Arial" w:hAnsi="Arial"/>
                <w:b w:val="0"/>
                <w:sz w:val="16"/>
              </w:rPr>
              <w:t>Identity matching and local identifiers require governance.</w:t>
            </w:r>
          </w:p>
        </w:tc>
      </w:tr>
      <w:tr>
        <w:tc>
          <w:tcPr>
            <w:tcW w:type="dxa" w:w="3408"/>
            <w:vAlign w:val="center"/>
            <w:shd w:fill="EEF4F8"/>
          </w:tcPr>
          <w:p>
            <w:pPr>
              <w:spacing w:after="0"/>
            </w:pPr>
            <w:r/>
            <w:r>
              <w:rPr>
                <w:rFonts w:ascii="Arial" w:hAnsi="Arial"/>
                <w:b w:val="0"/>
                <w:sz w:val="16"/>
              </w:rPr>
              <w:t>Pregnancy episode / care period</w:t>
            </w:r>
          </w:p>
        </w:tc>
        <w:tc>
          <w:tcPr>
            <w:tcW w:type="dxa" w:w="3408"/>
            <w:vAlign w:val="center"/>
            <w:shd w:fill="EEF4F8"/>
          </w:tcPr>
          <w:p>
            <w:pPr>
              <w:spacing w:after="0"/>
            </w:pPr>
            <w:r/>
            <w:r>
              <w:rPr>
                <w:rFonts w:ascii="Arial" w:hAnsi="Arial"/>
                <w:b w:val="0"/>
                <w:sz w:val="16"/>
              </w:rPr>
              <w:t>EpisodeOfCare, Condition, or CarePlan profile depending on national/local design.</w:t>
            </w:r>
          </w:p>
        </w:tc>
        <w:tc>
          <w:tcPr>
            <w:tcW w:type="dxa" w:w="3408"/>
            <w:vAlign w:val="center"/>
            <w:shd w:fill="EEF4F8"/>
          </w:tcPr>
          <w:p>
            <w:pPr>
              <w:spacing w:after="0"/>
            </w:pPr>
            <w:r/>
            <w:r>
              <w:rPr>
                <w:rFonts w:ascii="Arial" w:hAnsi="Arial"/>
                <w:b w:val="0"/>
                <w:sz w:val="16"/>
              </w:rPr>
              <w:t>No one-to-one claim without a defined implementation guide.</w:t>
            </w:r>
          </w:p>
        </w:tc>
      </w:tr>
      <w:tr>
        <w:tc>
          <w:tcPr>
            <w:tcW w:type="dxa" w:w="3408"/>
            <w:vAlign w:val="center"/>
          </w:tcPr>
          <w:p>
            <w:pPr>
              <w:spacing w:after="0"/>
            </w:pPr>
            <w:r/>
            <w:r>
              <w:rPr>
                <w:rFonts w:ascii="Arial" w:hAnsi="Arial"/>
                <w:b w:val="0"/>
                <w:sz w:val="16"/>
              </w:rPr>
              <w:t>Prenatal observations</w:t>
            </w:r>
          </w:p>
        </w:tc>
        <w:tc>
          <w:tcPr>
            <w:tcW w:type="dxa" w:w="3408"/>
            <w:vAlign w:val="center"/>
          </w:tcPr>
          <w:p>
            <w:pPr>
              <w:spacing w:after="0"/>
            </w:pPr>
            <w:r/>
            <w:r>
              <w:rPr>
                <w:rFonts w:ascii="Arial" w:hAnsi="Arial"/>
                <w:b w:val="0"/>
                <w:sz w:val="16"/>
              </w:rPr>
              <w:t>Observation</w:t>
            </w:r>
          </w:p>
        </w:tc>
        <w:tc>
          <w:tcPr>
            <w:tcW w:type="dxa" w:w="3408"/>
            <w:vAlign w:val="center"/>
          </w:tcPr>
          <w:p>
            <w:pPr>
              <w:spacing w:after="0"/>
            </w:pPr>
            <w:r/>
            <w:r>
              <w:rPr>
                <w:rFonts w:ascii="Arial" w:hAnsi="Arial"/>
                <w:b w:val="0"/>
                <w:sz w:val="16"/>
              </w:rPr>
              <w:t>Codes, units, reference ranges, status, performer, and effective time must be standardized.</w:t>
            </w:r>
          </w:p>
        </w:tc>
      </w:tr>
      <w:tr>
        <w:tc>
          <w:tcPr>
            <w:tcW w:type="dxa" w:w="3408"/>
            <w:vAlign w:val="center"/>
            <w:shd w:fill="EEF4F8"/>
          </w:tcPr>
          <w:p>
            <w:pPr>
              <w:spacing w:after="0"/>
            </w:pPr>
            <w:r/>
            <w:r>
              <w:rPr>
                <w:rFonts w:ascii="Arial" w:hAnsi="Arial"/>
                <w:b w:val="0"/>
                <w:sz w:val="16"/>
              </w:rPr>
              <w:t>Medical history</w:t>
            </w:r>
          </w:p>
        </w:tc>
        <w:tc>
          <w:tcPr>
            <w:tcW w:type="dxa" w:w="3408"/>
            <w:vAlign w:val="center"/>
            <w:shd w:fill="EEF4F8"/>
          </w:tcPr>
          <w:p>
            <w:pPr>
              <w:spacing w:after="0"/>
            </w:pPr>
            <w:r/>
            <w:r>
              <w:rPr>
                <w:rFonts w:ascii="Arial" w:hAnsi="Arial"/>
                <w:b w:val="0"/>
                <w:sz w:val="16"/>
              </w:rPr>
              <w:t>Condition / Observation / FamilyMemberHistory as appropriate.</w:t>
            </w:r>
          </w:p>
        </w:tc>
        <w:tc>
          <w:tcPr>
            <w:tcW w:type="dxa" w:w="3408"/>
            <w:vAlign w:val="center"/>
            <w:shd w:fill="EEF4F8"/>
          </w:tcPr>
          <w:p>
            <w:pPr>
              <w:spacing w:after="0"/>
            </w:pPr>
            <w:r/>
            <w:r>
              <w:rPr>
                <w:rFonts w:ascii="Arial" w:hAnsi="Arial"/>
                <w:b w:val="0"/>
                <w:sz w:val="16"/>
              </w:rPr>
              <w:t>Boolean fields may need richer coded context.</w:t>
            </w:r>
          </w:p>
        </w:tc>
      </w:tr>
      <w:tr>
        <w:tc>
          <w:tcPr>
            <w:tcW w:type="dxa" w:w="3408"/>
            <w:vAlign w:val="center"/>
          </w:tcPr>
          <w:p>
            <w:pPr>
              <w:spacing w:after="0"/>
            </w:pPr>
            <w:r/>
            <w:r>
              <w:rPr>
                <w:rFonts w:ascii="Arial" w:hAnsi="Arial"/>
                <w:b w:val="0"/>
                <w:sz w:val="16"/>
              </w:rPr>
              <w:t>Ultrasound report</w:t>
            </w:r>
          </w:p>
        </w:tc>
        <w:tc>
          <w:tcPr>
            <w:tcW w:type="dxa" w:w="3408"/>
            <w:vAlign w:val="center"/>
          </w:tcPr>
          <w:p>
            <w:pPr>
              <w:spacing w:after="0"/>
            </w:pPr>
            <w:r/>
            <w:r>
              <w:rPr>
                <w:rFonts w:ascii="Arial" w:hAnsi="Arial"/>
                <w:b w:val="0"/>
                <w:sz w:val="16"/>
              </w:rPr>
              <w:t>DiagnosticReport with Observation and possibly ImagingStudy references.</w:t>
            </w:r>
          </w:p>
        </w:tc>
        <w:tc>
          <w:tcPr>
            <w:tcW w:type="dxa" w:w="3408"/>
            <w:vAlign w:val="center"/>
          </w:tcPr>
          <w:p>
            <w:pPr>
              <w:spacing w:after="0"/>
            </w:pPr>
            <w:r/>
            <w:r>
              <w:rPr>
                <w:rFonts w:ascii="Arial" w:hAnsi="Arial"/>
                <w:b w:val="0"/>
                <w:sz w:val="16"/>
              </w:rPr>
              <w:t>The system currently stores report data, not diagnostic image interpretation.</w:t>
            </w:r>
          </w:p>
        </w:tc>
      </w:tr>
      <w:tr>
        <w:tc>
          <w:tcPr>
            <w:tcW w:type="dxa" w:w="3408"/>
            <w:vAlign w:val="center"/>
            <w:shd w:fill="EEF4F8"/>
          </w:tcPr>
          <w:p>
            <w:pPr>
              <w:spacing w:after="0"/>
            </w:pPr>
            <w:r/>
            <w:r>
              <w:rPr>
                <w:rFonts w:ascii="Arial" w:hAnsi="Arial"/>
                <w:b w:val="0"/>
                <w:sz w:val="16"/>
              </w:rPr>
              <w:t>Referral</w:t>
            </w:r>
          </w:p>
        </w:tc>
        <w:tc>
          <w:tcPr>
            <w:tcW w:type="dxa" w:w="3408"/>
            <w:vAlign w:val="center"/>
            <w:shd w:fill="EEF4F8"/>
          </w:tcPr>
          <w:p>
            <w:pPr>
              <w:spacing w:after="0"/>
            </w:pPr>
            <w:r/>
            <w:r>
              <w:rPr>
                <w:rFonts w:ascii="Arial" w:hAnsi="Arial"/>
                <w:b w:val="0"/>
                <w:sz w:val="16"/>
              </w:rPr>
              <w:t>ServiceRequest / Task / CarePlan</w:t>
            </w:r>
          </w:p>
        </w:tc>
        <w:tc>
          <w:tcPr>
            <w:tcW w:type="dxa" w:w="3408"/>
            <w:vAlign w:val="center"/>
            <w:shd w:fill="EEF4F8"/>
          </w:tcPr>
          <w:p>
            <w:pPr>
              <w:spacing w:after="0"/>
            </w:pPr>
            <w:r/>
            <w:r>
              <w:rPr>
                <w:rFonts w:ascii="Arial" w:hAnsi="Arial"/>
                <w:b w:val="0"/>
                <w:sz w:val="16"/>
              </w:rPr>
              <w:t>Recommendation, request, acceptance, and completion must remain distinct.</w:t>
            </w:r>
          </w:p>
        </w:tc>
      </w:tr>
      <w:tr>
        <w:tc>
          <w:tcPr>
            <w:tcW w:type="dxa" w:w="3408"/>
            <w:vAlign w:val="center"/>
          </w:tcPr>
          <w:p>
            <w:pPr>
              <w:spacing w:after="0"/>
            </w:pPr>
            <w:r/>
            <w:r>
              <w:rPr>
                <w:rFonts w:ascii="Arial" w:hAnsi="Arial"/>
                <w:b w:val="0"/>
                <w:sz w:val="16"/>
              </w:rPr>
              <w:t>Assessment result</w:t>
            </w:r>
          </w:p>
        </w:tc>
        <w:tc>
          <w:tcPr>
            <w:tcW w:type="dxa" w:w="3408"/>
            <w:vAlign w:val="center"/>
          </w:tcPr>
          <w:p>
            <w:pPr>
              <w:spacing w:after="0"/>
            </w:pPr>
            <w:r/>
            <w:r>
              <w:rPr>
                <w:rFonts w:ascii="Arial" w:hAnsi="Arial"/>
                <w:b w:val="0"/>
                <w:sz w:val="16"/>
              </w:rPr>
              <w:t>RiskAssessment and related Observations/DetectedIssue where profiled.</w:t>
            </w:r>
          </w:p>
        </w:tc>
        <w:tc>
          <w:tcPr>
            <w:tcW w:type="dxa" w:w="3408"/>
            <w:vAlign w:val="center"/>
          </w:tcPr>
          <w:p>
            <w:pPr>
              <w:spacing w:after="0"/>
            </w:pPr>
            <w:r/>
            <w:r>
              <w:rPr>
                <w:rFonts w:ascii="Arial" w:hAnsi="Arial"/>
                <w:b w:val="0"/>
                <w:sz w:val="16"/>
              </w:rPr>
              <w:t>Local HIGH/LOW/INCOMPLETE semantics require published definitions.</w:t>
            </w:r>
          </w:p>
        </w:tc>
      </w:tr>
      <w:tr>
        <w:tc>
          <w:tcPr>
            <w:tcW w:type="dxa" w:w="3408"/>
            <w:vAlign w:val="center"/>
            <w:shd w:fill="EEF4F8"/>
          </w:tcPr>
          <w:p>
            <w:pPr>
              <w:spacing w:after="0"/>
            </w:pPr>
            <w:r/>
            <w:r>
              <w:rPr>
                <w:rFonts w:ascii="Arial" w:hAnsi="Arial"/>
                <w:b w:val="0"/>
                <w:sz w:val="16"/>
              </w:rPr>
              <w:t>Audit/provenance</w:t>
            </w:r>
          </w:p>
        </w:tc>
        <w:tc>
          <w:tcPr>
            <w:tcW w:type="dxa" w:w="3408"/>
            <w:vAlign w:val="center"/>
            <w:shd w:fill="EEF4F8"/>
          </w:tcPr>
          <w:p>
            <w:pPr>
              <w:spacing w:after="0"/>
            </w:pPr>
            <w:r/>
            <w:r>
              <w:rPr>
                <w:rFonts w:ascii="Arial" w:hAnsi="Arial"/>
                <w:b w:val="0"/>
                <w:sz w:val="16"/>
              </w:rPr>
              <w:t>AuditEvent and Provenance</w:t>
            </w:r>
          </w:p>
        </w:tc>
        <w:tc>
          <w:tcPr>
            <w:tcW w:type="dxa" w:w="3408"/>
            <w:vAlign w:val="center"/>
            <w:shd w:fill="EEF4F8"/>
          </w:tcPr>
          <w:p>
            <w:pPr>
              <w:spacing w:after="0"/>
            </w:pPr>
            <w:r/>
            <w:r>
              <w:rPr>
                <w:rFonts w:ascii="Arial" w:hAnsi="Arial"/>
                <w:b w:val="0"/>
                <w:sz w:val="16"/>
              </w:rPr>
              <w:t>Security log and clinical provenance are related but not identical.</w:t>
            </w:r>
          </w:p>
        </w:tc>
      </w:tr>
    </w:tbl>
    <w:p>
      <w:pPr>
        <w:spacing w:after="0"/>
      </w:pPr>
    </w:p>
    <w:p>
      <w:pPr>
        <w:pStyle w:val="Heading1"/>
        <w:keepNext/>
      </w:pPr>
      <w:r>
        <w:t>16. Laravel Implementation Blueprint</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6"/>
              </w:rPr>
              <w:t>Location</w:t>
            </w:r>
          </w:p>
        </w:tc>
        <w:tc>
          <w:tcPr>
            <w:tcW w:type="dxa" w:w="5112"/>
            <w:vAlign w:val="center"/>
            <w:shd w:fill="1F4E78"/>
          </w:tcPr>
          <w:p>
            <w:pPr>
              <w:spacing w:after="0"/>
            </w:pPr>
            <w:r/>
            <w:r>
              <w:rPr>
                <w:rFonts w:ascii="Arial" w:hAnsi="Arial"/>
                <w:b/>
                <w:color w:val="FFFFFF"/>
                <w:sz w:val="16"/>
              </w:rPr>
              <w:t>Suggested responsibility</w:t>
            </w:r>
          </w:p>
        </w:tc>
      </w:tr>
      <w:tr>
        <w:tc>
          <w:tcPr>
            <w:tcW w:type="dxa" w:w="5112"/>
            <w:vAlign w:val="center"/>
          </w:tcPr>
          <w:p>
            <w:pPr>
              <w:spacing w:after="0"/>
            </w:pPr>
            <w:r/>
            <w:r>
              <w:rPr>
                <w:rFonts w:ascii="Arial" w:hAnsi="Arial"/>
                <w:b w:val="0"/>
                <w:sz w:val="16"/>
              </w:rPr>
              <w:t>app/Application/Assessment/AssessPregnancy.php</w:t>
            </w:r>
          </w:p>
        </w:tc>
        <w:tc>
          <w:tcPr>
            <w:tcW w:type="dxa" w:w="5112"/>
            <w:vAlign w:val="center"/>
          </w:tcPr>
          <w:p>
            <w:pPr>
              <w:spacing w:after="0"/>
            </w:pPr>
            <w:r/>
            <w:r>
              <w:rPr>
                <w:rFonts w:ascii="Arial" w:hAnsi="Arial"/>
                <w:b w:val="0"/>
                <w:sz w:val="16"/>
              </w:rPr>
              <w:t>Use-case orchestration and transaction boundary.</w:t>
            </w:r>
          </w:p>
        </w:tc>
      </w:tr>
      <w:tr>
        <w:tc>
          <w:tcPr>
            <w:tcW w:type="dxa" w:w="5112"/>
            <w:vAlign w:val="center"/>
            <w:shd w:fill="EEF4F8"/>
          </w:tcPr>
          <w:p>
            <w:pPr>
              <w:spacing w:after="0"/>
            </w:pPr>
            <w:r/>
            <w:r>
              <w:rPr>
                <w:rFonts w:ascii="Arial" w:hAnsi="Arial"/>
                <w:b w:val="0"/>
                <w:sz w:val="16"/>
              </w:rPr>
              <w:t>app/Domain/Assessment/*</w:t>
            </w:r>
          </w:p>
        </w:tc>
        <w:tc>
          <w:tcPr>
            <w:tcW w:type="dxa" w:w="5112"/>
            <w:vAlign w:val="center"/>
            <w:shd w:fill="EEF4F8"/>
          </w:tcPr>
          <w:p>
            <w:pPr>
              <w:spacing w:after="0"/>
            </w:pPr>
            <w:r/>
            <w:r>
              <w:rPr>
                <w:rFonts w:ascii="Arial" w:hAnsi="Arial"/>
                <w:b w:val="0"/>
                <w:sz w:val="16"/>
              </w:rPr>
              <w:t>CompletenessGate, RuleEngine, ResultResolver, immutable DTOs.</w:t>
            </w:r>
          </w:p>
        </w:tc>
      </w:tr>
      <w:tr>
        <w:tc>
          <w:tcPr>
            <w:tcW w:type="dxa" w:w="5112"/>
            <w:vAlign w:val="center"/>
          </w:tcPr>
          <w:p>
            <w:pPr>
              <w:spacing w:after="0"/>
            </w:pPr>
            <w:r/>
            <w:r>
              <w:rPr>
                <w:rFonts w:ascii="Arial" w:hAnsi="Arial"/>
                <w:b w:val="0"/>
                <w:sz w:val="16"/>
              </w:rPr>
              <w:t>app/Domain/Explainability/*</w:t>
            </w:r>
          </w:p>
        </w:tc>
        <w:tc>
          <w:tcPr>
            <w:tcW w:type="dxa" w:w="5112"/>
            <w:vAlign w:val="center"/>
          </w:tcPr>
          <w:p>
            <w:pPr>
              <w:spacing w:after="0"/>
            </w:pPr>
            <w:r/>
            <w:r>
              <w:rPr>
                <w:rFonts w:ascii="Arial" w:hAnsi="Arial"/>
                <w:b w:val="0"/>
                <w:sz w:val="16"/>
              </w:rPr>
              <w:t>ExplanationBundle builder and audience projections.</w:t>
            </w:r>
          </w:p>
        </w:tc>
      </w:tr>
      <w:tr>
        <w:tc>
          <w:tcPr>
            <w:tcW w:type="dxa" w:w="5112"/>
            <w:vAlign w:val="center"/>
            <w:shd w:fill="EEF4F8"/>
          </w:tcPr>
          <w:p>
            <w:pPr>
              <w:spacing w:after="0"/>
            </w:pPr>
            <w:r/>
            <w:r>
              <w:rPr>
                <w:rFonts w:ascii="Arial" w:hAnsi="Arial"/>
                <w:b w:val="0"/>
                <w:sz w:val="16"/>
              </w:rPr>
              <w:t>app/Domain/Recommendation/*</w:t>
            </w:r>
          </w:p>
        </w:tc>
        <w:tc>
          <w:tcPr>
            <w:tcW w:type="dxa" w:w="5112"/>
            <w:vAlign w:val="center"/>
            <w:shd w:fill="EEF4F8"/>
          </w:tcPr>
          <w:p>
            <w:pPr>
              <w:spacing w:after="0"/>
            </w:pPr>
            <w:r/>
            <w:r>
              <w:rPr>
                <w:rFonts w:ascii="Arial" w:hAnsi="Arial"/>
                <w:b w:val="0"/>
                <w:sz w:val="16"/>
              </w:rPr>
              <w:t>Catalogue, prioritizer, RecommendationBundle.</w:t>
            </w:r>
          </w:p>
        </w:tc>
      </w:tr>
      <w:tr>
        <w:tc>
          <w:tcPr>
            <w:tcW w:type="dxa" w:w="5112"/>
            <w:vAlign w:val="center"/>
          </w:tcPr>
          <w:p>
            <w:pPr>
              <w:spacing w:after="0"/>
            </w:pPr>
            <w:r/>
            <w:r>
              <w:rPr>
                <w:rFonts w:ascii="Arial" w:hAnsi="Arial"/>
                <w:b w:val="0"/>
                <w:sz w:val="16"/>
              </w:rPr>
              <w:t>app/Infrastructure/ML/PythonInferenceGateway.php</w:t>
            </w:r>
          </w:p>
        </w:tc>
        <w:tc>
          <w:tcPr>
            <w:tcW w:type="dxa" w:w="5112"/>
            <w:vAlign w:val="center"/>
          </w:tcPr>
          <w:p>
            <w:pPr>
              <w:spacing w:after="0"/>
            </w:pPr>
            <w:r/>
            <w:r>
              <w:rPr>
                <w:rFonts w:ascii="Arial" w:hAnsi="Arial"/>
                <w:b w:val="0"/>
                <w:sz w:val="16"/>
              </w:rPr>
              <w:t>Fixed process invocation, JSON validation, timeout, model/version checks.</w:t>
            </w:r>
          </w:p>
        </w:tc>
      </w:tr>
      <w:tr>
        <w:tc>
          <w:tcPr>
            <w:tcW w:type="dxa" w:w="5112"/>
            <w:vAlign w:val="center"/>
            <w:shd w:fill="EEF4F8"/>
          </w:tcPr>
          <w:p>
            <w:pPr>
              <w:spacing w:after="0"/>
            </w:pPr>
            <w:r/>
            <w:r>
              <w:rPr>
                <w:rFonts w:ascii="Arial" w:hAnsi="Arial"/>
                <w:b w:val="0"/>
                <w:sz w:val="16"/>
              </w:rPr>
              <w:t>app/Contracts/MLInferenceGateway.php</w:t>
            </w:r>
          </w:p>
        </w:tc>
        <w:tc>
          <w:tcPr>
            <w:tcW w:type="dxa" w:w="5112"/>
            <w:vAlign w:val="center"/>
            <w:shd w:fill="EEF4F8"/>
          </w:tcPr>
          <w:p>
            <w:pPr>
              <w:spacing w:after="0"/>
            </w:pPr>
            <w:r/>
            <w:r>
              <w:rPr>
                <w:rFonts w:ascii="Arial" w:hAnsi="Arial"/>
                <w:b w:val="0"/>
                <w:sz w:val="16"/>
              </w:rPr>
              <w:t>Interface enabling fake/local/future-service adapters.</w:t>
            </w:r>
          </w:p>
        </w:tc>
      </w:tr>
      <w:tr>
        <w:tc>
          <w:tcPr>
            <w:tcW w:type="dxa" w:w="5112"/>
            <w:vAlign w:val="center"/>
          </w:tcPr>
          <w:p>
            <w:pPr>
              <w:spacing w:after="0"/>
            </w:pPr>
            <w:r/>
            <w:r>
              <w:rPr>
                <w:rFonts w:ascii="Arial" w:hAnsi="Arial"/>
                <w:b w:val="0"/>
                <w:sz w:val="16"/>
              </w:rPr>
              <w:t>app/Events/*</w:t>
            </w:r>
          </w:p>
        </w:tc>
        <w:tc>
          <w:tcPr>
            <w:tcW w:type="dxa" w:w="5112"/>
            <w:vAlign w:val="center"/>
          </w:tcPr>
          <w:p>
            <w:pPr>
              <w:spacing w:after="0"/>
            </w:pPr>
            <w:r/>
            <w:r>
              <w:rPr>
                <w:rFonts w:ascii="Arial" w:hAnsi="Arial"/>
                <w:b w:val="0"/>
                <w:sz w:val="16"/>
              </w:rPr>
              <w:t>Committed domain facts implementing after-commit dispatch where required.</w:t>
            </w:r>
          </w:p>
        </w:tc>
      </w:tr>
      <w:tr>
        <w:tc>
          <w:tcPr>
            <w:tcW w:type="dxa" w:w="5112"/>
            <w:vAlign w:val="center"/>
            <w:shd w:fill="EEF4F8"/>
          </w:tcPr>
          <w:p>
            <w:pPr>
              <w:spacing w:after="0"/>
            </w:pPr>
            <w:r/>
            <w:r>
              <w:rPr>
                <w:rFonts w:ascii="Arial" w:hAnsi="Arial"/>
                <w:b w:val="0"/>
                <w:sz w:val="16"/>
              </w:rPr>
              <w:t>app/Listeners and app/Jobs</w:t>
            </w:r>
          </w:p>
        </w:tc>
        <w:tc>
          <w:tcPr>
            <w:tcW w:type="dxa" w:w="5112"/>
            <w:vAlign w:val="center"/>
            <w:shd w:fill="EEF4F8"/>
          </w:tcPr>
          <w:p>
            <w:pPr>
              <w:spacing w:after="0"/>
            </w:pPr>
            <w:r/>
            <w:r>
              <w:rPr>
                <w:rFonts w:ascii="Arial" w:hAnsi="Arial"/>
                <w:b w:val="0"/>
                <w:sz w:val="16"/>
              </w:rPr>
              <w:t>Idempotent mail, reports, reminders, monitoring.</w:t>
            </w:r>
          </w:p>
        </w:tc>
      </w:tr>
      <w:tr>
        <w:tc>
          <w:tcPr>
            <w:tcW w:type="dxa" w:w="5112"/>
            <w:vAlign w:val="center"/>
          </w:tcPr>
          <w:p>
            <w:pPr>
              <w:spacing w:after="0"/>
            </w:pPr>
            <w:r/>
            <w:r>
              <w:rPr>
                <w:rFonts w:ascii="Arial" w:hAnsi="Arial"/>
                <w:b w:val="0"/>
                <w:sz w:val="16"/>
              </w:rPr>
              <w:t>app/Policies and Form Requests</w:t>
            </w:r>
          </w:p>
        </w:tc>
        <w:tc>
          <w:tcPr>
            <w:tcW w:type="dxa" w:w="5112"/>
            <w:vAlign w:val="center"/>
          </w:tcPr>
          <w:p>
            <w:pPr>
              <w:spacing w:after="0"/>
            </w:pPr>
            <w:r/>
            <w:r>
              <w:rPr>
                <w:rFonts w:ascii="Arial" w:hAnsi="Arial"/>
                <w:b w:val="0"/>
                <w:sz w:val="16"/>
              </w:rPr>
              <w:t>Server-side authorization and transport validation.</w:t>
            </w:r>
          </w:p>
        </w:tc>
      </w:tr>
      <w:tr>
        <w:tc>
          <w:tcPr>
            <w:tcW w:type="dxa" w:w="5112"/>
            <w:vAlign w:val="center"/>
            <w:shd w:fill="EEF4F8"/>
          </w:tcPr>
          <w:p>
            <w:pPr>
              <w:spacing w:after="0"/>
            </w:pPr>
            <w:r/>
            <w:r>
              <w:rPr>
                <w:rFonts w:ascii="Arial" w:hAnsi="Arial"/>
                <w:b w:val="0"/>
                <w:sz w:val="16"/>
              </w:rPr>
              <w:t>app/Models / repositories</w:t>
            </w:r>
          </w:p>
        </w:tc>
        <w:tc>
          <w:tcPr>
            <w:tcW w:type="dxa" w:w="5112"/>
            <w:vAlign w:val="center"/>
            <w:shd w:fill="EEF4F8"/>
          </w:tcPr>
          <w:p>
            <w:pPr>
              <w:spacing w:after="0"/>
            </w:pPr>
            <w:r/>
            <w:r>
              <w:rPr>
                <w:rFonts w:ascii="Arial" w:hAnsi="Arial"/>
                <w:b w:val="0"/>
                <w:sz w:val="16"/>
              </w:rPr>
              <w:t>Persistence only; avoid embedding orchestration in model hooks.</w:t>
            </w:r>
          </w:p>
        </w:tc>
      </w:tr>
      <w:tr>
        <w:tc>
          <w:tcPr>
            <w:tcW w:type="dxa" w:w="5112"/>
            <w:vAlign w:val="center"/>
          </w:tcPr>
          <w:p>
            <w:pPr>
              <w:spacing w:after="0"/>
            </w:pPr>
            <w:r/>
            <w:r>
              <w:rPr>
                <w:rFonts w:ascii="Arial" w:hAnsi="Arial"/>
                <w:b w:val="0"/>
                <w:sz w:val="16"/>
              </w:rPr>
              <w:t>config/cdss.php</w:t>
            </w:r>
          </w:p>
        </w:tc>
        <w:tc>
          <w:tcPr>
            <w:tcW w:type="dxa" w:w="5112"/>
            <w:vAlign w:val="center"/>
          </w:tcPr>
          <w:p>
            <w:pPr>
              <w:spacing w:after="0"/>
            </w:pPr>
            <w:r/>
            <w:r>
              <w:rPr>
                <w:rFonts w:ascii="Arial" w:hAnsi="Arial"/>
                <w:b w:val="0"/>
                <w:sz w:val="16"/>
              </w:rPr>
              <w:t>Approved paths, timeout, model/rule/template versions, feature schema, non-secret defaults.</w:t>
            </w:r>
          </w:p>
        </w:tc>
      </w:tr>
      <w:tr>
        <w:tc>
          <w:tcPr>
            <w:tcW w:type="dxa" w:w="5112"/>
            <w:vAlign w:val="center"/>
            <w:shd w:fill="EEF4F8"/>
          </w:tcPr>
          <w:p>
            <w:pPr>
              <w:spacing w:after="0"/>
            </w:pPr>
            <w:r/>
            <w:r>
              <w:rPr>
                <w:rFonts w:ascii="Arial" w:hAnsi="Arial"/>
                <w:b w:val="0"/>
                <w:sz w:val="16"/>
              </w:rPr>
              <w:t>tests/Contract, Unit, Feature, Integration</w:t>
            </w:r>
          </w:p>
        </w:tc>
        <w:tc>
          <w:tcPr>
            <w:tcW w:type="dxa" w:w="5112"/>
            <w:vAlign w:val="center"/>
            <w:shd w:fill="EEF4F8"/>
          </w:tcPr>
          <w:p>
            <w:pPr>
              <w:spacing w:after="0"/>
            </w:pPr>
            <w:r/>
            <w:r>
              <w:rPr>
                <w:rFonts w:ascii="Arial" w:hAnsi="Arial"/>
                <w:b w:val="0"/>
                <w:sz w:val="16"/>
              </w:rPr>
              <w:t>Contract fixtures, engine tests, process fakes, DB transaction tests, workflow tests.</w:t>
            </w:r>
          </w:p>
        </w:tc>
      </w:tr>
    </w:tbl>
    <w:p>
      <w:pPr>
        <w:spacing w:after="0"/>
      </w:pPr>
    </w:p>
    <w:tbl>
      <w:tblPr>
        <w:tblW w:type="auto" w:w="0"/>
        <w:jc w:val="center"/>
        <w:tblLook w:firstColumn="1" w:firstRow="1" w:lastColumn="0" w:lastRow="0" w:noHBand="0" w:noVBand="1" w:val="04A0"/>
      </w:tblPr>
      <w:tblGrid>
        <w:gridCol w:w="10224"/>
      </w:tblGrid>
      <w:tr>
        <w:tc>
          <w:tcPr>
            <w:tcW w:type="dxa" w:w="10224"/>
            <w:shd w:fill="EAF2F8"/>
            <w:tcBorders>
              <w:top w:val="single" w:sz="10" w:color="1F4E78"/>
              <w:left w:val="single" w:sz="10" w:color="1F4E78"/>
              <w:bottom w:val="single" w:sz="10" w:color="1F4E78"/>
              <w:right w:val="single" w:sz="10" w:color="1F4E78"/>
            </w:tcBorders>
          </w:tcPr>
          <w:p>
            <w:pPr>
              <w:spacing w:after="60"/>
            </w:pPr>
            <w:r>
              <w:rPr>
                <w:rFonts w:ascii="Arial" w:hAnsi="Arial"/>
                <w:b/>
                <w:color w:val="1F4E78"/>
                <w:sz w:val="20"/>
              </w:rPr>
              <w:t>Controller rule</w:t>
            </w:r>
          </w:p>
          <w:p>
            <w:pPr>
              <w:spacing w:after="0"/>
            </w:pPr>
            <w:r>
              <w:rPr>
                <w:rFonts w:ascii="Arial" w:hAnsi="Arial"/>
                <w:sz w:val="18"/>
              </w:rPr>
              <w:t>A controller should: resolve route-bound resources, authorize, validate, create a command, call one application service, and return a response. It should not contain the assessment matrix, construct shell commands, decide final risk, write several models independently, or send email directly.</w:t>
            </w:r>
          </w:p>
        </w:tc>
      </w:tr>
    </w:tbl>
    <w:p>
      <w:pPr>
        <w:spacing w:after="0"/>
      </w:pPr>
    </w:p>
    <w:p>
      <w:pPr>
        <w:pStyle w:val="Heading1"/>
        <w:keepNext/>
      </w:pPr>
      <w:r>
        <w:t>17. Integration Test Strategy</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408"/>
        <w:gridCol w:w="3408"/>
        <w:gridCol w:w="3408"/>
      </w:tblGrid>
      <w:tr>
        <w:tc>
          <w:tcPr>
            <w:tcW w:type="dxa" w:w="3408"/>
            <w:vAlign w:val="center"/>
            <w:shd w:fill="1F4E78"/>
          </w:tcPr>
          <w:p>
            <w:pPr>
              <w:spacing w:after="0"/>
            </w:pPr>
            <w:r/>
            <w:r>
              <w:rPr>
                <w:rFonts w:ascii="Arial" w:hAnsi="Arial"/>
                <w:b/>
                <w:color w:val="FFFFFF"/>
                <w:sz w:val="16"/>
              </w:rPr>
              <w:t>Test level</w:t>
            </w:r>
          </w:p>
        </w:tc>
        <w:tc>
          <w:tcPr>
            <w:tcW w:type="dxa" w:w="3408"/>
            <w:vAlign w:val="center"/>
            <w:shd w:fill="1F4E78"/>
          </w:tcPr>
          <w:p>
            <w:pPr>
              <w:spacing w:after="0"/>
            </w:pPr>
            <w:r/>
            <w:r>
              <w:rPr>
                <w:rFonts w:ascii="Arial" w:hAnsi="Arial"/>
                <w:b/>
                <w:color w:val="FFFFFF"/>
                <w:sz w:val="16"/>
              </w:rPr>
              <w:t>Primary purpose</w:t>
            </w:r>
          </w:p>
        </w:tc>
        <w:tc>
          <w:tcPr>
            <w:tcW w:type="dxa" w:w="3408"/>
            <w:vAlign w:val="center"/>
            <w:shd w:fill="1F4E78"/>
          </w:tcPr>
          <w:p>
            <w:pPr>
              <w:spacing w:after="0"/>
            </w:pPr>
            <w:r/>
            <w:r>
              <w:rPr>
                <w:rFonts w:ascii="Arial" w:hAnsi="Arial"/>
                <w:b/>
                <w:color w:val="FFFFFF"/>
                <w:sz w:val="16"/>
              </w:rPr>
              <w:t>Examples</w:t>
            </w:r>
          </w:p>
        </w:tc>
      </w:tr>
      <w:tr>
        <w:tc>
          <w:tcPr>
            <w:tcW w:type="dxa" w:w="3408"/>
            <w:vAlign w:val="center"/>
          </w:tcPr>
          <w:p>
            <w:pPr>
              <w:spacing w:after="0"/>
            </w:pPr>
            <w:r/>
            <w:r>
              <w:rPr>
                <w:rFonts w:ascii="Arial" w:hAnsi="Arial"/>
                <w:b w:val="0"/>
                <w:sz w:val="16"/>
              </w:rPr>
              <w:t>Contract tests</w:t>
            </w:r>
          </w:p>
        </w:tc>
        <w:tc>
          <w:tcPr>
            <w:tcW w:type="dxa" w:w="3408"/>
            <w:vAlign w:val="center"/>
          </w:tcPr>
          <w:p>
            <w:pPr>
              <w:spacing w:after="0"/>
            </w:pPr>
            <w:r/>
            <w:r>
              <w:rPr>
                <w:rFonts w:ascii="Arial" w:hAnsi="Arial"/>
                <w:b w:val="0"/>
                <w:sz w:val="16"/>
              </w:rPr>
              <w:t>Prove producer and consumer agree on schema and semantics.</w:t>
            </w:r>
          </w:p>
        </w:tc>
        <w:tc>
          <w:tcPr>
            <w:tcW w:type="dxa" w:w="3408"/>
            <w:vAlign w:val="center"/>
          </w:tcPr>
          <w:p>
            <w:pPr>
              <w:spacing w:after="0"/>
            </w:pPr>
            <w:r/>
            <w:r>
              <w:rPr>
                <w:rFonts w:ascii="Arial" w:hAnsi="Arial"/>
                <w:b w:val="0"/>
                <w:sz w:val="16"/>
              </w:rPr>
              <w:t>Inference JSON fixtures, enum/version rejection, round-trip serialization.</w:t>
            </w:r>
          </w:p>
        </w:tc>
      </w:tr>
      <w:tr>
        <w:tc>
          <w:tcPr>
            <w:tcW w:type="dxa" w:w="3408"/>
            <w:vAlign w:val="center"/>
            <w:shd w:fill="EEF4F8"/>
          </w:tcPr>
          <w:p>
            <w:pPr>
              <w:spacing w:after="0"/>
            </w:pPr>
            <w:r/>
            <w:r>
              <w:rPr>
                <w:rFonts w:ascii="Arial" w:hAnsi="Arial"/>
                <w:b w:val="0"/>
                <w:sz w:val="16"/>
              </w:rPr>
              <w:t>Unit tests</w:t>
            </w:r>
          </w:p>
        </w:tc>
        <w:tc>
          <w:tcPr>
            <w:tcW w:type="dxa" w:w="3408"/>
            <w:vAlign w:val="center"/>
            <w:shd w:fill="EEF4F8"/>
          </w:tcPr>
          <w:p>
            <w:pPr>
              <w:spacing w:after="0"/>
            </w:pPr>
            <w:r/>
            <w:r>
              <w:rPr>
                <w:rFonts w:ascii="Arial" w:hAnsi="Arial"/>
                <w:b w:val="0"/>
                <w:sz w:val="16"/>
              </w:rPr>
              <w:t>Prove deterministic engine behavior.</w:t>
            </w:r>
          </w:p>
        </w:tc>
        <w:tc>
          <w:tcPr>
            <w:tcW w:type="dxa" w:w="3408"/>
            <w:vAlign w:val="center"/>
            <w:shd w:fill="EEF4F8"/>
          </w:tcPr>
          <w:p>
            <w:pPr>
              <w:spacing w:after="0"/>
            </w:pPr>
            <w:r/>
            <w:r>
              <w:rPr>
                <w:rFonts w:ascii="Arial" w:hAnsi="Arial"/>
                <w:b w:val="0"/>
                <w:sz w:val="16"/>
              </w:rPr>
              <w:t>Completeness, HIGH rules, resolver, explanation, recommendation priority.</w:t>
            </w:r>
          </w:p>
        </w:tc>
      </w:tr>
      <w:tr>
        <w:tc>
          <w:tcPr>
            <w:tcW w:type="dxa" w:w="3408"/>
            <w:vAlign w:val="center"/>
          </w:tcPr>
          <w:p>
            <w:pPr>
              <w:spacing w:after="0"/>
            </w:pPr>
            <w:r/>
            <w:r>
              <w:rPr>
                <w:rFonts w:ascii="Arial" w:hAnsi="Arial"/>
                <w:b w:val="0"/>
                <w:sz w:val="16"/>
              </w:rPr>
              <w:t>PHP-Python golden tests</w:t>
            </w:r>
          </w:p>
        </w:tc>
        <w:tc>
          <w:tcPr>
            <w:tcW w:type="dxa" w:w="3408"/>
            <w:vAlign w:val="center"/>
          </w:tcPr>
          <w:p>
            <w:pPr>
              <w:spacing w:after="0"/>
            </w:pPr>
            <w:r/>
            <w:r>
              <w:rPr>
                <w:rFonts w:ascii="Arial" w:hAnsi="Arial"/>
                <w:b w:val="0"/>
                <w:sz w:val="16"/>
              </w:rPr>
              <w:t>Detect feature order/encoding and prediction drift.</w:t>
            </w:r>
          </w:p>
        </w:tc>
        <w:tc>
          <w:tcPr>
            <w:tcW w:type="dxa" w:w="3408"/>
            <w:vAlign w:val="center"/>
          </w:tcPr>
          <w:p>
            <w:pPr>
              <w:spacing w:after="0"/>
            </w:pPr>
            <w:r/>
            <w:r>
              <w:rPr>
                <w:rFonts w:ascii="Arial" w:hAnsi="Arial"/>
                <w:b w:val="0"/>
                <w:sz w:val="16"/>
              </w:rPr>
              <w:t>Known feature vectors produce validated response shape and approved expected class/model metadata.</w:t>
            </w:r>
          </w:p>
        </w:tc>
      </w:tr>
      <w:tr>
        <w:tc>
          <w:tcPr>
            <w:tcW w:type="dxa" w:w="3408"/>
            <w:vAlign w:val="center"/>
            <w:shd w:fill="EEF4F8"/>
          </w:tcPr>
          <w:p>
            <w:pPr>
              <w:spacing w:after="0"/>
            </w:pPr>
            <w:r/>
            <w:r>
              <w:rPr>
                <w:rFonts w:ascii="Arial" w:hAnsi="Arial"/>
                <w:b w:val="0"/>
                <w:sz w:val="16"/>
              </w:rPr>
              <w:t>Database integration tests</w:t>
            </w:r>
          </w:p>
        </w:tc>
        <w:tc>
          <w:tcPr>
            <w:tcW w:type="dxa" w:w="3408"/>
            <w:vAlign w:val="center"/>
            <w:shd w:fill="EEF4F8"/>
          </w:tcPr>
          <w:p>
            <w:pPr>
              <w:spacing w:after="0"/>
            </w:pPr>
            <w:r/>
            <w:r>
              <w:rPr>
                <w:rFonts w:ascii="Arial" w:hAnsi="Arial"/>
                <w:b w:val="0"/>
                <w:sz w:val="16"/>
              </w:rPr>
              <w:t>Prove transaction, constraints, locking, rollback, and historical integrity.</w:t>
            </w:r>
          </w:p>
        </w:tc>
        <w:tc>
          <w:tcPr>
            <w:tcW w:type="dxa" w:w="3408"/>
            <w:vAlign w:val="center"/>
            <w:shd w:fill="EEF4F8"/>
          </w:tcPr>
          <w:p>
            <w:pPr>
              <w:spacing w:after="0"/>
            </w:pPr>
            <w:r/>
            <w:r>
              <w:rPr>
                <w:rFonts w:ascii="Arial" w:hAnsi="Arial"/>
                <w:b w:val="0"/>
                <w:sz w:val="16"/>
              </w:rPr>
              <w:t>Failure midway leaves no partial assessment; duplicate delivery blocked.</w:t>
            </w:r>
          </w:p>
        </w:tc>
      </w:tr>
      <w:tr>
        <w:tc>
          <w:tcPr>
            <w:tcW w:type="dxa" w:w="3408"/>
            <w:vAlign w:val="center"/>
          </w:tcPr>
          <w:p>
            <w:pPr>
              <w:spacing w:after="0"/>
            </w:pPr>
            <w:r/>
            <w:r>
              <w:rPr>
                <w:rFonts w:ascii="Arial" w:hAnsi="Arial"/>
                <w:b w:val="0"/>
                <w:sz w:val="16"/>
              </w:rPr>
              <w:t>Feature/workflow tests</w:t>
            </w:r>
          </w:p>
        </w:tc>
        <w:tc>
          <w:tcPr>
            <w:tcW w:type="dxa" w:w="3408"/>
            <w:vAlign w:val="center"/>
          </w:tcPr>
          <w:p>
            <w:pPr>
              <w:spacing w:after="0"/>
            </w:pPr>
            <w:r/>
            <w:r>
              <w:rPr>
                <w:rFonts w:ascii="Arial" w:hAnsi="Arial"/>
                <w:b w:val="0"/>
                <w:sz w:val="16"/>
              </w:rPr>
              <w:t>Prove HTTP authorization and end-to-end business behavior.</w:t>
            </w:r>
          </w:p>
        </w:tc>
        <w:tc>
          <w:tcPr>
            <w:tcW w:type="dxa" w:w="3408"/>
            <w:vAlign w:val="center"/>
          </w:tcPr>
          <w:p>
            <w:pPr>
              <w:spacing w:after="0"/>
            </w:pPr>
            <w:r/>
            <w:r>
              <w:rPr>
                <w:rFonts w:ascii="Arial" w:hAnsi="Arial"/>
                <w:b w:val="0"/>
                <w:sz w:val="16"/>
              </w:rPr>
              <w:t>Create visit -&gt; reassess; referral refusal; delivered read-only; start new pregnancy.</w:t>
            </w:r>
          </w:p>
        </w:tc>
      </w:tr>
      <w:tr>
        <w:tc>
          <w:tcPr>
            <w:tcW w:type="dxa" w:w="3408"/>
            <w:vAlign w:val="center"/>
            <w:shd w:fill="EEF4F8"/>
          </w:tcPr>
          <w:p>
            <w:pPr>
              <w:spacing w:after="0"/>
            </w:pPr>
            <w:r/>
            <w:r>
              <w:rPr>
                <w:rFonts w:ascii="Arial" w:hAnsi="Arial"/>
                <w:b w:val="0"/>
                <w:sz w:val="16"/>
              </w:rPr>
              <w:t>Queue/mail tests</w:t>
            </w:r>
          </w:p>
        </w:tc>
        <w:tc>
          <w:tcPr>
            <w:tcW w:type="dxa" w:w="3408"/>
            <w:vAlign w:val="center"/>
            <w:shd w:fill="EEF4F8"/>
          </w:tcPr>
          <w:p>
            <w:pPr>
              <w:spacing w:after="0"/>
            </w:pPr>
            <w:r/>
            <w:r>
              <w:rPr>
                <w:rFonts w:ascii="Arial" w:hAnsi="Arial"/>
                <w:b w:val="0"/>
                <w:sz w:val="16"/>
              </w:rPr>
              <w:t>Prove after-commit, deduplication, retries, and failure visibility.</w:t>
            </w:r>
          </w:p>
        </w:tc>
        <w:tc>
          <w:tcPr>
            <w:tcW w:type="dxa" w:w="3408"/>
            <w:vAlign w:val="center"/>
            <w:shd w:fill="EEF4F8"/>
          </w:tcPr>
          <w:p>
            <w:pPr>
              <w:spacing w:after="0"/>
            </w:pPr>
            <w:r/>
            <w:r>
              <w:rPr>
                <w:rFonts w:ascii="Arial" w:hAnsi="Arial"/>
                <w:b w:val="0"/>
                <w:sz w:val="16"/>
              </w:rPr>
              <w:t>No mail on rollback; one mail per event/version.</w:t>
            </w:r>
          </w:p>
        </w:tc>
      </w:tr>
      <w:tr>
        <w:tc>
          <w:tcPr>
            <w:tcW w:type="dxa" w:w="3408"/>
            <w:vAlign w:val="center"/>
          </w:tcPr>
          <w:p>
            <w:pPr>
              <w:spacing w:after="0"/>
            </w:pPr>
            <w:r/>
            <w:r>
              <w:rPr>
                <w:rFonts w:ascii="Arial" w:hAnsi="Arial"/>
                <w:b w:val="0"/>
                <w:sz w:val="16"/>
              </w:rPr>
              <w:t>Security tests</w:t>
            </w:r>
          </w:p>
        </w:tc>
        <w:tc>
          <w:tcPr>
            <w:tcW w:type="dxa" w:w="3408"/>
            <w:vAlign w:val="center"/>
          </w:tcPr>
          <w:p>
            <w:pPr>
              <w:spacing w:after="0"/>
            </w:pPr>
            <w:r/>
            <w:r>
              <w:rPr>
                <w:rFonts w:ascii="Arial" w:hAnsi="Arial"/>
                <w:b w:val="0"/>
                <w:sz w:val="16"/>
              </w:rPr>
              <w:t>Prove boundaries resist misuse.</w:t>
            </w:r>
          </w:p>
        </w:tc>
        <w:tc>
          <w:tcPr>
            <w:tcW w:type="dxa" w:w="3408"/>
            <w:vAlign w:val="center"/>
          </w:tcPr>
          <w:p>
            <w:pPr>
              <w:spacing w:after="0"/>
            </w:pPr>
            <w:r/>
            <w:r>
              <w:rPr>
                <w:rFonts w:ascii="Arial" w:hAnsi="Arial"/>
                <w:b w:val="0"/>
                <w:sz w:val="16"/>
              </w:rPr>
              <w:t>ID tampering, CSRF, unauthorized export, command injection payload, model mismatch.</w:t>
            </w:r>
          </w:p>
        </w:tc>
      </w:tr>
      <w:tr>
        <w:tc>
          <w:tcPr>
            <w:tcW w:type="dxa" w:w="3408"/>
            <w:vAlign w:val="center"/>
            <w:shd w:fill="EEF4F8"/>
          </w:tcPr>
          <w:p>
            <w:pPr>
              <w:spacing w:after="0"/>
            </w:pPr>
            <w:r/>
            <w:r>
              <w:rPr>
                <w:rFonts w:ascii="Arial" w:hAnsi="Arial"/>
                <w:b w:val="0"/>
                <w:sz w:val="16"/>
              </w:rPr>
              <w:t>Deployment smoke tests</w:t>
            </w:r>
          </w:p>
        </w:tc>
        <w:tc>
          <w:tcPr>
            <w:tcW w:type="dxa" w:w="3408"/>
            <w:vAlign w:val="center"/>
            <w:shd w:fill="EEF4F8"/>
          </w:tcPr>
          <w:p>
            <w:pPr>
              <w:spacing w:after="0"/>
            </w:pPr>
            <w:r/>
            <w:r>
              <w:rPr>
                <w:rFonts w:ascii="Arial" w:hAnsi="Arial"/>
                <w:b w:val="0"/>
                <w:sz w:val="16"/>
              </w:rPr>
              <w:t>Prove environment integration after release.</w:t>
            </w:r>
          </w:p>
        </w:tc>
        <w:tc>
          <w:tcPr>
            <w:tcW w:type="dxa" w:w="3408"/>
            <w:vAlign w:val="center"/>
            <w:shd w:fill="EEF4F8"/>
          </w:tcPr>
          <w:p>
            <w:pPr>
              <w:spacing w:after="0"/>
            </w:pPr>
            <w:r/>
            <w:r>
              <w:rPr>
                <w:rFonts w:ascii="Arial" w:hAnsi="Arial"/>
                <w:b w:val="0"/>
                <w:sz w:val="16"/>
              </w:rPr>
              <w:t>DB connectivity, model hash, Python protocol, queue worker, mail sandbox, backup status.</w:t>
            </w:r>
          </w:p>
        </w:tc>
      </w:tr>
    </w:tbl>
    <w:p>
      <w:pPr>
        <w:spacing w:after="0"/>
      </w:pPr>
    </w:p>
    <w:p>
      <w:pPr>
        <w:pStyle w:val="Heading1"/>
        <w:keepNext/>
      </w:pPr>
      <w:r>
        <w:t>18. Verification Scenarios</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408"/>
        <w:gridCol w:w="3408"/>
        <w:gridCol w:w="3408"/>
      </w:tblGrid>
      <w:tr>
        <w:tc>
          <w:tcPr>
            <w:tcW w:type="dxa" w:w="3408"/>
            <w:vAlign w:val="center"/>
            <w:shd w:fill="1F4E78"/>
          </w:tcPr>
          <w:p>
            <w:pPr>
              <w:spacing w:after="0"/>
            </w:pPr>
            <w:r/>
            <w:r>
              <w:rPr>
                <w:rFonts w:ascii="Arial" w:hAnsi="Arial"/>
                <w:b/>
                <w:color w:val="FFFFFF"/>
                <w:sz w:val="16"/>
              </w:rPr>
              <w:t>#</w:t>
            </w:r>
          </w:p>
        </w:tc>
        <w:tc>
          <w:tcPr>
            <w:tcW w:type="dxa" w:w="3408"/>
            <w:vAlign w:val="center"/>
            <w:shd w:fill="1F4E78"/>
          </w:tcPr>
          <w:p>
            <w:pPr>
              <w:spacing w:after="0"/>
            </w:pPr>
            <w:r/>
            <w:r>
              <w:rPr>
                <w:rFonts w:ascii="Arial" w:hAnsi="Arial"/>
                <w:b/>
                <w:color w:val="FFFFFF"/>
                <w:sz w:val="16"/>
              </w:rPr>
              <w:t>Scenario</w:t>
            </w:r>
          </w:p>
        </w:tc>
        <w:tc>
          <w:tcPr>
            <w:tcW w:type="dxa" w:w="3408"/>
            <w:vAlign w:val="center"/>
            <w:shd w:fill="1F4E78"/>
          </w:tcPr>
          <w:p>
            <w:pPr>
              <w:spacing w:after="0"/>
            </w:pPr>
            <w:r/>
            <w:r>
              <w:rPr>
                <w:rFonts w:ascii="Arial" w:hAnsi="Arial"/>
                <w:b/>
                <w:color w:val="FFFFFF"/>
                <w:sz w:val="16"/>
              </w:rPr>
              <w:t>Pass condition</w:t>
            </w:r>
          </w:p>
        </w:tc>
      </w:tr>
      <w:tr>
        <w:tc>
          <w:tcPr>
            <w:tcW w:type="dxa" w:w="3408"/>
            <w:vAlign w:val="center"/>
          </w:tcPr>
          <w:p>
            <w:pPr>
              <w:spacing w:after="0"/>
            </w:pPr>
            <w:r/>
            <w:r>
              <w:rPr>
                <w:rFonts w:ascii="Arial" w:hAnsi="Arial"/>
                <w:b w:val="0"/>
                <w:sz w:val="15"/>
              </w:rPr>
              <w:t>1</w:t>
            </w:r>
          </w:p>
        </w:tc>
        <w:tc>
          <w:tcPr>
            <w:tcW w:type="dxa" w:w="3408"/>
            <w:vAlign w:val="center"/>
          </w:tcPr>
          <w:p>
            <w:pPr>
              <w:spacing w:after="0"/>
            </w:pPr>
            <w:r/>
            <w:r>
              <w:rPr>
                <w:rFonts w:ascii="Arial" w:hAnsi="Arial"/>
                <w:b w:val="0"/>
                <w:sz w:val="15"/>
              </w:rPr>
              <w:t>Complete low-risk data + valid ML LOW</w:t>
            </w:r>
          </w:p>
        </w:tc>
        <w:tc>
          <w:tcPr>
            <w:tcW w:type="dxa" w:w="3408"/>
            <w:vAlign w:val="center"/>
          </w:tcPr>
          <w:p>
            <w:pPr>
              <w:spacing w:after="0"/>
            </w:pPr>
            <w:r/>
            <w:r>
              <w:rPr>
                <w:rFonts w:ascii="Arial" w:hAnsi="Arial"/>
                <w:b w:val="0"/>
                <w:sz w:val="15"/>
              </w:rPr>
              <w:t>One committed LOW assessment with matching snapshot, explanation, recommendations, and audit.</w:t>
            </w:r>
          </w:p>
        </w:tc>
      </w:tr>
      <w:tr>
        <w:tc>
          <w:tcPr>
            <w:tcW w:type="dxa" w:w="3408"/>
            <w:vAlign w:val="center"/>
            <w:shd w:fill="EEF4F8"/>
          </w:tcPr>
          <w:p>
            <w:pPr>
              <w:spacing w:after="0"/>
            </w:pPr>
            <w:r/>
            <w:r>
              <w:rPr>
                <w:rFonts w:ascii="Arial" w:hAnsi="Arial"/>
                <w:b w:val="0"/>
                <w:sz w:val="15"/>
              </w:rPr>
              <w:t>2</w:t>
            </w:r>
          </w:p>
        </w:tc>
        <w:tc>
          <w:tcPr>
            <w:tcW w:type="dxa" w:w="3408"/>
            <w:vAlign w:val="center"/>
            <w:shd w:fill="EEF4F8"/>
          </w:tcPr>
          <w:p>
            <w:pPr>
              <w:spacing w:after="0"/>
            </w:pPr>
            <w:r/>
            <w:r>
              <w:rPr>
                <w:rFonts w:ascii="Arial" w:hAnsi="Arial"/>
                <w:b w:val="0"/>
                <w:sz w:val="15"/>
              </w:rPr>
              <w:t>Age 17 + valid ML LOW</w:t>
            </w:r>
          </w:p>
        </w:tc>
        <w:tc>
          <w:tcPr>
            <w:tcW w:type="dxa" w:w="3408"/>
            <w:vAlign w:val="center"/>
            <w:shd w:fill="EEF4F8"/>
          </w:tcPr>
          <w:p>
            <w:pPr>
              <w:spacing w:after="0"/>
            </w:pPr>
            <w:r/>
            <w:r>
              <w:rPr>
                <w:rFonts w:ascii="Arial" w:hAnsi="Arial"/>
                <w:b w:val="0"/>
                <w:sz w:val="15"/>
              </w:rPr>
              <w:t>Rule HIGH overrides; explanation names age rule; referral recommendation generated.</w:t>
            </w:r>
          </w:p>
        </w:tc>
      </w:tr>
      <w:tr>
        <w:tc>
          <w:tcPr>
            <w:tcW w:type="dxa" w:w="3408"/>
            <w:vAlign w:val="center"/>
          </w:tcPr>
          <w:p>
            <w:pPr>
              <w:spacing w:after="0"/>
            </w:pPr>
            <w:r/>
            <w:r>
              <w:rPr>
                <w:rFonts w:ascii="Arial" w:hAnsi="Arial"/>
                <w:b w:val="0"/>
                <w:sz w:val="15"/>
              </w:rPr>
              <w:t>3</w:t>
            </w:r>
          </w:p>
        </w:tc>
        <w:tc>
          <w:tcPr>
            <w:tcW w:type="dxa" w:w="3408"/>
            <w:vAlign w:val="center"/>
          </w:tcPr>
          <w:p>
            <w:pPr>
              <w:spacing w:after="0"/>
            </w:pPr>
            <w:r/>
            <w:r>
              <w:rPr>
                <w:rFonts w:ascii="Arial" w:hAnsi="Arial"/>
                <w:b w:val="0"/>
                <w:sz w:val="15"/>
              </w:rPr>
              <w:t>BP 160/110</w:t>
            </w:r>
          </w:p>
        </w:tc>
        <w:tc>
          <w:tcPr>
            <w:tcW w:type="dxa" w:w="3408"/>
            <w:vAlign w:val="center"/>
          </w:tcPr>
          <w:p>
            <w:pPr>
              <w:spacing w:after="0"/>
            </w:pPr>
            <w:r/>
            <w:r>
              <w:rPr>
                <w:rFonts w:ascii="Arial" w:hAnsi="Arial"/>
                <w:b w:val="0"/>
                <w:sz w:val="15"/>
              </w:rPr>
              <w:t>HIGH with urgent reason/timeframe; no automated diagnosis claim.</w:t>
            </w:r>
          </w:p>
        </w:tc>
      </w:tr>
      <w:tr>
        <w:tc>
          <w:tcPr>
            <w:tcW w:type="dxa" w:w="3408"/>
            <w:vAlign w:val="center"/>
            <w:shd w:fill="EEF4F8"/>
          </w:tcPr>
          <w:p>
            <w:pPr>
              <w:spacing w:after="0"/>
            </w:pPr>
            <w:r/>
            <w:r>
              <w:rPr>
                <w:rFonts w:ascii="Arial" w:hAnsi="Arial"/>
                <w:b w:val="0"/>
                <w:sz w:val="15"/>
              </w:rPr>
              <w:t>4</w:t>
            </w:r>
          </w:p>
        </w:tc>
        <w:tc>
          <w:tcPr>
            <w:tcW w:type="dxa" w:w="3408"/>
            <w:vAlign w:val="center"/>
            <w:shd w:fill="EEF4F8"/>
          </w:tcPr>
          <w:p>
            <w:pPr>
              <w:spacing w:after="0"/>
            </w:pPr>
            <w:r/>
            <w:r>
              <w:rPr>
                <w:rFonts w:ascii="Arial" w:hAnsi="Arial"/>
                <w:b w:val="0"/>
                <w:sz w:val="15"/>
              </w:rPr>
              <w:t>Missing medical history</w:t>
            </w:r>
          </w:p>
        </w:tc>
        <w:tc>
          <w:tcPr>
            <w:tcW w:type="dxa" w:w="3408"/>
            <w:vAlign w:val="center"/>
            <w:shd w:fill="EEF4F8"/>
          </w:tcPr>
          <w:p>
            <w:pPr>
              <w:spacing w:after="0"/>
            </w:pPr>
            <w:r/>
            <w:r>
              <w:rPr>
                <w:rFonts w:ascii="Arial" w:hAnsi="Arial"/>
                <w:b w:val="0"/>
                <w:sz w:val="15"/>
              </w:rPr>
              <w:t>No LOW; ASSESSMENT INCOMPLETE with exact missing section.</w:t>
            </w:r>
          </w:p>
        </w:tc>
      </w:tr>
      <w:tr>
        <w:tc>
          <w:tcPr>
            <w:tcW w:type="dxa" w:w="3408"/>
            <w:vAlign w:val="center"/>
          </w:tcPr>
          <w:p>
            <w:pPr>
              <w:spacing w:after="0"/>
            </w:pPr>
            <w:r/>
            <w:r>
              <w:rPr>
                <w:rFonts w:ascii="Arial" w:hAnsi="Arial"/>
                <w:b w:val="0"/>
                <w:sz w:val="15"/>
              </w:rPr>
              <w:t>5</w:t>
            </w:r>
          </w:p>
        </w:tc>
        <w:tc>
          <w:tcPr>
            <w:tcW w:type="dxa" w:w="3408"/>
            <w:vAlign w:val="center"/>
          </w:tcPr>
          <w:p>
            <w:pPr>
              <w:spacing w:after="0"/>
            </w:pPr>
            <w:r/>
            <w:r>
              <w:rPr>
                <w:rFonts w:ascii="Arial" w:hAnsi="Arial"/>
                <w:b w:val="0"/>
                <w:sz w:val="15"/>
              </w:rPr>
              <w:t>Missing ultrasound or birth plan</w:t>
            </w:r>
          </w:p>
        </w:tc>
        <w:tc>
          <w:tcPr>
            <w:tcW w:type="dxa" w:w="3408"/>
            <w:vAlign w:val="center"/>
          </w:tcPr>
          <w:p>
            <w:pPr>
              <w:spacing w:after="0"/>
            </w:pPr>
            <w:r/>
            <w:r>
              <w:rPr>
                <w:rFonts w:ascii="Arial" w:hAnsi="Arial"/>
                <w:b w:val="0"/>
                <w:sz w:val="15"/>
              </w:rPr>
              <w:t>Incomplete even if ML could run; completion actions displayed.</w:t>
            </w:r>
          </w:p>
        </w:tc>
      </w:tr>
      <w:tr>
        <w:tc>
          <w:tcPr>
            <w:tcW w:type="dxa" w:w="3408"/>
            <w:vAlign w:val="center"/>
            <w:shd w:fill="EEF4F8"/>
          </w:tcPr>
          <w:p>
            <w:pPr>
              <w:spacing w:after="0"/>
            </w:pPr>
            <w:r/>
            <w:r>
              <w:rPr>
                <w:rFonts w:ascii="Arial" w:hAnsi="Arial"/>
                <w:b w:val="0"/>
                <w:sz w:val="15"/>
              </w:rPr>
              <w:t>6</w:t>
            </w:r>
          </w:p>
        </w:tc>
        <w:tc>
          <w:tcPr>
            <w:tcW w:type="dxa" w:w="3408"/>
            <w:vAlign w:val="center"/>
            <w:shd w:fill="EEF4F8"/>
          </w:tcPr>
          <w:p>
            <w:pPr>
              <w:spacing w:after="0"/>
            </w:pPr>
            <w:r/>
            <w:r>
              <w:rPr>
                <w:rFonts w:ascii="Arial" w:hAnsi="Arial"/>
                <w:b w:val="0"/>
                <w:sz w:val="15"/>
              </w:rPr>
              <w:t>Python timeout</w:t>
            </w:r>
          </w:p>
        </w:tc>
        <w:tc>
          <w:tcPr>
            <w:tcW w:type="dxa" w:w="3408"/>
            <w:vAlign w:val="center"/>
            <w:shd w:fill="EEF4F8"/>
          </w:tcPr>
          <w:p>
            <w:pPr>
              <w:spacing w:after="0"/>
            </w:pPr>
            <w:r/>
            <w:r>
              <w:rPr>
                <w:rFonts w:ascii="Arial" w:hAnsi="Arial"/>
                <w:b w:val="0"/>
                <w:sz w:val="15"/>
              </w:rPr>
              <w:t>Rule HIGH preserved if present; otherwise incomplete; protocol failure recorded.</w:t>
            </w:r>
          </w:p>
        </w:tc>
      </w:tr>
      <w:tr>
        <w:tc>
          <w:tcPr>
            <w:tcW w:type="dxa" w:w="3408"/>
            <w:vAlign w:val="center"/>
          </w:tcPr>
          <w:p>
            <w:pPr>
              <w:spacing w:after="0"/>
            </w:pPr>
            <w:r/>
            <w:r>
              <w:rPr>
                <w:rFonts w:ascii="Arial" w:hAnsi="Arial"/>
                <w:b w:val="0"/>
                <w:sz w:val="15"/>
              </w:rPr>
              <w:t>7</w:t>
            </w:r>
          </w:p>
        </w:tc>
        <w:tc>
          <w:tcPr>
            <w:tcW w:type="dxa" w:w="3408"/>
            <w:vAlign w:val="center"/>
          </w:tcPr>
          <w:p>
            <w:pPr>
              <w:spacing w:after="0"/>
            </w:pPr>
            <w:r/>
            <w:r>
              <w:rPr>
                <w:rFonts w:ascii="Arial" w:hAnsi="Arial"/>
                <w:b w:val="0"/>
                <w:sz w:val="15"/>
              </w:rPr>
              <w:t>Python emits HIGH plus extra text</w:t>
            </w:r>
          </w:p>
        </w:tc>
        <w:tc>
          <w:tcPr>
            <w:tcW w:type="dxa" w:w="3408"/>
            <w:vAlign w:val="center"/>
          </w:tcPr>
          <w:p>
            <w:pPr>
              <w:spacing w:after="0"/>
            </w:pPr>
            <w:r/>
            <w:r>
              <w:rPr>
                <w:rFonts w:ascii="Arial" w:hAnsi="Arial"/>
                <w:b w:val="0"/>
                <w:sz w:val="15"/>
              </w:rPr>
              <w:t>Response rejected unless it satisfies the exact JSON contract.</w:t>
            </w:r>
          </w:p>
        </w:tc>
      </w:tr>
      <w:tr>
        <w:tc>
          <w:tcPr>
            <w:tcW w:type="dxa" w:w="3408"/>
            <w:vAlign w:val="center"/>
            <w:shd w:fill="EEF4F8"/>
          </w:tcPr>
          <w:p>
            <w:pPr>
              <w:spacing w:after="0"/>
            </w:pPr>
            <w:r/>
            <w:r>
              <w:rPr>
                <w:rFonts w:ascii="Arial" w:hAnsi="Arial"/>
                <w:b w:val="0"/>
                <w:sz w:val="15"/>
              </w:rPr>
              <w:t>8</w:t>
            </w:r>
          </w:p>
        </w:tc>
        <w:tc>
          <w:tcPr>
            <w:tcW w:type="dxa" w:w="3408"/>
            <w:vAlign w:val="center"/>
            <w:shd w:fill="EEF4F8"/>
          </w:tcPr>
          <w:p>
            <w:pPr>
              <w:spacing w:after="0"/>
            </w:pPr>
            <w:r/>
            <w:r>
              <w:rPr>
                <w:rFonts w:ascii="Arial" w:hAnsi="Arial"/>
                <w:b w:val="0"/>
                <w:sz w:val="15"/>
              </w:rPr>
              <w:t>Python response request_id mismatch</w:t>
            </w:r>
          </w:p>
        </w:tc>
        <w:tc>
          <w:tcPr>
            <w:tcW w:type="dxa" w:w="3408"/>
            <w:vAlign w:val="center"/>
            <w:shd w:fill="EEF4F8"/>
          </w:tcPr>
          <w:p>
            <w:pPr>
              <w:spacing w:after="0"/>
            </w:pPr>
            <w:r/>
            <w:r>
              <w:rPr>
                <w:rFonts w:ascii="Arial" w:hAnsi="Arial"/>
                <w:b w:val="0"/>
                <w:sz w:val="15"/>
              </w:rPr>
              <w:t>Invalid response; no decision inferred from it.</w:t>
            </w:r>
          </w:p>
        </w:tc>
      </w:tr>
      <w:tr>
        <w:tc>
          <w:tcPr>
            <w:tcW w:type="dxa" w:w="3408"/>
            <w:vAlign w:val="center"/>
          </w:tcPr>
          <w:p>
            <w:pPr>
              <w:spacing w:after="0"/>
            </w:pPr>
            <w:r/>
            <w:r>
              <w:rPr>
                <w:rFonts w:ascii="Arial" w:hAnsi="Arial"/>
                <w:b w:val="0"/>
                <w:sz w:val="15"/>
              </w:rPr>
              <w:t>9</w:t>
            </w:r>
          </w:p>
        </w:tc>
        <w:tc>
          <w:tcPr>
            <w:tcW w:type="dxa" w:w="3408"/>
            <w:vAlign w:val="center"/>
          </w:tcPr>
          <w:p>
            <w:pPr>
              <w:spacing w:after="0"/>
            </w:pPr>
            <w:r/>
            <w:r>
              <w:rPr>
                <w:rFonts w:ascii="Arial" w:hAnsi="Arial"/>
                <w:b w:val="0"/>
                <w:sz w:val="15"/>
              </w:rPr>
              <w:t>Model hash mismatch</w:t>
            </w:r>
          </w:p>
        </w:tc>
        <w:tc>
          <w:tcPr>
            <w:tcW w:type="dxa" w:w="3408"/>
            <w:vAlign w:val="center"/>
          </w:tcPr>
          <w:p>
            <w:pPr>
              <w:spacing w:after="0"/>
            </w:pPr>
            <w:r/>
            <w:r>
              <w:rPr>
                <w:rFonts w:ascii="Arial" w:hAnsi="Arial"/>
                <w:b w:val="0"/>
                <w:sz w:val="15"/>
              </w:rPr>
              <w:t>ML disabled safely and security/operations alert created.</w:t>
            </w:r>
          </w:p>
        </w:tc>
      </w:tr>
      <w:tr>
        <w:tc>
          <w:tcPr>
            <w:tcW w:type="dxa" w:w="3408"/>
            <w:vAlign w:val="center"/>
            <w:shd w:fill="EEF4F8"/>
          </w:tcPr>
          <w:p>
            <w:pPr>
              <w:spacing w:after="0"/>
            </w:pPr>
            <w:r/>
            <w:r>
              <w:rPr>
                <w:rFonts w:ascii="Arial" w:hAnsi="Arial"/>
                <w:b w:val="0"/>
                <w:sz w:val="15"/>
              </w:rPr>
              <w:t>10</w:t>
            </w:r>
          </w:p>
        </w:tc>
        <w:tc>
          <w:tcPr>
            <w:tcW w:type="dxa" w:w="3408"/>
            <w:vAlign w:val="center"/>
            <w:shd w:fill="EEF4F8"/>
          </w:tcPr>
          <w:p>
            <w:pPr>
              <w:spacing w:after="0"/>
            </w:pPr>
            <w:r/>
            <w:r>
              <w:rPr>
                <w:rFonts w:ascii="Arial" w:hAnsi="Arial"/>
                <w:b w:val="0"/>
                <w:sz w:val="15"/>
              </w:rPr>
              <w:t>Database exception after decision build</w:t>
            </w:r>
          </w:p>
        </w:tc>
        <w:tc>
          <w:tcPr>
            <w:tcW w:type="dxa" w:w="3408"/>
            <w:vAlign w:val="center"/>
            <w:shd w:fill="EEF4F8"/>
          </w:tcPr>
          <w:p>
            <w:pPr>
              <w:spacing w:after="0"/>
            </w:pPr>
            <w:r/>
            <w:r>
              <w:rPr>
                <w:rFonts w:ascii="Arial" w:hAnsi="Arial"/>
                <w:b w:val="0"/>
                <w:sz w:val="15"/>
              </w:rPr>
              <w:t>Rollback all assessment artifacts; no AssessmentCompleted event/email.</w:t>
            </w:r>
          </w:p>
        </w:tc>
      </w:tr>
      <w:tr>
        <w:tc>
          <w:tcPr>
            <w:tcW w:type="dxa" w:w="3408"/>
            <w:vAlign w:val="center"/>
          </w:tcPr>
          <w:p>
            <w:pPr>
              <w:spacing w:after="0"/>
            </w:pPr>
            <w:r/>
            <w:r>
              <w:rPr>
                <w:rFonts w:ascii="Arial" w:hAnsi="Arial"/>
                <w:b w:val="0"/>
                <w:sz w:val="15"/>
              </w:rPr>
              <w:t>11</w:t>
            </w:r>
          </w:p>
        </w:tc>
        <w:tc>
          <w:tcPr>
            <w:tcW w:type="dxa" w:w="3408"/>
            <w:vAlign w:val="center"/>
          </w:tcPr>
          <w:p>
            <w:pPr>
              <w:spacing w:after="0"/>
            </w:pPr>
            <w:r/>
            <w:r>
              <w:rPr>
                <w:rFonts w:ascii="Arial" w:hAnsi="Arial"/>
                <w:b w:val="0"/>
                <w:sz w:val="15"/>
              </w:rPr>
              <w:t>Email provider unavailable</w:t>
            </w:r>
          </w:p>
        </w:tc>
        <w:tc>
          <w:tcPr>
            <w:tcW w:type="dxa" w:w="3408"/>
            <w:vAlign w:val="center"/>
          </w:tcPr>
          <w:p>
            <w:pPr>
              <w:spacing w:after="0"/>
            </w:pPr>
            <w:r/>
            <w:r>
              <w:rPr>
                <w:rFonts w:ascii="Arial" w:hAnsi="Arial"/>
                <w:b w:val="0"/>
                <w:sz w:val="15"/>
              </w:rPr>
              <w:t>Assessment remains committed; email status failed/pending with bounded retry.</w:t>
            </w:r>
          </w:p>
        </w:tc>
      </w:tr>
      <w:tr>
        <w:tc>
          <w:tcPr>
            <w:tcW w:type="dxa" w:w="3408"/>
            <w:vAlign w:val="center"/>
            <w:shd w:fill="EEF4F8"/>
          </w:tcPr>
          <w:p>
            <w:pPr>
              <w:spacing w:after="0"/>
            </w:pPr>
            <w:r/>
            <w:r>
              <w:rPr>
                <w:rFonts w:ascii="Arial" w:hAnsi="Arial"/>
                <w:b w:val="0"/>
                <w:sz w:val="15"/>
              </w:rPr>
              <w:t>12</w:t>
            </w:r>
          </w:p>
        </w:tc>
        <w:tc>
          <w:tcPr>
            <w:tcW w:type="dxa" w:w="3408"/>
            <w:vAlign w:val="center"/>
            <w:shd w:fill="EEF4F8"/>
          </w:tcPr>
          <w:p>
            <w:pPr>
              <w:spacing w:after="0"/>
            </w:pPr>
            <w:r/>
            <w:r>
              <w:rPr>
                <w:rFonts w:ascii="Arial" w:hAnsi="Arial"/>
                <w:b w:val="0"/>
                <w:sz w:val="15"/>
              </w:rPr>
              <w:t>Same request submitted twice</w:t>
            </w:r>
          </w:p>
        </w:tc>
        <w:tc>
          <w:tcPr>
            <w:tcW w:type="dxa" w:w="3408"/>
            <w:vAlign w:val="center"/>
            <w:shd w:fill="EEF4F8"/>
          </w:tcPr>
          <w:p>
            <w:pPr>
              <w:spacing w:after="0"/>
            </w:pPr>
            <w:r/>
            <w:r>
              <w:rPr>
                <w:rFonts w:ascii="Arial" w:hAnsi="Arial"/>
                <w:b w:val="0"/>
                <w:sz w:val="15"/>
              </w:rPr>
              <w:t>Idempotency returns same logical result; no duplicate side effects.</w:t>
            </w:r>
          </w:p>
        </w:tc>
      </w:tr>
      <w:tr>
        <w:tc>
          <w:tcPr>
            <w:tcW w:type="dxa" w:w="3408"/>
            <w:vAlign w:val="center"/>
          </w:tcPr>
          <w:p>
            <w:pPr>
              <w:spacing w:after="0"/>
            </w:pPr>
            <w:r/>
            <w:r>
              <w:rPr>
                <w:rFonts w:ascii="Arial" w:hAnsi="Arial"/>
                <w:b w:val="0"/>
                <w:sz w:val="15"/>
              </w:rPr>
              <w:t>13</w:t>
            </w:r>
          </w:p>
        </w:tc>
        <w:tc>
          <w:tcPr>
            <w:tcW w:type="dxa" w:w="3408"/>
            <w:vAlign w:val="center"/>
          </w:tcPr>
          <w:p>
            <w:pPr>
              <w:spacing w:after="0"/>
            </w:pPr>
            <w:r/>
            <w:r>
              <w:rPr>
                <w:rFonts w:ascii="Arial" w:hAnsi="Arial"/>
                <w:b w:val="0"/>
                <w:sz w:val="15"/>
              </w:rPr>
              <w:t>Two users update same episode concurrently</w:t>
            </w:r>
          </w:p>
        </w:tc>
        <w:tc>
          <w:tcPr>
            <w:tcW w:type="dxa" w:w="3408"/>
            <w:vAlign w:val="center"/>
          </w:tcPr>
          <w:p>
            <w:pPr>
              <w:spacing w:after="0"/>
            </w:pPr>
            <w:r/>
            <w:r>
              <w:rPr>
                <w:rFonts w:ascii="Arial" w:hAnsi="Arial"/>
                <w:b w:val="0"/>
                <w:sz w:val="15"/>
              </w:rPr>
              <w:t>Conflict/lock handling prevents silent stale overwrite.</w:t>
            </w:r>
          </w:p>
        </w:tc>
      </w:tr>
      <w:tr>
        <w:tc>
          <w:tcPr>
            <w:tcW w:type="dxa" w:w="3408"/>
            <w:vAlign w:val="center"/>
            <w:shd w:fill="EEF4F8"/>
          </w:tcPr>
          <w:p>
            <w:pPr>
              <w:spacing w:after="0"/>
            </w:pPr>
            <w:r/>
            <w:r>
              <w:rPr>
                <w:rFonts w:ascii="Arial" w:hAnsi="Arial"/>
                <w:b w:val="0"/>
                <w:sz w:val="15"/>
              </w:rPr>
              <w:t>14</w:t>
            </w:r>
          </w:p>
        </w:tc>
        <w:tc>
          <w:tcPr>
            <w:tcW w:type="dxa" w:w="3408"/>
            <w:vAlign w:val="center"/>
            <w:shd w:fill="EEF4F8"/>
          </w:tcPr>
          <w:p>
            <w:pPr>
              <w:spacing w:after="0"/>
            </w:pPr>
            <w:r/>
            <w:r>
              <w:rPr>
                <w:rFonts w:ascii="Arial" w:hAnsi="Arial"/>
                <w:b w:val="0"/>
                <w:sz w:val="15"/>
              </w:rPr>
              <w:t>Clinical record updated after LOW</w:t>
            </w:r>
          </w:p>
        </w:tc>
        <w:tc>
          <w:tcPr>
            <w:tcW w:type="dxa" w:w="3408"/>
            <w:vAlign w:val="center"/>
            <w:shd w:fill="EEF4F8"/>
          </w:tcPr>
          <w:p>
            <w:pPr>
              <w:spacing w:after="0"/>
            </w:pPr>
            <w:r/>
            <w:r>
              <w:rPr>
                <w:rFonts w:ascii="Arial" w:hAnsi="Arial"/>
                <w:b w:val="0"/>
                <w:sz w:val="15"/>
              </w:rPr>
              <w:t>New assessment created; historical LOW remains unchanged and linked to old snapshot.</w:t>
            </w:r>
          </w:p>
        </w:tc>
      </w:tr>
      <w:tr>
        <w:tc>
          <w:tcPr>
            <w:tcW w:type="dxa" w:w="3408"/>
            <w:vAlign w:val="center"/>
          </w:tcPr>
          <w:p>
            <w:pPr>
              <w:spacing w:after="0"/>
            </w:pPr>
            <w:r/>
            <w:r>
              <w:rPr>
                <w:rFonts w:ascii="Arial" w:hAnsi="Arial"/>
                <w:b w:val="0"/>
                <w:sz w:val="15"/>
              </w:rPr>
              <w:t>15</w:t>
            </w:r>
          </w:p>
        </w:tc>
        <w:tc>
          <w:tcPr>
            <w:tcW w:type="dxa" w:w="3408"/>
            <w:vAlign w:val="center"/>
          </w:tcPr>
          <w:p>
            <w:pPr>
              <w:spacing w:after="0"/>
            </w:pPr>
            <w:r/>
            <w:r>
              <w:rPr>
                <w:rFonts w:ascii="Arial" w:hAnsi="Arial"/>
                <w:b w:val="0"/>
                <w:sz w:val="15"/>
              </w:rPr>
              <w:t>Delivered episode mutation attempted</w:t>
            </w:r>
          </w:p>
        </w:tc>
        <w:tc>
          <w:tcPr>
            <w:tcW w:type="dxa" w:w="3408"/>
            <w:vAlign w:val="center"/>
          </w:tcPr>
          <w:p>
            <w:pPr>
              <w:spacing w:after="0"/>
            </w:pPr>
            <w:r/>
            <w:r>
              <w:rPr>
                <w:rFonts w:ascii="Arial" w:hAnsi="Arial"/>
                <w:b w:val="0"/>
                <w:sz w:val="15"/>
              </w:rPr>
              <w:t>Policy/service denies; no Python call or write.</w:t>
            </w:r>
          </w:p>
        </w:tc>
      </w:tr>
      <w:tr>
        <w:tc>
          <w:tcPr>
            <w:tcW w:type="dxa" w:w="3408"/>
            <w:vAlign w:val="center"/>
            <w:shd w:fill="EEF4F8"/>
          </w:tcPr>
          <w:p>
            <w:pPr>
              <w:spacing w:after="0"/>
            </w:pPr>
            <w:r/>
            <w:r>
              <w:rPr>
                <w:rFonts w:ascii="Arial" w:hAnsi="Arial"/>
                <w:b w:val="0"/>
                <w:sz w:val="15"/>
              </w:rPr>
              <w:t>16</w:t>
            </w:r>
          </w:p>
        </w:tc>
        <w:tc>
          <w:tcPr>
            <w:tcW w:type="dxa" w:w="3408"/>
            <w:vAlign w:val="center"/>
            <w:shd w:fill="EEF4F8"/>
          </w:tcPr>
          <w:p>
            <w:pPr>
              <w:spacing w:after="0"/>
            </w:pPr>
            <w:r/>
            <w:r>
              <w:rPr>
                <w:rFonts w:ascii="Arial" w:hAnsi="Arial"/>
                <w:b w:val="0"/>
                <w:sz w:val="15"/>
              </w:rPr>
              <w:t>Start new pregnancy</w:t>
            </w:r>
          </w:p>
        </w:tc>
        <w:tc>
          <w:tcPr>
            <w:tcW w:type="dxa" w:w="3408"/>
            <w:vAlign w:val="center"/>
            <w:shd w:fill="EEF4F8"/>
          </w:tcPr>
          <w:p>
            <w:pPr>
              <w:spacing w:after="0"/>
            </w:pPr>
            <w:r/>
            <w:r>
              <w:rPr>
                <w:rFonts w:ascii="Arial" w:hAnsi="Arial"/>
                <w:b w:val="0"/>
                <w:sz w:val="15"/>
              </w:rPr>
              <w:t>Creates separate active episode; prior episode remains immutable.</w:t>
            </w:r>
          </w:p>
        </w:tc>
      </w:tr>
      <w:tr>
        <w:tc>
          <w:tcPr>
            <w:tcW w:type="dxa" w:w="3408"/>
            <w:vAlign w:val="center"/>
          </w:tcPr>
          <w:p>
            <w:pPr>
              <w:spacing w:after="0"/>
            </w:pPr>
            <w:r/>
            <w:r>
              <w:rPr>
                <w:rFonts w:ascii="Arial" w:hAnsi="Arial"/>
                <w:b w:val="0"/>
                <w:sz w:val="15"/>
              </w:rPr>
              <w:t>17</w:t>
            </w:r>
          </w:p>
        </w:tc>
        <w:tc>
          <w:tcPr>
            <w:tcW w:type="dxa" w:w="3408"/>
            <w:vAlign w:val="center"/>
          </w:tcPr>
          <w:p>
            <w:pPr>
              <w:spacing w:after="0"/>
            </w:pPr>
            <w:r/>
            <w:r>
              <w:rPr>
                <w:rFonts w:ascii="Arial" w:hAnsi="Arial"/>
                <w:b w:val="0"/>
                <w:sz w:val="15"/>
              </w:rPr>
              <w:t>Referral recommended but not initiated</w:t>
            </w:r>
          </w:p>
        </w:tc>
        <w:tc>
          <w:tcPr>
            <w:tcW w:type="dxa" w:w="3408"/>
            <w:vAlign w:val="center"/>
          </w:tcPr>
          <w:p>
            <w:pPr>
              <w:spacing w:after="0"/>
            </w:pPr>
            <w:r/>
            <w:r>
              <w:rPr>
                <w:rFonts w:ascii="Arial" w:hAnsi="Arial"/>
                <w:b w:val="0"/>
                <w:sz w:val="15"/>
              </w:rPr>
              <w:t>States remain distinct and visible.</w:t>
            </w:r>
          </w:p>
        </w:tc>
      </w:tr>
      <w:tr>
        <w:tc>
          <w:tcPr>
            <w:tcW w:type="dxa" w:w="3408"/>
            <w:vAlign w:val="center"/>
            <w:shd w:fill="EEF4F8"/>
          </w:tcPr>
          <w:p>
            <w:pPr>
              <w:spacing w:after="0"/>
            </w:pPr>
            <w:r/>
            <w:r>
              <w:rPr>
                <w:rFonts w:ascii="Arial" w:hAnsi="Arial"/>
                <w:b w:val="0"/>
                <w:sz w:val="15"/>
              </w:rPr>
              <w:t>18</w:t>
            </w:r>
          </w:p>
        </w:tc>
        <w:tc>
          <w:tcPr>
            <w:tcW w:type="dxa" w:w="3408"/>
            <w:vAlign w:val="center"/>
            <w:shd w:fill="EEF4F8"/>
          </w:tcPr>
          <w:p>
            <w:pPr>
              <w:spacing w:after="0"/>
            </w:pPr>
            <w:r/>
            <w:r>
              <w:rPr>
                <w:rFonts w:ascii="Arial" w:hAnsi="Arial"/>
                <w:b w:val="0"/>
                <w:sz w:val="15"/>
              </w:rPr>
              <w:t>Referral refused</w:t>
            </w:r>
          </w:p>
        </w:tc>
        <w:tc>
          <w:tcPr>
            <w:tcW w:type="dxa" w:w="3408"/>
            <w:vAlign w:val="center"/>
            <w:shd w:fill="EEF4F8"/>
          </w:tcPr>
          <w:p>
            <w:pPr>
              <w:spacing w:after="0"/>
            </w:pPr>
            <w:r/>
            <w:r>
              <w:rPr>
                <w:rFonts w:ascii="Arial" w:hAnsi="Arial"/>
                <w:b w:val="0"/>
                <w:sz w:val="15"/>
              </w:rPr>
              <w:t>HIGH remains HIGH; counseling/waiver and follow-up are recorded.</w:t>
            </w:r>
          </w:p>
        </w:tc>
      </w:tr>
      <w:tr>
        <w:tc>
          <w:tcPr>
            <w:tcW w:type="dxa" w:w="3408"/>
            <w:vAlign w:val="center"/>
          </w:tcPr>
          <w:p>
            <w:pPr>
              <w:spacing w:after="0"/>
            </w:pPr>
            <w:r/>
            <w:r>
              <w:rPr>
                <w:rFonts w:ascii="Arial" w:hAnsi="Arial"/>
                <w:b w:val="0"/>
                <w:sz w:val="15"/>
              </w:rPr>
              <w:t>19</w:t>
            </w:r>
          </w:p>
        </w:tc>
        <w:tc>
          <w:tcPr>
            <w:tcW w:type="dxa" w:w="3408"/>
            <w:vAlign w:val="center"/>
          </w:tcPr>
          <w:p>
            <w:pPr>
              <w:spacing w:after="0"/>
            </w:pPr>
            <w:r/>
            <w:r>
              <w:rPr>
                <w:rFonts w:ascii="Arial" w:hAnsi="Arial"/>
                <w:b w:val="0"/>
                <w:sz w:val="15"/>
              </w:rPr>
              <w:t>Referral communication attempted</w:t>
            </w:r>
          </w:p>
        </w:tc>
        <w:tc>
          <w:tcPr>
            <w:tcW w:type="dxa" w:w="3408"/>
            <w:vAlign w:val="center"/>
          </w:tcPr>
          <w:p>
            <w:pPr>
              <w:spacing w:after="0"/>
            </w:pPr>
            <w:r/>
            <w:r>
              <w:rPr>
                <w:rFonts w:ascii="Arial" w:hAnsi="Arial"/>
                <w:b w:val="0"/>
                <w:sz w:val="15"/>
              </w:rPr>
              <w:t>Does not mark accepted/completed automatically.</w:t>
            </w:r>
          </w:p>
        </w:tc>
      </w:tr>
      <w:tr>
        <w:tc>
          <w:tcPr>
            <w:tcW w:type="dxa" w:w="3408"/>
            <w:vAlign w:val="center"/>
            <w:shd w:fill="EEF4F8"/>
          </w:tcPr>
          <w:p>
            <w:pPr>
              <w:spacing w:after="0"/>
            </w:pPr>
            <w:r/>
            <w:r>
              <w:rPr>
                <w:rFonts w:ascii="Arial" w:hAnsi="Arial"/>
                <w:b w:val="0"/>
                <w:sz w:val="15"/>
              </w:rPr>
              <w:t>20</w:t>
            </w:r>
          </w:p>
        </w:tc>
        <w:tc>
          <w:tcPr>
            <w:tcW w:type="dxa" w:w="3408"/>
            <w:vAlign w:val="center"/>
            <w:shd w:fill="EEF4F8"/>
          </w:tcPr>
          <w:p>
            <w:pPr>
              <w:spacing w:after="0"/>
            </w:pPr>
            <w:r/>
            <w:r>
              <w:rPr>
                <w:rFonts w:ascii="Arial" w:hAnsi="Arial"/>
                <w:b w:val="0"/>
                <w:sz w:val="15"/>
              </w:rPr>
              <w:t>Delivery submitted twice</w:t>
            </w:r>
          </w:p>
        </w:tc>
        <w:tc>
          <w:tcPr>
            <w:tcW w:type="dxa" w:w="3408"/>
            <w:vAlign w:val="center"/>
            <w:shd w:fill="EEF4F8"/>
          </w:tcPr>
          <w:p>
            <w:pPr>
              <w:spacing w:after="0"/>
            </w:pPr>
            <w:r/>
            <w:r>
              <w:rPr>
                <w:rFonts w:ascii="Arial" w:hAnsi="Arial"/>
                <w:b w:val="0"/>
                <w:sz w:val="15"/>
              </w:rPr>
              <w:t>Unique/idempotent protection prevents duplicate baby records.</w:t>
            </w:r>
          </w:p>
        </w:tc>
      </w:tr>
      <w:tr>
        <w:tc>
          <w:tcPr>
            <w:tcW w:type="dxa" w:w="3408"/>
            <w:vAlign w:val="center"/>
          </w:tcPr>
          <w:p>
            <w:pPr>
              <w:spacing w:after="0"/>
            </w:pPr>
            <w:r/>
            <w:r>
              <w:rPr>
                <w:rFonts w:ascii="Arial" w:hAnsi="Arial"/>
                <w:b w:val="0"/>
                <w:sz w:val="15"/>
              </w:rPr>
              <w:t>21</w:t>
            </w:r>
          </w:p>
        </w:tc>
        <w:tc>
          <w:tcPr>
            <w:tcW w:type="dxa" w:w="3408"/>
            <w:vAlign w:val="center"/>
          </w:tcPr>
          <w:p>
            <w:pPr>
              <w:spacing w:after="0"/>
            </w:pPr>
            <w:r/>
            <w:r>
              <w:rPr>
                <w:rFonts w:ascii="Arial" w:hAnsi="Arial"/>
                <w:b w:val="0"/>
                <w:sz w:val="15"/>
              </w:rPr>
              <w:t>Unauthorized patient ID changed in URL</w:t>
            </w:r>
          </w:p>
        </w:tc>
        <w:tc>
          <w:tcPr>
            <w:tcW w:type="dxa" w:w="3408"/>
            <w:vAlign w:val="center"/>
          </w:tcPr>
          <w:p>
            <w:pPr>
              <w:spacing w:after="0"/>
            </w:pPr>
            <w:r/>
            <w:r>
              <w:rPr>
                <w:rFonts w:ascii="Arial" w:hAnsi="Arial"/>
                <w:b w:val="0"/>
                <w:sz w:val="15"/>
              </w:rPr>
              <w:t>Denied before service/engine execution.</w:t>
            </w:r>
          </w:p>
        </w:tc>
      </w:tr>
      <w:tr>
        <w:tc>
          <w:tcPr>
            <w:tcW w:type="dxa" w:w="3408"/>
            <w:vAlign w:val="center"/>
            <w:shd w:fill="EEF4F8"/>
          </w:tcPr>
          <w:p>
            <w:pPr>
              <w:spacing w:after="0"/>
            </w:pPr>
            <w:r/>
            <w:r>
              <w:rPr>
                <w:rFonts w:ascii="Arial" w:hAnsi="Arial"/>
                <w:b w:val="0"/>
                <w:sz w:val="15"/>
              </w:rPr>
              <w:t>22</w:t>
            </w:r>
          </w:p>
        </w:tc>
        <w:tc>
          <w:tcPr>
            <w:tcW w:type="dxa" w:w="3408"/>
            <w:vAlign w:val="center"/>
            <w:shd w:fill="EEF4F8"/>
          </w:tcPr>
          <w:p>
            <w:pPr>
              <w:spacing w:after="0"/>
            </w:pPr>
            <w:r/>
            <w:r>
              <w:rPr>
                <w:rFonts w:ascii="Arial" w:hAnsi="Arial"/>
                <w:b w:val="0"/>
                <w:sz w:val="15"/>
              </w:rPr>
              <w:t>Command-injection string in a text field</w:t>
            </w:r>
          </w:p>
        </w:tc>
        <w:tc>
          <w:tcPr>
            <w:tcW w:type="dxa" w:w="3408"/>
            <w:vAlign w:val="center"/>
            <w:shd w:fill="EEF4F8"/>
          </w:tcPr>
          <w:p>
            <w:pPr>
              <w:spacing w:after="0"/>
            </w:pPr>
            <w:r/>
            <w:r>
              <w:rPr>
                <w:rFonts w:ascii="Arial" w:hAnsi="Arial"/>
                <w:b w:val="0"/>
                <w:sz w:val="15"/>
              </w:rPr>
              <w:t>Never becomes command syntax; validation/JSON transport contains it as data or rejects it.</w:t>
            </w:r>
          </w:p>
        </w:tc>
      </w:tr>
      <w:tr>
        <w:tc>
          <w:tcPr>
            <w:tcW w:type="dxa" w:w="3408"/>
            <w:vAlign w:val="center"/>
          </w:tcPr>
          <w:p>
            <w:pPr>
              <w:spacing w:after="0"/>
            </w:pPr>
            <w:r/>
            <w:r>
              <w:rPr>
                <w:rFonts w:ascii="Arial" w:hAnsi="Arial"/>
                <w:b w:val="0"/>
                <w:sz w:val="15"/>
              </w:rPr>
              <w:t>23</w:t>
            </w:r>
          </w:p>
        </w:tc>
        <w:tc>
          <w:tcPr>
            <w:tcW w:type="dxa" w:w="3408"/>
            <w:vAlign w:val="center"/>
          </w:tcPr>
          <w:p>
            <w:pPr>
              <w:spacing w:after="0"/>
            </w:pPr>
            <w:r/>
            <w:r>
              <w:rPr>
                <w:rFonts w:ascii="Arial" w:hAnsi="Arial"/>
                <w:b w:val="0"/>
                <w:sz w:val="15"/>
              </w:rPr>
              <w:t>Unknown ultrasound enum</w:t>
            </w:r>
          </w:p>
        </w:tc>
        <w:tc>
          <w:tcPr>
            <w:tcW w:type="dxa" w:w="3408"/>
            <w:vAlign w:val="center"/>
          </w:tcPr>
          <w:p>
            <w:pPr>
              <w:spacing w:after="0"/>
            </w:pPr>
            <w:r/>
            <w:r>
              <w:rPr>
                <w:rFonts w:ascii="Arial" w:hAnsi="Arial"/>
                <w:b w:val="0"/>
                <w:sz w:val="15"/>
              </w:rPr>
              <w:t>Rejected or treated unknown/incomplete; not mapped to normal.</w:t>
            </w:r>
          </w:p>
        </w:tc>
      </w:tr>
      <w:tr>
        <w:tc>
          <w:tcPr>
            <w:tcW w:type="dxa" w:w="3408"/>
            <w:vAlign w:val="center"/>
            <w:shd w:fill="EEF4F8"/>
          </w:tcPr>
          <w:p>
            <w:pPr>
              <w:spacing w:after="0"/>
            </w:pPr>
            <w:r/>
            <w:r>
              <w:rPr>
                <w:rFonts w:ascii="Arial" w:hAnsi="Arial"/>
                <w:b w:val="0"/>
                <w:sz w:val="15"/>
              </w:rPr>
              <w:t>24</w:t>
            </w:r>
          </w:p>
        </w:tc>
        <w:tc>
          <w:tcPr>
            <w:tcW w:type="dxa" w:w="3408"/>
            <w:vAlign w:val="center"/>
            <w:shd w:fill="EEF4F8"/>
          </w:tcPr>
          <w:p>
            <w:pPr>
              <w:spacing w:after="0"/>
            </w:pPr>
            <w:r/>
            <w:r>
              <w:rPr>
                <w:rFonts w:ascii="Arial" w:hAnsi="Arial"/>
                <w:b w:val="0"/>
                <w:sz w:val="15"/>
              </w:rPr>
              <w:t>Null diabetes value</w:t>
            </w:r>
          </w:p>
        </w:tc>
        <w:tc>
          <w:tcPr>
            <w:tcW w:type="dxa" w:w="3408"/>
            <w:vAlign w:val="center"/>
            <w:shd w:fill="EEF4F8"/>
          </w:tcPr>
          <w:p>
            <w:pPr>
              <w:spacing w:after="0"/>
            </w:pPr>
            <w:r/>
            <w:r>
              <w:rPr>
                <w:rFonts w:ascii="Arial" w:hAnsi="Arial"/>
                <w:b w:val="0"/>
                <w:sz w:val="15"/>
              </w:rPr>
              <w:t>Unknown remains null; not false.</w:t>
            </w:r>
          </w:p>
        </w:tc>
      </w:tr>
      <w:tr>
        <w:tc>
          <w:tcPr>
            <w:tcW w:type="dxa" w:w="3408"/>
            <w:vAlign w:val="center"/>
          </w:tcPr>
          <w:p>
            <w:pPr>
              <w:spacing w:after="0"/>
            </w:pPr>
            <w:r/>
            <w:r>
              <w:rPr>
                <w:rFonts w:ascii="Arial" w:hAnsi="Arial"/>
                <w:b w:val="0"/>
                <w:sz w:val="15"/>
              </w:rPr>
              <w:t>25</w:t>
            </w:r>
          </w:p>
        </w:tc>
        <w:tc>
          <w:tcPr>
            <w:tcW w:type="dxa" w:w="3408"/>
            <w:vAlign w:val="center"/>
          </w:tcPr>
          <w:p>
            <w:pPr>
              <w:spacing w:after="0"/>
            </w:pPr>
            <w:r/>
            <w:r>
              <w:rPr>
                <w:rFonts w:ascii="Arial" w:hAnsi="Arial"/>
                <w:b w:val="0"/>
                <w:sz w:val="15"/>
              </w:rPr>
              <w:t>Queue job runs before commit attempt</w:t>
            </w:r>
          </w:p>
        </w:tc>
        <w:tc>
          <w:tcPr>
            <w:tcW w:type="dxa" w:w="3408"/>
            <w:vAlign w:val="center"/>
          </w:tcPr>
          <w:p>
            <w:pPr>
              <w:spacing w:after="0"/>
            </w:pPr>
            <w:r/>
            <w:r>
              <w:rPr>
                <w:rFonts w:ascii="Arial" w:hAnsi="Arial"/>
                <w:b w:val="0"/>
                <w:sz w:val="15"/>
              </w:rPr>
              <w:t>After-commit configuration prevents access to uncommitted rows.</w:t>
            </w:r>
          </w:p>
        </w:tc>
      </w:tr>
      <w:tr>
        <w:tc>
          <w:tcPr>
            <w:tcW w:type="dxa" w:w="3408"/>
            <w:vAlign w:val="center"/>
            <w:shd w:fill="EEF4F8"/>
          </w:tcPr>
          <w:p>
            <w:pPr>
              <w:spacing w:after="0"/>
            </w:pPr>
            <w:r/>
            <w:r>
              <w:rPr>
                <w:rFonts w:ascii="Arial" w:hAnsi="Arial"/>
                <w:b w:val="0"/>
                <w:sz w:val="15"/>
              </w:rPr>
              <w:t>26</w:t>
            </w:r>
          </w:p>
        </w:tc>
        <w:tc>
          <w:tcPr>
            <w:tcW w:type="dxa" w:w="3408"/>
            <w:vAlign w:val="center"/>
            <w:shd w:fill="EEF4F8"/>
          </w:tcPr>
          <w:p>
            <w:pPr>
              <w:spacing w:after="0"/>
            </w:pPr>
            <w:r/>
            <w:r>
              <w:rPr>
                <w:rFonts w:ascii="Arial" w:hAnsi="Arial"/>
                <w:b w:val="0"/>
                <w:sz w:val="15"/>
              </w:rPr>
              <w:t>Queue retries after worker crash</w:t>
            </w:r>
          </w:p>
        </w:tc>
        <w:tc>
          <w:tcPr>
            <w:tcW w:type="dxa" w:w="3408"/>
            <w:vAlign w:val="center"/>
            <w:shd w:fill="EEF4F8"/>
          </w:tcPr>
          <w:p>
            <w:pPr>
              <w:spacing w:after="0"/>
            </w:pPr>
            <w:r/>
            <w:r>
              <w:rPr>
                <w:rFonts w:ascii="Arial" w:hAnsi="Arial"/>
                <w:b w:val="0"/>
                <w:sz w:val="15"/>
              </w:rPr>
              <w:t>Dedup key prevents duplicate email/report.</w:t>
            </w:r>
          </w:p>
        </w:tc>
      </w:tr>
      <w:tr>
        <w:tc>
          <w:tcPr>
            <w:tcW w:type="dxa" w:w="3408"/>
            <w:vAlign w:val="center"/>
          </w:tcPr>
          <w:p>
            <w:pPr>
              <w:spacing w:after="0"/>
            </w:pPr>
            <w:r/>
            <w:r>
              <w:rPr>
                <w:rFonts w:ascii="Arial" w:hAnsi="Arial"/>
                <w:b w:val="0"/>
                <w:sz w:val="15"/>
              </w:rPr>
              <w:t>27</w:t>
            </w:r>
          </w:p>
        </w:tc>
        <w:tc>
          <w:tcPr>
            <w:tcW w:type="dxa" w:w="3408"/>
            <w:vAlign w:val="center"/>
          </w:tcPr>
          <w:p>
            <w:pPr>
              <w:spacing w:after="0"/>
            </w:pPr>
            <w:r/>
            <w:r>
              <w:rPr>
                <w:rFonts w:ascii="Arial" w:hAnsi="Arial"/>
                <w:b w:val="0"/>
                <w:sz w:val="15"/>
              </w:rPr>
              <w:t>Old contract response sent to new gateway</w:t>
            </w:r>
          </w:p>
        </w:tc>
        <w:tc>
          <w:tcPr>
            <w:tcW w:type="dxa" w:w="3408"/>
            <w:vAlign w:val="center"/>
          </w:tcPr>
          <w:p>
            <w:pPr>
              <w:spacing w:after="0"/>
            </w:pPr>
            <w:r/>
            <w:r>
              <w:rPr>
                <w:rFonts w:ascii="Arial" w:hAnsi="Arial"/>
                <w:b w:val="0"/>
                <w:sz w:val="15"/>
              </w:rPr>
              <w:t>Compatibility policy accepts only supported versions.</w:t>
            </w:r>
          </w:p>
        </w:tc>
      </w:tr>
      <w:tr>
        <w:tc>
          <w:tcPr>
            <w:tcW w:type="dxa" w:w="3408"/>
            <w:vAlign w:val="center"/>
            <w:shd w:fill="EEF4F8"/>
          </w:tcPr>
          <w:p>
            <w:pPr>
              <w:spacing w:after="0"/>
            </w:pPr>
            <w:r/>
            <w:r>
              <w:rPr>
                <w:rFonts w:ascii="Arial" w:hAnsi="Arial"/>
                <w:b w:val="0"/>
                <w:sz w:val="15"/>
              </w:rPr>
              <w:t>28</w:t>
            </w:r>
          </w:p>
        </w:tc>
        <w:tc>
          <w:tcPr>
            <w:tcW w:type="dxa" w:w="3408"/>
            <w:vAlign w:val="center"/>
            <w:shd w:fill="EEF4F8"/>
          </w:tcPr>
          <w:p>
            <w:pPr>
              <w:spacing w:after="0"/>
            </w:pPr>
            <w:r/>
            <w:r>
              <w:rPr>
                <w:rFonts w:ascii="Arial" w:hAnsi="Arial"/>
                <w:b w:val="0"/>
                <w:sz w:val="15"/>
              </w:rPr>
              <w:t>Restore from backup</w:t>
            </w:r>
          </w:p>
        </w:tc>
        <w:tc>
          <w:tcPr>
            <w:tcW w:type="dxa" w:w="3408"/>
            <w:vAlign w:val="center"/>
            <w:shd w:fill="EEF4F8"/>
          </w:tcPr>
          <w:p>
            <w:pPr>
              <w:spacing w:after="0"/>
            </w:pPr>
            <w:r/>
            <w:r>
              <w:rPr>
                <w:rFonts w:ascii="Arial" w:hAnsi="Arial"/>
                <w:b w:val="0"/>
                <w:sz w:val="15"/>
              </w:rPr>
              <w:t>Application, DB, Python artifact, queue, and versions pass smoke tests before reopening.</w:t>
            </w:r>
          </w:p>
        </w:tc>
      </w:tr>
      <w:tr>
        <w:tc>
          <w:tcPr>
            <w:tcW w:type="dxa" w:w="3408"/>
            <w:vAlign w:val="center"/>
          </w:tcPr>
          <w:p>
            <w:pPr>
              <w:spacing w:after="0"/>
            </w:pPr>
            <w:r/>
            <w:r>
              <w:rPr>
                <w:rFonts w:ascii="Arial" w:hAnsi="Arial"/>
                <w:b w:val="0"/>
                <w:sz w:val="15"/>
              </w:rPr>
              <w:t>29</w:t>
            </w:r>
          </w:p>
        </w:tc>
        <w:tc>
          <w:tcPr>
            <w:tcW w:type="dxa" w:w="3408"/>
            <w:vAlign w:val="center"/>
          </w:tcPr>
          <w:p>
            <w:pPr>
              <w:spacing w:after="0"/>
            </w:pPr>
            <w:r/>
            <w:r>
              <w:rPr>
                <w:rFonts w:ascii="Arial" w:hAnsi="Arial"/>
                <w:b w:val="0"/>
                <w:sz w:val="15"/>
              </w:rPr>
              <w:t>Audit reconstruction</w:t>
            </w:r>
          </w:p>
        </w:tc>
        <w:tc>
          <w:tcPr>
            <w:tcW w:type="dxa" w:w="3408"/>
            <w:vAlign w:val="center"/>
          </w:tcPr>
          <w:p>
            <w:pPr>
              <w:spacing w:after="0"/>
            </w:pPr>
            <w:r/>
            <w:r>
              <w:rPr>
                <w:rFonts w:ascii="Arial" w:hAnsi="Arial"/>
                <w:b w:val="0"/>
                <w:sz w:val="15"/>
              </w:rPr>
              <w:t>One correlation ID retrieves the complete HTTP-to-Python-to-event chain.</w:t>
            </w:r>
          </w:p>
        </w:tc>
      </w:tr>
      <w:tr>
        <w:tc>
          <w:tcPr>
            <w:tcW w:type="dxa" w:w="3408"/>
            <w:vAlign w:val="center"/>
            <w:shd w:fill="EEF4F8"/>
          </w:tcPr>
          <w:p>
            <w:pPr>
              <w:spacing w:after="0"/>
            </w:pPr>
            <w:r/>
            <w:r>
              <w:rPr>
                <w:rFonts w:ascii="Arial" w:hAnsi="Arial"/>
                <w:b w:val="0"/>
                <w:sz w:val="15"/>
              </w:rPr>
              <w:t>30</w:t>
            </w:r>
          </w:p>
        </w:tc>
        <w:tc>
          <w:tcPr>
            <w:tcW w:type="dxa" w:w="3408"/>
            <w:vAlign w:val="center"/>
            <w:shd w:fill="EEF4F8"/>
          </w:tcPr>
          <w:p>
            <w:pPr>
              <w:spacing w:after="0"/>
            </w:pPr>
            <w:r/>
            <w:r>
              <w:rPr>
                <w:rFonts w:ascii="Arial" w:hAnsi="Arial"/>
                <w:b w:val="0"/>
                <w:sz w:val="15"/>
              </w:rPr>
              <w:t>Downtime urgent referral</w:t>
            </w:r>
          </w:p>
        </w:tc>
        <w:tc>
          <w:tcPr>
            <w:tcW w:type="dxa" w:w="3408"/>
            <w:vAlign w:val="center"/>
            <w:shd w:fill="EEF4F8"/>
          </w:tcPr>
          <w:p>
            <w:pPr>
              <w:spacing w:after="0"/>
            </w:pPr>
            <w:r/>
            <w:r>
              <w:rPr>
                <w:rFonts w:ascii="Arial" w:hAnsi="Arial"/>
                <w:b w:val="0"/>
                <w:sz w:val="15"/>
              </w:rPr>
              <w:t>Manual pathway proceeds; later reconciliation identifies source, actor, and time.</w:t>
            </w:r>
          </w:p>
        </w:tc>
      </w:tr>
      <w:tr>
        <w:tc>
          <w:tcPr>
            <w:tcW w:type="dxa" w:w="3408"/>
            <w:vAlign w:val="center"/>
          </w:tcPr>
          <w:p>
            <w:pPr>
              <w:spacing w:after="0"/>
            </w:pPr>
            <w:r/>
            <w:r>
              <w:rPr>
                <w:rFonts w:ascii="Arial" w:hAnsi="Arial"/>
                <w:b w:val="0"/>
                <w:sz w:val="15"/>
              </w:rPr>
              <w:t>31</w:t>
            </w:r>
          </w:p>
        </w:tc>
        <w:tc>
          <w:tcPr>
            <w:tcW w:type="dxa" w:w="3408"/>
            <w:vAlign w:val="center"/>
          </w:tcPr>
          <w:p>
            <w:pPr>
              <w:spacing w:after="0"/>
            </w:pPr>
            <w:r/>
            <w:r>
              <w:rPr>
                <w:rFonts w:ascii="Arial" w:hAnsi="Arial"/>
                <w:b w:val="0"/>
                <w:sz w:val="15"/>
              </w:rPr>
              <w:t>FHIR export prototype</w:t>
            </w:r>
          </w:p>
        </w:tc>
        <w:tc>
          <w:tcPr>
            <w:tcW w:type="dxa" w:w="3408"/>
            <w:vAlign w:val="center"/>
          </w:tcPr>
          <w:p>
            <w:pPr>
              <w:spacing w:after="0"/>
            </w:pPr>
            <w:r/>
            <w:r>
              <w:rPr>
                <w:rFonts w:ascii="Arial" w:hAnsi="Arial"/>
                <w:b w:val="0"/>
                <w:sz w:val="15"/>
              </w:rPr>
              <w:t>Output validates against chosen profile/mapping; no conformance claim if it does not.</w:t>
            </w:r>
          </w:p>
        </w:tc>
      </w:tr>
      <w:tr>
        <w:tc>
          <w:tcPr>
            <w:tcW w:type="dxa" w:w="3408"/>
            <w:vAlign w:val="center"/>
            <w:shd w:fill="EEF4F8"/>
          </w:tcPr>
          <w:p>
            <w:pPr>
              <w:spacing w:after="0"/>
            </w:pPr>
            <w:r/>
            <w:r>
              <w:rPr>
                <w:rFonts w:ascii="Arial" w:hAnsi="Arial"/>
                <w:b w:val="0"/>
                <w:sz w:val="15"/>
              </w:rPr>
              <w:t>32</w:t>
            </w:r>
          </w:p>
        </w:tc>
        <w:tc>
          <w:tcPr>
            <w:tcW w:type="dxa" w:w="3408"/>
            <w:vAlign w:val="center"/>
            <w:shd w:fill="EEF4F8"/>
          </w:tcPr>
          <w:p>
            <w:pPr>
              <w:spacing w:after="0"/>
            </w:pPr>
            <w:r/>
            <w:r>
              <w:rPr>
                <w:rFonts w:ascii="Arial" w:hAnsi="Arial"/>
                <w:b w:val="0"/>
                <w:sz w:val="15"/>
              </w:rPr>
              <w:t>Deployment rollback</w:t>
            </w:r>
          </w:p>
        </w:tc>
        <w:tc>
          <w:tcPr>
            <w:tcW w:type="dxa" w:w="3408"/>
            <w:vAlign w:val="center"/>
            <w:shd w:fill="EEF4F8"/>
          </w:tcPr>
          <w:p>
            <w:pPr>
              <w:spacing w:after="0"/>
            </w:pPr>
            <w:r/>
            <w:r>
              <w:rPr>
                <w:rFonts w:ascii="Arial" w:hAnsi="Arial"/>
                <w:b w:val="0"/>
                <w:sz w:val="15"/>
              </w:rPr>
              <w:t>Previously approved code/config/model combination restores without rewriting historical results.</w:t>
            </w:r>
          </w:p>
        </w:tc>
      </w:tr>
    </w:tbl>
    <w:p>
      <w:pPr>
        <w:spacing w:after="0"/>
      </w:pPr>
    </w:p>
    <w:p>
      <w:pPr>
        <w:pStyle w:val="Heading1"/>
        <w:keepNext/>
      </w:pPr>
      <w:r>
        <w:t>19. Release-Blocking Integration Defects</w:t>
      </w:r>
    </w:p>
    <w:p>
      <w:pPr>
        <w:pStyle w:val="ListBullet"/>
        <w:spacing w:after="40"/>
      </w:pPr>
      <w:r>
        <w:rPr>
          <w:rFonts w:ascii="Arial" w:hAnsi="Arial"/>
          <w:sz w:val="18"/>
        </w:rPr>
        <w:t>Any path that can turn missing, timed-out, malformed, or unknown ML output into LOW.</w:t>
      </w:r>
    </w:p>
    <w:p>
      <w:pPr>
        <w:pStyle w:val="ListBullet"/>
        <w:spacing w:after="40"/>
      </w:pPr>
      <w:r>
        <w:rPr>
          <w:rFonts w:ascii="Arial" w:hAnsi="Arial"/>
          <w:sz w:val="18"/>
        </w:rPr>
        <w:t>Any clinical mutation that omits pregnancy_episode_id scope or authorization.</w:t>
      </w:r>
    </w:p>
    <w:p>
      <w:pPr>
        <w:pStyle w:val="ListBullet"/>
        <w:spacing w:after="40"/>
      </w:pPr>
      <w:r>
        <w:rPr>
          <w:rFonts w:ascii="Arial" w:hAnsi="Arial"/>
          <w:sz w:val="18"/>
        </w:rPr>
        <w:t>Any use case that can commit a partial assessment, delivery, referral, or new-pregnancy transition.</w:t>
      </w:r>
    </w:p>
    <w:p>
      <w:pPr>
        <w:pStyle w:val="ListBullet"/>
        <w:spacing w:after="40"/>
      </w:pPr>
      <w:r>
        <w:rPr>
          <w:rFonts w:ascii="Arial" w:hAnsi="Arial"/>
          <w:sz w:val="18"/>
        </w:rPr>
        <w:t>Email or queued success effects dispatched before the database transaction commits.</w:t>
      </w:r>
    </w:p>
    <w:p>
      <w:pPr>
        <w:pStyle w:val="ListBullet"/>
        <w:spacing w:after="40"/>
      </w:pPr>
      <w:r>
        <w:rPr>
          <w:rFonts w:ascii="Arial" w:hAnsi="Arial"/>
          <w:sz w:val="18"/>
        </w:rPr>
        <w:t>Patient-controlled text or paths included in an executable command.</w:t>
      </w:r>
    </w:p>
    <w:p>
      <w:pPr>
        <w:pStyle w:val="ListBullet"/>
        <w:spacing w:after="40"/>
      </w:pPr>
      <w:r>
        <w:rPr>
          <w:rFonts w:ascii="Arial" w:hAnsi="Arial"/>
          <w:sz w:val="18"/>
        </w:rPr>
        <w:t>Unversioned feature mapping, rule catalogue, model artifact, explanation template, or recommendation catalogue.</w:t>
      </w:r>
    </w:p>
    <w:p>
      <w:pPr>
        <w:pStyle w:val="ListBullet"/>
        <w:spacing w:after="40"/>
      </w:pPr>
      <w:r>
        <w:rPr>
          <w:rFonts w:ascii="Arial" w:hAnsi="Arial"/>
          <w:sz w:val="18"/>
        </w:rPr>
        <w:t>No verification of model version/hash or no defined response to mismatch.</w:t>
      </w:r>
    </w:p>
    <w:p>
      <w:pPr>
        <w:pStyle w:val="ListBullet"/>
        <w:spacing w:after="40"/>
      </w:pPr>
      <w:r>
        <w:rPr>
          <w:rFonts w:ascii="Arial" w:hAnsi="Arial"/>
          <w:sz w:val="18"/>
        </w:rPr>
        <w:t>Duplicate submission can create duplicate delivery, baby, referral, assessment side effect, or notification.</w:t>
      </w:r>
    </w:p>
    <w:p>
      <w:pPr>
        <w:pStyle w:val="ListBullet"/>
        <w:spacing w:after="40"/>
      </w:pPr>
      <w:r>
        <w:rPr>
          <w:rFonts w:ascii="Arial" w:hAnsi="Arial"/>
          <w:sz w:val="18"/>
        </w:rPr>
        <w:t>Historical assessments are recomputed or overwritten rather than preserved as immutable snapshots.</w:t>
      </w:r>
    </w:p>
    <w:p>
      <w:pPr>
        <w:pStyle w:val="ListBullet"/>
        <w:spacing w:after="40"/>
      </w:pPr>
      <w:r>
        <w:rPr>
          <w:rFonts w:ascii="Arial" w:hAnsi="Arial"/>
          <w:sz w:val="18"/>
        </w:rPr>
        <w:t>Integration errors are hidden from users/operators or cannot be correlated across components.</w:t>
      </w:r>
    </w:p>
    <w:p>
      <w:pPr>
        <w:pStyle w:val="ListBullet"/>
        <w:spacing w:after="40"/>
      </w:pPr>
      <w:r>
        <w:rPr>
          <w:rFonts w:ascii="Arial" w:hAnsi="Arial"/>
          <w:sz w:val="18"/>
        </w:rPr>
        <w:t>Production release lacks a tested backup, rollback, Python smoke test, queue health check, and downtime procedure.</w:t>
      </w:r>
    </w:p>
    <w:p>
      <w:pPr>
        <w:pStyle w:val="Heading1"/>
        <w:keepNext/>
      </w:pPr>
      <w:r>
        <w:t>20. Implementation Roadmap</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408"/>
        <w:gridCol w:w="3408"/>
        <w:gridCol w:w="3408"/>
      </w:tblGrid>
      <w:tr>
        <w:tc>
          <w:tcPr>
            <w:tcW w:type="dxa" w:w="3408"/>
            <w:vAlign w:val="center"/>
            <w:shd w:fill="1F4E78"/>
          </w:tcPr>
          <w:p>
            <w:pPr>
              <w:spacing w:after="0"/>
            </w:pPr>
            <w:r/>
            <w:r>
              <w:rPr>
                <w:rFonts w:ascii="Arial" w:hAnsi="Arial"/>
                <w:b/>
                <w:color w:val="FFFFFF"/>
                <w:sz w:val="16"/>
              </w:rPr>
              <w:t>Phase</w:t>
            </w:r>
          </w:p>
        </w:tc>
        <w:tc>
          <w:tcPr>
            <w:tcW w:type="dxa" w:w="3408"/>
            <w:vAlign w:val="center"/>
            <w:shd w:fill="1F4E78"/>
          </w:tcPr>
          <w:p>
            <w:pPr>
              <w:spacing w:after="0"/>
            </w:pPr>
            <w:r/>
            <w:r>
              <w:rPr>
                <w:rFonts w:ascii="Arial" w:hAnsi="Arial"/>
                <w:b/>
                <w:color w:val="FFFFFF"/>
                <w:sz w:val="16"/>
              </w:rPr>
              <w:t>Work products</w:t>
            </w:r>
          </w:p>
        </w:tc>
        <w:tc>
          <w:tcPr>
            <w:tcW w:type="dxa" w:w="3408"/>
            <w:vAlign w:val="center"/>
            <w:shd w:fill="1F4E78"/>
          </w:tcPr>
          <w:p>
            <w:pPr>
              <w:spacing w:after="0"/>
            </w:pPr>
            <w:r/>
            <w:r>
              <w:rPr>
                <w:rFonts w:ascii="Arial" w:hAnsi="Arial"/>
                <w:b/>
                <w:color w:val="FFFFFF"/>
                <w:sz w:val="16"/>
              </w:rPr>
              <w:t>Exit criterion</w:t>
            </w:r>
          </w:p>
        </w:tc>
      </w:tr>
      <w:tr>
        <w:tc>
          <w:tcPr>
            <w:tcW w:type="dxa" w:w="3408"/>
            <w:vAlign w:val="center"/>
          </w:tcPr>
          <w:p>
            <w:pPr>
              <w:spacing w:after="0"/>
            </w:pPr>
            <w:r/>
            <w:r>
              <w:rPr>
                <w:rFonts w:ascii="Arial" w:hAnsi="Arial"/>
                <w:b w:val="0"/>
                <w:sz w:val="16"/>
              </w:rPr>
              <w:t>1. Contract inventory</w:t>
            </w:r>
          </w:p>
        </w:tc>
        <w:tc>
          <w:tcPr>
            <w:tcW w:type="dxa" w:w="3408"/>
            <w:vAlign w:val="center"/>
          </w:tcPr>
          <w:p>
            <w:pPr>
              <w:spacing w:after="0"/>
            </w:pPr>
            <w:r/>
            <w:r>
              <w:rPr>
                <w:rFonts w:ascii="Arial" w:hAnsi="Arial"/>
                <w:b w:val="0"/>
                <w:sz w:val="16"/>
              </w:rPr>
              <w:t>List current controllers, shell_exec call, models, events, mail, routes, and implicit data mappings.</w:t>
            </w:r>
          </w:p>
        </w:tc>
        <w:tc>
          <w:tcPr>
            <w:tcW w:type="dxa" w:w="3408"/>
            <w:vAlign w:val="center"/>
          </w:tcPr>
          <w:p>
            <w:pPr>
              <w:spacing w:after="0"/>
            </w:pPr>
            <w:r/>
            <w:r>
              <w:rPr>
                <w:rFonts w:ascii="Arial" w:hAnsi="Arial"/>
                <w:b w:val="0"/>
                <w:sz w:val="16"/>
              </w:rPr>
              <w:t>Every boundary and owner documented; unsafe coupling identified.</w:t>
            </w:r>
          </w:p>
        </w:tc>
      </w:tr>
      <w:tr>
        <w:tc>
          <w:tcPr>
            <w:tcW w:type="dxa" w:w="3408"/>
            <w:vAlign w:val="center"/>
            <w:shd w:fill="EEF4F8"/>
          </w:tcPr>
          <w:p>
            <w:pPr>
              <w:spacing w:after="0"/>
            </w:pPr>
            <w:r/>
            <w:r>
              <w:rPr>
                <w:rFonts w:ascii="Arial" w:hAnsi="Arial"/>
                <w:b w:val="0"/>
                <w:sz w:val="16"/>
              </w:rPr>
              <w:t>2. Typed core</w:t>
            </w:r>
          </w:p>
        </w:tc>
        <w:tc>
          <w:tcPr>
            <w:tcW w:type="dxa" w:w="3408"/>
            <w:vAlign w:val="center"/>
            <w:shd w:fill="EEF4F8"/>
          </w:tcPr>
          <w:p>
            <w:pPr>
              <w:spacing w:after="0"/>
            </w:pPr>
            <w:r/>
            <w:r>
              <w:rPr>
                <w:rFonts w:ascii="Arial" w:hAnsi="Arial"/>
                <w:b w:val="0"/>
                <w:sz w:val="16"/>
              </w:rPr>
              <w:t>Introduce commands, DTOs, episode-scoped snapshot, engine interfaces, and application services.</w:t>
            </w:r>
          </w:p>
        </w:tc>
        <w:tc>
          <w:tcPr>
            <w:tcW w:type="dxa" w:w="3408"/>
            <w:vAlign w:val="center"/>
            <w:shd w:fill="EEF4F8"/>
          </w:tcPr>
          <w:p>
            <w:pPr>
              <w:spacing w:after="0"/>
            </w:pPr>
            <w:r/>
            <w:r>
              <w:rPr>
                <w:rFonts w:ascii="Arial" w:hAnsi="Arial"/>
                <w:b w:val="0"/>
                <w:sz w:val="16"/>
              </w:rPr>
              <w:t>Controllers call one use case; engine unit tests pass.</w:t>
            </w:r>
          </w:p>
        </w:tc>
      </w:tr>
      <w:tr>
        <w:tc>
          <w:tcPr>
            <w:tcW w:type="dxa" w:w="3408"/>
            <w:vAlign w:val="center"/>
          </w:tcPr>
          <w:p>
            <w:pPr>
              <w:spacing w:after="0"/>
            </w:pPr>
            <w:r/>
            <w:r>
              <w:rPr>
                <w:rFonts w:ascii="Arial" w:hAnsi="Arial"/>
                <w:b w:val="0"/>
                <w:sz w:val="16"/>
              </w:rPr>
              <w:t>3. Python gateway</w:t>
            </w:r>
          </w:p>
        </w:tc>
        <w:tc>
          <w:tcPr>
            <w:tcW w:type="dxa" w:w="3408"/>
            <w:vAlign w:val="center"/>
          </w:tcPr>
          <w:p>
            <w:pPr>
              <w:spacing w:after="0"/>
            </w:pPr>
            <w:r/>
            <w:r>
              <w:rPr>
                <w:rFonts w:ascii="Arial" w:hAnsi="Arial"/>
                <w:b w:val="0"/>
                <w:sz w:val="16"/>
              </w:rPr>
              <w:t>Versioned JSON protocol, fixed process invocation, timeout, response validation, model checks, fakes/golden tests.</w:t>
            </w:r>
          </w:p>
        </w:tc>
        <w:tc>
          <w:tcPr>
            <w:tcW w:type="dxa" w:w="3408"/>
            <w:vAlign w:val="center"/>
          </w:tcPr>
          <w:p>
            <w:pPr>
              <w:spacing w:after="0"/>
            </w:pPr>
            <w:r/>
            <w:r>
              <w:rPr>
                <w:rFonts w:ascii="Arial" w:hAnsi="Arial"/>
                <w:b w:val="0"/>
                <w:sz w:val="16"/>
              </w:rPr>
              <w:t>No controller constructs commands; failure states verified.</w:t>
            </w:r>
          </w:p>
        </w:tc>
      </w:tr>
      <w:tr>
        <w:tc>
          <w:tcPr>
            <w:tcW w:type="dxa" w:w="3408"/>
            <w:vAlign w:val="center"/>
            <w:shd w:fill="EEF4F8"/>
          </w:tcPr>
          <w:p>
            <w:pPr>
              <w:spacing w:after="0"/>
            </w:pPr>
            <w:r/>
            <w:r>
              <w:rPr>
                <w:rFonts w:ascii="Arial" w:hAnsi="Arial"/>
                <w:b w:val="0"/>
                <w:sz w:val="16"/>
              </w:rPr>
              <w:t>4. Transaction/event refactor</w:t>
            </w:r>
          </w:p>
        </w:tc>
        <w:tc>
          <w:tcPr>
            <w:tcW w:type="dxa" w:w="3408"/>
            <w:vAlign w:val="center"/>
            <w:shd w:fill="EEF4F8"/>
          </w:tcPr>
          <w:p>
            <w:pPr>
              <w:spacing w:after="0"/>
            </w:pPr>
            <w:r/>
            <w:r>
              <w:rPr>
                <w:rFonts w:ascii="Arial" w:hAnsi="Arial"/>
                <w:b w:val="0"/>
                <w:sz w:val="16"/>
              </w:rPr>
              <w:t>Atomic persistence, idempotency keys, after-commit events, queue jobs.</w:t>
            </w:r>
          </w:p>
        </w:tc>
        <w:tc>
          <w:tcPr>
            <w:tcW w:type="dxa" w:w="3408"/>
            <w:vAlign w:val="center"/>
            <w:shd w:fill="EEF4F8"/>
          </w:tcPr>
          <w:p>
            <w:pPr>
              <w:spacing w:after="0"/>
            </w:pPr>
            <w:r/>
            <w:r>
              <w:rPr>
                <w:rFonts w:ascii="Arial" w:hAnsi="Arial"/>
                <w:b w:val="0"/>
                <w:sz w:val="16"/>
              </w:rPr>
              <w:t>Rollback and duplicate tests pass.</w:t>
            </w:r>
          </w:p>
        </w:tc>
      </w:tr>
      <w:tr>
        <w:tc>
          <w:tcPr>
            <w:tcW w:type="dxa" w:w="3408"/>
            <w:vAlign w:val="center"/>
          </w:tcPr>
          <w:p>
            <w:pPr>
              <w:spacing w:after="0"/>
            </w:pPr>
            <w:r/>
            <w:r>
              <w:rPr>
                <w:rFonts w:ascii="Arial" w:hAnsi="Arial"/>
                <w:b w:val="0"/>
                <w:sz w:val="16"/>
              </w:rPr>
              <w:t>5. Workflow/output integration</w:t>
            </w:r>
          </w:p>
        </w:tc>
        <w:tc>
          <w:tcPr>
            <w:tcW w:type="dxa" w:w="3408"/>
            <w:vAlign w:val="center"/>
          </w:tcPr>
          <w:p>
            <w:pPr>
              <w:spacing w:after="0"/>
            </w:pPr>
            <w:r/>
            <w:r>
              <w:rPr>
                <w:rFonts w:ascii="Arial" w:hAnsi="Arial"/>
                <w:b w:val="0"/>
                <w:sz w:val="16"/>
              </w:rPr>
              <w:t>Referral, refusal, delivery, new pregnancy, email, print, dashboard contracts.</w:t>
            </w:r>
          </w:p>
        </w:tc>
        <w:tc>
          <w:tcPr>
            <w:tcW w:type="dxa" w:w="3408"/>
            <w:vAlign w:val="center"/>
          </w:tcPr>
          <w:p>
            <w:pPr>
              <w:spacing w:after="0"/>
            </w:pPr>
            <w:r/>
            <w:r>
              <w:rPr>
                <w:rFonts w:ascii="Arial" w:hAnsi="Arial"/>
                <w:b w:val="0"/>
                <w:sz w:val="16"/>
              </w:rPr>
              <w:t>State-transition and side-effect tests pass.</w:t>
            </w:r>
          </w:p>
        </w:tc>
      </w:tr>
      <w:tr>
        <w:tc>
          <w:tcPr>
            <w:tcW w:type="dxa" w:w="3408"/>
            <w:vAlign w:val="center"/>
            <w:shd w:fill="EEF4F8"/>
          </w:tcPr>
          <w:p>
            <w:pPr>
              <w:spacing w:after="0"/>
            </w:pPr>
            <w:r/>
            <w:r>
              <w:rPr>
                <w:rFonts w:ascii="Arial" w:hAnsi="Arial"/>
                <w:b w:val="0"/>
                <w:sz w:val="16"/>
              </w:rPr>
              <w:t>6. Observability/security</w:t>
            </w:r>
          </w:p>
        </w:tc>
        <w:tc>
          <w:tcPr>
            <w:tcW w:type="dxa" w:w="3408"/>
            <w:vAlign w:val="center"/>
            <w:shd w:fill="EEF4F8"/>
          </w:tcPr>
          <w:p>
            <w:pPr>
              <w:spacing w:after="0"/>
            </w:pPr>
            <w:r/>
            <w:r>
              <w:rPr>
                <w:rFonts w:ascii="Arial" w:hAnsi="Arial"/>
                <w:b w:val="0"/>
                <w:sz w:val="16"/>
              </w:rPr>
              <w:t>Correlation IDs, audit trace, redaction, alerts, model/integration health.</w:t>
            </w:r>
          </w:p>
        </w:tc>
        <w:tc>
          <w:tcPr>
            <w:tcW w:type="dxa" w:w="3408"/>
            <w:vAlign w:val="center"/>
            <w:shd w:fill="EEF4F8"/>
          </w:tcPr>
          <w:p>
            <w:pPr>
              <w:spacing w:after="0"/>
            </w:pPr>
            <w:r/>
            <w:r>
              <w:rPr>
                <w:rFonts w:ascii="Arial" w:hAnsi="Arial"/>
                <w:b w:val="0"/>
                <w:sz w:val="16"/>
              </w:rPr>
              <w:t>A complete assessment can be reconstructed and monitored.</w:t>
            </w:r>
          </w:p>
        </w:tc>
      </w:tr>
      <w:tr>
        <w:tc>
          <w:tcPr>
            <w:tcW w:type="dxa" w:w="3408"/>
            <w:vAlign w:val="center"/>
          </w:tcPr>
          <w:p>
            <w:pPr>
              <w:spacing w:after="0"/>
            </w:pPr>
            <w:r/>
            <w:r>
              <w:rPr>
                <w:rFonts w:ascii="Arial" w:hAnsi="Arial"/>
                <w:b w:val="0"/>
                <w:sz w:val="16"/>
              </w:rPr>
              <w:t>7. Interoperability readiness</w:t>
            </w:r>
          </w:p>
        </w:tc>
        <w:tc>
          <w:tcPr>
            <w:tcW w:type="dxa" w:w="3408"/>
            <w:vAlign w:val="center"/>
          </w:tcPr>
          <w:p>
            <w:pPr>
              <w:spacing w:after="0"/>
            </w:pPr>
            <w:r/>
            <w:r>
              <w:rPr>
                <w:rFonts w:ascii="Arial" w:hAnsi="Arial"/>
                <w:b w:val="0"/>
                <w:sz w:val="16"/>
              </w:rPr>
              <w:t>Data dictionary, coded fields, export mapping, provenance/consent design.</w:t>
            </w:r>
          </w:p>
        </w:tc>
        <w:tc>
          <w:tcPr>
            <w:tcW w:type="dxa" w:w="3408"/>
            <w:vAlign w:val="center"/>
          </w:tcPr>
          <w:p>
            <w:pPr>
              <w:spacing w:after="0"/>
            </w:pPr>
            <w:r/>
            <w:r>
              <w:rPr>
                <w:rFonts w:ascii="Arial" w:hAnsi="Arial"/>
                <w:b w:val="0"/>
                <w:sz w:val="16"/>
              </w:rPr>
              <w:t>Prototype validates against chosen local/export specification.</w:t>
            </w:r>
          </w:p>
        </w:tc>
      </w:tr>
      <w:tr>
        <w:tc>
          <w:tcPr>
            <w:tcW w:type="dxa" w:w="3408"/>
            <w:vAlign w:val="center"/>
            <w:shd w:fill="EEF4F8"/>
          </w:tcPr>
          <w:p>
            <w:pPr>
              <w:spacing w:after="0"/>
            </w:pPr>
            <w:r/>
            <w:r>
              <w:rPr>
                <w:rFonts w:ascii="Arial" w:hAnsi="Arial"/>
                <w:b w:val="0"/>
                <w:sz w:val="16"/>
              </w:rPr>
              <w:t>8. Release validation</w:t>
            </w:r>
          </w:p>
        </w:tc>
        <w:tc>
          <w:tcPr>
            <w:tcW w:type="dxa" w:w="3408"/>
            <w:vAlign w:val="center"/>
            <w:shd w:fill="EEF4F8"/>
          </w:tcPr>
          <w:p>
            <w:pPr>
              <w:spacing w:after="0"/>
            </w:pPr>
            <w:r/>
            <w:r>
              <w:rPr>
                <w:rFonts w:ascii="Arial" w:hAnsi="Arial"/>
                <w:b w:val="0"/>
                <w:sz w:val="16"/>
              </w:rPr>
              <w:t>Run Parts 9-12 deployment, verification, maintenance, and implementation checks.</w:t>
            </w:r>
          </w:p>
        </w:tc>
        <w:tc>
          <w:tcPr>
            <w:tcW w:type="dxa" w:w="3408"/>
            <w:vAlign w:val="center"/>
            <w:shd w:fill="EEF4F8"/>
          </w:tcPr>
          <w:p>
            <w:pPr>
              <w:spacing w:after="0"/>
            </w:pPr>
            <w:r/>
            <w:r>
              <w:rPr>
                <w:rFonts w:ascii="Arial" w:hAnsi="Arial"/>
                <w:b w:val="0"/>
                <w:sz w:val="16"/>
              </w:rPr>
              <w:t>Approved release package and rollback evidence.</w:t>
            </w:r>
          </w:p>
        </w:tc>
      </w:tr>
    </w:tbl>
    <w:p>
      <w:pPr>
        <w:spacing w:after="0"/>
      </w:pPr>
    </w:p>
    <w:p>
      <w:pPr>
        <w:pStyle w:val="Heading1"/>
        <w:keepNext/>
      </w:pPr>
      <w:r>
        <w:t>21. Panel Defense Questions and Answers</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6"/>
              </w:rPr>
              <w:t>Question</w:t>
            </w:r>
          </w:p>
        </w:tc>
        <w:tc>
          <w:tcPr>
            <w:tcW w:type="dxa" w:w="5112"/>
            <w:vAlign w:val="center"/>
            <w:shd w:fill="1F4E78"/>
          </w:tcPr>
          <w:p>
            <w:pPr>
              <w:spacing w:after="0"/>
            </w:pPr>
            <w:r/>
            <w:r>
              <w:rPr>
                <w:rFonts w:ascii="Arial" w:hAnsi="Arial"/>
                <w:b/>
                <w:color w:val="FFFFFF"/>
                <w:sz w:val="16"/>
              </w:rPr>
              <w:t>Defense-ready answer</w:t>
            </w:r>
          </w:p>
        </w:tc>
      </w:tr>
      <w:tr>
        <w:tc>
          <w:tcPr>
            <w:tcW w:type="dxa" w:w="5112"/>
            <w:vAlign w:val="center"/>
          </w:tcPr>
          <w:p>
            <w:pPr>
              <w:spacing w:after="0"/>
            </w:pPr>
            <w:r/>
            <w:r>
              <w:rPr>
                <w:rFonts w:ascii="Arial" w:hAnsi="Arial"/>
                <w:b w:val="0"/>
                <w:sz w:val="16"/>
              </w:rPr>
              <w:t>Why is Laravel the orchestrator instead of Python?</w:t>
            </w:r>
          </w:p>
        </w:tc>
        <w:tc>
          <w:tcPr>
            <w:tcW w:type="dxa" w:w="5112"/>
            <w:vAlign w:val="center"/>
          </w:tcPr>
          <w:p>
            <w:pPr>
              <w:spacing w:after="0"/>
            </w:pPr>
            <w:r/>
            <w:r>
              <w:rPr>
                <w:rFonts w:ascii="Arial" w:hAnsi="Arial"/>
                <w:b w:val="0"/>
                <w:sz w:val="16"/>
              </w:rPr>
              <w:t>Laravel owns authentication, authorization, workflow, transactions, persistence, and audit. Python has one narrow responsibility: validated model inference. This reduces attack surface and preserves one system of record.</w:t>
            </w:r>
          </w:p>
        </w:tc>
      </w:tr>
      <w:tr>
        <w:tc>
          <w:tcPr>
            <w:tcW w:type="dxa" w:w="5112"/>
            <w:vAlign w:val="center"/>
            <w:shd w:fill="EEF4F8"/>
          </w:tcPr>
          <w:p>
            <w:pPr>
              <w:spacing w:after="0"/>
            </w:pPr>
            <w:r/>
            <w:r>
              <w:rPr>
                <w:rFonts w:ascii="Arial" w:hAnsi="Arial"/>
                <w:b w:val="0"/>
                <w:sz w:val="16"/>
              </w:rPr>
              <w:t>What happens when Python fails?</w:t>
            </w:r>
          </w:p>
        </w:tc>
        <w:tc>
          <w:tcPr>
            <w:tcW w:type="dxa" w:w="5112"/>
            <w:vAlign w:val="center"/>
            <w:shd w:fill="EEF4F8"/>
          </w:tcPr>
          <w:p>
            <w:pPr>
              <w:spacing w:after="0"/>
            </w:pPr>
            <w:r/>
            <w:r>
              <w:rPr>
                <w:rFonts w:ascii="Arial" w:hAnsi="Arial"/>
                <w:b w:val="0"/>
                <w:sz w:val="16"/>
              </w:rPr>
              <w:t>The adapter returns an explicit invalid result. Deterministic HIGH rules still apply; LOW is never inferred. Without a valid LOW/HIGH ML result and complete prerequisites, the final state is ASSESSMENT INCOMPLETE.</w:t>
            </w:r>
          </w:p>
        </w:tc>
      </w:tr>
      <w:tr>
        <w:tc>
          <w:tcPr>
            <w:tcW w:type="dxa" w:w="5112"/>
            <w:vAlign w:val="center"/>
          </w:tcPr>
          <w:p>
            <w:pPr>
              <w:spacing w:after="0"/>
            </w:pPr>
            <w:r/>
            <w:r>
              <w:rPr>
                <w:rFonts w:ascii="Arial" w:hAnsi="Arial"/>
                <w:b w:val="0"/>
                <w:sz w:val="16"/>
              </w:rPr>
              <w:t>Why not put everything in the controller?</w:t>
            </w:r>
          </w:p>
        </w:tc>
        <w:tc>
          <w:tcPr>
            <w:tcW w:type="dxa" w:w="5112"/>
            <w:vAlign w:val="center"/>
          </w:tcPr>
          <w:p>
            <w:pPr>
              <w:spacing w:after="0"/>
            </w:pPr>
            <w:r/>
            <w:r>
              <w:rPr>
                <w:rFonts w:ascii="Arial" w:hAnsi="Arial"/>
                <w:b w:val="0"/>
                <w:sz w:val="16"/>
              </w:rPr>
              <w:t>Controllers are transport adapters. Separating orchestration and domain engines makes rules testable, prevents duplicated logic, and provides clear transaction and security boundaries.</w:t>
            </w:r>
          </w:p>
        </w:tc>
      </w:tr>
      <w:tr>
        <w:tc>
          <w:tcPr>
            <w:tcW w:type="dxa" w:w="5112"/>
            <w:vAlign w:val="center"/>
            <w:shd w:fill="EEF4F8"/>
          </w:tcPr>
          <w:p>
            <w:pPr>
              <w:spacing w:after="0"/>
            </w:pPr>
            <w:r/>
            <w:r>
              <w:rPr>
                <w:rFonts w:ascii="Arial" w:hAnsi="Arial"/>
                <w:b w:val="0"/>
                <w:sz w:val="16"/>
              </w:rPr>
              <w:t>Why are emails after commit?</w:t>
            </w:r>
          </w:p>
        </w:tc>
        <w:tc>
          <w:tcPr>
            <w:tcW w:type="dxa" w:w="5112"/>
            <w:vAlign w:val="center"/>
            <w:shd w:fill="EEF4F8"/>
          </w:tcPr>
          <w:p>
            <w:pPr>
              <w:spacing w:after="0"/>
            </w:pPr>
            <w:r/>
            <w:r>
              <w:rPr>
                <w:rFonts w:ascii="Arial" w:hAnsi="Arial"/>
                <w:b w:val="0"/>
                <w:sz w:val="16"/>
              </w:rPr>
              <w:t>An email sent before commit may describe a state later rolled back. After-commit events guarantee the message refers to authoritative data.</w:t>
            </w:r>
          </w:p>
        </w:tc>
      </w:tr>
      <w:tr>
        <w:tc>
          <w:tcPr>
            <w:tcW w:type="dxa" w:w="5112"/>
            <w:vAlign w:val="center"/>
          </w:tcPr>
          <w:p>
            <w:pPr>
              <w:spacing w:after="0"/>
            </w:pPr>
            <w:r/>
            <w:r>
              <w:rPr>
                <w:rFonts w:ascii="Arial" w:hAnsi="Arial"/>
                <w:b w:val="0"/>
                <w:sz w:val="16"/>
              </w:rPr>
              <w:t>How do you prevent duplicated delivery or referrals?</w:t>
            </w:r>
          </w:p>
        </w:tc>
        <w:tc>
          <w:tcPr>
            <w:tcW w:type="dxa" w:w="5112"/>
            <w:vAlign w:val="center"/>
          </w:tcPr>
          <w:p>
            <w:pPr>
              <w:spacing w:after="0"/>
            </w:pPr>
            <w:r/>
            <w:r>
              <w:rPr>
                <w:rFonts w:ascii="Arial" w:hAnsi="Arial"/>
                <w:b w:val="0"/>
                <w:sz w:val="16"/>
              </w:rPr>
              <w:t>Idempotency keys, unique constraints, transactional state checks, and idempotent listeners/jobs.</w:t>
            </w:r>
          </w:p>
        </w:tc>
      </w:tr>
      <w:tr>
        <w:tc>
          <w:tcPr>
            <w:tcW w:type="dxa" w:w="5112"/>
            <w:vAlign w:val="center"/>
            <w:shd w:fill="EEF4F8"/>
          </w:tcPr>
          <w:p>
            <w:pPr>
              <w:spacing w:after="0"/>
            </w:pPr>
            <w:r/>
            <w:r>
              <w:rPr>
                <w:rFonts w:ascii="Arial" w:hAnsi="Arial"/>
                <w:b w:val="0"/>
                <w:sz w:val="16"/>
              </w:rPr>
              <w:t>How can a past decision be defended?</w:t>
            </w:r>
          </w:p>
        </w:tc>
        <w:tc>
          <w:tcPr>
            <w:tcW w:type="dxa" w:w="5112"/>
            <w:vAlign w:val="center"/>
            <w:shd w:fill="EEF4F8"/>
          </w:tcPr>
          <w:p>
            <w:pPr>
              <w:spacing w:after="0"/>
            </w:pPr>
            <w:r/>
            <w:r>
              <w:rPr>
                <w:rFonts w:ascii="Arial" w:hAnsi="Arial"/>
                <w:b w:val="0"/>
                <w:sz w:val="16"/>
              </w:rPr>
              <w:t>The system stores the immutable input snapshot, source IDs/timestamps, rule version, model version/hash/status, final reasons, explanation/recommendation versions, actor, and correlation ID.</w:t>
            </w:r>
          </w:p>
        </w:tc>
      </w:tr>
      <w:tr>
        <w:tc>
          <w:tcPr>
            <w:tcW w:type="dxa" w:w="5112"/>
            <w:vAlign w:val="center"/>
          </w:tcPr>
          <w:p>
            <w:pPr>
              <w:spacing w:after="0"/>
            </w:pPr>
            <w:r/>
            <w:r>
              <w:rPr>
                <w:rFonts w:ascii="Arial" w:hAnsi="Arial"/>
                <w:b w:val="0"/>
                <w:sz w:val="16"/>
              </w:rPr>
              <w:t>Is the system FHIR compliant?</w:t>
            </w:r>
          </w:p>
        </w:tc>
        <w:tc>
          <w:tcPr>
            <w:tcW w:type="dxa" w:w="5112"/>
            <w:vAlign w:val="center"/>
          </w:tcPr>
          <w:p>
            <w:pPr>
              <w:spacing w:after="0"/>
            </w:pPr>
            <w:r/>
            <w:r>
              <w:rPr>
                <w:rFonts w:ascii="Arial" w:hAnsi="Arial"/>
                <w:b w:val="0"/>
                <w:sz w:val="16"/>
              </w:rPr>
              <w:t>Not currently. The architecture is FHIR-ready through structured data and mappings, but compliance requires a selected implementation guide, profiles, terminology, validation, security, and conformance testing.</w:t>
            </w:r>
          </w:p>
        </w:tc>
      </w:tr>
      <w:tr>
        <w:tc>
          <w:tcPr>
            <w:tcW w:type="dxa" w:w="5112"/>
            <w:vAlign w:val="center"/>
            <w:shd w:fill="EEF4F8"/>
          </w:tcPr>
          <w:p>
            <w:pPr>
              <w:spacing w:after="0"/>
            </w:pPr>
            <w:r/>
            <w:r>
              <w:rPr>
                <w:rFonts w:ascii="Arial" w:hAnsi="Arial"/>
                <w:b w:val="0"/>
                <w:sz w:val="16"/>
              </w:rPr>
              <w:t>Does the CDSS automatically manage the patient?</w:t>
            </w:r>
          </w:p>
        </w:tc>
        <w:tc>
          <w:tcPr>
            <w:tcW w:type="dxa" w:w="5112"/>
            <w:vAlign w:val="center"/>
            <w:shd w:fill="EEF4F8"/>
          </w:tcPr>
          <w:p>
            <w:pPr>
              <w:spacing w:after="0"/>
            </w:pPr>
            <w:r/>
            <w:r>
              <w:rPr>
                <w:rFonts w:ascii="Arial" w:hAnsi="Arial"/>
                <w:b w:val="0"/>
                <w:sz w:val="16"/>
              </w:rPr>
              <w:t>No. It organizes evidence and recommendations for authorized staff. Urgent care and referral remain human-led, and the system does not replace professional judgment.</w:t>
            </w:r>
          </w:p>
        </w:tc>
      </w:tr>
    </w:tbl>
    <w:p>
      <w:pPr>
        <w:spacing w:after="0"/>
      </w:pPr>
    </w:p>
    <w:p>
      <w:pPr>
        <w:pStyle w:val="Heading1"/>
        <w:keepNext/>
      </w:pPr>
      <w:r>
        <w:t>22. Integration Readiness Checklist</w:t>
      </w:r>
    </w:p>
    <w:p>
      <w:pPr>
        <w:pStyle w:val="ListBullet"/>
        <w:spacing w:after="40"/>
      </w:pPr>
      <w:r>
        <w:rPr>
          <w:rFonts w:ascii="Arial" w:hAnsi="Arial"/>
          <w:sz w:val="18"/>
        </w:rPr>
        <w:t>All clinical commands include patient and pregnancy episode identity.</w:t>
      </w:r>
    </w:p>
    <w:p>
      <w:pPr>
        <w:pStyle w:val="ListBullet"/>
        <w:spacing w:after="40"/>
      </w:pPr>
      <w:r>
        <w:rPr>
          <w:rFonts w:ascii="Arial" w:hAnsi="Arial"/>
          <w:sz w:val="18"/>
        </w:rPr>
        <w:t>One documented source exists for each field, unit, enum, missing-data rule, and derived feature.</w:t>
      </w:r>
    </w:p>
    <w:p>
      <w:pPr>
        <w:pStyle w:val="ListBullet"/>
        <w:spacing w:after="40"/>
      </w:pPr>
      <w:r>
        <w:rPr>
          <w:rFonts w:ascii="Arial" w:hAnsi="Arial"/>
          <w:sz w:val="18"/>
        </w:rPr>
        <w:t>Python request/response schemas are versioned, tested, timeout-bounded, and hash-aware.</w:t>
      </w:r>
    </w:p>
    <w:p>
      <w:pPr>
        <w:pStyle w:val="ListBullet"/>
        <w:spacing w:after="40"/>
      </w:pPr>
      <w:r>
        <w:rPr>
          <w:rFonts w:ascii="Arial" w:hAnsi="Arial"/>
          <w:sz w:val="18"/>
        </w:rPr>
        <w:t>Rules, ML, explanation, and recommendations consume the same immutable snapshot.</w:t>
      </w:r>
    </w:p>
    <w:p>
      <w:pPr>
        <w:pStyle w:val="ListBullet"/>
        <w:spacing w:after="40"/>
      </w:pPr>
      <w:r>
        <w:rPr>
          <w:rFonts w:ascii="Arial" w:hAnsi="Arial"/>
          <w:sz w:val="18"/>
        </w:rPr>
        <w:t>Core writes are atomic and non-critical effects occur after commit.</w:t>
      </w:r>
    </w:p>
    <w:p>
      <w:pPr>
        <w:pStyle w:val="ListBullet"/>
        <w:spacing w:after="40"/>
      </w:pPr>
      <w:r>
        <w:rPr>
          <w:rFonts w:ascii="Arial" w:hAnsi="Arial"/>
          <w:sz w:val="18"/>
        </w:rPr>
        <w:t>Every retryable operation is idempotent and duplicate-sensitive tables have constraints.</w:t>
      </w:r>
    </w:p>
    <w:p>
      <w:pPr>
        <w:pStyle w:val="ListBullet"/>
        <w:spacing w:after="40"/>
      </w:pPr>
      <w:r>
        <w:rPr>
          <w:rFonts w:ascii="Arial" w:hAnsi="Arial"/>
          <w:sz w:val="18"/>
        </w:rPr>
        <w:t>Assessment, referral, delivery, and new-pregnancy states are distinct and reconstructable.</w:t>
      </w:r>
    </w:p>
    <w:p>
      <w:pPr>
        <w:pStyle w:val="ListBullet"/>
        <w:spacing w:after="40"/>
      </w:pPr>
      <w:r>
        <w:rPr>
          <w:rFonts w:ascii="Arial" w:hAnsi="Arial"/>
          <w:sz w:val="18"/>
        </w:rPr>
        <w:t>Correlation IDs join application, process, queue, mail, and audit evidence.</w:t>
      </w:r>
    </w:p>
    <w:p>
      <w:pPr>
        <w:pStyle w:val="ListBullet"/>
        <w:spacing w:after="40"/>
      </w:pPr>
      <w:r>
        <w:rPr>
          <w:rFonts w:ascii="Arial" w:hAnsi="Arial"/>
          <w:sz w:val="18"/>
        </w:rPr>
        <w:t>Failure states are user-visible and never default to LOW.</w:t>
      </w:r>
    </w:p>
    <w:p>
      <w:pPr>
        <w:pStyle w:val="ListBullet"/>
        <w:spacing w:after="40"/>
      </w:pPr>
      <w:r>
        <w:rPr>
          <w:rFonts w:ascii="Arial" w:hAnsi="Arial"/>
          <w:sz w:val="18"/>
        </w:rPr>
        <w:t>Contract, workflow, security, rollback, and downtime tests pass before deployment.</w:t>
      </w:r>
    </w:p>
    <w:p>
      <w:pPr>
        <w:pStyle w:val="ListBullet"/>
        <w:spacing w:after="40"/>
      </w:pPr>
      <w:r>
        <w:rPr>
          <w:rFonts w:ascii="Arial" w:hAnsi="Arial"/>
          <w:sz w:val="18"/>
        </w:rPr>
        <w:t>Parts 9-12 are reviewed against this framework before Document 6 is finalized.</w:t>
      </w:r>
    </w:p>
    <w:p>
      <w:pPr>
        <w:pStyle w:val="Heading1"/>
        <w:keepNext/>
      </w:pPr>
      <w:r>
        <w:t>23. Relationship to the Complete Document 6</w:t>
      </w:r>
    </w:p>
    <w:tbl>
      <w:tblPr>
        <w:tblW w:type="auto" w:w="0"/>
        <w:jc w:val="center"/>
        <w:tblLayout w:type="autofit"/>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5112"/>
        <w:gridCol w:w="5112"/>
      </w:tblGrid>
      <w:tr>
        <w:tc>
          <w:tcPr>
            <w:tcW w:type="dxa" w:w="5112"/>
            <w:vAlign w:val="center"/>
            <w:shd w:fill="1F4E78"/>
          </w:tcPr>
          <w:p>
            <w:pPr>
              <w:spacing w:after="0"/>
            </w:pPr>
            <w:r/>
            <w:r>
              <w:rPr>
                <w:rFonts w:ascii="Arial" w:hAnsi="Arial"/>
                <w:b/>
                <w:color w:val="FFFFFF"/>
                <w:sz w:val="16"/>
              </w:rPr>
              <w:t>Part</w:t>
            </w:r>
          </w:p>
        </w:tc>
        <w:tc>
          <w:tcPr>
            <w:tcW w:type="dxa" w:w="5112"/>
            <w:vAlign w:val="center"/>
            <w:shd w:fill="1F4E78"/>
          </w:tcPr>
          <w:p>
            <w:pPr>
              <w:spacing w:after="0"/>
            </w:pPr>
            <w:r/>
            <w:r>
              <w:rPr>
                <w:rFonts w:ascii="Arial" w:hAnsi="Arial"/>
                <w:b/>
                <w:color w:val="FFFFFF"/>
                <w:sz w:val="16"/>
              </w:rPr>
              <w:t>Integration role</w:t>
            </w:r>
          </w:p>
        </w:tc>
      </w:tr>
      <w:tr>
        <w:tc>
          <w:tcPr>
            <w:tcW w:type="dxa" w:w="5112"/>
            <w:vAlign w:val="center"/>
          </w:tcPr>
          <w:p>
            <w:pPr>
              <w:spacing w:after="0"/>
            </w:pPr>
            <w:r/>
            <w:r>
              <w:rPr>
                <w:rFonts w:ascii="Arial" w:hAnsi="Arial"/>
                <w:b w:val="0"/>
                <w:sz w:val="16"/>
              </w:rPr>
              <w:t>Part 1 - System Architecture</w:t>
            </w:r>
          </w:p>
        </w:tc>
        <w:tc>
          <w:tcPr>
            <w:tcW w:type="dxa" w:w="5112"/>
            <w:vAlign w:val="center"/>
          </w:tcPr>
          <w:p>
            <w:pPr>
              <w:spacing w:after="0"/>
            </w:pPr>
            <w:r/>
            <w:r>
              <w:rPr>
                <w:rFonts w:ascii="Arial" w:hAnsi="Arial"/>
                <w:b w:val="0"/>
                <w:sz w:val="16"/>
              </w:rPr>
              <w:t>Defines the overall components and boundaries connected here.</w:t>
            </w:r>
          </w:p>
        </w:tc>
      </w:tr>
      <w:tr>
        <w:tc>
          <w:tcPr>
            <w:tcW w:type="dxa" w:w="5112"/>
            <w:vAlign w:val="center"/>
            <w:shd w:fill="EEF4F8"/>
          </w:tcPr>
          <w:p>
            <w:pPr>
              <w:spacing w:after="0"/>
            </w:pPr>
            <w:r/>
            <w:r>
              <w:rPr>
                <w:rFonts w:ascii="Arial" w:hAnsi="Arial"/>
                <w:b w:val="0"/>
                <w:sz w:val="16"/>
              </w:rPr>
              <w:t>Part 2 - Data Architecture</w:t>
            </w:r>
          </w:p>
        </w:tc>
        <w:tc>
          <w:tcPr>
            <w:tcW w:type="dxa" w:w="5112"/>
            <w:vAlign w:val="center"/>
            <w:shd w:fill="EEF4F8"/>
          </w:tcPr>
          <w:p>
            <w:pPr>
              <w:spacing w:after="0"/>
            </w:pPr>
            <w:r/>
            <w:r>
              <w:rPr>
                <w:rFonts w:ascii="Arial" w:hAnsi="Arial"/>
                <w:b w:val="0"/>
                <w:sz w:val="16"/>
              </w:rPr>
              <w:t>Defines entities, episode scope, historical integrity, and source data.</w:t>
            </w:r>
          </w:p>
        </w:tc>
      </w:tr>
      <w:tr>
        <w:tc>
          <w:tcPr>
            <w:tcW w:type="dxa" w:w="5112"/>
            <w:vAlign w:val="center"/>
          </w:tcPr>
          <w:p>
            <w:pPr>
              <w:spacing w:after="0"/>
            </w:pPr>
            <w:r/>
            <w:r>
              <w:rPr>
                <w:rFonts w:ascii="Arial" w:hAnsi="Arial"/>
                <w:b w:val="0"/>
                <w:sz w:val="16"/>
              </w:rPr>
              <w:t>Part 3 - Assessment Engine</w:t>
            </w:r>
          </w:p>
        </w:tc>
        <w:tc>
          <w:tcPr>
            <w:tcW w:type="dxa" w:w="5112"/>
            <w:vAlign w:val="center"/>
          </w:tcPr>
          <w:p>
            <w:pPr>
              <w:spacing w:after="0"/>
            </w:pPr>
            <w:r/>
            <w:r>
              <w:rPr>
                <w:rFonts w:ascii="Arial" w:hAnsi="Arial"/>
                <w:b w:val="0"/>
                <w:sz w:val="16"/>
              </w:rPr>
              <w:t>Defines completeness, rules, ML adapter, resolver, and persistence inputs.</w:t>
            </w:r>
          </w:p>
        </w:tc>
      </w:tr>
      <w:tr>
        <w:tc>
          <w:tcPr>
            <w:tcW w:type="dxa" w:w="5112"/>
            <w:vAlign w:val="center"/>
            <w:shd w:fill="EEF4F8"/>
          </w:tcPr>
          <w:p>
            <w:pPr>
              <w:spacing w:after="0"/>
            </w:pPr>
            <w:r/>
            <w:r>
              <w:rPr>
                <w:rFonts w:ascii="Arial" w:hAnsi="Arial"/>
                <w:b w:val="0"/>
                <w:sz w:val="16"/>
              </w:rPr>
              <w:t>Part 4 - Explainability Engine</w:t>
            </w:r>
          </w:p>
        </w:tc>
        <w:tc>
          <w:tcPr>
            <w:tcW w:type="dxa" w:w="5112"/>
            <w:vAlign w:val="center"/>
            <w:shd w:fill="EEF4F8"/>
          </w:tcPr>
          <w:p>
            <w:pPr>
              <w:spacing w:after="0"/>
            </w:pPr>
            <w:r/>
            <w:r>
              <w:rPr>
                <w:rFonts w:ascii="Arial" w:hAnsi="Arial"/>
                <w:b w:val="0"/>
                <w:sz w:val="16"/>
              </w:rPr>
              <w:t>Defines how the final decision becomes reconstructable audience-specific explanation.</w:t>
            </w:r>
          </w:p>
        </w:tc>
      </w:tr>
      <w:tr>
        <w:tc>
          <w:tcPr>
            <w:tcW w:type="dxa" w:w="5112"/>
            <w:vAlign w:val="center"/>
          </w:tcPr>
          <w:p>
            <w:pPr>
              <w:spacing w:after="0"/>
            </w:pPr>
            <w:r/>
            <w:r>
              <w:rPr>
                <w:rFonts w:ascii="Arial" w:hAnsi="Arial"/>
                <w:b w:val="0"/>
                <w:sz w:val="16"/>
              </w:rPr>
              <w:t>Part 5 - Recommendation Engine</w:t>
            </w:r>
          </w:p>
        </w:tc>
        <w:tc>
          <w:tcPr>
            <w:tcW w:type="dxa" w:w="5112"/>
            <w:vAlign w:val="center"/>
          </w:tcPr>
          <w:p>
            <w:pPr>
              <w:spacing w:after="0"/>
            </w:pPr>
            <w:r/>
            <w:r>
              <w:rPr>
                <w:rFonts w:ascii="Arial" w:hAnsi="Arial"/>
                <w:b w:val="0"/>
                <w:sz w:val="16"/>
              </w:rPr>
              <w:t>Defines controlled actions and urgency derived from the finalized decision.</w:t>
            </w:r>
          </w:p>
        </w:tc>
      </w:tr>
      <w:tr>
        <w:tc>
          <w:tcPr>
            <w:tcW w:type="dxa" w:w="5112"/>
            <w:vAlign w:val="center"/>
            <w:shd w:fill="EEF4F8"/>
          </w:tcPr>
          <w:p>
            <w:pPr>
              <w:spacing w:after="0"/>
            </w:pPr>
            <w:r/>
            <w:r>
              <w:rPr>
                <w:rFonts w:ascii="Arial" w:hAnsi="Arial"/>
                <w:b w:val="0"/>
                <w:sz w:val="16"/>
              </w:rPr>
              <w:t>Part 6 - Workflow Engine</w:t>
            </w:r>
          </w:p>
        </w:tc>
        <w:tc>
          <w:tcPr>
            <w:tcW w:type="dxa" w:w="5112"/>
            <w:vAlign w:val="center"/>
            <w:shd w:fill="EEF4F8"/>
          </w:tcPr>
          <w:p>
            <w:pPr>
              <w:spacing w:after="0"/>
            </w:pPr>
            <w:r/>
            <w:r>
              <w:rPr>
                <w:rFonts w:ascii="Arial" w:hAnsi="Arial"/>
                <w:b w:val="0"/>
                <w:sz w:val="16"/>
              </w:rPr>
              <w:t>Defines patient, referral, delivery, refusal, and new-pregnancy transitions.</w:t>
            </w:r>
          </w:p>
        </w:tc>
      </w:tr>
      <w:tr>
        <w:tc>
          <w:tcPr>
            <w:tcW w:type="dxa" w:w="5112"/>
            <w:vAlign w:val="center"/>
          </w:tcPr>
          <w:p>
            <w:pPr>
              <w:spacing w:after="0"/>
            </w:pPr>
            <w:r/>
            <w:r>
              <w:rPr>
                <w:rFonts w:ascii="Arial" w:hAnsi="Arial"/>
                <w:b w:val="0"/>
                <w:sz w:val="16"/>
              </w:rPr>
              <w:t>Part 7 - Security Architecture</w:t>
            </w:r>
          </w:p>
        </w:tc>
        <w:tc>
          <w:tcPr>
            <w:tcW w:type="dxa" w:w="5112"/>
            <w:vAlign w:val="center"/>
          </w:tcPr>
          <w:p>
            <w:pPr>
              <w:spacing w:after="0"/>
            </w:pPr>
            <w:r/>
            <w:r>
              <w:rPr>
                <w:rFonts w:ascii="Arial" w:hAnsi="Arial"/>
                <w:b w:val="0"/>
                <w:sz w:val="16"/>
              </w:rPr>
              <w:t>Protects every integration boundary and privileged action.</w:t>
            </w:r>
          </w:p>
        </w:tc>
      </w:tr>
      <w:tr>
        <w:tc>
          <w:tcPr>
            <w:tcW w:type="dxa" w:w="5112"/>
            <w:vAlign w:val="center"/>
            <w:shd w:fill="EEF4F8"/>
          </w:tcPr>
          <w:p>
            <w:pPr>
              <w:spacing w:after="0"/>
            </w:pPr>
            <w:r/>
            <w:r>
              <w:rPr>
                <w:rFonts w:ascii="Arial" w:hAnsi="Arial"/>
                <w:b w:val="0"/>
                <w:sz w:val="16"/>
              </w:rPr>
              <w:t>Part 8 - System Integration Framework</w:t>
            </w:r>
          </w:p>
        </w:tc>
        <w:tc>
          <w:tcPr>
            <w:tcW w:type="dxa" w:w="5112"/>
            <w:vAlign w:val="center"/>
            <w:shd w:fill="EEF4F8"/>
          </w:tcPr>
          <w:p>
            <w:pPr>
              <w:spacing w:after="0"/>
            </w:pPr>
            <w:r/>
            <w:r>
              <w:rPr>
                <w:rFonts w:ascii="Arial" w:hAnsi="Arial"/>
                <w:b w:val="0"/>
                <w:sz w:val="16"/>
              </w:rPr>
              <w:t>Binds Parts 1-7 into executable contracts and hands them to deployment/validation.</w:t>
            </w:r>
          </w:p>
        </w:tc>
      </w:tr>
      <w:tr>
        <w:tc>
          <w:tcPr>
            <w:tcW w:type="dxa" w:w="5112"/>
            <w:vAlign w:val="center"/>
          </w:tcPr>
          <w:p>
            <w:pPr>
              <w:spacing w:after="0"/>
            </w:pPr>
            <w:r/>
            <w:r>
              <w:rPr>
                <w:rFonts w:ascii="Arial" w:hAnsi="Arial"/>
                <w:b w:val="0"/>
                <w:sz w:val="16"/>
              </w:rPr>
              <w:t>Parts 9-12</w:t>
            </w:r>
          </w:p>
        </w:tc>
        <w:tc>
          <w:tcPr>
            <w:tcW w:type="dxa" w:w="5112"/>
            <w:vAlign w:val="center"/>
          </w:tcPr>
          <w:p>
            <w:pPr>
              <w:spacing w:after="0"/>
            </w:pPr>
            <w:r/>
            <w:r>
              <w:rPr>
                <w:rFonts w:ascii="Arial" w:hAnsi="Arial"/>
                <w:b w:val="0"/>
                <w:sz w:val="16"/>
              </w:rPr>
              <w:t>Deploy, verify, maintain, and implement the integrated system; they must be checked for consistency with Parts 1-8.</w:t>
            </w:r>
          </w:p>
        </w:tc>
      </w:tr>
    </w:tbl>
    <w:p>
      <w:pPr>
        <w:spacing w:after="0"/>
      </w:pPr>
    </w:p>
    <w:p>
      <w:pPr>
        <w:pStyle w:val="Heading1"/>
        <w:keepNext/>
      </w:pPr>
      <w:r>
        <w:t>24. References and Technical Basis</w:t>
      </w:r>
    </w:p>
    <w:p>
      <w:pPr>
        <w:pStyle w:val="ListBullet"/>
        <w:spacing w:after="40"/>
      </w:pPr>
      <w:r>
        <w:rPr>
          <w:rFonts w:ascii="Arial" w:hAnsi="Arial"/>
          <w:sz w:val="18"/>
        </w:rPr>
        <w:t>Laravel Documentation. Processes (Laravel 12.x/13.x documentation as applicable): invocation, timeouts, output/exit status, environment, process fakes, and prevention of stray processes.</w:t>
      </w:r>
    </w:p>
    <w:p>
      <w:pPr>
        <w:pStyle w:val="ListBullet"/>
        <w:spacing w:after="40"/>
      </w:pPr>
      <w:r>
        <w:rPr>
          <w:rFonts w:ascii="Arial" w:hAnsi="Arial"/>
          <w:sz w:val="18"/>
        </w:rPr>
        <w:t>Laravel Documentation. Database: Getting Started: DB::transaction, automatic rollback/commit, deadlock retry, and database monitoring.</w:t>
      </w:r>
    </w:p>
    <w:p>
      <w:pPr>
        <w:pStyle w:val="ListBullet"/>
        <w:spacing w:after="40"/>
      </w:pPr>
      <w:r>
        <w:rPr>
          <w:rFonts w:ascii="Arial" w:hAnsi="Arial"/>
          <w:sz w:val="18"/>
        </w:rPr>
        <w:t>Laravel Documentation. Events and Queues: decoupled events, queued listeners, jobs and database transactions, and after-commit dispatch.</w:t>
      </w:r>
    </w:p>
    <w:p>
      <w:pPr>
        <w:pStyle w:val="ListBullet"/>
        <w:spacing w:after="40"/>
      </w:pPr>
      <w:r>
        <w:rPr>
          <w:rFonts w:ascii="Arial" w:hAnsi="Arial"/>
          <w:sz w:val="18"/>
        </w:rPr>
        <w:t>scikit-learn Documentation. Model persistence: artifact compatibility, dependency versions, security risks of pickle-based formats, and controlled serving environments.</w:t>
      </w:r>
    </w:p>
    <w:p>
      <w:pPr>
        <w:pStyle w:val="ListBullet"/>
        <w:spacing w:after="40"/>
      </w:pPr>
      <w:r>
        <w:rPr>
          <w:rFonts w:ascii="Arial" w:hAnsi="Arial"/>
          <w:sz w:val="18"/>
        </w:rPr>
        <w:t>HL7. FHIR Specification Overview: structured, standardized health-information exchange using resources, metadata, human-readable representation, security, provenance, and audit concepts.</w:t>
      </w:r>
    </w:p>
    <w:p>
      <w:pPr>
        <w:pStyle w:val="ListBullet"/>
        <w:spacing w:after="40"/>
      </w:pPr>
      <w:r>
        <w:rPr>
          <w:rFonts w:ascii="Arial" w:hAnsi="Arial"/>
          <w:sz w:val="18"/>
        </w:rPr>
        <w:t>WHO SMART Guidelines and Digital Adaptation Kits: standards-based digital health components, workflows, data elements, decision-support logic, indicators, and implementation guidance.</w:t>
      </w:r>
    </w:p>
    <w:p>
      <w:pPr>
        <w:pStyle w:val="ListBullet"/>
        <w:spacing w:after="40"/>
      </w:pPr>
      <w:r>
        <w:rPr>
          <w:rFonts w:ascii="Arial" w:hAnsi="Arial"/>
          <w:sz w:val="18"/>
        </w:rPr>
        <w:t>Project Documents 6 Parts 1-7: authoritative architecture, data, assessment, explainability, recommendation, workflow, and security decisions for this maternity CDSS.</w:t>
      </w:r>
    </w:p>
    <w:tbl>
      <w:tblPr>
        <w:tblW w:type="auto" w:w="0"/>
        <w:jc w:val="center"/>
        <w:tblLook w:firstColumn="1" w:firstRow="1" w:lastColumn="0" w:lastRow="0" w:noHBand="0" w:noVBand="1" w:val="04A0"/>
      </w:tblPr>
      <w:tblGrid>
        <w:gridCol w:w="10224"/>
      </w:tblGrid>
      <w:tr>
        <w:tc>
          <w:tcPr>
            <w:tcW w:type="dxa" w:w="10224"/>
            <w:shd w:fill="EAF2F8"/>
            <w:tcBorders>
              <w:top w:val="single" w:sz="10" w:color="1F4E78"/>
              <w:left w:val="single" w:sz="10" w:color="1F4E78"/>
              <w:bottom w:val="single" w:sz="10" w:color="1F4E78"/>
              <w:right w:val="single" w:sz="10" w:color="1F4E78"/>
            </w:tcBorders>
          </w:tcPr>
          <w:p>
            <w:pPr>
              <w:spacing w:after="60"/>
            </w:pPr>
            <w:r>
              <w:rPr>
                <w:rFonts w:ascii="Arial" w:hAnsi="Arial"/>
                <w:b/>
                <w:color w:val="1F4E78"/>
                <w:sz w:val="20"/>
              </w:rPr>
              <w:t>Reference-use statement</w:t>
            </w:r>
          </w:p>
          <w:p>
            <w:pPr>
              <w:spacing w:after="0"/>
            </w:pPr>
            <w:r>
              <w:rPr>
                <w:rFonts w:ascii="Arial" w:hAnsi="Arial"/>
                <w:sz w:val="18"/>
              </w:rPr>
              <w:t>These sources support the software-engineering and interoperability principles used in this framework. They do not validate the clinical performance of the project’s model or authorize autonomous clinical care. Clinical rules, datasets, deployment environment, and clinic policies require separate approval, testing, and governance.</w:t>
            </w:r>
          </w:p>
        </w:tc>
      </w:tr>
    </w:tbl>
    <w:p>
      <w:pPr>
        <w:spacing w:after="0"/>
      </w:pPr>
    </w:p>
    <w:p>
      <w:pPr>
        <w:pStyle w:val="Heading1"/>
        <w:keepNext/>
      </w:pPr>
      <w:r>
        <w:t>Appendix A. Authoritative Integration Invariants</w:t>
      </w:r>
    </w:p>
    <w:p>
      <w:pPr>
        <w:pStyle w:val="ListBullet"/>
        <w:spacing w:after="40"/>
      </w:pPr>
      <w:r>
        <w:rPr>
          <w:rFonts w:ascii="Arial" w:hAnsi="Arial"/>
          <w:sz w:val="18"/>
        </w:rPr>
        <w:t>I-01 Laravel is the only system-of-record orchestrator.</w:t>
      </w:r>
    </w:p>
    <w:p>
      <w:pPr>
        <w:pStyle w:val="ListBullet"/>
        <w:spacing w:after="40"/>
      </w:pPr>
      <w:r>
        <w:rPr>
          <w:rFonts w:ascii="Arial" w:hAnsi="Arial"/>
          <w:sz w:val="18"/>
        </w:rPr>
        <w:t>I-02 Python performs inference only and never writes clinical state.</w:t>
      </w:r>
    </w:p>
    <w:p>
      <w:pPr>
        <w:pStyle w:val="ListBullet"/>
        <w:spacing w:after="40"/>
      </w:pPr>
      <w:r>
        <w:rPr>
          <w:rFonts w:ascii="Arial" w:hAnsi="Arial"/>
          <w:sz w:val="18"/>
        </w:rPr>
        <w:t>I-03 Every assessment is pregnancy-episode scoped and snapshot based.</w:t>
      </w:r>
    </w:p>
    <w:p>
      <w:pPr>
        <w:pStyle w:val="ListBullet"/>
        <w:spacing w:after="40"/>
      </w:pPr>
      <w:r>
        <w:rPr>
          <w:rFonts w:ascii="Arial" w:hAnsi="Arial"/>
          <w:sz w:val="18"/>
        </w:rPr>
        <w:t>I-04 Rule-based HIGH overrides ML LOW.</w:t>
      </w:r>
    </w:p>
    <w:p>
      <w:pPr>
        <w:pStyle w:val="ListBullet"/>
        <w:spacing w:after="40"/>
      </w:pPr>
      <w:r>
        <w:rPr>
          <w:rFonts w:ascii="Arial" w:hAnsi="Arial"/>
          <w:sz w:val="18"/>
        </w:rPr>
        <w:t>I-05 LOW requires complete prerequisites, no HIGH rule, and valid ML LOW.</w:t>
      </w:r>
    </w:p>
    <w:p>
      <w:pPr>
        <w:pStyle w:val="ListBullet"/>
        <w:spacing w:after="40"/>
      </w:pPr>
      <w:r>
        <w:rPr>
          <w:rFonts w:ascii="Arial" w:hAnsi="Arial"/>
          <w:sz w:val="18"/>
        </w:rPr>
        <w:t>I-06 Invalid, missing, timed-out, or unknown ML output never becomes LOW.</w:t>
      </w:r>
    </w:p>
    <w:p>
      <w:pPr>
        <w:pStyle w:val="ListBullet"/>
        <w:spacing w:after="40"/>
      </w:pPr>
      <w:r>
        <w:rPr>
          <w:rFonts w:ascii="Arial" w:hAnsi="Arial"/>
          <w:sz w:val="18"/>
        </w:rPr>
        <w:t>I-07 Explanation and recommendations derive from the finalized decision.</w:t>
      </w:r>
    </w:p>
    <w:p>
      <w:pPr>
        <w:pStyle w:val="ListBullet"/>
        <w:spacing w:after="40"/>
      </w:pPr>
      <w:r>
        <w:rPr>
          <w:rFonts w:ascii="Arial" w:hAnsi="Arial"/>
          <w:sz w:val="18"/>
        </w:rPr>
        <w:t>I-08 Clinical state commits atomically before external side effects.</w:t>
      </w:r>
    </w:p>
    <w:p>
      <w:pPr>
        <w:pStyle w:val="ListBullet"/>
        <w:spacing w:after="40"/>
      </w:pPr>
      <w:r>
        <w:rPr>
          <w:rFonts w:ascii="Arial" w:hAnsi="Arial"/>
          <w:sz w:val="18"/>
        </w:rPr>
        <w:t>I-09 Events/jobs are versioned, after-commit where needed, and idempotent.</w:t>
      </w:r>
    </w:p>
    <w:p>
      <w:pPr>
        <w:pStyle w:val="ListBullet"/>
        <w:spacing w:after="40"/>
      </w:pPr>
      <w:r>
        <w:rPr>
          <w:rFonts w:ascii="Arial" w:hAnsi="Arial"/>
          <w:sz w:val="18"/>
        </w:rPr>
        <w:t>I-10 Historical assessments and completed pregnancy episodes are immutable.</w:t>
      </w:r>
    </w:p>
    <w:p>
      <w:pPr>
        <w:pStyle w:val="ListBullet"/>
        <w:spacing w:after="40"/>
      </w:pPr>
      <w:r>
        <w:rPr>
          <w:rFonts w:ascii="Arial" w:hAnsi="Arial"/>
          <w:sz w:val="18"/>
        </w:rPr>
        <w:t>I-11 Referral recommendation, initiation, acceptance, completion, and refusal are separate states.</w:t>
      </w:r>
    </w:p>
    <w:p>
      <w:pPr>
        <w:pStyle w:val="ListBullet"/>
        <w:spacing w:after="40"/>
      </w:pPr>
      <w:r>
        <w:rPr>
          <w:rFonts w:ascii="Arial" w:hAnsi="Arial"/>
          <w:sz w:val="18"/>
        </w:rPr>
        <w:t>I-12 Patient refusal never downgrades clinical risk.</w:t>
      </w:r>
    </w:p>
    <w:p>
      <w:pPr>
        <w:pStyle w:val="ListBullet"/>
        <w:spacing w:after="40"/>
      </w:pPr>
      <w:r>
        <w:rPr>
          <w:rFonts w:ascii="Arial" w:hAnsi="Arial"/>
          <w:sz w:val="18"/>
        </w:rPr>
        <w:t>I-13 Every cross-boundary call is validated, correlated, and observable.</w:t>
      </w:r>
    </w:p>
    <w:p>
      <w:pPr>
        <w:pStyle w:val="ListBullet"/>
        <w:spacing w:after="40"/>
      </w:pPr>
      <w:r>
        <w:rPr>
          <w:rFonts w:ascii="Arial" w:hAnsi="Arial"/>
          <w:sz w:val="18"/>
        </w:rPr>
        <w:t>I-14 Model, rule, feature, explanation, and recommendation versions are persisted.</w:t>
      </w:r>
    </w:p>
    <w:p>
      <w:pPr>
        <w:pStyle w:val="ListBullet"/>
        <w:spacing w:after="40"/>
      </w:pPr>
      <w:r>
        <w:rPr>
          <w:rFonts w:ascii="Arial" w:hAnsi="Arial"/>
          <w:sz w:val="18"/>
        </w:rPr>
        <w:t>I-15 Downtime never prevents urgent manual escalation and later reconciliation.</w:t>
      </w:r>
    </w:p>
    <w:p>
      <w:pPr>
        <w:pStyle w:val="Heading1"/>
        <w:keepNext/>
      </w:pPr>
      <w:r>
        <w:t>Appendix B. Final Part 8 Completion Gate</w:t>
      </w:r>
    </w:p>
    <w:tbl>
      <w:tblPr>
        <w:tblW w:type="auto" w:w="0"/>
        <w:jc w:val="center"/>
        <w:tblLook w:firstColumn="1" w:firstRow="1" w:lastColumn="0" w:lastRow="0" w:noHBand="0" w:noVBand="1" w:val="04A0"/>
      </w:tblPr>
      <w:tblGrid>
        <w:gridCol w:w="10224"/>
      </w:tblGrid>
      <w:tr>
        <w:tc>
          <w:tcPr>
            <w:tcW w:type="dxa" w:w="10224"/>
            <w:shd w:fill="E2F0D9"/>
            <w:tcBorders>
              <w:top w:val="single" w:sz="10" w:color="548235"/>
              <w:left w:val="single" w:sz="10" w:color="548235"/>
              <w:bottom w:val="single" w:sz="10" w:color="548235"/>
              <w:right w:val="single" w:sz="10" w:color="548235"/>
            </w:tcBorders>
          </w:tcPr>
          <w:p>
            <w:pPr>
              <w:spacing w:after="60"/>
            </w:pPr>
            <w:r>
              <w:rPr>
                <w:rFonts w:ascii="Arial" w:hAnsi="Arial"/>
                <w:b/>
                <w:color w:val="1F4E78"/>
                <w:sz w:val="20"/>
              </w:rPr>
              <w:t>Part 8 is complete when</w:t>
            </w:r>
          </w:p>
          <w:p>
            <w:pPr>
              <w:spacing w:after="0"/>
            </w:pPr>
            <w:r>
              <w:rPr>
                <w:rFonts w:ascii="Arial" w:hAnsi="Arial"/>
                <w:sz w:val="18"/>
              </w:rPr>
              <w:t>The team can trace one prenatal record change through authorization, snapshot creation, completeness, deterministic rules, Python inference, final resolution, explanation, recommendation, atomic persistence, audit, workflow state, post-commit event, optional email/referral output, monitoring, and failure recovery—and can demonstrate that a failure at any boundary cannot silently create LOW risk, corrupt historical records, or produce an untraceable partial workflow.</w:t>
            </w:r>
          </w:p>
        </w:tc>
      </w:tr>
    </w:tbl>
    <w:p>
      <w:pPr>
        <w:spacing w:after="0"/>
      </w:pPr>
    </w:p>
    <w:sectPr w:rsidR="00FC693F" w:rsidRPr="0006063C" w:rsidSect="00034616">
      <w:headerReference w:type="default" r:id="rId9"/>
      <w:footerReference w:type="default" r:id="rId10"/>
      <w:pgSz w:w="12240" w:h="15840"/>
      <w:pgMar w:top="835" w:right="1008" w:bottom="835"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4"/>
      </w:rPr>
      <w:t>DOCUMENT 6 | PART 8 | July 2026     •     Contracts, orchestration, interoperability, resilience, and traceability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05050"/>
        <w:sz w:val="15"/>
      </w:rPr>
      <w:t>DOCUMENT 6 | CDSS IMPLEMENTATION GUIDE</w:t>
      <w:br/>
      <w:t>Part 8 - System Integration Framework | Laravel + Python maternity CDSS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b/>
      <w:bCs/>
      <w:color w:val="2F5469"/>
      <w:sz w:val="24"/>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rial" w:hAnsi="Arial"/>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6 Part 8 - System Integration Framework</dc:title>
  <dc:subject>Explainable maternity CDSS integration architecture</dc:subject>
  <dc:creator>Capstone Project Team</dc:creator>
  <cp:keywords>CDSS, Laravel, Python, integration, maternity, workflow, interoperability, FHIR</cp:keywords>
  <dc:description>generated by python-docx</dc:description>
  <cp:lastModifiedBy/>
  <cp:revision>1</cp:revision>
  <dcterms:created xsi:type="dcterms:W3CDTF">2013-12-23T23:15:00Z</dcterms:created>
  <dcterms:modified xsi:type="dcterms:W3CDTF">2013-12-23T23:15:00Z</dcterms:modified>
  <cp:category/>
</cp:coreProperties>
</file>