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DOCUMENT 7</w:t>
      </w:r>
    </w:p>
    <w:p>
      <w:pPr>
        <w:pStyle w:val="Title"/>
        <w:jc w:val="center"/>
      </w:pPr>
      <w:r>
        <w:t>Explainability Framework</w:t>
      </w:r>
    </w:p>
    <w:p>
      <w:pPr>
        <w:jc w:val="center"/>
      </w:pPr>
      <w:r>
        <w:t>PART 3</w:t>
      </w:r>
    </w:p>
    <w:p>
      <w:pPr>
        <w:pStyle w:val="Subtitle"/>
        <w:jc w:val="center"/>
      </w:pPr>
      <w:r>
        <w:t>Rule-Based Explainability Specification</w:t>
      </w:r>
    </w:p>
    <w:p>
      <w:pPr>
        <w:jc w:val="center"/>
      </w:pPr>
      <w:r>
        <w:t>Clinical Rule Rationale, Structured Reason Codes, Explanation Templates,</w:t>
        <w:br/>
        <w:t>Priority, Merging, Traceability, Verification, and Laravel Implementation</w:t>
      </w:r>
    </w:p>
    <w:p>
      <w:pPr>
        <w:jc w:val="center"/>
      </w:pPr>
    </w:p>
    <w:p>
      <w:pPr>
        <w:jc w:val="center"/>
      </w:pPr>
      <w:r>
        <w:t>Capstone Project</w:t>
      </w:r>
    </w:p>
    <w:p>
      <w:pPr>
        <w:jc w:val="center"/>
      </w:pPr>
      <w:r>
        <w:t>Development of an Explainable Clinical Decision Support System (CDSS)</w:t>
        <w:br/>
        <w:t>for a Web-Based Maternity Management System in a Philippine Lying-in Clinic</w:t>
      </w:r>
    </w:p>
    <w:p>
      <w:pPr>
        <w:jc w:val="center"/>
      </w:pPr>
    </w:p>
    <w:p>
      <w:pPr>
        <w:jc w:val="center"/>
      </w:pPr>
      <w:r>
        <w:t>System-specific explainability and clinical rule specification | July 2026</w:t>
      </w:r>
    </w:p>
    <w:p>
      <w:r>
        <w:br w:type="page"/>
      </w:r>
    </w:p>
    <w:p>
      <w:pPr>
        <w:pStyle w:val="Heading1"/>
      </w:pPr>
      <w:r>
        <w:t>Executive Summary</w:t>
      </w:r>
    </w:p>
    <w:p>
      <w:pPr>
        <w:pStyle w:val="BodyText"/>
      </w:pPr>
      <w:r>
        <w:t>Part 3 defines how every deterministic clinical rule in the maternity Clinical Decision Support System is converted into a transparent, reproducible, and clinically meaningful explanation. It is not a replacement for the clinical evidence documents or for the Assessment Engine specification. Instead, it is the authoritative bridge between executable rule logic and the explanations shown to midwives, administrators, patients, referral recipients, developers, auditors, and thesis reviewers.</w:t>
      </w:r>
    </w:p>
    <w:p>
      <w:pPr>
        <w:pStyle w:val="BodyText"/>
      </w:pPr>
      <w:r>
        <w:t>The specification preserves the implemented safety hierarchy. Required-record incompleteness or an invalid machine-learning response produces ASSESSMENT INCOMPLETE. Any approved rule-based high-risk factor overrides a LOW machine-learning output and produces HIGH. LOW is permitted only when all required records are present, the machine-learning result is valid and LOW, and no rule-based high-risk factor is detected. The rule explanation layer must never alter those outcomes; it must faithfully describe them.</w:t>
      </w:r>
    </w:p>
    <w:p>
      <w:pPr>
        <w:pStyle w:val="BodyText"/>
      </w:pPr>
      <w:r>
        <w:t>Each rule is represented by a stable reason code, a precise trigger condition, a patient-specific evidence snapshot, a clinical rationale, an urgency level, controlled explanation templates, linked recommendations, and version metadata. Multiple factors are merged without hiding, duplicating, or contradicting evidence. Urgent blood-pressure findings and absent fetal heartbeat remain visibly prioritized, while other contributing factors are retained for complete clinical review.</w:t>
      </w:r>
    </w:p>
    <w:p>
      <w:pPr>
        <w:pStyle w:val="BodyText"/>
      </w:pPr>
      <w:r>
        <w:t>This document also establishes release-blocking requirements: no HIGH result without at least one valid reason, no explanation that cites a rule that did not trigger, no unsupported causal language, no patient-facing diagnostic statement, no silent suppression of urgent evidence, and no unversioned rule explanation. It concludes with implementation guidance, structured test cases, governance controls, and defense-ready answers.</w:t>
      </w:r>
    </w:p>
    <w:p>
      <w:pPr>
        <w:pStyle w:val="Heading1"/>
      </w:pPr>
      <w:r>
        <w:t>1. Purpose, Scope, and Relationship to Prior Documents</w:t>
      </w:r>
    </w:p>
    <w:p>
      <w:pPr>
        <w:pStyle w:val="Heading2"/>
      </w:pPr>
      <w:r>
        <w:t>1.1 Purpose</w:t>
      </w:r>
    </w:p>
    <w:p>
      <w:pPr>
        <w:pStyle w:val="BodyText"/>
      </w:pPr>
      <w:r>
        <w:t>The purpose of this part is to specify exactly how deterministic risk rules become explanations. It defines what evidence must be captured, how each rule is named and described, how explanations are adapted for different audiences, how several simultaneous rules are combined, and how the resulting explanation remains traceable to the data and rule version used at assessment time.</w:t>
      </w:r>
    </w:p>
    <w:p>
      <w:pPr>
        <w:pStyle w:val="Heading2"/>
      </w:pPr>
      <w:r>
        <w:t>1.2 Relationship to the architecture baseline</w:t>
      </w:r>
    </w:p>
    <w:p>
      <w:pPr>
        <w:pStyle w:val="BodyText"/>
      </w:pPr>
      <w:r>
        <w:t>Document 6 Part 3 defines the Assessment Engine, Document 6 Part 4 defines the Explainability Engine architecture, and Document 7 Parts 1 and 2 define the philosophy and framework architecture. This part narrows the focus to rule-based explainability. It assumes that Laravel remains the system of record and decision orchestrator, while Python provides a bounded machine-learning result. The rule explanation layer consumes the final assessment evidence; it does not independently reclassify the patient.</w:t>
      </w:r>
    </w:p>
    <w:p>
      <w:pPr>
        <w:pStyle w:val="Heading2"/>
      </w:pPr>
      <w:r>
        <w:t>1.3 In scope</w:t>
      </w:r>
    </w:p>
    <w:p>
      <w:pPr>
        <w:pStyle w:val="ListBullet"/>
      </w:pPr>
      <w:r>
        <w:t>Stable reason-code catalog for all implemented deterministic rules.</w:t>
      </w:r>
    </w:p>
    <w:p>
      <w:pPr>
        <w:pStyle w:val="ListBullet"/>
      </w:pPr>
      <w:r>
        <w:t>Clinical rationale and intended meaning of every rule.</w:t>
      </w:r>
    </w:p>
    <w:p>
      <w:pPr>
        <w:pStyle w:val="ListBullet"/>
      </w:pPr>
      <w:r>
        <w:t>Midwife-facing, patient-facing, referral, audit, and developer explanation forms.</w:t>
      </w:r>
    </w:p>
    <w:p>
      <w:pPr>
        <w:pStyle w:val="ListBullet"/>
      </w:pPr>
      <w:r>
        <w:t>Rule priority, deduplication, aggregation, and ordering.</w:t>
      </w:r>
    </w:p>
    <w:p>
      <w:pPr>
        <w:pStyle w:val="ListBullet"/>
      </w:pPr>
      <w:r>
        <w:t>Explanation behavior for HIGH, LOW, and ASSESSMENT INCOMPLETE.</w:t>
      </w:r>
    </w:p>
    <w:p>
      <w:pPr>
        <w:pStyle w:val="ListBullet"/>
      </w:pPr>
      <w:r>
        <w:t>Versioning, traceability, privacy, validation, testing, and release criteria.</w:t>
      </w:r>
    </w:p>
    <w:p>
      <w:pPr>
        <w:pStyle w:val="Heading2"/>
      </w:pPr>
      <w:r>
        <w:t>1.4 Out of scope</w:t>
      </w:r>
    </w:p>
    <w:p>
      <w:pPr>
        <w:pStyle w:val="ListBullet"/>
      </w:pPr>
      <w:r>
        <w:t>Adding new clinical thresholds without evidence review and governance approval.</w:t>
      </w:r>
    </w:p>
    <w:p>
      <w:pPr>
        <w:pStyle w:val="ListBullet"/>
      </w:pPr>
      <w:r>
        <w:t>Diagnosing preeclampsia, fetal compromise, placental disease, or other conditions.</w:t>
      </w:r>
    </w:p>
    <w:p>
      <w:pPr>
        <w:pStyle w:val="ListBullet"/>
      </w:pPr>
      <w:r>
        <w:t>Replacing emergency protocols, referral judgment, or licensed clinical assessment.</w:t>
      </w:r>
    </w:p>
    <w:p>
      <w:pPr>
        <w:pStyle w:val="ListBullet"/>
      </w:pPr>
      <w:r>
        <w:t>Treating an association as proof that a factor caused an outcome.</w:t>
      </w:r>
    </w:p>
    <w:p>
      <w:pPr>
        <w:pStyle w:val="ListBullet"/>
      </w:pPr>
      <w:r>
        <w:t>Using generative AI to invent clinical reasons or recommendations.</w:t>
      </w:r>
    </w:p>
    <w:p>
      <w:pPr>
        <w:pStyle w:val="Heading1"/>
      </w:pPr>
      <w:r>
        <w:t>2. Safety and Explainability Principles</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D9EAF7"/>
          </w:tcPr>
          <w:p>
            <w:pPr>
              <w:spacing w:after="40" w:before="0"/>
            </w:pPr>
            <w:r>
              <w:rPr>
                <w:sz w:val="17"/>
              </w:rPr>
            </w:r>
            <w:r>
              <w:rPr>
                <w:b/>
                <w:sz w:val="17"/>
              </w:rPr>
              <w:t>Principle</w:t>
            </w:r>
          </w:p>
        </w:tc>
        <w:tc>
          <w:tcPr>
            <w:tcW w:type="dxa" w:w="7632"/>
            <w:vAlign w:val="center"/>
            <w:shd w:fill="D9EAF7"/>
          </w:tcPr>
          <w:p>
            <w:pPr>
              <w:spacing w:after="40" w:before="0"/>
            </w:pPr>
            <w:r>
              <w:rPr>
                <w:sz w:val="17"/>
              </w:rPr>
            </w:r>
            <w:r>
              <w:rPr>
                <w:b/>
                <w:sz w:val="17"/>
              </w:rPr>
              <w:t>Operational requirement</w:t>
            </w:r>
          </w:p>
        </w:tc>
      </w:tr>
      <w:tr>
        <w:tc>
          <w:tcPr>
            <w:tcW w:type="dxa" w:w="2304"/>
            <w:vAlign w:val="center"/>
          </w:tcPr>
          <w:p>
            <w:pPr>
              <w:spacing w:after="40" w:before="0"/>
            </w:pPr>
            <w:r>
              <w:rPr>
                <w:sz w:val="17"/>
              </w:rPr>
            </w:r>
            <w:r>
              <w:rPr>
                <w:b w:val="0"/>
                <w:sz w:val="17"/>
              </w:rPr>
              <w:t>Evidence fidelity</w:t>
            </w:r>
          </w:p>
        </w:tc>
        <w:tc>
          <w:tcPr>
            <w:tcW w:type="dxa" w:w="7632"/>
            <w:vAlign w:val="center"/>
          </w:tcPr>
          <w:p>
            <w:pPr>
              <w:spacing w:after="40" w:before="0"/>
            </w:pPr>
            <w:r>
              <w:rPr>
                <w:sz w:val="17"/>
              </w:rPr>
            </w:r>
            <w:r>
              <w:rPr>
                <w:b w:val="0"/>
                <w:sz w:val="17"/>
              </w:rPr>
              <w:t>Every displayed reason must correspond to a trigger that evaluated true against the preserved assessment snapshot.</w:t>
            </w:r>
          </w:p>
        </w:tc>
      </w:tr>
      <w:tr>
        <w:tc>
          <w:tcPr>
            <w:tcW w:type="dxa" w:w="2304"/>
            <w:vAlign w:val="center"/>
          </w:tcPr>
          <w:p>
            <w:pPr>
              <w:spacing w:after="40" w:before="0"/>
            </w:pPr>
            <w:r>
              <w:rPr>
                <w:sz w:val="17"/>
              </w:rPr>
            </w:r>
            <w:r>
              <w:rPr>
                <w:b w:val="0"/>
                <w:sz w:val="17"/>
              </w:rPr>
              <w:t>Completeness</w:t>
            </w:r>
          </w:p>
        </w:tc>
        <w:tc>
          <w:tcPr>
            <w:tcW w:type="dxa" w:w="7632"/>
            <w:vAlign w:val="center"/>
          </w:tcPr>
          <w:p>
            <w:pPr>
              <w:spacing w:after="40" w:before="0"/>
            </w:pPr>
            <w:r>
              <w:rPr>
                <w:sz w:val="17"/>
              </w:rPr>
            </w:r>
            <w:r>
              <w:rPr>
                <w:b w:val="0"/>
                <w:sz w:val="17"/>
              </w:rPr>
              <w:t>All clinically relevant triggered rules must be retained, even when a more urgent factor appears first.</w:t>
            </w:r>
          </w:p>
        </w:tc>
      </w:tr>
      <w:tr>
        <w:tc>
          <w:tcPr>
            <w:tcW w:type="dxa" w:w="2304"/>
            <w:vAlign w:val="center"/>
          </w:tcPr>
          <w:p>
            <w:pPr>
              <w:spacing w:after="40" w:before="0"/>
            </w:pPr>
            <w:r>
              <w:rPr>
                <w:sz w:val="17"/>
              </w:rPr>
            </w:r>
            <w:r>
              <w:rPr>
                <w:b w:val="0"/>
                <w:sz w:val="17"/>
              </w:rPr>
              <w:t>Priority without suppression</w:t>
            </w:r>
          </w:p>
        </w:tc>
        <w:tc>
          <w:tcPr>
            <w:tcW w:type="dxa" w:w="7632"/>
            <w:vAlign w:val="center"/>
          </w:tcPr>
          <w:p>
            <w:pPr>
              <w:spacing w:after="40" w:before="0"/>
            </w:pPr>
            <w:r>
              <w:rPr>
                <w:sz w:val="17"/>
              </w:rPr>
            </w:r>
            <w:r>
              <w:rPr>
                <w:b w:val="0"/>
                <w:sz w:val="17"/>
              </w:rPr>
              <w:t>Urgent factors appear first, but lower-priority contributing factors are not silently removed.</w:t>
            </w:r>
          </w:p>
        </w:tc>
      </w:tr>
      <w:tr>
        <w:tc>
          <w:tcPr>
            <w:tcW w:type="dxa" w:w="2304"/>
            <w:vAlign w:val="center"/>
          </w:tcPr>
          <w:p>
            <w:pPr>
              <w:spacing w:after="40" w:before="0"/>
            </w:pPr>
            <w:r>
              <w:rPr>
                <w:sz w:val="17"/>
              </w:rPr>
            </w:r>
            <w:r>
              <w:rPr>
                <w:b w:val="0"/>
                <w:sz w:val="17"/>
              </w:rPr>
              <w:t>Audience appropriateness</w:t>
            </w:r>
          </w:p>
        </w:tc>
        <w:tc>
          <w:tcPr>
            <w:tcW w:type="dxa" w:w="7632"/>
            <w:vAlign w:val="center"/>
          </w:tcPr>
          <w:p>
            <w:pPr>
              <w:spacing w:after="40" w:before="0"/>
            </w:pPr>
            <w:r>
              <w:rPr>
                <w:sz w:val="17"/>
              </w:rPr>
            </w:r>
            <w:r>
              <w:rPr>
                <w:b w:val="0"/>
                <w:sz w:val="17"/>
              </w:rPr>
              <w:t>The same canonical evidence is projected differently for a midwife, patient, referral record, and audit trail.</w:t>
            </w:r>
          </w:p>
        </w:tc>
      </w:tr>
      <w:tr>
        <w:tc>
          <w:tcPr>
            <w:tcW w:type="dxa" w:w="2304"/>
            <w:vAlign w:val="center"/>
          </w:tcPr>
          <w:p>
            <w:pPr>
              <w:spacing w:after="40" w:before="0"/>
            </w:pPr>
            <w:r>
              <w:rPr>
                <w:sz w:val="17"/>
              </w:rPr>
            </w:r>
            <w:r>
              <w:rPr>
                <w:b w:val="0"/>
                <w:sz w:val="17"/>
              </w:rPr>
              <w:t>No unsupported certainty</w:t>
            </w:r>
          </w:p>
        </w:tc>
        <w:tc>
          <w:tcPr>
            <w:tcW w:type="dxa" w:w="7632"/>
            <w:vAlign w:val="center"/>
          </w:tcPr>
          <w:p>
            <w:pPr>
              <w:spacing w:after="40" w:before="0"/>
            </w:pPr>
            <w:r>
              <w:rPr>
                <w:sz w:val="17"/>
              </w:rPr>
            </w:r>
            <w:r>
              <w:rPr>
                <w:b w:val="0"/>
                <w:sz w:val="17"/>
              </w:rPr>
              <w:t>Explanations use “identified factor,” “requires review,” or “associated with,” not diagnostic or causal claims.</w:t>
            </w:r>
          </w:p>
        </w:tc>
      </w:tr>
      <w:tr>
        <w:tc>
          <w:tcPr>
            <w:tcW w:type="dxa" w:w="2304"/>
            <w:vAlign w:val="center"/>
          </w:tcPr>
          <w:p>
            <w:pPr>
              <w:spacing w:after="40" w:before="0"/>
            </w:pPr>
            <w:r>
              <w:rPr>
                <w:sz w:val="17"/>
              </w:rPr>
            </w:r>
            <w:r>
              <w:rPr>
                <w:b w:val="0"/>
                <w:sz w:val="17"/>
              </w:rPr>
              <w:t>Reproducibility</w:t>
            </w:r>
          </w:p>
        </w:tc>
        <w:tc>
          <w:tcPr>
            <w:tcW w:type="dxa" w:w="7632"/>
            <w:vAlign w:val="center"/>
          </w:tcPr>
          <w:p>
            <w:pPr>
              <w:spacing w:after="40" w:before="0"/>
            </w:pPr>
            <w:r>
              <w:rPr>
                <w:sz w:val="17"/>
              </w:rPr>
            </w:r>
            <w:r>
              <w:rPr>
                <w:b w:val="0"/>
                <w:sz w:val="17"/>
              </w:rPr>
              <w:t>The same validated snapshot and rule version must generate the same reason codes and canonical explanation.</w:t>
            </w:r>
          </w:p>
        </w:tc>
      </w:tr>
      <w:tr>
        <w:tc>
          <w:tcPr>
            <w:tcW w:type="dxa" w:w="2304"/>
            <w:vAlign w:val="center"/>
          </w:tcPr>
          <w:p>
            <w:pPr>
              <w:spacing w:after="40" w:before="0"/>
            </w:pPr>
            <w:r>
              <w:rPr>
                <w:sz w:val="17"/>
              </w:rPr>
            </w:r>
            <w:r>
              <w:rPr>
                <w:b w:val="0"/>
                <w:sz w:val="17"/>
              </w:rPr>
              <w:t>Human review</w:t>
            </w:r>
          </w:p>
        </w:tc>
        <w:tc>
          <w:tcPr>
            <w:tcW w:type="dxa" w:w="7632"/>
            <w:vAlign w:val="center"/>
          </w:tcPr>
          <w:p>
            <w:pPr>
              <w:spacing w:after="40" w:before="0"/>
            </w:pPr>
            <w:r>
              <w:rPr>
                <w:sz w:val="17"/>
              </w:rPr>
            </w:r>
            <w:r>
              <w:rPr>
                <w:b w:val="0"/>
                <w:sz w:val="17"/>
              </w:rPr>
              <w:t>The explanation enables the midwife to inspect the basis and decide the appropriate action.</w:t>
            </w:r>
          </w:p>
        </w:tc>
      </w:tr>
      <w:tr>
        <w:tc>
          <w:tcPr>
            <w:tcW w:type="dxa" w:w="2304"/>
            <w:vAlign w:val="center"/>
          </w:tcPr>
          <w:p>
            <w:pPr>
              <w:spacing w:after="40" w:before="0"/>
            </w:pPr>
            <w:r>
              <w:rPr>
                <w:sz w:val="17"/>
              </w:rPr>
            </w:r>
            <w:r>
              <w:rPr>
                <w:b w:val="0"/>
                <w:sz w:val="17"/>
              </w:rPr>
              <w:t>Fail-safe behavior</w:t>
            </w:r>
          </w:p>
        </w:tc>
        <w:tc>
          <w:tcPr>
            <w:tcW w:type="dxa" w:w="7632"/>
            <w:vAlign w:val="center"/>
          </w:tcPr>
          <w:p>
            <w:pPr>
              <w:spacing w:after="40" w:before="0"/>
            </w:pPr>
            <w:r>
              <w:rPr>
                <w:sz w:val="17"/>
              </w:rPr>
            </w:r>
            <w:r>
              <w:rPr>
                <w:b w:val="0"/>
                <w:sz w:val="17"/>
              </w:rPr>
              <w:t>Missing required records or invalid ML output is explained as incomplete, never silently converted to LOW.</w:t>
            </w:r>
          </w:p>
        </w:tc>
      </w:tr>
    </w:tbl>
    <w:p/>
    <w:p>
      <w:pPr>
        <w:pStyle w:val="BodyText"/>
      </w:pPr>
      <w:r>
        <w:t>These principles align with NIST’s view that an explainable system should provide reasons, make those reasons meaningful to the intended user, accurately reflect the system’s process, and operate within its knowledge limits. They also support the FDA concept that a health professional should be able to independently review the basis of a clinical decision-support recommendation.</w:t>
      </w:r>
    </w:p>
    <w:p>
      <w:pPr>
        <w:pStyle w:val="Heading1"/>
      </w:pPr>
      <w:r>
        <w:t>3. Canonical Rule Explanation Model</w:t>
      </w:r>
    </w:p>
    <w:p>
      <w:pPr>
        <w:pStyle w:val="Heading2"/>
      </w:pPr>
      <w:r>
        <w:t>3.1 RuleReason object</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D9EAF7"/>
          </w:tcPr>
          <w:p>
            <w:pPr>
              <w:spacing w:after="40" w:before="0"/>
            </w:pPr>
            <w:r>
              <w:rPr>
                <w:sz w:val="17"/>
              </w:rPr>
            </w:r>
            <w:r>
              <w:rPr>
                <w:b/>
                <w:sz w:val="17"/>
              </w:rPr>
              <w:t>Field</w:t>
            </w:r>
          </w:p>
        </w:tc>
        <w:tc>
          <w:tcPr>
            <w:tcW w:type="dxa" w:w="4320"/>
            <w:vAlign w:val="center"/>
            <w:shd w:fill="D9EAF7"/>
          </w:tcPr>
          <w:p>
            <w:pPr>
              <w:spacing w:after="40" w:before="0"/>
            </w:pPr>
            <w:r>
              <w:rPr>
                <w:sz w:val="17"/>
              </w:rPr>
            </w:r>
            <w:r>
              <w:rPr>
                <w:b/>
                <w:sz w:val="17"/>
              </w:rPr>
              <w:t>Purpose</w:t>
            </w:r>
          </w:p>
        </w:tc>
        <w:tc>
          <w:tcPr>
            <w:tcW w:type="dxa" w:w="3672"/>
            <w:vAlign w:val="center"/>
            <w:shd w:fill="D9EAF7"/>
          </w:tcPr>
          <w:p>
            <w:pPr>
              <w:spacing w:after="40" w:before="0"/>
            </w:pPr>
            <w:r>
              <w:rPr>
                <w:sz w:val="17"/>
              </w:rPr>
            </w:r>
            <w:r>
              <w:rPr>
                <w:b/>
                <w:sz w:val="17"/>
              </w:rPr>
              <w:t>Example</w:t>
            </w:r>
          </w:p>
        </w:tc>
      </w:tr>
      <w:tr>
        <w:tc>
          <w:tcPr>
            <w:tcW w:type="dxa" w:w="1800"/>
            <w:vAlign w:val="center"/>
          </w:tcPr>
          <w:p>
            <w:pPr>
              <w:spacing w:after="40" w:before="0"/>
            </w:pPr>
            <w:r>
              <w:rPr>
                <w:sz w:val="17"/>
              </w:rPr>
            </w:r>
            <w:r>
              <w:rPr>
                <w:b w:val="0"/>
                <w:sz w:val="17"/>
              </w:rPr>
              <w:t>reason_code</w:t>
            </w:r>
          </w:p>
        </w:tc>
        <w:tc>
          <w:tcPr>
            <w:tcW w:type="dxa" w:w="4320"/>
            <w:vAlign w:val="center"/>
          </w:tcPr>
          <w:p>
            <w:pPr>
              <w:spacing w:after="40" w:before="0"/>
            </w:pPr>
            <w:r>
              <w:rPr>
                <w:sz w:val="17"/>
              </w:rPr>
            </w:r>
            <w:r>
              <w:rPr>
                <w:b w:val="0"/>
                <w:sz w:val="17"/>
              </w:rPr>
              <w:t>Stable machine-readable identifier.</w:t>
            </w:r>
          </w:p>
        </w:tc>
        <w:tc>
          <w:tcPr>
            <w:tcW w:type="dxa" w:w="3672"/>
            <w:vAlign w:val="center"/>
          </w:tcPr>
          <w:p>
            <w:pPr>
              <w:spacing w:after="40" w:before="0"/>
            </w:pPr>
            <w:r>
              <w:rPr>
                <w:sz w:val="17"/>
              </w:rPr>
            </w:r>
            <w:r>
              <w:rPr>
                <w:b w:val="0"/>
                <w:sz w:val="17"/>
              </w:rPr>
              <w:t>BP_SEVERE_160_110</w:t>
            </w:r>
          </w:p>
        </w:tc>
      </w:tr>
      <w:tr>
        <w:tc>
          <w:tcPr>
            <w:tcW w:type="dxa" w:w="1800"/>
            <w:vAlign w:val="center"/>
          </w:tcPr>
          <w:p>
            <w:pPr>
              <w:spacing w:after="40" w:before="0"/>
            </w:pPr>
            <w:r>
              <w:rPr>
                <w:sz w:val="17"/>
              </w:rPr>
            </w:r>
            <w:r>
              <w:rPr>
                <w:b w:val="0"/>
                <w:sz w:val="17"/>
              </w:rPr>
              <w:t>rule_version</w:t>
            </w:r>
          </w:p>
        </w:tc>
        <w:tc>
          <w:tcPr>
            <w:tcW w:type="dxa" w:w="4320"/>
            <w:vAlign w:val="center"/>
          </w:tcPr>
          <w:p>
            <w:pPr>
              <w:spacing w:after="40" w:before="0"/>
            </w:pPr>
            <w:r>
              <w:rPr>
                <w:sz w:val="17"/>
              </w:rPr>
            </w:r>
            <w:r>
              <w:rPr>
                <w:b w:val="0"/>
                <w:sz w:val="17"/>
              </w:rPr>
              <w:t>Version of the approved executable rule.</w:t>
            </w:r>
          </w:p>
        </w:tc>
        <w:tc>
          <w:tcPr>
            <w:tcW w:type="dxa" w:w="3672"/>
            <w:vAlign w:val="center"/>
          </w:tcPr>
          <w:p>
            <w:pPr>
              <w:spacing w:after="40" w:before="0"/>
            </w:pPr>
            <w:r>
              <w:rPr>
                <w:sz w:val="17"/>
              </w:rPr>
            </w:r>
            <w:r>
              <w:rPr>
                <w:b w:val="0"/>
                <w:sz w:val="17"/>
              </w:rPr>
              <w:t>RB-2026.1</w:t>
            </w:r>
          </w:p>
        </w:tc>
      </w:tr>
      <w:tr>
        <w:tc>
          <w:tcPr>
            <w:tcW w:type="dxa" w:w="1800"/>
            <w:vAlign w:val="center"/>
          </w:tcPr>
          <w:p>
            <w:pPr>
              <w:spacing w:after="40" w:before="0"/>
            </w:pPr>
            <w:r>
              <w:rPr>
                <w:sz w:val="17"/>
              </w:rPr>
            </w:r>
            <w:r>
              <w:rPr>
                <w:b w:val="0"/>
                <w:sz w:val="17"/>
              </w:rPr>
              <w:t>category</w:t>
            </w:r>
          </w:p>
        </w:tc>
        <w:tc>
          <w:tcPr>
            <w:tcW w:type="dxa" w:w="4320"/>
            <w:vAlign w:val="center"/>
          </w:tcPr>
          <w:p>
            <w:pPr>
              <w:spacing w:after="40" w:before="0"/>
            </w:pPr>
            <w:r>
              <w:rPr>
                <w:sz w:val="17"/>
              </w:rPr>
            </w:r>
            <w:r>
              <w:rPr>
                <w:b w:val="0"/>
                <w:sz w:val="17"/>
              </w:rPr>
              <w:t>Clinical grouping.</w:t>
            </w:r>
          </w:p>
        </w:tc>
        <w:tc>
          <w:tcPr>
            <w:tcW w:type="dxa" w:w="3672"/>
            <w:vAlign w:val="center"/>
          </w:tcPr>
          <w:p>
            <w:pPr>
              <w:spacing w:after="40" w:before="0"/>
            </w:pPr>
            <w:r>
              <w:rPr>
                <w:sz w:val="17"/>
              </w:rPr>
            </w:r>
            <w:r>
              <w:rPr>
                <w:b w:val="0"/>
                <w:sz w:val="17"/>
              </w:rPr>
              <w:t>Blood pressure</w:t>
            </w:r>
          </w:p>
        </w:tc>
      </w:tr>
      <w:tr>
        <w:tc>
          <w:tcPr>
            <w:tcW w:type="dxa" w:w="1800"/>
            <w:vAlign w:val="center"/>
          </w:tcPr>
          <w:p>
            <w:pPr>
              <w:spacing w:after="40" w:before="0"/>
            </w:pPr>
            <w:r>
              <w:rPr>
                <w:sz w:val="17"/>
              </w:rPr>
            </w:r>
            <w:r>
              <w:rPr>
                <w:b w:val="0"/>
                <w:sz w:val="17"/>
              </w:rPr>
              <w:t>severity</w:t>
            </w:r>
          </w:p>
        </w:tc>
        <w:tc>
          <w:tcPr>
            <w:tcW w:type="dxa" w:w="4320"/>
            <w:vAlign w:val="center"/>
          </w:tcPr>
          <w:p>
            <w:pPr>
              <w:spacing w:after="40" w:before="0"/>
            </w:pPr>
            <w:r>
              <w:rPr>
                <w:sz w:val="17"/>
              </w:rPr>
            </w:r>
            <w:r>
              <w:rPr>
                <w:b w:val="0"/>
                <w:sz w:val="17"/>
              </w:rPr>
              <w:t>Ordering and workflow significance.</w:t>
            </w:r>
          </w:p>
        </w:tc>
        <w:tc>
          <w:tcPr>
            <w:tcW w:type="dxa" w:w="3672"/>
            <w:vAlign w:val="center"/>
          </w:tcPr>
          <w:p>
            <w:pPr>
              <w:spacing w:after="40" w:before="0"/>
            </w:pPr>
            <w:r>
              <w:rPr>
                <w:sz w:val="17"/>
              </w:rPr>
            </w:r>
            <w:r>
              <w:rPr>
                <w:b w:val="0"/>
                <w:sz w:val="17"/>
              </w:rPr>
              <w:t>URGENT</w:t>
            </w:r>
          </w:p>
        </w:tc>
      </w:tr>
      <w:tr>
        <w:tc>
          <w:tcPr>
            <w:tcW w:type="dxa" w:w="1800"/>
            <w:vAlign w:val="center"/>
          </w:tcPr>
          <w:p>
            <w:pPr>
              <w:spacing w:after="40" w:before="0"/>
            </w:pPr>
            <w:r>
              <w:rPr>
                <w:sz w:val="17"/>
              </w:rPr>
            </w:r>
            <w:r>
              <w:rPr>
                <w:b w:val="0"/>
                <w:sz w:val="17"/>
              </w:rPr>
              <w:t>trigger_expression</w:t>
            </w:r>
          </w:p>
        </w:tc>
        <w:tc>
          <w:tcPr>
            <w:tcW w:type="dxa" w:w="4320"/>
            <w:vAlign w:val="center"/>
          </w:tcPr>
          <w:p>
            <w:pPr>
              <w:spacing w:after="40" w:before="0"/>
            </w:pPr>
            <w:r>
              <w:rPr>
                <w:sz w:val="17"/>
              </w:rPr>
            </w:r>
            <w:r>
              <w:rPr>
                <w:b w:val="0"/>
                <w:sz w:val="17"/>
              </w:rPr>
              <w:t>Normalized rule condition.</w:t>
            </w:r>
          </w:p>
        </w:tc>
        <w:tc>
          <w:tcPr>
            <w:tcW w:type="dxa" w:w="3672"/>
            <w:vAlign w:val="center"/>
          </w:tcPr>
          <w:p>
            <w:pPr>
              <w:spacing w:after="40" w:before="0"/>
            </w:pPr>
            <w:r>
              <w:rPr>
                <w:sz w:val="17"/>
              </w:rPr>
            </w:r>
            <w:r>
              <w:rPr>
                <w:b w:val="0"/>
                <w:sz w:val="17"/>
              </w:rPr>
              <w:t>systolic &gt;= 160 OR diastolic &gt;= 110</w:t>
            </w:r>
          </w:p>
        </w:tc>
      </w:tr>
      <w:tr>
        <w:tc>
          <w:tcPr>
            <w:tcW w:type="dxa" w:w="1800"/>
            <w:vAlign w:val="center"/>
          </w:tcPr>
          <w:p>
            <w:pPr>
              <w:spacing w:after="40" w:before="0"/>
            </w:pPr>
            <w:r>
              <w:rPr>
                <w:sz w:val="17"/>
              </w:rPr>
            </w:r>
            <w:r>
              <w:rPr>
                <w:b w:val="0"/>
                <w:sz w:val="17"/>
              </w:rPr>
              <w:t>observed_value</w:t>
            </w:r>
          </w:p>
        </w:tc>
        <w:tc>
          <w:tcPr>
            <w:tcW w:type="dxa" w:w="4320"/>
            <w:vAlign w:val="center"/>
          </w:tcPr>
          <w:p>
            <w:pPr>
              <w:spacing w:after="40" w:before="0"/>
            </w:pPr>
            <w:r>
              <w:rPr>
                <w:sz w:val="17"/>
              </w:rPr>
            </w:r>
            <w:r>
              <w:rPr>
                <w:b w:val="0"/>
                <w:sz w:val="17"/>
              </w:rPr>
              <w:t>Patient-specific value used.</w:t>
            </w:r>
          </w:p>
        </w:tc>
        <w:tc>
          <w:tcPr>
            <w:tcW w:type="dxa" w:w="3672"/>
            <w:vAlign w:val="center"/>
          </w:tcPr>
          <w:p>
            <w:pPr>
              <w:spacing w:after="40" w:before="0"/>
            </w:pPr>
            <w:r>
              <w:rPr>
                <w:sz w:val="17"/>
              </w:rPr>
            </w:r>
            <w:r>
              <w:rPr>
                <w:b w:val="0"/>
                <w:sz w:val="17"/>
              </w:rPr>
              <w:t>168/112 mmHg</w:t>
            </w:r>
          </w:p>
        </w:tc>
      </w:tr>
      <w:tr>
        <w:tc>
          <w:tcPr>
            <w:tcW w:type="dxa" w:w="1800"/>
            <w:vAlign w:val="center"/>
          </w:tcPr>
          <w:p>
            <w:pPr>
              <w:spacing w:after="40" w:before="0"/>
            </w:pPr>
            <w:r>
              <w:rPr>
                <w:sz w:val="17"/>
              </w:rPr>
            </w:r>
            <w:r>
              <w:rPr>
                <w:b w:val="0"/>
                <w:sz w:val="17"/>
              </w:rPr>
              <w:t>source_record</w:t>
            </w:r>
          </w:p>
        </w:tc>
        <w:tc>
          <w:tcPr>
            <w:tcW w:type="dxa" w:w="4320"/>
            <w:vAlign w:val="center"/>
          </w:tcPr>
          <w:p>
            <w:pPr>
              <w:spacing w:after="40" w:before="0"/>
            </w:pPr>
            <w:r>
              <w:rPr>
                <w:sz w:val="17"/>
              </w:rPr>
            </w:r>
            <w:r>
              <w:rPr>
                <w:b w:val="0"/>
                <w:sz w:val="17"/>
              </w:rPr>
              <w:t>Origin of evidence.</w:t>
            </w:r>
          </w:p>
        </w:tc>
        <w:tc>
          <w:tcPr>
            <w:tcW w:type="dxa" w:w="3672"/>
            <w:vAlign w:val="center"/>
          </w:tcPr>
          <w:p>
            <w:pPr>
              <w:spacing w:after="40" w:before="0"/>
            </w:pPr>
            <w:r>
              <w:rPr>
                <w:sz w:val="17"/>
              </w:rPr>
            </w:r>
            <w:r>
              <w:rPr>
                <w:b w:val="0"/>
                <w:sz w:val="17"/>
              </w:rPr>
              <w:t>PrenatalVisit #184</w:t>
            </w:r>
          </w:p>
        </w:tc>
      </w:tr>
      <w:tr>
        <w:tc>
          <w:tcPr>
            <w:tcW w:type="dxa" w:w="1800"/>
            <w:vAlign w:val="center"/>
          </w:tcPr>
          <w:p>
            <w:pPr>
              <w:spacing w:after="40" w:before="0"/>
            </w:pPr>
            <w:r>
              <w:rPr>
                <w:sz w:val="17"/>
              </w:rPr>
            </w:r>
            <w:r>
              <w:rPr>
                <w:b w:val="0"/>
                <w:sz w:val="17"/>
              </w:rPr>
              <w:t>clinical_summary</w:t>
            </w:r>
          </w:p>
        </w:tc>
        <w:tc>
          <w:tcPr>
            <w:tcW w:type="dxa" w:w="4320"/>
            <w:vAlign w:val="center"/>
          </w:tcPr>
          <w:p>
            <w:pPr>
              <w:spacing w:after="40" w:before="0"/>
            </w:pPr>
            <w:r>
              <w:rPr>
                <w:sz w:val="17"/>
              </w:rPr>
            </w:r>
            <w:r>
              <w:rPr>
                <w:b w:val="0"/>
                <w:sz w:val="17"/>
              </w:rPr>
              <w:t>Concise canonical meaning.</w:t>
            </w:r>
          </w:p>
        </w:tc>
        <w:tc>
          <w:tcPr>
            <w:tcW w:type="dxa" w:w="3672"/>
            <w:vAlign w:val="center"/>
          </w:tcPr>
          <w:p>
            <w:pPr>
              <w:spacing w:after="40" w:before="0"/>
            </w:pPr>
            <w:r>
              <w:rPr>
                <w:sz w:val="17"/>
              </w:rPr>
            </w:r>
            <w:r>
              <w:rPr>
                <w:b w:val="0"/>
                <w:sz w:val="17"/>
              </w:rPr>
              <w:t>Severely elevated blood pressure recorded.</w:t>
            </w:r>
          </w:p>
        </w:tc>
      </w:tr>
      <w:tr>
        <w:tc>
          <w:tcPr>
            <w:tcW w:type="dxa" w:w="1800"/>
            <w:vAlign w:val="center"/>
          </w:tcPr>
          <w:p>
            <w:pPr>
              <w:spacing w:after="40" w:before="0"/>
            </w:pPr>
            <w:r>
              <w:rPr>
                <w:sz w:val="17"/>
              </w:rPr>
            </w:r>
            <w:r>
              <w:rPr>
                <w:b w:val="0"/>
                <w:sz w:val="17"/>
              </w:rPr>
              <w:t>rationale_key</w:t>
            </w:r>
          </w:p>
        </w:tc>
        <w:tc>
          <w:tcPr>
            <w:tcW w:type="dxa" w:w="4320"/>
            <w:vAlign w:val="center"/>
          </w:tcPr>
          <w:p>
            <w:pPr>
              <w:spacing w:after="40" w:before="0"/>
            </w:pPr>
            <w:r>
              <w:rPr>
                <w:sz w:val="17"/>
              </w:rPr>
            </w:r>
            <w:r>
              <w:rPr>
                <w:b w:val="0"/>
                <w:sz w:val="17"/>
              </w:rPr>
              <w:t>Reference to controlled rationale text.</w:t>
            </w:r>
          </w:p>
        </w:tc>
        <w:tc>
          <w:tcPr>
            <w:tcW w:type="dxa" w:w="3672"/>
            <w:vAlign w:val="center"/>
          </w:tcPr>
          <w:p>
            <w:pPr>
              <w:spacing w:after="40" w:before="0"/>
            </w:pPr>
            <w:r>
              <w:rPr>
                <w:sz w:val="17"/>
              </w:rPr>
            </w:r>
            <w:r>
              <w:rPr>
                <w:b w:val="0"/>
                <w:sz w:val="17"/>
              </w:rPr>
              <w:t>RATIONALE_BP_SEVERE</w:t>
            </w:r>
          </w:p>
        </w:tc>
      </w:tr>
      <w:tr>
        <w:tc>
          <w:tcPr>
            <w:tcW w:type="dxa" w:w="1800"/>
            <w:vAlign w:val="center"/>
          </w:tcPr>
          <w:p>
            <w:pPr>
              <w:spacing w:after="40" w:before="0"/>
            </w:pPr>
            <w:r>
              <w:rPr>
                <w:sz w:val="17"/>
              </w:rPr>
            </w:r>
            <w:r>
              <w:rPr>
                <w:b w:val="0"/>
                <w:sz w:val="17"/>
              </w:rPr>
              <w:t>recommendation_key</w:t>
            </w:r>
          </w:p>
        </w:tc>
        <w:tc>
          <w:tcPr>
            <w:tcW w:type="dxa" w:w="4320"/>
            <w:vAlign w:val="center"/>
          </w:tcPr>
          <w:p>
            <w:pPr>
              <w:spacing w:after="40" w:before="0"/>
            </w:pPr>
            <w:r>
              <w:rPr>
                <w:sz w:val="17"/>
              </w:rPr>
            </w:r>
            <w:r>
              <w:rPr>
                <w:b w:val="0"/>
                <w:sz w:val="17"/>
              </w:rPr>
              <w:t>Reference to controlled recommendation.</w:t>
            </w:r>
          </w:p>
        </w:tc>
        <w:tc>
          <w:tcPr>
            <w:tcW w:type="dxa" w:w="3672"/>
            <w:vAlign w:val="center"/>
          </w:tcPr>
          <w:p>
            <w:pPr>
              <w:spacing w:after="40" w:before="0"/>
            </w:pPr>
            <w:r>
              <w:rPr>
                <w:sz w:val="17"/>
              </w:rPr>
            </w:r>
            <w:r>
              <w:rPr>
                <w:b w:val="0"/>
                <w:sz w:val="17"/>
              </w:rPr>
              <w:t>REC_URGENT_EVALUATION</w:t>
            </w:r>
          </w:p>
        </w:tc>
      </w:tr>
      <w:tr>
        <w:tc>
          <w:tcPr>
            <w:tcW w:type="dxa" w:w="1800"/>
            <w:vAlign w:val="center"/>
          </w:tcPr>
          <w:p>
            <w:pPr>
              <w:spacing w:after="40" w:before="0"/>
            </w:pPr>
            <w:r>
              <w:rPr>
                <w:sz w:val="17"/>
              </w:rPr>
            </w:r>
            <w:r>
              <w:rPr>
                <w:b w:val="0"/>
                <w:sz w:val="17"/>
              </w:rPr>
              <w:t>audience_templates</w:t>
            </w:r>
          </w:p>
        </w:tc>
        <w:tc>
          <w:tcPr>
            <w:tcW w:type="dxa" w:w="4320"/>
            <w:vAlign w:val="center"/>
          </w:tcPr>
          <w:p>
            <w:pPr>
              <w:spacing w:after="40" w:before="0"/>
            </w:pPr>
            <w:r>
              <w:rPr>
                <w:sz w:val="17"/>
              </w:rPr>
            </w:r>
            <w:r>
              <w:rPr>
                <w:b w:val="0"/>
                <w:sz w:val="17"/>
              </w:rPr>
              <w:t>Approved renderings by audience.</w:t>
            </w:r>
          </w:p>
        </w:tc>
        <w:tc>
          <w:tcPr>
            <w:tcW w:type="dxa" w:w="3672"/>
            <w:vAlign w:val="center"/>
          </w:tcPr>
          <w:p>
            <w:pPr>
              <w:spacing w:after="40" w:before="0"/>
            </w:pPr>
            <w:r>
              <w:rPr>
                <w:sz w:val="17"/>
              </w:rPr>
            </w:r>
            <w:r>
              <w:rPr>
                <w:b w:val="0"/>
                <w:sz w:val="17"/>
              </w:rPr>
              <w:t>midwife, patient, referral, audit</w:t>
            </w:r>
          </w:p>
        </w:tc>
      </w:tr>
      <w:tr>
        <w:tc>
          <w:tcPr>
            <w:tcW w:type="dxa" w:w="1800"/>
            <w:vAlign w:val="center"/>
          </w:tcPr>
          <w:p>
            <w:pPr>
              <w:spacing w:after="40" w:before="0"/>
            </w:pPr>
            <w:r>
              <w:rPr>
                <w:sz w:val="17"/>
              </w:rPr>
            </w:r>
            <w:r>
              <w:rPr>
                <w:b w:val="0"/>
                <w:sz w:val="17"/>
              </w:rPr>
              <w:t>evidence_source_ids</w:t>
            </w:r>
          </w:p>
        </w:tc>
        <w:tc>
          <w:tcPr>
            <w:tcW w:type="dxa" w:w="4320"/>
            <w:vAlign w:val="center"/>
          </w:tcPr>
          <w:p>
            <w:pPr>
              <w:spacing w:after="40" w:before="0"/>
            </w:pPr>
            <w:r>
              <w:rPr>
                <w:sz w:val="17"/>
              </w:rPr>
            </w:r>
            <w:r>
              <w:rPr>
                <w:b w:val="0"/>
                <w:sz w:val="17"/>
              </w:rPr>
              <w:t>Documented evidence references.</w:t>
            </w:r>
          </w:p>
        </w:tc>
        <w:tc>
          <w:tcPr>
            <w:tcW w:type="dxa" w:w="3672"/>
            <w:vAlign w:val="center"/>
          </w:tcPr>
          <w:p>
            <w:pPr>
              <w:spacing w:after="40" w:before="0"/>
            </w:pPr>
            <w:r>
              <w:rPr>
                <w:sz w:val="17"/>
              </w:rPr>
            </w:r>
            <w:r>
              <w:rPr>
                <w:b w:val="0"/>
                <w:sz w:val="17"/>
              </w:rPr>
              <w:t>WHO-ANC; ACOG-HTN</w:t>
            </w:r>
          </w:p>
        </w:tc>
      </w:tr>
      <w:tr>
        <w:tc>
          <w:tcPr>
            <w:tcW w:type="dxa" w:w="1800"/>
            <w:vAlign w:val="center"/>
          </w:tcPr>
          <w:p>
            <w:pPr>
              <w:spacing w:after="40" w:before="0"/>
            </w:pPr>
            <w:r>
              <w:rPr>
                <w:sz w:val="17"/>
              </w:rPr>
            </w:r>
            <w:r>
              <w:rPr>
                <w:b w:val="0"/>
                <w:sz w:val="17"/>
              </w:rPr>
              <w:t>generated_at</w:t>
            </w:r>
          </w:p>
        </w:tc>
        <w:tc>
          <w:tcPr>
            <w:tcW w:type="dxa" w:w="4320"/>
            <w:vAlign w:val="center"/>
          </w:tcPr>
          <w:p>
            <w:pPr>
              <w:spacing w:after="40" w:before="0"/>
            </w:pPr>
            <w:r>
              <w:rPr>
                <w:sz w:val="17"/>
              </w:rPr>
            </w:r>
            <w:r>
              <w:rPr>
                <w:b w:val="0"/>
                <w:sz w:val="17"/>
              </w:rPr>
              <w:t>Assessment explanation timestamp.</w:t>
            </w:r>
          </w:p>
        </w:tc>
        <w:tc>
          <w:tcPr>
            <w:tcW w:type="dxa" w:w="3672"/>
            <w:vAlign w:val="center"/>
          </w:tcPr>
          <w:p>
            <w:pPr>
              <w:spacing w:after="40" w:before="0"/>
            </w:pPr>
            <w:r>
              <w:rPr>
                <w:sz w:val="17"/>
              </w:rPr>
            </w:r>
            <w:r>
              <w:rPr>
                <w:b w:val="0"/>
                <w:sz w:val="17"/>
              </w:rPr>
              <w:t>2026-07-24T19:10:00+08:00</w:t>
            </w:r>
          </w:p>
        </w:tc>
      </w:tr>
    </w:tbl>
    <w:p/>
    <w:p>
      <w:pPr>
        <w:pStyle w:val="Heading2"/>
      </w:pPr>
      <w:r>
        <w:t>3.2 Canonical explanation grammar</w:t>
      </w:r>
    </w:p>
    <w:p>
      <w:pPr>
        <w:pStyle w:val="BodyText"/>
      </w:pPr>
      <w:r>
        <w:t>A rule explanation should follow a controlled four-part grammar: observed finding, clinical meaning, system consequence, and recommended human action. Not every audience receives all four parts, but each projection must remain consistent with the same canonical record.</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D9EAF7"/>
          </w:tcPr>
          <w:p>
            <w:pPr>
              <w:spacing w:after="40" w:before="0"/>
            </w:pPr>
            <w:r>
              <w:rPr>
                <w:sz w:val="17"/>
              </w:rPr>
            </w:r>
            <w:r>
              <w:rPr>
                <w:b/>
                <w:sz w:val="17"/>
              </w:rPr>
              <w:t>Component</w:t>
            </w:r>
          </w:p>
        </w:tc>
        <w:tc>
          <w:tcPr>
            <w:tcW w:type="dxa" w:w="3024"/>
            <w:vAlign w:val="center"/>
            <w:shd w:fill="D9EAF7"/>
          </w:tcPr>
          <w:p>
            <w:pPr>
              <w:spacing w:after="40" w:before="0"/>
            </w:pPr>
            <w:r>
              <w:rPr>
                <w:sz w:val="17"/>
              </w:rPr>
            </w:r>
            <w:r>
              <w:rPr>
                <w:b/>
                <w:sz w:val="17"/>
              </w:rPr>
              <w:t>Question answered</w:t>
            </w:r>
          </w:p>
        </w:tc>
        <w:tc>
          <w:tcPr>
            <w:tcW w:type="dxa" w:w="4968"/>
            <w:vAlign w:val="center"/>
            <w:shd w:fill="D9EAF7"/>
          </w:tcPr>
          <w:p>
            <w:pPr>
              <w:spacing w:after="40" w:before="0"/>
            </w:pPr>
            <w:r>
              <w:rPr>
                <w:sz w:val="17"/>
              </w:rPr>
            </w:r>
            <w:r>
              <w:rPr>
                <w:b/>
                <w:sz w:val="17"/>
              </w:rPr>
              <w:t>Example</w:t>
            </w:r>
          </w:p>
        </w:tc>
      </w:tr>
      <w:tr>
        <w:tc>
          <w:tcPr>
            <w:tcW w:type="dxa" w:w="1800"/>
            <w:vAlign w:val="center"/>
          </w:tcPr>
          <w:p>
            <w:pPr>
              <w:spacing w:after="40" w:before="0"/>
            </w:pPr>
            <w:r>
              <w:rPr>
                <w:sz w:val="17"/>
              </w:rPr>
            </w:r>
            <w:r>
              <w:rPr>
                <w:b w:val="0"/>
                <w:sz w:val="17"/>
              </w:rPr>
              <w:t>Finding</w:t>
            </w:r>
          </w:p>
        </w:tc>
        <w:tc>
          <w:tcPr>
            <w:tcW w:type="dxa" w:w="3024"/>
            <w:vAlign w:val="center"/>
          </w:tcPr>
          <w:p>
            <w:pPr>
              <w:spacing w:after="40" w:before="0"/>
            </w:pPr>
            <w:r>
              <w:rPr>
                <w:sz w:val="17"/>
              </w:rPr>
            </w:r>
            <w:r>
              <w:rPr>
                <w:b w:val="0"/>
                <w:sz w:val="17"/>
              </w:rPr>
              <w:t>What patient-specific evidence triggered?</w:t>
            </w:r>
          </w:p>
        </w:tc>
        <w:tc>
          <w:tcPr>
            <w:tcW w:type="dxa" w:w="4968"/>
            <w:vAlign w:val="center"/>
          </w:tcPr>
          <w:p>
            <w:pPr>
              <w:spacing w:after="40" w:before="0"/>
            </w:pPr>
            <w:r>
              <w:rPr>
                <w:sz w:val="17"/>
              </w:rPr>
            </w:r>
            <w:r>
              <w:rPr>
                <w:b w:val="0"/>
                <w:sz w:val="17"/>
              </w:rPr>
              <w:t>Blood pressure was recorded at 150/96 mmHg.</w:t>
            </w:r>
          </w:p>
        </w:tc>
      </w:tr>
      <w:tr>
        <w:tc>
          <w:tcPr>
            <w:tcW w:type="dxa" w:w="1800"/>
            <w:vAlign w:val="center"/>
          </w:tcPr>
          <w:p>
            <w:pPr>
              <w:spacing w:after="40" w:before="0"/>
            </w:pPr>
            <w:r>
              <w:rPr>
                <w:sz w:val="17"/>
              </w:rPr>
            </w:r>
            <w:r>
              <w:rPr>
                <w:b w:val="0"/>
                <w:sz w:val="17"/>
              </w:rPr>
              <w:t>Meaning</w:t>
            </w:r>
          </w:p>
        </w:tc>
        <w:tc>
          <w:tcPr>
            <w:tcW w:type="dxa" w:w="3024"/>
            <w:vAlign w:val="center"/>
          </w:tcPr>
          <w:p>
            <w:pPr>
              <w:spacing w:after="40" w:before="0"/>
            </w:pPr>
            <w:r>
              <w:rPr>
                <w:sz w:val="17"/>
              </w:rPr>
            </w:r>
            <w:r>
              <w:rPr>
                <w:b w:val="0"/>
                <w:sz w:val="17"/>
              </w:rPr>
              <w:t>Why is this relevant?</w:t>
            </w:r>
          </w:p>
        </w:tc>
        <w:tc>
          <w:tcPr>
            <w:tcW w:type="dxa" w:w="4968"/>
            <w:vAlign w:val="center"/>
          </w:tcPr>
          <w:p>
            <w:pPr>
              <w:spacing w:after="40" w:before="0"/>
            </w:pPr>
            <w:r>
              <w:rPr>
                <w:sz w:val="17"/>
              </w:rPr>
            </w:r>
            <w:r>
              <w:rPr>
                <w:b w:val="0"/>
                <w:sz w:val="17"/>
              </w:rPr>
              <w:t>This meets the system threshold for elevated blood pressure in pregnancy.</w:t>
            </w:r>
          </w:p>
        </w:tc>
      </w:tr>
      <w:tr>
        <w:tc>
          <w:tcPr>
            <w:tcW w:type="dxa" w:w="1800"/>
            <w:vAlign w:val="center"/>
          </w:tcPr>
          <w:p>
            <w:pPr>
              <w:spacing w:after="40" w:before="0"/>
            </w:pPr>
            <w:r>
              <w:rPr>
                <w:sz w:val="17"/>
              </w:rPr>
            </w:r>
            <w:r>
              <w:rPr>
                <w:b w:val="0"/>
                <w:sz w:val="17"/>
              </w:rPr>
              <w:t>Consequence</w:t>
            </w:r>
          </w:p>
        </w:tc>
        <w:tc>
          <w:tcPr>
            <w:tcW w:type="dxa" w:w="3024"/>
            <w:vAlign w:val="center"/>
          </w:tcPr>
          <w:p>
            <w:pPr>
              <w:spacing w:after="40" w:before="0"/>
            </w:pPr>
            <w:r>
              <w:rPr>
                <w:sz w:val="17"/>
              </w:rPr>
            </w:r>
            <w:r>
              <w:rPr>
                <w:b w:val="0"/>
                <w:sz w:val="17"/>
              </w:rPr>
              <w:t>What did the system do?</w:t>
            </w:r>
          </w:p>
        </w:tc>
        <w:tc>
          <w:tcPr>
            <w:tcW w:type="dxa" w:w="4968"/>
            <w:vAlign w:val="center"/>
          </w:tcPr>
          <w:p>
            <w:pPr>
              <w:spacing w:after="40" w:before="0"/>
            </w:pPr>
            <w:r>
              <w:rPr>
                <w:sz w:val="17"/>
              </w:rPr>
            </w:r>
            <w:r>
              <w:rPr>
                <w:b w:val="0"/>
                <w:sz w:val="17"/>
              </w:rPr>
              <w:t>The assessment was classified HIGH.</w:t>
            </w:r>
          </w:p>
        </w:tc>
      </w:tr>
      <w:tr>
        <w:tc>
          <w:tcPr>
            <w:tcW w:type="dxa" w:w="1800"/>
            <w:vAlign w:val="center"/>
          </w:tcPr>
          <w:p>
            <w:pPr>
              <w:spacing w:after="40" w:before="0"/>
            </w:pPr>
            <w:r>
              <w:rPr>
                <w:sz w:val="17"/>
              </w:rPr>
            </w:r>
            <w:r>
              <w:rPr>
                <w:b w:val="0"/>
                <w:sz w:val="17"/>
              </w:rPr>
              <w:t>Action</w:t>
            </w:r>
          </w:p>
        </w:tc>
        <w:tc>
          <w:tcPr>
            <w:tcW w:type="dxa" w:w="3024"/>
            <w:vAlign w:val="center"/>
          </w:tcPr>
          <w:p>
            <w:pPr>
              <w:spacing w:after="40" w:before="0"/>
            </w:pPr>
            <w:r>
              <w:rPr>
                <w:sz w:val="17"/>
              </w:rPr>
            </w:r>
            <w:r>
              <w:rPr>
                <w:b w:val="0"/>
                <w:sz w:val="17"/>
              </w:rPr>
              <w:t>What should the user consider?</w:t>
            </w:r>
          </w:p>
        </w:tc>
        <w:tc>
          <w:tcPr>
            <w:tcW w:type="dxa" w:w="4968"/>
            <w:vAlign w:val="center"/>
          </w:tcPr>
          <w:p>
            <w:pPr>
              <w:spacing w:after="40" w:before="0"/>
            </w:pPr>
            <w:r>
              <w:rPr>
                <w:sz w:val="17"/>
              </w:rPr>
            </w:r>
            <w:r>
              <w:rPr>
                <w:b w:val="0"/>
                <w:sz w:val="17"/>
              </w:rPr>
              <w:t>Prompt clinical review and referral assessment are recommended.</w:t>
            </w:r>
          </w:p>
        </w:tc>
      </w:tr>
    </w:tbl>
    <w:p/>
    <w:p>
      <w:pPr>
        <w:pStyle w:val="Heading2"/>
      </w:pPr>
      <w:r>
        <w:t>3.3 Explanation status</w:t>
      </w:r>
    </w:p>
    <w:p>
      <w:pPr>
        <w:pStyle w:val="ListBullet"/>
      </w:pPr>
      <w:r>
        <w:t>GENERATED — all required reason fields and templates passed validation.</w:t>
      </w:r>
    </w:p>
    <w:p>
      <w:pPr>
        <w:pStyle w:val="ListBullet"/>
      </w:pPr>
      <w:r>
        <w:t>PARTIAL — a noncritical projection failed, while canonical reasons remain valid; clinical display must still preserve the full basis.</w:t>
      </w:r>
    </w:p>
    <w:p>
      <w:pPr>
        <w:pStyle w:val="ListBullet"/>
      </w:pPr>
      <w:r>
        <w:t>FAILED — canonical reason generation or consistency validation failed; the system must not show a normal LOW or HIGH explanation as if complete.</w:t>
      </w:r>
    </w:p>
    <w:p>
      <w:pPr>
        <w:pStyle w:val="Heading1"/>
      </w:pPr>
      <w:r>
        <w:t>4. Rule Catalog and Priority Model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008"/>
            <w:vAlign w:val="center"/>
            <w:shd w:fill="D9EAF7"/>
          </w:tcPr>
          <w:p>
            <w:pPr>
              <w:spacing w:after="40" w:before="0"/>
            </w:pPr>
            <w:r>
              <w:rPr>
                <w:sz w:val="17"/>
              </w:rPr>
            </w:r>
            <w:r>
              <w:rPr>
                <w:b/>
                <w:sz w:val="17"/>
              </w:rPr>
              <w:t>Priority</w:t>
            </w:r>
          </w:p>
        </w:tc>
        <w:tc>
          <w:tcPr>
            <w:tcW w:type="dxa" w:w="1800"/>
            <w:vAlign w:val="center"/>
            <w:shd w:fill="D9EAF7"/>
          </w:tcPr>
          <w:p>
            <w:pPr>
              <w:spacing w:after="40" w:before="0"/>
            </w:pPr>
            <w:r>
              <w:rPr>
                <w:sz w:val="17"/>
              </w:rPr>
            </w:r>
            <w:r>
              <w:rPr>
                <w:b/>
                <w:sz w:val="17"/>
              </w:rPr>
              <w:t>Severity class</w:t>
            </w:r>
          </w:p>
        </w:tc>
        <w:tc>
          <w:tcPr>
            <w:tcW w:type="dxa" w:w="4032"/>
            <w:vAlign w:val="center"/>
            <w:shd w:fill="D9EAF7"/>
          </w:tcPr>
          <w:p>
            <w:pPr>
              <w:spacing w:after="40" w:before="0"/>
            </w:pPr>
            <w:r>
              <w:rPr>
                <w:sz w:val="17"/>
              </w:rPr>
            </w:r>
            <w:r>
              <w:rPr>
                <w:b/>
                <w:sz w:val="17"/>
              </w:rPr>
              <w:t>Examples</w:t>
            </w:r>
          </w:p>
        </w:tc>
        <w:tc>
          <w:tcPr>
            <w:tcW w:type="dxa" w:w="3168"/>
            <w:vAlign w:val="center"/>
            <w:shd w:fill="D9EAF7"/>
          </w:tcPr>
          <w:p>
            <w:pPr>
              <w:spacing w:after="40" w:before="0"/>
            </w:pPr>
            <w:r>
              <w:rPr>
                <w:sz w:val="17"/>
              </w:rPr>
            </w:r>
            <w:r>
              <w:rPr>
                <w:b/>
                <w:sz w:val="17"/>
              </w:rPr>
              <w:t>Display behavior</w:t>
            </w:r>
          </w:p>
        </w:tc>
      </w:tr>
      <w:tr>
        <w:tc>
          <w:tcPr>
            <w:tcW w:type="dxa" w:w="1008"/>
            <w:vAlign w:val="center"/>
          </w:tcPr>
          <w:p>
            <w:pPr>
              <w:spacing w:after="40" w:before="0"/>
            </w:pPr>
            <w:r>
              <w:rPr>
                <w:sz w:val="17"/>
              </w:rPr>
            </w:r>
            <w:r>
              <w:rPr>
                <w:b w:val="0"/>
                <w:sz w:val="17"/>
              </w:rPr>
              <w:t>P0</w:t>
            </w:r>
          </w:p>
        </w:tc>
        <w:tc>
          <w:tcPr>
            <w:tcW w:type="dxa" w:w="1800"/>
            <w:vAlign w:val="center"/>
          </w:tcPr>
          <w:p>
            <w:pPr>
              <w:spacing w:after="40" w:before="0"/>
            </w:pPr>
            <w:r>
              <w:rPr>
                <w:sz w:val="17"/>
              </w:rPr>
            </w:r>
            <w:r>
              <w:rPr>
                <w:b w:val="0"/>
                <w:sz w:val="17"/>
              </w:rPr>
              <w:t>URGENT</w:t>
            </w:r>
          </w:p>
        </w:tc>
        <w:tc>
          <w:tcPr>
            <w:tcW w:type="dxa" w:w="4032"/>
            <w:vAlign w:val="center"/>
          </w:tcPr>
          <w:p>
            <w:pPr>
              <w:spacing w:after="40" w:before="0"/>
            </w:pPr>
            <w:r>
              <w:rPr>
                <w:sz w:val="17"/>
              </w:rPr>
            </w:r>
            <w:r>
              <w:rPr>
                <w:b w:val="0"/>
                <w:sz w:val="17"/>
              </w:rPr>
              <w:t>BP ≥160 systolic or ≥110 diastolic; absent fetal heartbeat</w:t>
            </w:r>
          </w:p>
        </w:tc>
        <w:tc>
          <w:tcPr>
            <w:tcW w:type="dxa" w:w="3168"/>
            <w:vAlign w:val="center"/>
          </w:tcPr>
          <w:p>
            <w:pPr>
              <w:spacing w:after="40" w:before="0"/>
            </w:pPr>
            <w:r>
              <w:rPr>
                <w:sz w:val="17"/>
              </w:rPr>
            </w:r>
            <w:r>
              <w:rPr>
                <w:b w:val="0"/>
                <w:sz w:val="17"/>
              </w:rPr>
              <w:t>First in clinical display; explicit urgent review wording; never collapsed.</w:t>
            </w:r>
          </w:p>
        </w:tc>
      </w:tr>
      <w:tr>
        <w:tc>
          <w:tcPr>
            <w:tcW w:type="dxa" w:w="1008"/>
            <w:vAlign w:val="center"/>
          </w:tcPr>
          <w:p>
            <w:pPr>
              <w:spacing w:after="40" w:before="0"/>
            </w:pPr>
            <w:r>
              <w:rPr>
                <w:sz w:val="17"/>
              </w:rPr>
            </w:r>
            <w:r>
              <w:rPr>
                <w:b w:val="0"/>
                <w:sz w:val="17"/>
              </w:rPr>
              <w:t>P1</w:t>
            </w:r>
          </w:p>
        </w:tc>
        <w:tc>
          <w:tcPr>
            <w:tcW w:type="dxa" w:w="1800"/>
            <w:vAlign w:val="center"/>
          </w:tcPr>
          <w:p>
            <w:pPr>
              <w:spacing w:after="40" w:before="0"/>
            </w:pPr>
            <w:r>
              <w:rPr>
                <w:sz w:val="17"/>
              </w:rPr>
            </w:r>
            <w:r>
              <w:rPr>
                <w:b w:val="0"/>
                <w:sz w:val="17"/>
              </w:rPr>
              <w:t>HIGH-CLINICAL</w:t>
            </w:r>
          </w:p>
        </w:tc>
        <w:tc>
          <w:tcPr>
            <w:tcW w:type="dxa" w:w="4032"/>
            <w:vAlign w:val="center"/>
          </w:tcPr>
          <w:p>
            <w:pPr>
              <w:spacing w:after="40" w:before="0"/>
            </w:pPr>
            <w:r>
              <w:rPr>
                <w:sz w:val="17"/>
              </w:rPr>
            </w:r>
            <w:r>
              <w:rPr>
                <w:b w:val="0"/>
                <w:sz w:val="17"/>
              </w:rPr>
              <w:t>BP ≥140/90; abnormal or weak fetal heartbeat; malpresentation; abnormal amniotic fluid</w:t>
            </w:r>
          </w:p>
        </w:tc>
        <w:tc>
          <w:tcPr>
            <w:tcW w:type="dxa" w:w="3168"/>
            <w:vAlign w:val="center"/>
          </w:tcPr>
          <w:p>
            <w:pPr>
              <w:spacing w:after="40" w:before="0"/>
            </w:pPr>
            <w:r>
              <w:rPr>
                <w:sz w:val="17"/>
              </w:rPr>
            </w:r>
            <w:r>
              <w:rPr>
                <w:b w:val="0"/>
                <w:sz w:val="17"/>
              </w:rPr>
              <w:t>Displayed before historical and demographic factors.</w:t>
            </w:r>
          </w:p>
        </w:tc>
      </w:tr>
      <w:tr>
        <w:tc>
          <w:tcPr>
            <w:tcW w:type="dxa" w:w="1008"/>
            <w:vAlign w:val="center"/>
          </w:tcPr>
          <w:p>
            <w:pPr>
              <w:spacing w:after="40" w:before="0"/>
            </w:pPr>
            <w:r>
              <w:rPr>
                <w:sz w:val="17"/>
              </w:rPr>
            </w:r>
            <w:r>
              <w:rPr>
                <w:b w:val="0"/>
                <w:sz w:val="17"/>
              </w:rPr>
              <w:t>P2</w:t>
            </w:r>
          </w:p>
        </w:tc>
        <w:tc>
          <w:tcPr>
            <w:tcW w:type="dxa" w:w="1800"/>
            <w:vAlign w:val="center"/>
          </w:tcPr>
          <w:p>
            <w:pPr>
              <w:spacing w:after="40" w:before="0"/>
            </w:pPr>
            <w:r>
              <w:rPr>
                <w:sz w:val="17"/>
              </w:rPr>
            </w:r>
            <w:r>
              <w:rPr>
                <w:b w:val="0"/>
                <w:sz w:val="17"/>
              </w:rPr>
              <w:t>HIGH-HISTORY</w:t>
            </w:r>
          </w:p>
        </w:tc>
        <w:tc>
          <w:tcPr>
            <w:tcW w:type="dxa" w:w="4032"/>
            <w:vAlign w:val="center"/>
          </w:tcPr>
          <w:p>
            <w:pPr>
              <w:spacing w:after="40" w:before="0"/>
            </w:pPr>
            <w:r>
              <w:rPr>
                <w:sz w:val="17"/>
              </w:rPr>
            </w:r>
            <w:r>
              <w:rPr>
                <w:b w:val="0"/>
                <w:sz w:val="17"/>
              </w:rPr>
              <w:t>Diabetes, anemia, previous cesarean, recurrent miscarriage</w:t>
            </w:r>
          </w:p>
        </w:tc>
        <w:tc>
          <w:tcPr>
            <w:tcW w:type="dxa" w:w="3168"/>
            <w:vAlign w:val="center"/>
          </w:tcPr>
          <w:p>
            <w:pPr>
              <w:spacing w:after="40" w:before="0"/>
            </w:pPr>
            <w:r>
              <w:rPr>
                <w:sz w:val="17"/>
              </w:rPr>
            </w:r>
            <w:r>
              <w:rPr>
                <w:b w:val="0"/>
                <w:sz w:val="17"/>
              </w:rPr>
              <w:t>Displayed as important contributing history.</w:t>
            </w:r>
          </w:p>
        </w:tc>
      </w:tr>
      <w:tr>
        <w:tc>
          <w:tcPr>
            <w:tcW w:type="dxa" w:w="1008"/>
            <w:vAlign w:val="center"/>
          </w:tcPr>
          <w:p>
            <w:pPr>
              <w:spacing w:after="40" w:before="0"/>
            </w:pPr>
            <w:r>
              <w:rPr>
                <w:sz w:val="17"/>
              </w:rPr>
            </w:r>
            <w:r>
              <w:rPr>
                <w:b w:val="0"/>
                <w:sz w:val="17"/>
              </w:rPr>
              <w:t>P3</w:t>
            </w:r>
          </w:p>
        </w:tc>
        <w:tc>
          <w:tcPr>
            <w:tcW w:type="dxa" w:w="1800"/>
            <w:vAlign w:val="center"/>
          </w:tcPr>
          <w:p>
            <w:pPr>
              <w:spacing w:after="40" w:before="0"/>
            </w:pPr>
            <w:r>
              <w:rPr>
                <w:sz w:val="17"/>
              </w:rPr>
            </w:r>
            <w:r>
              <w:rPr>
                <w:b w:val="0"/>
                <w:sz w:val="17"/>
              </w:rPr>
              <w:t>HIGH-DEMOGRAPHIC</w:t>
            </w:r>
          </w:p>
        </w:tc>
        <w:tc>
          <w:tcPr>
            <w:tcW w:type="dxa" w:w="4032"/>
            <w:vAlign w:val="center"/>
          </w:tcPr>
          <w:p>
            <w:pPr>
              <w:spacing w:after="40" w:before="0"/>
            </w:pPr>
            <w:r>
              <w:rPr>
                <w:sz w:val="17"/>
              </w:rPr>
            </w:r>
            <w:r>
              <w:rPr>
                <w:b w:val="0"/>
                <w:sz w:val="17"/>
              </w:rPr>
              <w:t>Age &lt;19; age ≥35 with first pregnancy</w:t>
            </w:r>
          </w:p>
        </w:tc>
        <w:tc>
          <w:tcPr>
            <w:tcW w:type="dxa" w:w="3168"/>
            <w:vAlign w:val="center"/>
          </w:tcPr>
          <w:p>
            <w:pPr>
              <w:spacing w:after="40" w:before="0"/>
            </w:pPr>
            <w:r>
              <w:rPr>
                <w:sz w:val="17"/>
              </w:rPr>
            </w:r>
            <w:r>
              <w:rPr>
                <w:b w:val="0"/>
                <w:sz w:val="17"/>
              </w:rPr>
              <w:t>Displayed as demographic/obstetric context.</w:t>
            </w:r>
          </w:p>
        </w:tc>
      </w:tr>
      <w:tr>
        <w:tc>
          <w:tcPr>
            <w:tcW w:type="dxa" w:w="1008"/>
            <w:vAlign w:val="center"/>
          </w:tcPr>
          <w:p>
            <w:pPr>
              <w:spacing w:after="40" w:before="0"/>
            </w:pPr>
            <w:r>
              <w:rPr>
                <w:sz w:val="17"/>
              </w:rPr>
            </w:r>
            <w:r>
              <w:rPr>
                <w:b w:val="0"/>
                <w:sz w:val="17"/>
              </w:rPr>
              <w:t>P4</w:t>
            </w:r>
          </w:p>
        </w:tc>
        <w:tc>
          <w:tcPr>
            <w:tcW w:type="dxa" w:w="1800"/>
            <w:vAlign w:val="center"/>
          </w:tcPr>
          <w:p>
            <w:pPr>
              <w:spacing w:after="40" w:before="0"/>
            </w:pPr>
            <w:r>
              <w:rPr>
                <w:sz w:val="17"/>
              </w:rPr>
            </w:r>
            <w:r>
              <w:rPr>
                <w:b w:val="0"/>
                <w:sz w:val="17"/>
              </w:rPr>
              <w:t>ML-CONTRIBUTION</w:t>
            </w:r>
          </w:p>
        </w:tc>
        <w:tc>
          <w:tcPr>
            <w:tcW w:type="dxa" w:w="4032"/>
            <w:vAlign w:val="center"/>
          </w:tcPr>
          <w:p>
            <w:pPr>
              <w:spacing w:after="40" w:before="0"/>
            </w:pPr>
            <w:r>
              <w:rPr>
                <w:sz w:val="17"/>
              </w:rPr>
            </w:r>
            <w:r>
              <w:rPr>
                <w:b w:val="0"/>
                <w:sz w:val="17"/>
              </w:rPr>
              <w:t>Valid ML output HIGH</w:t>
            </w:r>
          </w:p>
        </w:tc>
        <w:tc>
          <w:tcPr>
            <w:tcW w:type="dxa" w:w="3168"/>
            <w:vAlign w:val="center"/>
          </w:tcPr>
          <w:p>
            <w:pPr>
              <w:spacing w:after="40" w:before="0"/>
            </w:pPr>
            <w:r>
              <w:rPr>
                <w:sz w:val="17"/>
              </w:rPr>
            </w:r>
            <w:r>
              <w:rPr>
                <w:b w:val="0"/>
                <w:sz w:val="17"/>
              </w:rPr>
              <w:t>Displayed after deterministic factors and labeled as model contribution.</w:t>
            </w:r>
          </w:p>
        </w:tc>
      </w:tr>
      <w:tr>
        <w:tc>
          <w:tcPr>
            <w:tcW w:type="dxa" w:w="1008"/>
            <w:vAlign w:val="center"/>
          </w:tcPr>
          <w:p>
            <w:pPr>
              <w:spacing w:after="40" w:before="0"/>
            </w:pPr>
            <w:r>
              <w:rPr>
                <w:sz w:val="17"/>
              </w:rPr>
            </w:r>
            <w:r>
              <w:rPr>
                <w:b w:val="0"/>
                <w:sz w:val="17"/>
              </w:rPr>
              <w:t>P5</w:t>
            </w:r>
          </w:p>
        </w:tc>
        <w:tc>
          <w:tcPr>
            <w:tcW w:type="dxa" w:w="1800"/>
            <w:vAlign w:val="center"/>
          </w:tcPr>
          <w:p>
            <w:pPr>
              <w:spacing w:after="40" w:before="0"/>
            </w:pPr>
            <w:r>
              <w:rPr>
                <w:sz w:val="17"/>
              </w:rPr>
            </w:r>
            <w:r>
              <w:rPr>
                <w:b w:val="0"/>
                <w:sz w:val="17"/>
              </w:rPr>
              <w:t>INCOMPLETE</w:t>
            </w:r>
          </w:p>
        </w:tc>
        <w:tc>
          <w:tcPr>
            <w:tcW w:type="dxa" w:w="4032"/>
            <w:vAlign w:val="center"/>
          </w:tcPr>
          <w:p>
            <w:pPr>
              <w:spacing w:after="40" w:before="0"/>
            </w:pPr>
            <w:r>
              <w:rPr>
                <w:sz w:val="17"/>
              </w:rPr>
            </w:r>
            <w:r>
              <w:rPr>
                <w:b w:val="0"/>
                <w:sz w:val="17"/>
              </w:rPr>
              <w:t>Missing Medical History, Ultrasound, Birth Plan, or invalid ML output</w:t>
            </w:r>
          </w:p>
        </w:tc>
        <w:tc>
          <w:tcPr>
            <w:tcW w:type="dxa" w:w="3168"/>
            <w:vAlign w:val="center"/>
          </w:tcPr>
          <w:p>
            <w:pPr>
              <w:spacing w:after="40" w:before="0"/>
            </w:pPr>
            <w:r>
              <w:rPr>
                <w:sz w:val="17"/>
              </w:rPr>
            </w:r>
            <w:r>
              <w:rPr>
                <w:b w:val="0"/>
                <w:sz w:val="17"/>
              </w:rPr>
              <w:t>Used when the final state is ASSESSMENT INCOMPLETE.</w:t>
            </w:r>
          </w:p>
        </w:tc>
      </w:tr>
    </w:tbl>
    <w:p/>
    <w:p>
      <w:pPr>
        <w:pStyle w:val="BodyText"/>
      </w:pPr>
      <w:r>
        <w:t>Priority controls ordering and workflow emphasis, not whether a valid factor is retained. A P0 reason does not erase P1–P4 reasons. The complete structured bundle preserves every trigger, while the user interface may progressively disclose secondary factors after the urgent finding.</w:t>
      </w:r>
    </w:p>
    <w:p>
      <w:pPr>
        <w:pStyle w:val="Heading1"/>
      </w:pPr>
      <w:r>
        <w:t>5. Detailed Rule Specifications</w:t>
      </w:r>
    </w:p>
    <w:p>
      <w:pPr>
        <w:pStyle w:val="Heading2"/>
      </w:pPr>
      <w:r>
        <w:t>5.1 Maternal age below 19 years</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AGE_LT_19</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age &lt; 19</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P3 — HIGH-DEMOGRAPHIC</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Maternal age is below 19 years. Adolescent pregnancy can require closer antenatal monitoring because younger pregnant patients may face increased maternal, fetal, and social vulnerabilities.</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The patient’s recorded age is {age}. This activates the approved maternal-age rule and contributes to a HIGH assessment. Review the full clinical context and referral need.</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Because of your age, the clinic recommends closer pregnancy monitoring and review by a healthcare professional.</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Age below 19 years identified as a contributing risk factor. This is a decision-support flag, not a diagnosis.</w:t>
            </w:r>
          </w:p>
        </w:tc>
      </w:tr>
    </w:tbl>
    <w:p/>
    <w:p>
      <w:pPr>
        <w:pStyle w:val="Heading2"/>
      </w:pPr>
      <w:r>
        <w:t>5.2 Maternal age 35 years or older with first pregnancy</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AGE_GE_35_FIRST_PREGNANCY</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age &gt;= 35 AND first_pregnancy = true</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P3 — HIGH-DEMOGRAPHIC</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Advanced maternal age combined with first pregnancy is treated by the approved system as a factor requiring higher clinical attention.</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The patient is {age} years old and this is recorded as her first pregnancy. The combined condition activates the approved rule and contributes to HIGH.</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Your age and first-pregnancy status indicate that closer monitoring and professional review are recommended.</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Age ≥35 and first pregnancy jointly triggered the rule. Neither condition alone should be reported as this combined rule.</w:t>
            </w:r>
          </w:p>
        </w:tc>
      </w:tr>
    </w:tbl>
    <w:p/>
    <w:p>
      <w:pPr>
        <w:pStyle w:val="Heading2"/>
      </w:pPr>
      <w:r>
        <w:t>5.3 Elevated blood pressure</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BP_HIGH_140_90</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systolic &gt;= 140 OR diastolic &gt;= 90</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P1 — HIGH-CLINICAL</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Elevated blood pressure during pregnancy can be clinically significant and requires timely review. The system flags the measured value; it does not diagnose a hypertensive disorder.</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Blood pressure was {bp}. This meets the approved elevated blood-pressure threshold and makes the assessment HIGH. Prompt clinical review and referral consideration are recommended.</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Your blood pressure reading was higher than the clinic’s pregnancy threshold. A healthcare professional should review it promptly.</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Store systolic and diastolic values, measurement timestamp, source visit, and whether the severe threshold also triggered.</w:t>
            </w:r>
          </w:p>
        </w:tc>
      </w:tr>
    </w:tbl>
    <w:p/>
    <w:p>
      <w:pPr>
        <w:pStyle w:val="Heading2"/>
      </w:pPr>
      <w:r>
        <w:t>5.4 Severely elevated blood pressure</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BP_SEVERE_160_110</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systolic &gt;= 160 OR diastolic &gt;= 110</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P0 — URGENT</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Severely elevated blood pressure in pregnancy may indicate an urgent maternal safety concern. The software must visibly escalate this finding and support immediate professional action according to clinic protocol.</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URGENT: Blood pressure was {bp}, meeting the system’s severe threshold. Immediate clinical evaluation and referral action should be considered under the clinic’s emergency protocol.</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Your blood pressure is at a level that needs urgent professional evaluation. Please follow the clinic’s immediate referral or emergency instructions.</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This reason must appear before BP_HIGH_140_90. The general BP reason may be retained structurally but should be visually deduplicated.</w:t>
            </w:r>
          </w:p>
        </w:tc>
      </w:tr>
    </w:tbl>
    <w:p/>
    <w:p>
      <w:pPr>
        <w:pStyle w:val="Heading2"/>
      </w:pPr>
      <w:r>
        <w:t>5.5 Diabetes recorded</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DIABETES_PRESENT</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diabetes = true</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P2 — HIGH-HISTORY</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Diabetes in pregnancy can affect maternal and fetal outcomes and requires appropriate monitoring and management by qualified professionals.</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Diabetes is recorded in the patient’s medical history. This activates an approved high-risk rule and supports referral or coordinated clinical review.</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Your record shows diabetes, so the clinic recommends closer pregnancy monitoring and professional review.</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The explanation must not state whether diabetes is pre-existing or gestational unless the source data explicitly distinguishes them.</w:t>
            </w:r>
          </w:p>
        </w:tc>
      </w:tr>
    </w:tbl>
    <w:p/>
    <w:p>
      <w:pPr>
        <w:pStyle w:val="Heading2"/>
      </w:pPr>
      <w:r>
        <w:t>5.6 Anemia recorded</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ANEMIA_PRESENT</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anemia = true</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P2 — HIGH-HISTORY</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Anemia during pregnancy can increase maternal vulnerability and may require further evaluation and management.</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Anemia is recorded in the medical history. This contributes to the HIGH assessment and should be reviewed together with available laboratory and clinical information.</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Your record shows anemia, so additional monitoring or evaluation may be needed.</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Do not claim severity, laboratory confirmation, or treatment need unless those data are available.</w:t>
            </w:r>
          </w:p>
        </w:tc>
      </w:tr>
    </w:tbl>
    <w:p/>
    <w:p>
      <w:pPr>
        <w:pStyle w:val="Heading2"/>
      </w:pPr>
      <w:r>
        <w:t>5.7 Previous cesarean delivery</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PREVIOUS_CS</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previous_cs = true</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P2 — HIGH-HISTORY</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A previous cesarean delivery is relevant to planning the place and mode of birth and may require referral to a facility with appropriate capability.</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A previous cesarean delivery is recorded. This activates the approved obstetric-history rule and contributes to HIGH for delivery planning and referral review.</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Because you previously delivered by cesarean section, the clinic recommends professional review and delivery planning at an appropriate facility.</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The system must not recommend trial of labor or repeat cesarean; those are clinical decisions outside scope.</w:t>
            </w:r>
          </w:p>
        </w:tc>
      </w:tr>
    </w:tbl>
    <w:p/>
    <w:p>
      <w:pPr>
        <w:pStyle w:val="Heading2"/>
      </w:pPr>
      <w:r>
        <w:t>5.8 Three or more miscarriages</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MISCARRIAGE_GE_3</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miscarriage_count &gt;= 3</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P2 — HIGH-HISTORY</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A history of recurrent pregnancy loss is clinically important and warrants specialist-informed assessment and closer surveillance.</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The record contains {count} previous miscarriages, meeting the approved threshold of three or more. This contributes to HIGH and referral consideration.</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Your pregnancy history shows repeated pregnancy losses, so closer monitoring and professional evaluation are recommended.</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Use the recorded count. Do not infer cause or label a specific disorder.</w:t>
            </w:r>
          </w:p>
        </w:tc>
      </w:tr>
    </w:tbl>
    <w:p/>
    <w:p>
      <w:pPr>
        <w:pStyle w:val="Heading2"/>
      </w:pPr>
      <w:r>
        <w:t>5.9 Breech presentation</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PRESENTATION_BREECH</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presentation = Breech</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P1 — HIGH-CLINICAL</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Breech presentation is relevant to birth planning and may require delivery in a facility with higher capability, depending on gestational age and clinical review.</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Ultrasound records a breech presentation. This activates the malpresentation rule and contributes to HIGH for delivery planning and referral review.</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The baby’s recorded position is breech. A healthcare professional should review the safest delivery plan.</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Treat the ultrasound value as a structured record; do not interpret the image itself.</w:t>
            </w:r>
          </w:p>
        </w:tc>
      </w:tr>
    </w:tbl>
    <w:p/>
    <w:p>
      <w:pPr>
        <w:pStyle w:val="Heading2"/>
      </w:pPr>
      <w:r>
        <w:t>5.10 Transverse presentation</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PRESENTATION_TRANSVERSE</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presentation = Transverse</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P1 — HIGH-CLINICAL</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Transverse lie is incompatible with routine vaginal birth unless it resolves and therefore requires professional review and appropriate delivery planning.</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Ultrasound records a transverse presentation. This activates the malpresentation rule and contributes to HIGH.</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The baby is recorded in a sideways position, so a healthcare professional should review the delivery plan.</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Use non-alarming patient language while preserving the referral implication.</w:t>
            </w:r>
          </w:p>
        </w:tc>
      </w:tr>
    </w:tbl>
    <w:p/>
    <w:p>
      <w:pPr>
        <w:pStyle w:val="Heading2"/>
      </w:pPr>
      <w:r>
        <w:t>5.11 Oblique presentation</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PRESENTATION_OBLIQUE</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presentation = Oblique</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P1 — HIGH-CLINICAL</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Oblique presentation is an unstable or non-longitudinal lie that requires reassessment and delivery planning.</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Ultrasound records an oblique presentation. This activates the malpresentation rule and contributes to HIGH.</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The baby’s recorded position requires closer review and delivery planning by a healthcare professional.</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Do not claim persistence; presentation can change and should be clinically reassessed.</w:t>
            </w:r>
          </w:p>
        </w:tc>
      </w:tr>
    </w:tbl>
    <w:p/>
    <w:p>
      <w:pPr>
        <w:pStyle w:val="Heading2"/>
      </w:pPr>
      <w:r>
        <w:t>5.12 Low amniotic fluid</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AMNIOTIC_FLUID_LOW</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amniotic_fluid = Low</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P1 — HIGH-CLINICAL</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Low amniotic fluid can be associated with fetal or placental concerns and requires clinical evaluation.</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Ultrasound records low amniotic fluid. This activates the approved fluid-abnormality rule and contributes to HIGH.</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The ultrasound record shows a low amount of fluid around the baby, so professional evaluation is recommended.</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Do not invent an AFI value or diagnose oligohydramnios unless the structured data supports that term.</w:t>
            </w:r>
          </w:p>
        </w:tc>
      </w:tr>
    </w:tbl>
    <w:p/>
    <w:p>
      <w:pPr>
        <w:pStyle w:val="Heading2"/>
      </w:pPr>
      <w:r>
        <w:t>5.13 High amniotic fluid</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AMNIOTIC_FLUID_HIGH</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amniotic_fluid = High</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P1 — HIGH-CLINICAL</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High amniotic fluid may be associated with maternal or fetal conditions and requires appropriate review.</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Ultrasound records high amniotic fluid. This activates the approved fluid-abnormality rule and contributes to HIGH.</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The ultrasound record shows a high amount of fluid around the baby, so professional evaluation is recommended.</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Do not diagnose polyhydramnios or name a cause without supporting clinical data.</w:t>
            </w:r>
          </w:p>
        </w:tc>
      </w:tr>
    </w:tbl>
    <w:p/>
    <w:p>
      <w:pPr>
        <w:pStyle w:val="Heading2"/>
      </w:pPr>
      <w:r>
        <w:t>5.14 Weak fetal heartbeat</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FETAL_HEARTBEAT_WEAK</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fetal_heartbeat = Weak</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P1 — HIGH-CLINICAL</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A weak fetal heartbeat entry is a concerning structured finding that requires prompt verification and clinical review.</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The record describes the fetal heartbeat as weak. This activates a high-risk rule and requires prompt professional review.</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The baby’s heartbeat was recorded as weak. A healthcare professional should check this promptly.</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The system reports the entered finding; it does not independently analyze a fetal heart signal.</w:t>
            </w:r>
          </w:p>
        </w:tc>
      </w:tr>
    </w:tbl>
    <w:p/>
    <w:p>
      <w:pPr>
        <w:pStyle w:val="Heading2"/>
      </w:pPr>
      <w:r>
        <w:t>5.15 Abnormal fetal heartbeat</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FETAL_HEARTBEAT_ABNORMAL</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fetal_heartbeat = Abnormal</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P1 — HIGH-CLINICAL</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An abnormal fetal heartbeat entry requires timely verification and assessment by a qualified professional.</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The fetal heartbeat is recorded as abnormal. This activates a high-risk rule and supports prompt clinical evaluation or referral.</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The baby’s heartbeat was recorded as abnormal, so prompt professional evaluation is recommended.</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Do not name a rhythm or fetal condition unless explicitly documented.</w:t>
            </w:r>
          </w:p>
        </w:tc>
      </w:tr>
    </w:tbl>
    <w:p/>
    <w:p>
      <w:pPr>
        <w:pStyle w:val="Heading2"/>
      </w:pPr>
      <w:r>
        <w:t>5.16 Absent fetal heartbeat</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D9EAF7"/>
          </w:tcPr>
          <w:p>
            <w:pPr>
              <w:spacing w:after="40" w:before="0"/>
            </w:pPr>
            <w:r>
              <w:rPr>
                <w:sz w:val="17"/>
              </w:rPr>
            </w:r>
            <w:r>
              <w:rPr>
                <w:b/>
                <w:sz w:val="17"/>
              </w:rPr>
              <w:t>Specification item</w:t>
            </w:r>
          </w:p>
        </w:tc>
        <w:tc>
          <w:tcPr>
            <w:tcW w:type="dxa" w:w="7344"/>
            <w:vAlign w:val="center"/>
            <w:shd w:fill="D9EAF7"/>
          </w:tcPr>
          <w:p>
            <w:pPr>
              <w:spacing w:after="40" w:before="0"/>
            </w:pPr>
            <w:r>
              <w:rPr>
                <w:sz w:val="17"/>
              </w:rPr>
            </w:r>
            <w:r>
              <w:rPr>
                <w:b/>
                <w:sz w:val="17"/>
              </w:rPr>
              <w:t>Requirement</w:t>
            </w:r>
          </w:p>
        </w:tc>
      </w:tr>
      <w:tr>
        <w:tc>
          <w:tcPr>
            <w:tcW w:type="dxa" w:w="2592"/>
            <w:vAlign w:val="center"/>
          </w:tcPr>
          <w:p>
            <w:pPr>
              <w:spacing w:after="40" w:before="0"/>
            </w:pPr>
            <w:r>
              <w:rPr>
                <w:sz w:val="17"/>
              </w:rPr>
            </w:r>
            <w:r>
              <w:rPr>
                <w:b w:val="0"/>
                <w:sz w:val="17"/>
              </w:rPr>
              <w:t>Reason code</w:t>
            </w:r>
          </w:p>
        </w:tc>
        <w:tc>
          <w:tcPr>
            <w:tcW w:type="dxa" w:w="7344"/>
            <w:vAlign w:val="center"/>
          </w:tcPr>
          <w:p>
            <w:pPr>
              <w:spacing w:after="40" w:before="0"/>
            </w:pPr>
            <w:r>
              <w:rPr>
                <w:sz w:val="17"/>
              </w:rPr>
            </w:r>
            <w:r>
              <w:rPr>
                <w:b w:val="0"/>
                <w:sz w:val="17"/>
              </w:rPr>
              <w:t>FETAL_HEARTBEAT_ABSENT</w:t>
            </w:r>
          </w:p>
        </w:tc>
      </w:tr>
      <w:tr>
        <w:tc>
          <w:tcPr>
            <w:tcW w:type="dxa" w:w="2592"/>
            <w:vAlign w:val="center"/>
          </w:tcPr>
          <w:p>
            <w:pPr>
              <w:spacing w:after="40" w:before="0"/>
            </w:pPr>
            <w:r>
              <w:rPr>
                <w:sz w:val="17"/>
              </w:rPr>
            </w:r>
            <w:r>
              <w:rPr>
                <w:b w:val="0"/>
                <w:sz w:val="17"/>
              </w:rPr>
              <w:t>Trigger</w:t>
            </w:r>
          </w:p>
        </w:tc>
        <w:tc>
          <w:tcPr>
            <w:tcW w:type="dxa" w:w="7344"/>
            <w:vAlign w:val="center"/>
          </w:tcPr>
          <w:p>
            <w:pPr>
              <w:spacing w:after="40" w:before="0"/>
            </w:pPr>
            <w:r>
              <w:rPr>
                <w:sz w:val="17"/>
              </w:rPr>
            </w:r>
            <w:r>
              <w:rPr>
                <w:b w:val="0"/>
                <w:sz w:val="17"/>
              </w:rPr>
              <w:t>fetal_heartbeat = Absent</w:t>
            </w:r>
          </w:p>
        </w:tc>
      </w:tr>
      <w:tr>
        <w:tc>
          <w:tcPr>
            <w:tcW w:type="dxa" w:w="2592"/>
            <w:vAlign w:val="center"/>
          </w:tcPr>
          <w:p>
            <w:pPr>
              <w:spacing w:after="40" w:before="0"/>
            </w:pPr>
            <w:r>
              <w:rPr>
                <w:sz w:val="17"/>
              </w:rPr>
            </w:r>
            <w:r>
              <w:rPr>
                <w:b w:val="0"/>
                <w:sz w:val="17"/>
              </w:rPr>
              <w:t>Priority</w:t>
            </w:r>
          </w:p>
        </w:tc>
        <w:tc>
          <w:tcPr>
            <w:tcW w:type="dxa" w:w="7344"/>
            <w:vAlign w:val="center"/>
          </w:tcPr>
          <w:p>
            <w:pPr>
              <w:spacing w:after="40" w:before="0"/>
            </w:pPr>
            <w:r>
              <w:rPr>
                <w:sz w:val="17"/>
              </w:rPr>
            </w:r>
            <w:r>
              <w:rPr>
                <w:b w:val="0"/>
                <w:sz w:val="17"/>
              </w:rPr>
              <w:t>P0 — URGENT</w:t>
            </w:r>
          </w:p>
        </w:tc>
      </w:tr>
      <w:tr>
        <w:tc>
          <w:tcPr>
            <w:tcW w:type="dxa" w:w="2592"/>
            <w:vAlign w:val="center"/>
          </w:tcPr>
          <w:p>
            <w:pPr>
              <w:spacing w:after="40" w:before="0"/>
            </w:pPr>
            <w:r>
              <w:rPr>
                <w:sz w:val="17"/>
              </w:rPr>
            </w:r>
            <w:r>
              <w:rPr>
                <w:b w:val="0"/>
                <w:sz w:val="17"/>
              </w:rPr>
              <w:t>Clinical rationale</w:t>
            </w:r>
          </w:p>
        </w:tc>
        <w:tc>
          <w:tcPr>
            <w:tcW w:type="dxa" w:w="7344"/>
            <w:vAlign w:val="center"/>
          </w:tcPr>
          <w:p>
            <w:pPr>
              <w:spacing w:after="40" w:before="0"/>
            </w:pPr>
            <w:r>
              <w:rPr>
                <w:sz w:val="17"/>
              </w:rPr>
            </w:r>
            <w:r>
              <w:rPr>
                <w:b w:val="0"/>
                <w:sz w:val="17"/>
              </w:rPr>
              <w:t>An absent fetal heartbeat entry is a potentially critical finding that requires immediate confirmation and urgent clinical action.</w:t>
            </w:r>
          </w:p>
        </w:tc>
      </w:tr>
      <w:tr>
        <w:tc>
          <w:tcPr>
            <w:tcW w:type="dxa" w:w="2592"/>
            <w:vAlign w:val="center"/>
          </w:tcPr>
          <w:p>
            <w:pPr>
              <w:spacing w:after="40" w:before="0"/>
            </w:pPr>
            <w:r>
              <w:rPr>
                <w:sz w:val="17"/>
              </w:rPr>
            </w:r>
            <w:r>
              <w:rPr>
                <w:b w:val="0"/>
                <w:sz w:val="17"/>
              </w:rPr>
              <w:t>Midwife explanation template</w:t>
            </w:r>
          </w:p>
        </w:tc>
        <w:tc>
          <w:tcPr>
            <w:tcW w:type="dxa" w:w="7344"/>
            <w:vAlign w:val="center"/>
          </w:tcPr>
          <w:p>
            <w:pPr>
              <w:spacing w:after="40" w:before="0"/>
            </w:pPr>
            <w:r>
              <w:rPr>
                <w:sz w:val="17"/>
              </w:rPr>
            </w:r>
            <w:r>
              <w:rPr>
                <w:b w:val="0"/>
                <w:sz w:val="17"/>
              </w:rPr>
              <w:t>URGENT: The fetal heartbeat is recorded as absent. Immediate confirmation and escalation according to the clinic’s emergency and referral protocol are required.</w:t>
            </w:r>
          </w:p>
        </w:tc>
      </w:tr>
      <w:tr>
        <w:tc>
          <w:tcPr>
            <w:tcW w:type="dxa" w:w="2592"/>
            <w:vAlign w:val="center"/>
          </w:tcPr>
          <w:p>
            <w:pPr>
              <w:spacing w:after="40" w:before="0"/>
            </w:pPr>
            <w:r>
              <w:rPr>
                <w:sz w:val="17"/>
              </w:rPr>
            </w:r>
            <w:r>
              <w:rPr>
                <w:b w:val="0"/>
                <w:sz w:val="17"/>
              </w:rPr>
              <w:t>Patient-facing projection</w:t>
            </w:r>
          </w:p>
        </w:tc>
        <w:tc>
          <w:tcPr>
            <w:tcW w:type="dxa" w:w="7344"/>
            <w:vAlign w:val="center"/>
          </w:tcPr>
          <w:p>
            <w:pPr>
              <w:spacing w:after="40" w:before="0"/>
            </w:pPr>
            <w:r>
              <w:rPr>
                <w:sz w:val="17"/>
              </w:rPr>
            </w:r>
            <w:r>
              <w:rPr>
                <w:b w:val="0"/>
                <w:sz w:val="17"/>
              </w:rPr>
              <w:t>The baby’s heartbeat was not detected in the record. Immediate professional evaluation and confirmation are needed.</w:t>
            </w:r>
          </w:p>
        </w:tc>
      </w:tr>
      <w:tr>
        <w:tc>
          <w:tcPr>
            <w:tcW w:type="dxa" w:w="2592"/>
            <w:vAlign w:val="center"/>
          </w:tcPr>
          <w:p>
            <w:pPr>
              <w:spacing w:after="40" w:before="0"/>
            </w:pPr>
            <w:r>
              <w:rPr>
                <w:sz w:val="17"/>
              </w:rPr>
            </w:r>
            <w:r>
              <w:rPr>
                <w:b w:val="0"/>
                <w:sz w:val="17"/>
              </w:rPr>
              <w:t>Audit requirement</w:t>
            </w:r>
          </w:p>
        </w:tc>
        <w:tc>
          <w:tcPr>
            <w:tcW w:type="dxa" w:w="7344"/>
            <w:vAlign w:val="center"/>
          </w:tcPr>
          <w:p>
            <w:pPr>
              <w:spacing w:after="40" w:before="0"/>
            </w:pPr>
            <w:r>
              <w:rPr>
                <w:sz w:val="17"/>
              </w:rPr>
            </w:r>
            <w:r>
              <w:rPr>
                <w:b w:val="0"/>
                <w:sz w:val="17"/>
              </w:rPr>
              <w:t>Use sensitive wording. Never display a definitive statement about fetal death; the entered finding must be clinically confirmed.</w:t>
            </w:r>
          </w:p>
        </w:tc>
      </w:tr>
    </w:tbl>
    <w:p/>
    <w:p>
      <w:pPr>
        <w:pStyle w:val="Heading1"/>
      </w:pPr>
      <w:r>
        <w:t>6. Machine-Learning HIGH as an Explainable Contribution</w:t>
      </w:r>
    </w:p>
    <w:p>
      <w:pPr>
        <w:pStyle w:val="Heading2"/>
      </w:pPr>
      <w:r>
        <w:t>6.1 Reason code: ML_OUTPUT_HIGH</w:t>
      </w:r>
    </w:p>
    <w:p>
      <w:pPr>
        <w:pStyle w:val="BodyText"/>
      </w:pPr>
      <w:r>
        <w:t>A valid Random Forest output of HIGH is a permitted contributor to the final HIGH classification. It must be labeled as a model-generated contribution, not as a deterministic clinical rule and not as a diagnosis. The explanation should identify the model version and the validated input snapshot, while avoiding unsupported claims about individual feature causality unless a separately validated local explanation method is implemented.</w:t>
      </w:r>
    </w:p>
    <w:tbl>
      <w:tblPr>
        <w:tblStyle w:val="TableGrid"/>
        <w:tblW w:type="auto" w:w="0"/>
        <w:jc w:val="center"/>
        <w:tblLook w:firstColumn="1" w:firstRow="1" w:lastColumn="0" w:lastRow="0" w:noHBand="0" w:noVBand="1" w:val="04A0"/>
      </w:tblPr>
      <w:tblGrid>
        <w:gridCol w:w="4997"/>
        <w:gridCol w:w="4997"/>
      </w:tblGrid>
      <w:tr>
        <w:tc>
          <w:tcPr>
            <w:tcW w:type="dxa" w:w="1872"/>
            <w:vAlign w:val="center"/>
            <w:shd w:fill="D9EAF7"/>
          </w:tcPr>
          <w:p>
            <w:pPr>
              <w:spacing w:after="40" w:before="0"/>
            </w:pPr>
            <w:r>
              <w:rPr>
                <w:sz w:val="17"/>
              </w:rPr>
            </w:r>
            <w:r>
              <w:rPr>
                <w:b/>
                <w:sz w:val="17"/>
              </w:rPr>
              <w:t>Audience</w:t>
            </w:r>
          </w:p>
        </w:tc>
        <w:tc>
          <w:tcPr>
            <w:tcW w:type="dxa" w:w="8064"/>
            <w:vAlign w:val="center"/>
            <w:shd w:fill="D9EAF7"/>
          </w:tcPr>
          <w:p>
            <w:pPr>
              <w:spacing w:after="40" w:before="0"/>
            </w:pPr>
            <w:r>
              <w:rPr>
                <w:sz w:val="17"/>
              </w:rPr>
            </w:r>
            <w:r>
              <w:rPr>
                <w:b/>
                <w:sz w:val="17"/>
              </w:rPr>
              <w:t>Approved explanation</w:t>
            </w:r>
          </w:p>
        </w:tc>
      </w:tr>
      <w:tr>
        <w:tc>
          <w:tcPr>
            <w:tcW w:type="dxa" w:w="1872"/>
            <w:vAlign w:val="center"/>
          </w:tcPr>
          <w:p>
            <w:pPr>
              <w:spacing w:after="40" w:before="0"/>
            </w:pPr>
            <w:r>
              <w:rPr>
                <w:sz w:val="17"/>
              </w:rPr>
            </w:r>
            <w:r>
              <w:rPr>
                <w:b w:val="0"/>
                <w:sz w:val="17"/>
              </w:rPr>
              <w:t>Midwife</w:t>
            </w:r>
          </w:p>
        </w:tc>
        <w:tc>
          <w:tcPr>
            <w:tcW w:type="dxa" w:w="8064"/>
            <w:vAlign w:val="center"/>
          </w:tcPr>
          <w:p>
            <w:pPr>
              <w:spacing w:after="40" w:before="0"/>
            </w:pPr>
            <w:r>
              <w:rPr>
                <w:sz w:val="17"/>
              </w:rPr>
            </w:r>
            <w:r>
              <w:rPr>
                <w:b w:val="0"/>
                <w:sz w:val="17"/>
              </w:rPr>
              <w:t>The validated machine-learning model returned HIGH for the recorded assessment inputs. Review the patient-specific data and all rule-based findings; the model output supports but does not replace clinical judgment.</w:t>
            </w:r>
          </w:p>
        </w:tc>
      </w:tr>
      <w:tr>
        <w:tc>
          <w:tcPr>
            <w:tcW w:type="dxa" w:w="1872"/>
            <w:vAlign w:val="center"/>
          </w:tcPr>
          <w:p>
            <w:pPr>
              <w:spacing w:after="40" w:before="0"/>
            </w:pPr>
            <w:r>
              <w:rPr>
                <w:sz w:val="17"/>
              </w:rPr>
            </w:r>
            <w:r>
              <w:rPr>
                <w:b w:val="0"/>
                <w:sz w:val="17"/>
              </w:rPr>
              <w:t>Patient</w:t>
            </w:r>
          </w:p>
        </w:tc>
        <w:tc>
          <w:tcPr>
            <w:tcW w:type="dxa" w:w="8064"/>
            <w:vAlign w:val="center"/>
          </w:tcPr>
          <w:p>
            <w:pPr>
              <w:spacing w:after="40" w:before="0"/>
            </w:pPr>
            <w:r>
              <w:rPr>
                <w:sz w:val="17"/>
              </w:rPr>
            </w:r>
            <w:r>
              <w:rPr>
                <w:b w:val="0"/>
                <w:sz w:val="17"/>
              </w:rPr>
              <w:t>The clinic’s decision-support tool identified a pattern that requires closer professional review. The result is not a diagnosis.</w:t>
            </w:r>
          </w:p>
        </w:tc>
      </w:tr>
      <w:tr>
        <w:tc>
          <w:tcPr>
            <w:tcW w:type="dxa" w:w="1872"/>
            <w:vAlign w:val="center"/>
          </w:tcPr>
          <w:p>
            <w:pPr>
              <w:spacing w:after="40" w:before="0"/>
            </w:pPr>
            <w:r>
              <w:rPr>
                <w:sz w:val="17"/>
              </w:rPr>
            </w:r>
            <w:r>
              <w:rPr>
                <w:b w:val="0"/>
                <w:sz w:val="17"/>
              </w:rPr>
              <w:t>Audit</w:t>
            </w:r>
          </w:p>
        </w:tc>
        <w:tc>
          <w:tcPr>
            <w:tcW w:type="dxa" w:w="8064"/>
            <w:vAlign w:val="center"/>
          </w:tcPr>
          <w:p>
            <w:pPr>
              <w:spacing w:after="40" w:before="0"/>
            </w:pPr>
            <w:r>
              <w:rPr>
                <w:sz w:val="17"/>
              </w:rPr>
            </w:r>
            <w:r>
              <w:rPr>
                <w:b w:val="0"/>
                <w:sz w:val="17"/>
              </w:rPr>
              <w:t>ML_OUTPUT_HIGH; model_version; input_schema_version; execution_status=valid; raw_output=HIGH; timestamp; correlation_id.</w:t>
            </w:r>
          </w:p>
        </w:tc>
      </w:tr>
      <w:tr>
        <w:tc>
          <w:tcPr>
            <w:tcW w:type="dxa" w:w="1872"/>
            <w:vAlign w:val="center"/>
          </w:tcPr>
          <w:p>
            <w:pPr>
              <w:spacing w:after="40" w:before="0"/>
            </w:pPr>
            <w:r>
              <w:rPr>
                <w:sz w:val="17"/>
              </w:rPr>
            </w:r>
            <w:r>
              <w:rPr>
                <w:b w:val="0"/>
                <w:sz w:val="17"/>
              </w:rPr>
              <w:t>Referral</w:t>
            </w:r>
          </w:p>
        </w:tc>
        <w:tc>
          <w:tcPr>
            <w:tcW w:type="dxa" w:w="8064"/>
            <w:vAlign w:val="center"/>
          </w:tcPr>
          <w:p>
            <w:pPr>
              <w:spacing w:after="40" w:before="0"/>
            </w:pPr>
            <w:r>
              <w:rPr>
                <w:sz w:val="17"/>
              </w:rPr>
            </w:r>
            <w:r>
              <w:rPr>
                <w:b w:val="0"/>
                <w:sz w:val="17"/>
              </w:rPr>
              <w:t>Decision-support model contributed a HIGH result; deterministic findings and source data are listed separately.</w:t>
            </w:r>
          </w:p>
        </w:tc>
      </w:tr>
    </w:tbl>
    <w:p/>
    <w:p>
      <w:pPr>
        <w:pStyle w:val="BodyText"/>
      </w:pPr>
      <w:r>
        <w:t>When a deterministic rule is also HIGH, rule-based reasons appear first and the ML reason is shown as additional support. When no deterministic rule triggers but ML is valid and HIGH, the explanation must clearly state that the HIGH classification is model-contributed and must provide the input and model basis necessary for independent review.</w:t>
      </w:r>
    </w:p>
    <w:p>
      <w:pPr>
        <w:pStyle w:val="Heading1"/>
      </w:pPr>
      <w:r>
        <w:t>7. LOW and ASSESSMENT INCOMPLETE Explanations</w:t>
      </w:r>
    </w:p>
    <w:p>
      <w:pPr>
        <w:pStyle w:val="Heading2"/>
      </w:pPr>
      <w:r>
        <w:t>7.1 LOW</w:t>
      </w:r>
    </w:p>
    <w:p>
      <w:pPr>
        <w:pStyle w:val="BodyText"/>
      </w:pPr>
      <w:r>
        <w:t>LOW is not explained as “no risk” or “safe pregnancy.” The approved explanation is that no configured high-risk rule was detected in the available required records and the valid machine-learning output was LOW at the time of assessment. The explanation must state that the result is limited to the recorded data and can change when new information is entered.</w:t>
      </w:r>
    </w:p>
    <w:tbl>
      <w:tblPr>
        <w:tblStyle w:val="TableGrid"/>
        <w:tblW w:type="auto" w:w="0"/>
        <w:jc w:val="center"/>
        <w:tblLook w:firstColumn="1" w:firstRow="1" w:lastColumn="0" w:lastRow="0" w:noHBand="0" w:noVBand="1" w:val="04A0"/>
      </w:tblPr>
      <w:tblGrid>
        <w:gridCol w:w="4997"/>
        <w:gridCol w:w="4997"/>
      </w:tblGrid>
      <w:tr>
        <w:tc>
          <w:tcPr>
            <w:tcW w:type="dxa" w:w="2736"/>
            <w:vAlign w:val="center"/>
            <w:shd w:fill="D9EAF7"/>
          </w:tcPr>
          <w:p>
            <w:pPr>
              <w:spacing w:after="40" w:before="0"/>
            </w:pPr>
            <w:r>
              <w:rPr>
                <w:sz w:val="17"/>
              </w:rPr>
            </w:r>
            <w:r>
              <w:rPr>
                <w:b/>
                <w:sz w:val="17"/>
              </w:rPr>
              <w:t>Required LOW element</w:t>
            </w:r>
          </w:p>
        </w:tc>
        <w:tc>
          <w:tcPr>
            <w:tcW w:type="dxa" w:w="7200"/>
            <w:vAlign w:val="center"/>
            <w:shd w:fill="D9EAF7"/>
          </w:tcPr>
          <w:p>
            <w:pPr>
              <w:spacing w:after="40" w:before="0"/>
            </w:pPr>
            <w:r>
              <w:rPr>
                <w:sz w:val="17"/>
              </w:rPr>
            </w:r>
            <w:r>
              <w:rPr>
                <w:b/>
                <w:sz w:val="17"/>
              </w:rPr>
              <w:t>Example</w:t>
            </w:r>
          </w:p>
        </w:tc>
      </w:tr>
      <w:tr>
        <w:tc>
          <w:tcPr>
            <w:tcW w:type="dxa" w:w="2736"/>
            <w:vAlign w:val="center"/>
          </w:tcPr>
          <w:p>
            <w:pPr>
              <w:spacing w:after="40" w:before="0"/>
            </w:pPr>
            <w:r>
              <w:rPr>
                <w:sz w:val="17"/>
              </w:rPr>
            </w:r>
            <w:r>
              <w:rPr>
                <w:b w:val="0"/>
                <w:sz w:val="17"/>
              </w:rPr>
              <w:t>Data completeness</w:t>
            </w:r>
          </w:p>
        </w:tc>
        <w:tc>
          <w:tcPr>
            <w:tcW w:type="dxa" w:w="7200"/>
            <w:vAlign w:val="center"/>
          </w:tcPr>
          <w:p>
            <w:pPr>
              <w:spacing w:after="40" w:before="0"/>
            </w:pPr>
            <w:r>
              <w:rPr>
                <w:sz w:val="17"/>
              </w:rPr>
            </w:r>
            <w:r>
              <w:rPr>
                <w:b w:val="0"/>
                <w:sz w:val="17"/>
              </w:rPr>
              <w:t>Medical History, Ultrasound, and Birth Plan were present.</w:t>
            </w:r>
          </w:p>
        </w:tc>
      </w:tr>
      <w:tr>
        <w:tc>
          <w:tcPr>
            <w:tcW w:type="dxa" w:w="2736"/>
            <w:vAlign w:val="center"/>
          </w:tcPr>
          <w:p>
            <w:pPr>
              <w:spacing w:after="40" w:before="0"/>
            </w:pPr>
            <w:r>
              <w:rPr>
                <w:sz w:val="17"/>
              </w:rPr>
            </w:r>
            <w:r>
              <w:rPr>
                <w:b w:val="0"/>
                <w:sz w:val="17"/>
              </w:rPr>
              <w:t>Rule result</w:t>
            </w:r>
          </w:p>
        </w:tc>
        <w:tc>
          <w:tcPr>
            <w:tcW w:type="dxa" w:w="7200"/>
            <w:vAlign w:val="center"/>
          </w:tcPr>
          <w:p>
            <w:pPr>
              <w:spacing w:after="40" w:before="0"/>
            </w:pPr>
            <w:r>
              <w:rPr>
                <w:sz w:val="17"/>
              </w:rPr>
            </w:r>
            <w:r>
              <w:rPr>
                <w:b w:val="0"/>
                <w:sz w:val="17"/>
              </w:rPr>
              <w:t>No configured high-risk rule was detected.</w:t>
            </w:r>
          </w:p>
        </w:tc>
      </w:tr>
      <w:tr>
        <w:tc>
          <w:tcPr>
            <w:tcW w:type="dxa" w:w="2736"/>
            <w:vAlign w:val="center"/>
          </w:tcPr>
          <w:p>
            <w:pPr>
              <w:spacing w:after="40" w:before="0"/>
            </w:pPr>
            <w:r>
              <w:rPr>
                <w:sz w:val="17"/>
              </w:rPr>
            </w:r>
            <w:r>
              <w:rPr>
                <w:b w:val="0"/>
                <w:sz w:val="17"/>
              </w:rPr>
              <w:t>ML result</w:t>
            </w:r>
          </w:p>
        </w:tc>
        <w:tc>
          <w:tcPr>
            <w:tcW w:type="dxa" w:w="7200"/>
            <w:vAlign w:val="center"/>
          </w:tcPr>
          <w:p>
            <w:pPr>
              <w:spacing w:after="40" w:before="0"/>
            </w:pPr>
            <w:r>
              <w:rPr>
                <w:sz w:val="17"/>
              </w:rPr>
            </w:r>
            <w:r>
              <w:rPr>
                <w:b w:val="0"/>
                <w:sz w:val="17"/>
              </w:rPr>
              <w:t>The validated model output was LOW.</w:t>
            </w:r>
          </w:p>
        </w:tc>
      </w:tr>
      <w:tr>
        <w:tc>
          <w:tcPr>
            <w:tcW w:type="dxa" w:w="2736"/>
            <w:vAlign w:val="center"/>
          </w:tcPr>
          <w:p>
            <w:pPr>
              <w:spacing w:after="40" w:before="0"/>
            </w:pPr>
            <w:r>
              <w:rPr>
                <w:sz w:val="17"/>
              </w:rPr>
            </w:r>
            <w:r>
              <w:rPr>
                <w:b w:val="0"/>
                <w:sz w:val="17"/>
              </w:rPr>
              <w:t>Limitation</w:t>
            </w:r>
          </w:p>
        </w:tc>
        <w:tc>
          <w:tcPr>
            <w:tcW w:type="dxa" w:w="7200"/>
            <w:vAlign w:val="center"/>
          </w:tcPr>
          <w:p>
            <w:pPr>
              <w:spacing w:after="40" w:before="0"/>
            </w:pPr>
            <w:r>
              <w:rPr>
                <w:sz w:val="17"/>
              </w:rPr>
            </w:r>
            <w:r>
              <w:rPr>
                <w:b w:val="0"/>
                <w:sz w:val="17"/>
              </w:rPr>
              <w:t>This is decision support based on currently recorded data and is not a guarantee of an uncomplicated pregnancy.</w:t>
            </w:r>
          </w:p>
        </w:tc>
      </w:tr>
      <w:tr>
        <w:tc>
          <w:tcPr>
            <w:tcW w:type="dxa" w:w="2736"/>
            <w:vAlign w:val="center"/>
          </w:tcPr>
          <w:p>
            <w:pPr>
              <w:spacing w:after="40" w:before="0"/>
            </w:pPr>
            <w:r>
              <w:rPr>
                <w:sz w:val="17"/>
              </w:rPr>
            </w:r>
            <w:r>
              <w:rPr>
                <w:b w:val="0"/>
                <w:sz w:val="17"/>
              </w:rPr>
              <w:t>Action</w:t>
            </w:r>
          </w:p>
        </w:tc>
        <w:tc>
          <w:tcPr>
            <w:tcW w:type="dxa" w:w="7200"/>
            <w:vAlign w:val="center"/>
          </w:tcPr>
          <w:p>
            <w:pPr>
              <w:spacing w:after="40" w:before="0"/>
            </w:pPr>
            <w:r>
              <w:rPr>
                <w:sz w:val="17"/>
              </w:rPr>
            </w:r>
            <w:r>
              <w:rPr>
                <w:b w:val="0"/>
                <w:sz w:val="17"/>
              </w:rPr>
              <w:t>Continue routine antenatal care and reassess when new findings are recorded.</w:t>
            </w:r>
          </w:p>
        </w:tc>
      </w:tr>
    </w:tbl>
    <w:p/>
    <w:p>
      <w:pPr>
        <w:pStyle w:val="Heading2"/>
      </w:pPr>
      <w:r>
        <w:t>7.2 ASSESSMENT INCOMPLETE</w:t>
      </w:r>
    </w:p>
    <w:p>
      <w:pPr>
        <w:pStyle w:val="BodyText"/>
      </w:pPr>
      <w:r>
        <w:t>ASSESSMENT INCOMPLETE is a safety state, not an error label to hide. The explanation must name every missing required record and separately identify an invalid, unavailable, or unrecognized machine-learning response. It must also tell the user what information is needed before a complete LOW/HIGH result can be produced.</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D9EAF7"/>
          </w:tcPr>
          <w:p>
            <w:pPr>
              <w:spacing w:after="40" w:before="0"/>
            </w:pPr>
            <w:r>
              <w:rPr>
                <w:sz w:val="17"/>
              </w:rPr>
            </w:r>
            <w:r>
              <w:rPr>
                <w:b/>
                <w:sz w:val="17"/>
              </w:rPr>
              <w:t>Reason code</w:t>
            </w:r>
          </w:p>
        </w:tc>
        <w:tc>
          <w:tcPr>
            <w:tcW w:type="dxa" w:w="3528"/>
            <w:vAlign w:val="center"/>
            <w:shd w:fill="D9EAF7"/>
          </w:tcPr>
          <w:p>
            <w:pPr>
              <w:spacing w:after="40" w:before="0"/>
            </w:pPr>
            <w:r>
              <w:rPr>
                <w:sz w:val="17"/>
              </w:rPr>
            </w:r>
            <w:r>
              <w:rPr>
                <w:b/>
                <w:sz w:val="17"/>
              </w:rPr>
              <w:t>Condition</w:t>
            </w:r>
          </w:p>
        </w:tc>
        <w:tc>
          <w:tcPr>
            <w:tcW w:type="dxa" w:w="4176"/>
            <w:vAlign w:val="center"/>
            <w:shd w:fill="D9EAF7"/>
          </w:tcPr>
          <w:p>
            <w:pPr>
              <w:spacing w:after="40" w:before="0"/>
            </w:pPr>
            <w:r>
              <w:rPr>
                <w:sz w:val="17"/>
              </w:rPr>
            </w:r>
            <w:r>
              <w:rPr>
                <w:b/>
                <w:sz w:val="17"/>
              </w:rPr>
              <w:t>User explanation</w:t>
            </w:r>
          </w:p>
        </w:tc>
      </w:tr>
      <w:tr>
        <w:tc>
          <w:tcPr>
            <w:tcW w:type="dxa" w:w="2232"/>
            <w:vAlign w:val="center"/>
          </w:tcPr>
          <w:p>
            <w:pPr>
              <w:spacing w:after="40" w:before="0"/>
            </w:pPr>
            <w:r>
              <w:rPr>
                <w:sz w:val="17"/>
              </w:rPr>
            </w:r>
            <w:r>
              <w:rPr>
                <w:b w:val="0"/>
                <w:sz w:val="17"/>
              </w:rPr>
              <w:t>MISSING_MEDICAL_HISTORY</w:t>
            </w:r>
          </w:p>
        </w:tc>
        <w:tc>
          <w:tcPr>
            <w:tcW w:type="dxa" w:w="3528"/>
            <w:vAlign w:val="center"/>
          </w:tcPr>
          <w:p>
            <w:pPr>
              <w:spacing w:after="40" w:before="0"/>
            </w:pPr>
            <w:r>
              <w:rPr>
                <w:sz w:val="17"/>
              </w:rPr>
            </w:r>
            <w:r>
              <w:rPr>
                <w:b w:val="0"/>
                <w:sz w:val="17"/>
              </w:rPr>
              <w:t>No required Medical History record</w:t>
            </w:r>
          </w:p>
        </w:tc>
        <w:tc>
          <w:tcPr>
            <w:tcW w:type="dxa" w:w="4176"/>
            <w:vAlign w:val="center"/>
          </w:tcPr>
          <w:p>
            <w:pPr>
              <w:spacing w:after="40" w:before="0"/>
            </w:pPr>
            <w:r>
              <w:rPr>
                <w:sz w:val="17"/>
              </w:rPr>
            </w:r>
            <w:r>
              <w:rPr>
                <w:b w:val="0"/>
                <w:sz w:val="17"/>
              </w:rPr>
              <w:t>Medical History is required before the assessment can be completed.</w:t>
            </w:r>
          </w:p>
        </w:tc>
      </w:tr>
      <w:tr>
        <w:tc>
          <w:tcPr>
            <w:tcW w:type="dxa" w:w="2232"/>
            <w:vAlign w:val="center"/>
          </w:tcPr>
          <w:p>
            <w:pPr>
              <w:spacing w:after="40" w:before="0"/>
            </w:pPr>
            <w:r>
              <w:rPr>
                <w:sz w:val="17"/>
              </w:rPr>
            </w:r>
            <w:r>
              <w:rPr>
                <w:b w:val="0"/>
                <w:sz w:val="17"/>
              </w:rPr>
              <w:t>MISSING_ULTRASOUND</w:t>
            </w:r>
          </w:p>
        </w:tc>
        <w:tc>
          <w:tcPr>
            <w:tcW w:type="dxa" w:w="3528"/>
            <w:vAlign w:val="center"/>
          </w:tcPr>
          <w:p>
            <w:pPr>
              <w:spacing w:after="40" w:before="0"/>
            </w:pPr>
            <w:r>
              <w:rPr>
                <w:sz w:val="17"/>
              </w:rPr>
            </w:r>
            <w:r>
              <w:rPr>
                <w:b w:val="0"/>
                <w:sz w:val="17"/>
              </w:rPr>
              <w:t>No required Ultrasound record</w:t>
            </w:r>
          </w:p>
        </w:tc>
        <w:tc>
          <w:tcPr>
            <w:tcW w:type="dxa" w:w="4176"/>
            <w:vAlign w:val="center"/>
          </w:tcPr>
          <w:p>
            <w:pPr>
              <w:spacing w:after="40" w:before="0"/>
            </w:pPr>
            <w:r>
              <w:rPr>
                <w:sz w:val="17"/>
              </w:rPr>
            </w:r>
            <w:r>
              <w:rPr>
                <w:b w:val="0"/>
                <w:sz w:val="17"/>
              </w:rPr>
              <w:t>Ultrasound findings are required before the assessment can be completed.</w:t>
            </w:r>
          </w:p>
        </w:tc>
      </w:tr>
      <w:tr>
        <w:tc>
          <w:tcPr>
            <w:tcW w:type="dxa" w:w="2232"/>
            <w:vAlign w:val="center"/>
          </w:tcPr>
          <w:p>
            <w:pPr>
              <w:spacing w:after="40" w:before="0"/>
            </w:pPr>
            <w:r>
              <w:rPr>
                <w:sz w:val="17"/>
              </w:rPr>
            </w:r>
            <w:r>
              <w:rPr>
                <w:b w:val="0"/>
                <w:sz w:val="17"/>
              </w:rPr>
              <w:t>MISSING_BIRTH_PLAN</w:t>
            </w:r>
          </w:p>
        </w:tc>
        <w:tc>
          <w:tcPr>
            <w:tcW w:type="dxa" w:w="3528"/>
            <w:vAlign w:val="center"/>
          </w:tcPr>
          <w:p>
            <w:pPr>
              <w:spacing w:after="40" w:before="0"/>
            </w:pPr>
            <w:r>
              <w:rPr>
                <w:sz w:val="17"/>
              </w:rPr>
            </w:r>
            <w:r>
              <w:rPr>
                <w:b w:val="0"/>
                <w:sz w:val="17"/>
              </w:rPr>
              <w:t>No required Birth Plan record</w:t>
            </w:r>
          </w:p>
        </w:tc>
        <w:tc>
          <w:tcPr>
            <w:tcW w:type="dxa" w:w="4176"/>
            <w:vAlign w:val="center"/>
          </w:tcPr>
          <w:p>
            <w:pPr>
              <w:spacing w:after="40" w:before="0"/>
            </w:pPr>
            <w:r>
              <w:rPr>
                <w:sz w:val="17"/>
              </w:rPr>
            </w:r>
            <w:r>
              <w:rPr>
                <w:b w:val="0"/>
                <w:sz w:val="17"/>
              </w:rPr>
              <w:t>Birth Plan information is required before the assessment can be completed.</w:t>
            </w:r>
          </w:p>
        </w:tc>
      </w:tr>
      <w:tr>
        <w:tc>
          <w:tcPr>
            <w:tcW w:type="dxa" w:w="2232"/>
            <w:vAlign w:val="center"/>
          </w:tcPr>
          <w:p>
            <w:pPr>
              <w:spacing w:after="40" w:before="0"/>
            </w:pPr>
            <w:r>
              <w:rPr>
                <w:sz w:val="17"/>
              </w:rPr>
            </w:r>
            <w:r>
              <w:rPr>
                <w:b w:val="0"/>
                <w:sz w:val="17"/>
              </w:rPr>
              <w:t>ML_OUTPUT_INVALID</w:t>
            </w:r>
          </w:p>
        </w:tc>
        <w:tc>
          <w:tcPr>
            <w:tcW w:type="dxa" w:w="3528"/>
            <w:vAlign w:val="center"/>
          </w:tcPr>
          <w:p>
            <w:pPr>
              <w:spacing w:after="40" w:before="0"/>
            </w:pPr>
            <w:r>
              <w:rPr>
                <w:sz w:val="17"/>
              </w:rPr>
            </w:r>
            <w:r>
              <w:rPr>
                <w:b w:val="0"/>
                <w:sz w:val="17"/>
              </w:rPr>
              <w:t>Python response is not exactly LOW or HIGH, or contains error-like content</w:t>
            </w:r>
          </w:p>
        </w:tc>
        <w:tc>
          <w:tcPr>
            <w:tcW w:type="dxa" w:w="4176"/>
            <w:vAlign w:val="center"/>
          </w:tcPr>
          <w:p>
            <w:pPr>
              <w:spacing w:after="40" w:before="0"/>
            </w:pPr>
            <w:r>
              <w:rPr>
                <w:sz w:val="17"/>
              </w:rPr>
            </w:r>
            <w:r>
              <w:rPr>
                <w:b w:val="0"/>
                <w:sz w:val="17"/>
              </w:rPr>
              <w:t>The machine-learning component did not return a valid result. Review the integration and rerun after correction.</w:t>
            </w:r>
          </w:p>
        </w:tc>
      </w:tr>
      <w:tr>
        <w:tc>
          <w:tcPr>
            <w:tcW w:type="dxa" w:w="2232"/>
            <w:vAlign w:val="center"/>
          </w:tcPr>
          <w:p>
            <w:pPr>
              <w:spacing w:after="40" w:before="0"/>
            </w:pPr>
            <w:r>
              <w:rPr>
                <w:sz w:val="17"/>
              </w:rPr>
            </w:r>
            <w:r>
              <w:rPr>
                <w:b w:val="0"/>
                <w:sz w:val="17"/>
              </w:rPr>
              <w:t>ML_UNAVAILABLE</w:t>
            </w:r>
          </w:p>
        </w:tc>
        <w:tc>
          <w:tcPr>
            <w:tcW w:type="dxa" w:w="3528"/>
            <w:vAlign w:val="center"/>
          </w:tcPr>
          <w:p>
            <w:pPr>
              <w:spacing w:after="40" w:before="0"/>
            </w:pPr>
            <w:r>
              <w:rPr>
                <w:sz w:val="17"/>
              </w:rPr>
            </w:r>
            <w:r>
              <w:rPr>
                <w:b w:val="0"/>
                <w:sz w:val="17"/>
              </w:rPr>
              <w:t>Process timeout, execution failure, or missing model</w:t>
            </w:r>
          </w:p>
        </w:tc>
        <w:tc>
          <w:tcPr>
            <w:tcW w:type="dxa" w:w="4176"/>
            <w:vAlign w:val="center"/>
          </w:tcPr>
          <w:p>
            <w:pPr>
              <w:spacing w:after="40" w:before="0"/>
            </w:pPr>
            <w:r>
              <w:rPr>
                <w:sz w:val="17"/>
              </w:rPr>
            </w:r>
            <w:r>
              <w:rPr>
                <w:b w:val="0"/>
                <w:sz w:val="17"/>
              </w:rPr>
              <w:t>The machine-learning component was unavailable. The assessment remains incomplete and must not be treated as LOW.</w:t>
            </w:r>
          </w:p>
        </w:tc>
      </w:tr>
    </w:tbl>
    <w:p/>
    <w:p>
      <w:pPr>
        <w:pStyle w:val="Heading1"/>
      </w:pPr>
      <w:r>
        <w:t>8. Rule Interaction, Deduplication, and Explanation Merging</w:t>
      </w:r>
    </w:p>
    <w:p>
      <w:pPr>
        <w:pStyle w:val="Heading2"/>
      </w:pPr>
      <w:r>
        <w:t>8.1 Deterministic merge algorithm</w:t>
      </w:r>
    </w:p>
    <w:p>
      <w:pPr>
        <w:pStyle w:val="ListNumber"/>
      </w:pPr>
      <w:r>
        <w:t>Collect all triggered RuleReason objects from the preserved AssessmentSnapshot.</w:t>
      </w:r>
    </w:p>
    <w:p>
      <w:pPr>
        <w:pStyle w:val="ListNumber"/>
      </w:pPr>
      <w:r>
        <w:t>Validate each reason against its trigger expression and source evidence.</w:t>
      </w:r>
    </w:p>
    <w:p>
      <w:pPr>
        <w:pStyle w:val="ListNumber"/>
      </w:pPr>
      <w:r>
        <w:t>Collapse semantic duplicates while retaining all raw evidence references.</w:t>
      </w:r>
    </w:p>
    <w:p>
      <w:pPr>
        <w:pStyle w:val="ListNumber"/>
      </w:pPr>
      <w:r>
        <w:t>Sort by priority, then clinical category, then stable reason code.</w:t>
      </w:r>
    </w:p>
    <w:p>
      <w:pPr>
        <w:pStyle w:val="ListNumber"/>
      </w:pPr>
      <w:r>
        <w:t>Generate one canonical clinical summary and one audience-specific projection.</w:t>
      </w:r>
    </w:p>
    <w:p>
      <w:pPr>
        <w:pStyle w:val="ListNumber"/>
      </w:pPr>
      <w:r>
        <w:t>Attach recommendation and workflow keys without inventing new clinical actions.</w:t>
      </w:r>
    </w:p>
    <w:p>
      <w:pPr>
        <w:pStyle w:val="ListNumber"/>
      </w:pPr>
      <w:r>
        <w:t>Run consistency validation against the final assessment state.</w:t>
      </w:r>
    </w:p>
    <w:p>
      <w:pPr>
        <w:pStyle w:val="ListNumber"/>
      </w:pPr>
      <w:r>
        <w:t>Persist the immutable explanation bundle with versions and timestamps.</w:t>
      </w:r>
    </w:p>
    <w:p>
      <w:pPr>
        <w:pStyle w:val="Heading2"/>
      </w:pPr>
      <w:r>
        <w:t>8.2 Deduplication rules</w:t>
      </w:r>
    </w:p>
    <w:tbl>
      <w:tblPr>
        <w:tblStyle w:val="TableGrid"/>
        <w:tblW w:type="auto" w:w="0"/>
        <w:jc w:val="center"/>
        <w:tblLook w:firstColumn="1" w:firstRow="1" w:lastColumn="0" w:lastRow="0" w:noHBand="0" w:noVBand="1" w:val="04A0"/>
      </w:tblPr>
      <w:tblGrid>
        <w:gridCol w:w="4997"/>
        <w:gridCol w:w="4997"/>
      </w:tblGrid>
      <w:tr>
        <w:tc>
          <w:tcPr>
            <w:tcW w:type="dxa" w:w="3384"/>
            <w:vAlign w:val="center"/>
            <w:shd w:fill="D9EAF7"/>
          </w:tcPr>
          <w:p>
            <w:pPr>
              <w:spacing w:after="40" w:before="0"/>
            </w:pPr>
            <w:r>
              <w:rPr>
                <w:sz w:val="17"/>
              </w:rPr>
            </w:r>
            <w:r>
              <w:rPr>
                <w:b/>
                <w:sz w:val="17"/>
              </w:rPr>
              <w:t>Situation</w:t>
            </w:r>
          </w:p>
        </w:tc>
        <w:tc>
          <w:tcPr>
            <w:tcW w:type="dxa" w:w="6552"/>
            <w:vAlign w:val="center"/>
            <w:shd w:fill="D9EAF7"/>
          </w:tcPr>
          <w:p>
            <w:pPr>
              <w:spacing w:after="40" w:before="0"/>
            </w:pPr>
            <w:r>
              <w:rPr>
                <w:sz w:val="17"/>
              </w:rPr>
            </w:r>
            <w:r>
              <w:rPr>
                <w:b/>
                <w:sz w:val="17"/>
              </w:rPr>
              <w:t>Required behavior</w:t>
            </w:r>
          </w:p>
        </w:tc>
      </w:tr>
      <w:tr>
        <w:tc>
          <w:tcPr>
            <w:tcW w:type="dxa" w:w="3384"/>
            <w:vAlign w:val="center"/>
          </w:tcPr>
          <w:p>
            <w:pPr>
              <w:spacing w:after="40" w:before="0"/>
            </w:pPr>
            <w:r>
              <w:rPr>
                <w:sz w:val="17"/>
              </w:rPr>
            </w:r>
            <w:r>
              <w:rPr>
                <w:b w:val="0"/>
                <w:sz w:val="17"/>
              </w:rPr>
              <w:t>BP 168/112 triggers both general and severe thresholds</w:t>
            </w:r>
          </w:p>
        </w:tc>
        <w:tc>
          <w:tcPr>
            <w:tcW w:type="dxa" w:w="6552"/>
            <w:vAlign w:val="center"/>
          </w:tcPr>
          <w:p>
            <w:pPr>
              <w:spacing w:after="40" w:before="0"/>
            </w:pPr>
            <w:r>
              <w:rPr>
                <w:sz w:val="17"/>
              </w:rPr>
            </w:r>
            <w:r>
              <w:rPr>
                <w:b w:val="0"/>
                <w:sz w:val="17"/>
              </w:rPr>
              <w:t>Show the severe urgent explanation once; retain the general threshold as a related internal trigger if needed for audit.</w:t>
            </w:r>
          </w:p>
        </w:tc>
      </w:tr>
      <w:tr>
        <w:tc>
          <w:tcPr>
            <w:tcW w:type="dxa" w:w="3384"/>
            <w:vAlign w:val="center"/>
          </w:tcPr>
          <w:p>
            <w:pPr>
              <w:spacing w:after="40" w:before="0"/>
            </w:pPr>
            <w:r>
              <w:rPr>
                <w:sz w:val="17"/>
              </w:rPr>
            </w:r>
            <w:r>
              <w:rPr>
                <w:b w:val="0"/>
                <w:sz w:val="17"/>
              </w:rPr>
              <w:t>Breech and “malpresentation” are both represented</w:t>
            </w:r>
          </w:p>
        </w:tc>
        <w:tc>
          <w:tcPr>
            <w:tcW w:type="dxa" w:w="6552"/>
            <w:vAlign w:val="center"/>
          </w:tcPr>
          <w:p>
            <w:pPr>
              <w:spacing w:after="40" w:before="0"/>
            </w:pPr>
            <w:r>
              <w:rPr>
                <w:sz w:val="17"/>
              </w:rPr>
            </w:r>
            <w:r>
              <w:rPr>
                <w:b w:val="0"/>
                <w:sz w:val="17"/>
              </w:rPr>
              <w:t>Use the specific Breech reason as the visible explanation; do not duplicate with a generic malpresentation sentence.</w:t>
            </w:r>
          </w:p>
        </w:tc>
      </w:tr>
      <w:tr>
        <w:tc>
          <w:tcPr>
            <w:tcW w:type="dxa" w:w="3384"/>
            <w:vAlign w:val="center"/>
          </w:tcPr>
          <w:p>
            <w:pPr>
              <w:spacing w:after="40" w:before="0"/>
            </w:pPr>
            <w:r>
              <w:rPr>
                <w:sz w:val="17"/>
              </w:rPr>
            </w:r>
            <w:r>
              <w:rPr>
                <w:b w:val="0"/>
                <w:sz w:val="17"/>
              </w:rPr>
              <w:t>Several ultrasound abnormalities coexist</w:t>
            </w:r>
          </w:p>
        </w:tc>
        <w:tc>
          <w:tcPr>
            <w:tcW w:type="dxa" w:w="6552"/>
            <w:vAlign w:val="center"/>
          </w:tcPr>
          <w:p>
            <w:pPr>
              <w:spacing w:after="40" w:before="0"/>
            </w:pPr>
            <w:r>
              <w:rPr>
                <w:sz w:val="17"/>
              </w:rPr>
            </w:r>
            <w:r>
              <w:rPr>
                <w:b w:val="0"/>
                <w:sz w:val="17"/>
              </w:rPr>
              <w:t>Display each distinct finding because presentation, fluid, and heartbeat represent different clinical evidence.</w:t>
            </w:r>
          </w:p>
        </w:tc>
      </w:tr>
      <w:tr>
        <w:tc>
          <w:tcPr>
            <w:tcW w:type="dxa" w:w="3384"/>
            <w:vAlign w:val="center"/>
          </w:tcPr>
          <w:p>
            <w:pPr>
              <w:spacing w:after="40" w:before="0"/>
            </w:pPr>
            <w:r>
              <w:rPr>
                <w:sz w:val="17"/>
              </w:rPr>
            </w:r>
            <w:r>
              <w:rPr>
                <w:b w:val="0"/>
                <w:sz w:val="17"/>
              </w:rPr>
              <w:t>Diabetes and anemia coexist</w:t>
            </w:r>
          </w:p>
        </w:tc>
        <w:tc>
          <w:tcPr>
            <w:tcW w:type="dxa" w:w="6552"/>
            <w:vAlign w:val="center"/>
          </w:tcPr>
          <w:p>
            <w:pPr>
              <w:spacing w:after="40" w:before="0"/>
            </w:pPr>
            <w:r>
              <w:rPr>
                <w:sz w:val="17"/>
              </w:rPr>
            </w:r>
            <w:r>
              <w:rPr>
                <w:b w:val="0"/>
                <w:sz w:val="17"/>
              </w:rPr>
              <w:t>Retain both; they are separate medical-history factors.</w:t>
            </w:r>
          </w:p>
        </w:tc>
      </w:tr>
      <w:tr>
        <w:tc>
          <w:tcPr>
            <w:tcW w:type="dxa" w:w="3384"/>
            <w:vAlign w:val="center"/>
          </w:tcPr>
          <w:p>
            <w:pPr>
              <w:spacing w:after="40" w:before="0"/>
            </w:pPr>
            <w:r>
              <w:rPr>
                <w:sz w:val="17"/>
              </w:rPr>
            </w:r>
            <w:r>
              <w:rPr>
                <w:b w:val="0"/>
                <w:sz w:val="17"/>
              </w:rPr>
              <w:t>Rule HIGH and ML HIGH coexist</w:t>
            </w:r>
          </w:p>
        </w:tc>
        <w:tc>
          <w:tcPr>
            <w:tcW w:type="dxa" w:w="6552"/>
            <w:vAlign w:val="center"/>
          </w:tcPr>
          <w:p>
            <w:pPr>
              <w:spacing w:after="40" w:before="0"/>
            </w:pPr>
            <w:r>
              <w:rPr>
                <w:sz w:val="17"/>
              </w:rPr>
            </w:r>
            <w:r>
              <w:rPr>
                <w:b w:val="0"/>
                <w:sz w:val="17"/>
              </w:rPr>
              <w:t>List deterministic reasons first, then the model contribution.</w:t>
            </w:r>
          </w:p>
        </w:tc>
      </w:tr>
      <w:tr>
        <w:tc>
          <w:tcPr>
            <w:tcW w:type="dxa" w:w="3384"/>
            <w:vAlign w:val="center"/>
          </w:tcPr>
          <w:p>
            <w:pPr>
              <w:spacing w:after="40" w:before="0"/>
            </w:pPr>
            <w:r>
              <w:rPr>
                <w:sz w:val="17"/>
              </w:rPr>
            </w:r>
            <w:r>
              <w:rPr>
                <w:b w:val="0"/>
                <w:sz w:val="17"/>
              </w:rPr>
              <w:t>Rule HIGH and ML LOW conflict</w:t>
            </w:r>
          </w:p>
        </w:tc>
        <w:tc>
          <w:tcPr>
            <w:tcW w:type="dxa" w:w="6552"/>
            <w:vAlign w:val="center"/>
          </w:tcPr>
          <w:p>
            <w:pPr>
              <w:spacing w:after="40" w:before="0"/>
            </w:pPr>
            <w:r>
              <w:rPr>
                <w:sz w:val="17"/>
              </w:rPr>
            </w:r>
            <w:r>
              <w:rPr>
                <w:b w:val="0"/>
                <w:sz w:val="17"/>
              </w:rPr>
              <w:t>Final HIGH; explain that the deterministic safety rule overrides the LOW model output.</w:t>
            </w:r>
          </w:p>
        </w:tc>
      </w:tr>
      <w:tr>
        <w:tc>
          <w:tcPr>
            <w:tcW w:type="dxa" w:w="3384"/>
            <w:vAlign w:val="center"/>
          </w:tcPr>
          <w:p>
            <w:pPr>
              <w:spacing w:after="40" w:before="0"/>
            </w:pPr>
            <w:r>
              <w:rPr>
                <w:sz w:val="17"/>
              </w:rPr>
            </w:r>
            <w:r>
              <w:rPr>
                <w:b w:val="0"/>
                <w:sz w:val="17"/>
              </w:rPr>
              <w:t>Missing required records and an already observed HIGH factor coexist</w:t>
            </w:r>
          </w:p>
        </w:tc>
        <w:tc>
          <w:tcPr>
            <w:tcW w:type="dxa" w:w="6552"/>
            <w:vAlign w:val="center"/>
          </w:tcPr>
          <w:p>
            <w:pPr>
              <w:spacing w:after="40" w:before="0"/>
            </w:pPr>
            <w:r>
              <w:rPr>
                <w:sz w:val="17"/>
              </w:rPr>
            </w:r>
            <w:r>
              <w:rPr>
                <w:b w:val="0"/>
                <w:sz w:val="17"/>
              </w:rPr>
              <w:t>Follow the approved Assessment Engine policy. If the final state is INCOMPLETE, preserve the observed factor as a provisional finding but do not mislabel the assessment as complete.</w:t>
            </w:r>
          </w:p>
        </w:tc>
      </w:tr>
    </w:tbl>
    <w:p/>
    <w:p>
      <w:pPr>
        <w:pStyle w:val="Heading2"/>
      </w:pPr>
      <w:r>
        <w:t>8.3 Example merged explanation</w:t>
      </w:r>
    </w:p>
    <w:p>
      <w:pPr>
        <w:pStyle w:val="BodyText"/>
      </w:pPr>
      <w:r>
        <w:t>Example patient evidence: age 17, blood pressure 166/112 mmHg, breech presentation, diabetes present, and ML output LOW. The clinical projection should begin with the severe blood-pressure finding, then identify breech presentation, diabetes, and maternal age. It should state that deterministic safety rules produced HIGH despite the LOW model output. It must not produce four separate repetitive referral paragraphs; one consolidated action statement is sufficient.</w:t>
      </w:r>
    </w:p>
    <w:p>
      <w:pPr>
        <w:pStyle w:val="Heading1"/>
      </w:pPr>
      <w:r>
        <w:t>9. Audience-Specific Explanation Projections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656"/>
            <w:vAlign w:val="center"/>
            <w:shd w:fill="D9EAF7"/>
          </w:tcPr>
          <w:p>
            <w:pPr>
              <w:spacing w:after="40" w:before="0"/>
            </w:pPr>
            <w:r>
              <w:rPr>
                <w:sz w:val="17"/>
              </w:rPr>
            </w:r>
            <w:r>
              <w:rPr>
                <w:b/>
                <w:sz w:val="17"/>
              </w:rPr>
              <w:t>Audience</w:t>
            </w:r>
          </w:p>
        </w:tc>
        <w:tc>
          <w:tcPr>
            <w:tcW w:type="dxa" w:w="1800"/>
            <w:vAlign w:val="center"/>
            <w:shd w:fill="D9EAF7"/>
          </w:tcPr>
          <w:p>
            <w:pPr>
              <w:spacing w:after="40" w:before="0"/>
            </w:pPr>
            <w:r>
              <w:rPr>
                <w:sz w:val="17"/>
              </w:rPr>
            </w:r>
            <w:r>
              <w:rPr>
                <w:b/>
                <w:sz w:val="17"/>
              </w:rPr>
              <w:t>Detail level</w:t>
            </w:r>
          </w:p>
        </w:tc>
        <w:tc>
          <w:tcPr>
            <w:tcW w:type="dxa" w:w="3816"/>
            <w:vAlign w:val="center"/>
            <w:shd w:fill="D9EAF7"/>
          </w:tcPr>
          <w:p>
            <w:pPr>
              <w:spacing w:after="40" w:before="0"/>
            </w:pPr>
            <w:r>
              <w:rPr>
                <w:sz w:val="17"/>
              </w:rPr>
            </w:r>
            <w:r>
              <w:rPr>
                <w:b/>
                <w:sz w:val="17"/>
              </w:rPr>
              <w:t>Must include</w:t>
            </w:r>
          </w:p>
        </w:tc>
        <w:tc>
          <w:tcPr>
            <w:tcW w:type="dxa" w:w="2664"/>
            <w:vAlign w:val="center"/>
            <w:shd w:fill="D9EAF7"/>
          </w:tcPr>
          <w:p>
            <w:pPr>
              <w:spacing w:after="40" w:before="0"/>
            </w:pPr>
            <w:r>
              <w:rPr>
                <w:sz w:val="17"/>
              </w:rPr>
            </w:r>
            <w:r>
              <w:rPr>
                <w:b/>
                <w:sz w:val="17"/>
              </w:rPr>
              <w:t>Must avoid</w:t>
            </w:r>
          </w:p>
        </w:tc>
      </w:tr>
      <w:tr>
        <w:tc>
          <w:tcPr>
            <w:tcW w:type="dxa" w:w="1656"/>
            <w:vAlign w:val="center"/>
          </w:tcPr>
          <w:p>
            <w:pPr>
              <w:spacing w:after="40" w:before="0"/>
            </w:pPr>
            <w:r>
              <w:rPr>
                <w:sz w:val="17"/>
              </w:rPr>
            </w:r>
            <w:r>
              <w:rPr>
                <w:b w:val="0"/>
                <w:sz w:val="17"/>
              </w:rPr>
              <w:t>Midwife</w:t>
            </w:r>
          </w:p>
        </w:tc>
        <w:tc>
          <w:tcPr>
            <w:tcW w:type="dxa" w:w="1800"/>
            <w:vAlign w:val="center"/>
          </w:tcPr>
          <w:p>
            <w:pPr>
              <w:spacing w:after="40" w:before="0"/>
            </w:pPr>
            <w:r>
              <w:rPr>
                <w:sz w:val="17"/>
              </w:rPr>
            </w:r>
            <w:r>
              <w:rPr>
                <w:b w:val="0"/>
                <w:sz w:val="17"/>
              </w:rPr>
              <w:t>Clinical and actionable</w:t>
            </w:r>
          </w:p>
        </w:tc>
        <w:tc>
          <w:tcPr>
            <w:tcW w:type="dxa" w:w="3816"/>
            <w:vAlign w:val="center"/>
          </w:tcPr>
          <w:p>
            <w:pPr>
              <w:spacing w:after="40" w:before="0"/>
            </w:pPr>
            <w:r>
              <w:rPr>
                <w:sz w:val="17"/>
              </w:rPr>
            </w:r>
            <w:r>
              <w:rPr>
                <w:b w:val="0"/>
                <w:sz w:val="17"/>
              </w:rPr>
              <w:t>Measured values, reason codes in expandable detail, urgency, recommendations, limitations</w:t>
            </w:r>
          </w:p>
        </w:tc>
        <w:tc>
          <w:tcPr>
            <w:tcW w:type="dxa" w:w="2664"/>
            <w:vAlign w:val="center"/>
          </w:tcPr>
          <w:p>
            <w:pPr>
              <w:spacing w:after="40" w:before="0"/>
            </w:pPr>
            <w:r>
              <w:rPr>
                <w:sz w:val="17"/>
              </w:rPr>
            </w:r>
            <w:r>
              <w:rPr>
                <w:b w:val="0"/>
                <w:sz w:val="17"/>
              </w:rPr>
              <w:t>Diagnostic certainty or hidden model claims</w:t>
            </w:r>
          </w:p>
        </w:tc>
      </w:tr>
      <w:tr>
        <w:tc>
          <w:tcPr>
            <w:tcW w:type="dxa" w:w="1656"/>
            <w:vAlign w:val="center"/>
          </w:tcPr>
          <w:p>
            <w:pPr>
              <w:spacing w:after="40" w:before="0"/>
            </w:pPr>
            <w:r>
              <w:rPr>
                <w:sz w:val="17"/>
              </w:rPr>
            </w:r>
            <w:r>
              <w:rPr>
                <w:b w:val="0"/>
                <w:sz w:val="17"/>
              </w:rPr>
              <w:t>Patient</w:t>
            </w:r>
          </w:p>
        </w:tc>
        <w:tc>
          <w:tcPr>
            <w:tcW w:type="dxa" w:w="1800"/>
            <w:vAlign w:val="center"/>
          </w:tcPr>
          <w:p>
            <w:pPr>
              <w:spacing w:after="40" w:before="0"/>
            </w:pPr>
            <w:r>
              <w:rPr>
                <w:sz w:val="17"/>
              </w:rPr>
            </w:r>
            <w:r>
              <w:rPr>
                <w:b w:val="0"/>
                <w:sz w:val="17"/>
              </w:rPr>
              <w:t>Plain language and supportive</w:t>
            </w:r>
          </w:p>
        </w:tc>
        <w:tc>
          <w:tcPr>
            <w:tcW w:type="dxa" w:w="3816"/>
            <w:vAlign w:val="center"/>
          </w:tcPr>
          <w:p>
            <w:pPr>
              <w:spacing w:after="40" w:before="0"/>
            </w:pPr>
            <w:r>
              <w:rPr>
                <w:sz w:val="17"/>
              </w:rPr>
            </w:r>
            <w:r>
              <w:rPr>
                <w:b w:val="0"/>
                <w:sz w:val="17"/>
              </w:rPr>
              <w:t>Relevant finding, need for review, next step, reassurance that the tool supports clinicians</w:t>
            </w:r>
          </w:p>
        </w:tc>
        <w:tc>
          <w:tcPr>
            <w:tcW w:type="dxa" w:w="2664"/>
            <w:vAlign w:val="center"/>
          </w:tcPr>
          <w:p>
            <w:pPr>
              <w:spacing w:after="40" w:before="0"/>
            </w:pPr>
            <w:r>
              <w:rPr>
                <w:sz w:val="17"/>
              </w:rPr>
            </w:r>
            <w:r>
              <w:rPr>
                <w:b w:val="0"/>
                <w:sz w:val="17"/>
              </w:rPr>
              <w:t>Technical codes, alarming unsupported labels, causal claims</w:t>
            </w:r>
          </w:p>
        </w:tc>
      </w:tr>
      <w:tr>
        <w:tc>
          <w:tcPr>
            <w:tcW w:type="dxa" w:w="1656"/>
            <w:vAlign w:val="center"/>
          </w:tcPr>
          <w:p>
            <w:pPr>
              <w:spacing w:after="40" w:before="0"/>
            </w:pPr>
            <w:r>
              <w:rPr>
                <w:sz w:val="17"/>
              </w:rPr>
            </w:r>
            <w:r>
              <w:rPr>
                <w:b w:val="0"/>
                <w:sz w:val="17"/>
              </w:rPr>
              <w:t>Administrator</w:t>
            </w:r>
          </w:p>
        </w:tc>
        <w:tc>
          <w:tcPr>
            <w:tcW w:type="dxa" w:w="1800"/>
            <w:vAlign w:val="center"/>
          </w:tcPr>
          <w:p>
            <w:pPr>
              <w:spacing w:after="40" w:before="0"/>
            </w:pPr>
            <w:r>
              <w:rPr>
                <w:sz w:val="17"/>
              </w:rPr>
            </w:r>
            <w:r>
              <w:rPr>
                <w:b w:val="0"/>
                <w:sz w:val="17"/>
              </w:rPr>
              <w:t>Operational</w:t>
            </w:r>
          </w:p>
        </w:tc>
        <w:tc>
          <w:tcPr>
            <w:tcW w:type="dxa" w:w="3816"/>
            <w:vAlign w:val="center"/>
          </w:tcPr>
          <w:p>
            <w:pPr>
              <w:spacing w:after="40" w:before="0"/>
            </w:pPr>
            <w:r>
              <w:rPr>
                <w:sz w:val="17"/>
              </w:rPr>
            </w:r>
            <w:r>
              <w:rPr>
                <w:b w:val="0"/>
                <w:sz w:val="17"/>
              </w:rPr>
              <w:t>Assessment state, workflow action, completion status, timestamps</w:t>
            </w:r>
          </w:p>
        </w:tc>
        <w:tc>
          <w:tcPr>
            <w:tcW w:type="dxa" w:w="2664"/>
            <w:vAlign w:val="center"/>
          </w:tcPr>
          <w:p>
            <w:pPr>
              <w:spacing w:after="40" w:before="0"/>
            </w:pPr>
            <w:r>
              <w:rPr>
                <w:sz w:val="17"/>
              </w:rPr>
            </w:r>
            <w:r>
              <w:rPr>
                <w:b w:val="0"/>
                <w:sz w:val="17"/>
              </w:rPr>
              <w:t>Unnecessary sensitive clinical narrative</w:t>
            </w:r>
          </w:p>
        </w:tc>
      </w:tr>
      <w:tr>
        <w:tc>
          <w:tcPr>
            <w:tcW w:type="dxa" w:w="1656"/>
            <w:vAlign w:val="center"/>
          </w:tcPr>
          <w:p>
            <w:pPr>
              <w:spacing w:after="40" w:before="0"/>
            </w:pPr>
            <w:r>
              <w:rPr>
                <w:sz w:val="17"/>
              </w:rPr>
            </w:r>
            <w:r>
              <w:rPr>
                <w:b w:val="0"/>
                <w:sz w:val="17"/>
              </w:rPr>
              <w:t>Referral recipient</w:t>
            </w:r>
          </w:p>
        </w:tc>
        <w:tc>
          <w:tcPr>
            <w:tcW w:type="dxa" w:w="1800"/>
            <w:vAlign w:val="center"/>
          </w:tcPr>
          <w:p>
            <w:pPr>
              <w:spacing w:after="40" w:before="0"/>
            </w:pPr>
            <w:r>
              <w:rPr>
                <w:sz w:val="17"/>
              </w:rPr>
            </w:r>
            <w:r>
              <w:rPr>
                <w:b w:val="0"/>
                <w:sz w:val="17"/>
              </w:rPr>
              <w:t>Concise clinical handoff</w:t>
            </w:r>
          </w:p>
        </w:tc>
        <w:tc>
          <w:tcPr>
            <w:tcW w:type="dxa" w:w="3816"/>
            <w:vAlign w:val="center"/>
          </w:tcPr>
          <w:p>
            <w:pPr>
              <w:spacing w:after="40" w:before="0"/>
            </w:pPr>
            <w:r>
              <w:rPr>
                <w:sz w:val="17"/>
              </w:rPr>
            </w:r>
            <w:r>
              <w:rPr>
                <w:b w:val="0"/>
                <w:sz w:val="17"/>
              </w:rPr>
              <w:t>Key findings, values, urgency, source dates, assessment limitations</w:t>
            </w:r>
          </w:p>
        </w:tc>
        <w:tc>
          <w:tcPr>
            <w:tcW w:type="dxa" w:w="2664"/>
            <w:vAlign w:val="center"/>
          </w:tcPr>
          <w:p>
            <w:pPr>
              <w:spacing w:after="40" w:before="0"/>
            </w:pPr>
            <w:r>
              <w:rPr>
                <w:sz w:val="17"/>
              </w:rPr>
            </w:r>
            <w:r>
              <w:rPr>
                <w:b w:val="0"/>
                <w:sz w:val="17"/>
              </w:rPr>
              <w:t>Unverified interpretations</w:t>
            </w:r>
          </w:p>
        </w:tc>
      </w:tr>
      <w:tr>
        <w:tc>
          <w:tcPr>
            <w:tcW w:type="dxa" w:w="1656"/>
            <w:vAlign w:val="center"/>
          </w:tcPr>
          <w:p>
            <w:pPr>
              <w:spacing w:after="40" w:before="0"/>
            </w:pPr>
            <w:r>
              <w:rPr>
                <w:sz w:val="17"/>
              </w:rPr>
            </w:r>
            <w:r>
              <w:rPr>
                <w:b w:val="0"/>
                <w:sz w:val="17"/>
              </w:rPr>
              <w:t>Audit/developer</w:t>
            </w:r>
          </w:p>
        </w:tc>
        <w:tc>
          <w:tcPr>
            <w:tcW w:type="dxa" w:w="1800"/>
            <w:vAlign w:val="center"/>
          </w:tcPr>
          <w:p>
            <w:pPr>
              <w:spacing w:after="40" w:before="0"/>
            </w:pPr>
            <w:r>
              <w:rPr>
                <w:sz w:val="17"/>
              </w:rPr>
            </w:r>
            <w:r>
              <w:rPr>
                <w:b w:val="0"/>
                <w:sz w:val="17"/>
              </w:rPr>
              <w:t>Technical and complete</w:t>
            </w:r>
          </w:p>
        </w:tc>
        <w:tc>
          <w:tcPr>
            <w:tcW w:type="dxa" w:w="3816"/>
            <w:vAlign w:val="center"/>
          </w:tcPr>
          <w:p>
            <w:pPr>
              <w:spacing w:after="40" w:before="0"/>
            </w:pPr>
            <w:r>
              <w:rPr>
                <w:sz w:val="17"/>
              </w:rPr>
            </w:r>
            <w:r>
              <w:rPr>
                <w:b w:val="0"/>
                <w:sz w:val="17"/>
              </w:rPr>
              <w:t>Codes, expressions, values, versions, source IDs, correlation ID</w:t>
            </w:r>
          </w:p>
        </w:tc>
        <w:tc>
          <w:tcPr>
            <w:tcW w:type="dxa" w:w="2664"/>
            <w:vAlign w:val="center"/>
          </w:tcPr>
          <w:p>
            <w:pPr>
              <w:spacing w:after="40" w:before="0"/>
            </w:pPr>
            <w:r>
              <w:rPr>
                <w:sz w:val="17"/>
              </w:rPr>
            </w:r>
            <w:r>
              <w:rPr>
                <w:b w:val="0"/>
                <w:sz w:val="17"/>
              </w:rPr>
              <w:t>Mutable free-text as sole evidence</w:t>
            </w:r>
          </w:p>
        </w:tc>
      </w:tr>
      <w:tr>
        <w:tc>
          <w:tcPr>
            <w:tcW w:type="dxa" w:w="1656"/>
            <w:vAlign w:val="center"/>
          </w:tcPr>
          <w:p>
            <w:pPr>
              <w:spacing w:after="40" w:before="0"/>
            </w:pPr>
            <w:r>
              <w:rPr>
                <w:sz w:val="17"/>
              </w:rPr>
            </w:r>
            <w:r>
              <w:rPr>
                <w:b w:val="0"/>
                <w:sz w:val="17"/>
              </w:rPr>
              <w:t>Panel/researcher</w:t>
            </w:r>
          </w:p>
        </w:tc>
        <w:tc>
          <w:tcPr>
            <w:tcW w:type="dxa" w:w="1800"/>
            <w:vAlign w:val="center"/>
          </w:tcPr>
          <w:p>
            <w:pPr>
              <w:spacing w:after="40" w:before="0"/>
            </w:pPr>
            <w:r>
              <w:rPr>
                <w:sz w:val="17"/>
              </w:rPr>
            </w:r>
            <w:r>
              <w:rPr>
                <w:b w:val="0"/>
                <w:sz w:val="17"/>
              </w:rPr>
              <w:t>Design rationale</w:t>
            </w:r>
          </w:p>
        </w:tc>
        <w:tc>
          <w:tcPr>
            <w:tcW w:type="dxa" w:w="3816"/>
            <w:vAlign w:val="center"/>
          </w:tcPr>
          <w:p>
            <w:pPr>
              <w:spacing w:after="40" w:before="0"/>
            </w:pPr>
            <w:r>
              <w:rPr>
                <w:sz w:val="17"/>
              </w:rPr>
            </w:r>
            <w:r>
              <w:rPr>
                <w:b w:val="0"/>
                <w:sz w:val="17"/>
              </w:rPr>
              <w:t>Rule mapping, evidence basis, safety hierarchy, testability</w:t>
            </w:r>
          </w:p>
        </w:tc>
        <w:tc>
          <w:tcPr>
            <w:tcW w:type="dxa" w:w="2664"/>
            <w:vAlign w:val="center"/>
          </w:tcPr>
          <w:p>
            <w:pPr>
              <w:spacing w:after="40" w:before="0"/>
            </w:pPr>
            <w:r>
              <w:rPr>
                <w:sz w:val="17"/>
              </w:rPr>
            </w:r>
            <w:r>
              <w:rPr>
                <w:b w:val="0"/>
                <w:sz w:val="17"/>
              </w:rPr>
              <w:t>Claims that the system is clinically validated beyond the study scope</w:t>
            </w:r>
          </w:p>
        </w:tc>
      </w:tr>
    </w:tbl>
    <w:p/>
    <w:p>
      <w:pPr>
        <w:pStyle w:val="Heading1"/>
      </w:pPr>
      <w:r>
        <w:t>10. Laravel Implementation Blueprint</w:t>
      </w:r>
    </w:p>
    <w:p>
      <w:pPr>
        <w:pStyle w:val="Heading2"/>
      </w:pPr>
      <w:r>
        <w:t>10.1 Recommended classes</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D9EAF7"/>
          </w:tcPr>
          <w:p>
            <w:pPr>
              <w:spacing w:after="40" w:before="0"/>
            </w:pPr>
            <w:r>
              <w:rPr>
                <w:sz w:val="17"/>
              </w:rPr>
            </w:r>
            <w:r>
              <w:rPr>
                <w:b/>
                <w:sz w:val="17"/>
              </w:rPr>
              <w:t>Component</w:t>
            </w:r>
          </w:p>
        </w:tc>
        <w:tc>
          <w:tcPr>
            <w:tcW w:type="dxa" w:w="7056"/>
            <w:vAlign w:val="center"/>
            <w:shd w:fill="D9EAF7"/>
          </w:tcPr>
          <w:p>
            <w:pPr>
              <w:spacing w:after="40" w:before="0"/>
            </w:pPr>
            <w:r>
              <w:rPr>
                <w:sz w:val="17"/>
              </w:rPr>
            </w:r>
            <w:r>
              <w:rPr>
                <w:b/>
                <w:sz w:val="17"/>
              </w:rPr>
              <w:t>Responsibility</w:t>
            </w:r>
          </w:p>
        </w:tc>
      </w:tr>
      <w:tr>
        <w:tc>
          <w:tcPr>
            <w:tcW w:type="dxa" w:w="2880"/>
            <w:vAlign w:val="center"/>
          </w:tcPr>
          <w:p>
            <w:pPr>
              <w:spacing w:after="40" w:before="0"/>
            </w:pPr>
            <w:r>
              <w:rPr>
                <w:sz w:val="17"/>
              </w:rPr>
            </w:r>
            <w:r>
              <w:rPr>
                <w:b w:val="0"/>
                <w:sz w:val="17"/>
              </w:rPr>
              <w:t>RuleEvaluator</w:t>
            </w:r>
          </w:p>
        </w:tc>
        <w:tc>
          <w:tcPr>
            <w:tcW w:type="dxa" w:w="7056"/>
            <w:vAlign w:val="center"/>
          </w:tcPr>
          <w:p>
            <w:pPr>
              <w:spacing w:after="40" w:before="0"/>
            </w:pPr>
            <w:r>
              <w:rPr>
                <w:sz w:val="17"/>
              </w:rPr>
            </w:r>
            <w:r>
              <w:rPr>
                <w:b w:val="0"/>
                <w:sz w:val="17"/>
              </w:rPr>
              <w:t>Evaluates approved trigger expressions against AssessmentSnapshot.</w:t>
            </w:r>
          </w:p>
        </w:tc>
      </w:tr>
      <w:tr>
        <w:tc>
          <w:tcPr>
            <w:tcW w:type="dxa" w:w="2880"/>
            <w:vAlign w:val="center"/>
          </w:tcPr>
          <w:p>
            <w:pPr>
              <w:spacing w:after="40" w:before="0"/>
            </w:pPr>
            <w:r>
              <w:rPr>
                <w:sz w:val="17"/>
              </w:rPr>
            </w:r>
            <w:r>
              <w:rPr>
                <w:b w:val="0"/>
                <w:sz w:val="17"/>
              </w:rPr>
              <w:t>RuleCatalog</w:t>
            </w:r>
          </w:p>
        </w:tc>
        <w:tc>
          <w:tcPr>
            <w:tcW w:type="dxa" w:w="7056"/>
            <w:vAlign w:val="center"/>
          </w:tcPr>
          <w:p>
            <w:pPr>
              <w:spacing w:after="40" w:before="0"/>
            </w:pPr>
            <w:r>
              <w:rPr>
                <w:sz w:val="17"/>
              </w:rPr>
            </w:r>
            <w:r>
              <w:rPr>
                <w:b w:val="0"/>
                <w:sz w:val="17"/>
              </w:rPr>
              <w:t>Stores versioned metadata, rationale keys, priority, and templates.</w:t>
            </w:r>
          </w:p>
        </w:tc>
      </w:tr>
      <w:tr>
        <w:tc>
          <w:tcPr>
            <w:tcW w:type="dxa" w:w="2880"/>
            <w:vAlign w:val="center"/>
          </w:tcPr>
          <w:p>
            <w:pPr>
              <w:spacing w:after="40" w:before="0"/>
            </w:pPr>
            <w:r>
              <w:rPr>
                <w:sz w:val="17"/>
              </w:rPr>
            </w:r>
            <w:r>
              <w:rPr>
                <w:b w:val="0"/>
                <w:sz w:val="17"/>
              </w:rPr>
              <w:t>RuleReasonFactory</w:t>
            </w:r>
          </w:p>
        </w:tc>
        <w:tc>
          <w:tcPr>
            <w:tcW w:type="dxa" w:w="7056"/>
            <w:vAlign w:val="center"/>
          </w:tcPr>
          <w:p>
            <w:pPr>
              <w:spacing w:after="40" w:before="0"/>
            </w:pPr>
            <w:r>
              <w:rPr>
                <w:sz w:val="17"/>
              </w:rPr>
            </w:r>
            <w:r>
              <w:rPr>
                <w:b w:val="0"/>
                <w:sz w:val="17"/>
              </w:rPr>
              <w:t>Creates validated RuleReason objects from triggered rules.</w:t>
            </w:r>
          </w:p>
        </w:tc>
      </w:tr>
      <w:tr>
        <w:tc>
          <w:tcPr>
            <w:tcW w:type="dxa" w:w="2880"/>
            <w:vAlign w:val="center"/>
          </w:tcPr>
          <w:p>
            <w:pPr>
              <w:spacing w:after="40" w:before="0"/>
            </w:pPr>
            <w:r>
              <w:rPr>
                <w:sz w:val="17"/>
              </w:rPr>
            </w:r>
            <w:r>
              <w:rPr>
                <w:b w:val="0"/>
                <w:sz w:val="17"/>
              </w:rPr>
              <w:t>ReasonMerger</w:t>
            </w:r>
          </w:p>
        </w:tc>
        <w:tc>
          <w:tcPr>
            <w:tcW w:type="dxa" w:w="7056"/>
            <w:vAlign w:val="center"/>
          </w:tcPr>
          <w:p>
            <w:pPr>
              <w:spacing w:after="40" w:before="0"/>
            </w:pPr>
            <w:r>
              <w:rPr>
                <w:sz w:val="17"/>
              </w:rPr>
            </w:r>
            <w:r>
              <w:rPr>
                <w:b w:val="0"/>
                <w:sz w:val="17"/>
              </w:rPr>
              <w:t>Orders, deduplicates, and groups reasons.</w:t>
            </w:r>
          </w:p>
        </w:tc>
      </w:tr>
      <w:tr>
        <w:tc>
          <w:tcPr>
            <w:tcW w:type="dxa" w:w="2880"/>
            <w:vAlign w:val="center"/>
          </w:tcPr>
          <w:p>
            <w:pPr>
              <w:spacing w:after="40" w:before="0"/>
            </w:pPr>
            <w:r>
              <w:rPr>
                <w:sz w:val="17"/>
              </w:rPr>
            </w:r>
            <w:r>
              <w:rPr>
                <w:b w:val="0"/>
                <w:sz w:val="17"/>
              </w:rPr>
              <w:t>ExplanationProjector</w:t>
            </w:r>
          </w:p>
        </w:tc>
        <w:tc>
          <w:tcPr>
            <w:tcW w:type="dxa" w:w="7056"/>
            <w:vAlign w:val="center"/>
          </w:tcPr>
          <w:p>
            <w:pPr>
              <w:spacing w:after="40" w:before="0"/>
            </w:pPr>
            <w:r>
              <w:rPr>
                <w:sz w:val="17"/>
              </w:rPr>
            </w:r>
            <w:r>
              <w:rPr>
                <w:b w:val="0"/>
                <w:sz w:val="17"/>
              </w:rPr>
              <w:t>Produces midwife, patient, referral, administrative, and audit views.</w:t>
            </w:r>
          </w:p>
        </w:tc>
      </w:tr>
      <w:tr>
        <w:tc>
          <w:tcPr>
            <w:tcW w:type="dxa" w:w="2880"/>
            <w:vAlign w:val="center"/>
          </w:tcPr>
          <w:p>
            <w:pPr>
              <w:spacing w:after="40" w:before="0"/>
            </w:pPr>
            <w:r>
              <w:rPr>
                <w:sz w:val="17"/>
              </w:rPr>
            </w:r>
            <w:r>
              <w:rPr>
                <w:b w:val="0"/>
                <w:sz w:val="17"/>
              </w:rPr>
              <w:t>ExplanationValidator</w:t>
            </w:r>
          </w:p>
        </w:tc>
        <w:tc>
          <w:tcPr>
            <w:tcW w:type="dxa" w:w="7056"/>
            <w:vAlign w:val="center"/>
          </w:tcPr>
          <w:p>
            <w:pPr>
              <w:spacing w:after="40" w:before="0"/>
            </w:pPr>
            <w:r>
              <w:rPr>
                <w:sz w:val="17"/>
              </w:rPr>
            </w:r>
            <w:r>
              <w:rPr>
                <w:b w:val="0"/>
                <w:sz w:val="17"/>
              </w:rPr>
              <w:t>Checks evidence fidelity, state consistency, completeness, and prohibited wording.</w:t>
            </w:r>
          </w:p>
        </w:tc>
      </w:tr>
      <w:tr>
        <w:tc>
          <w:tcPr>
            <w:tcW w:type="dxa" w:w="2880"/>
            <w:vAlign w:val="center"/>
          </w:tcPr>
          <w:p>
            <w:pPr>
              <w:spacing w:after="40" w:before="0"/>
            </w:pPr>
            <w:r>
              <w:rPr>
                <w:sz w:val="17"/>
              </w:rPr>
            </w:r>
            <w:r>
              <w:rPr>
                <w:b w:val="0"/>
                <w:sz w:val="17"/>
              </w:rPr>
              <w:t>ExplanationRepository</w:t>
            </w:r>
          </w:p>
        </w:tc>
        <w:tc>
          <w:tcPr>
            <w:tcW w:type="dxa" w:w="7056"/>
            <w:vAlign w:val="center"/>
          </w:tcPr>
          <w:p>
            <w:pPr>
              <w:spacing w:after="40" w:before="0"/>
            </w:pPr>
            <w:r>
              <w:rPr>
                <w:sz w:val="17"/>
              </w:rPr>
            </w:r>
            <w:r>
              <w:rPr>
                <w:b w:val="0"/>
                <w:sz w:val="17"/>
              </w:rPr>
              <w:t>Persists immutable ExplanationBundle records and retrieves them for audit.</w:t>
            </w:r>
          </w:p>
        </w:tc>
      </w:tr>
      <w:tr>
        <w:tc>
          <w:tcPr>
            <w:tcW w:type="dxa" w:w="2880"/>
            <w:vAlign w:val="center"/>
          </w:tcPr>
          <w:p>
            <w:pPr>
              <w:spacing w:after="40" w:before="0"/>
            </w:pPr>
            <w:r>
              <w:rPr>
                <w:sz w:val="17"/>
              </w:rPr>
            </w:r>
            <w:r>
              <w:rPr>
                <w:b w:val="0"/>
                <w:sz w:val="17"/>
              </w:rPr>
              <w:t>RecommendationMapper</w:t>
            </w:r>
          </w:p>
        </w:tc>
        <w:tc>
          <w:tcPr>
            <w:tcW w:type="dxa" w:w="7056"/>
            <w:vAlign w:val="center"/>
          </w:tcPr>
          <w:p>
            <w:pPr>
              <w:spacing w:after="40" w:before="0"/>
            </w:pPr>
            <w:r>
              <w:rPr>
                <w:sz w:val="17"/>
              </w:rPr>
            </w:r>
            <w:r>
              <w:rPr>
                <w:b w:val="0"/>
                <w:sz w:val="17"/>
              </w:rPr>
              <w:t>Maps approved reason codes to controlled RecommendationBundle entries.</w:t>
            </w:r>
          </w:p>
        </w:tc>
      </w:tr>
      <w:tr>
        <w:tc>
          <w:tcPr>
            <w:tcW w:type="dxa" w:w="2880"/>
            <w:vAlign w:val="center"/>
          </w:tcPr>
          <w:p>
            <w:pPr>
              <w:spacing w:after="40" w:before="0"/>
            </w:pPr>
            <w:r>
              <w:rPr>
                <w:sz w:val="17"/>
              </w:rPr>
            </w:r>
            <w:r>
              <w:rPr>
                <w:b w:val="0"/>
                <w:sz w:val="17"/>
              </w:rPr>
              <w:t>AuditLogger</w:t>
            </w:r>
          </w:p>
        </w:tc>
        <w:tc>
          <w:tcPr>
            <w:tcW w:type="dxa" w:w="7056"/>
            <w:vAlign w:val="center"/>
          </w:tcPr>
          <w:p>
            <w:pPr>
              <w:spacing w:after="40" w:before="0"/>
            </w:pPr>
            <w:r>
              <w:rPr>
                <w:sz w:val="17"/>
              </w:rPr>
            </w:r>
            <w:r>
              <w:rPr>
                <w:b w:val="0"/>
                <w:sz w:val="17"/>
              </w:rPr>
              <w:t>Records generation, viewing, regeneration, and version metadata.</w:t>
            </w:r>
          </w:p>
        </w:tc>
      </w:tr>
    </w:tbl>
    <w:p/>
    <w:p>
      <w:pPr>
        <w:pStyle w:val="Heading2"/>
      </w:pPr>
      <w:r>
        <w:t>10.2 Pseudocode</w:t>
      </w:r>
    </w:p>
    <w:p>
      <w:pPr>
        <w:pStyle w:val="BodyText"/>
      </w:pPr>
      <w:r>
        <w:t>The following pseudocode expresses the intended control flow without requiring a specific Laravel class name:</w:t>
      </w:r>
    </w:p>
    <w:p>
      <w:pPr>
        <w:pStyle w:val="BodyText"/>
      </w:pPr>
      <w:r>
        <w:rPr>
          <w:rFonts w:ascii="Courier New" w:hAnsi="Courier New"/>
          <w:sz w:val="18"/>
        </w:rPr>
        <w:t>snapshot = AssessmentSnapshot::fromPatient(patient, visit)</w:t>
        <w:br/>
        <w:t>assessment = assessmentEngine-&gt;assess(snapshot)</w:t>
        <w:br/>
        <w:t>reasons = ruleEvaluator-&gt;evaluate(snapshot, ruleCatalog.currentVersion())</w:t>
        <w:br/>
        <w:t>mlReason = mlReasonFactory-&gt;fromValidatedResult(assessment.mlResult)</w:t>
        <w:br/>
        <w:t>bundle = explanationService-&gt;build(assessment, reasons, mlReason)</w:t>
        <w:br/>
        <w:t>explanationValidator-&gt;assertConsistent(bundle, assessment, snapshot)</w:t>
        <w:br/>
        <w:t>explanationRepository-&gt;storeImmutable(bundle)</w:t>
      </w:r>
    </w:p>
    <w:p>
      <w:pPr>
        <w:pStyle w:val="Heading2"/>
      </w:pPr>
      <w:r>
        <w:t>10.3 Persistence requirements</w:t>
      </w:r>
    </w:p>
    <w:p>
      <w:pPr>
        <w:pStyle w:val="ListBullet"/>
      </w:pPr>
      <w:r>
        <w:t>Store reason codes and observed values separately from rendered text.</w:t>
      </w:r>
    </w:p>
    <w:p>
      <w:pPr>
        <w:pStyle w:val="ListBullet"/>
      </w:pPr>
      <w:r>
        <w:t>Preserve rule, model, template, and schema versions.</w:t>
      </w:r>
    </w:p>
    <w:p>
      <w:pPr>
        <w:pStyle w:val="ListBullet"/>
      </w:pPr>
      <w:r>
        <w:t>Preserve source record identifiers and timestamps.</w:t>
      </w:r>
    </w:p>
    <w:p>
      <w:pPr>
        <w:pStyle w:val="ListBullet"/>
      </w:pPr>
      <w:r>
        <w:t>Do not overwrite historical explanation bundles after a rule change; generate a new versioned assessment when appropriate.</w:t>
      </w:r>
    </w:p>
    <w:p>
      <w:pPr>
        <w:pStyle w:val="ListBullet"/>
      </w:pPr>
      <w:r>
        <w:t>Log who initiated the assessment and who viewed or printed the explanation.</w:t>
      </w:r>
    </w:p>
    <w:p>
      <w:pPr>
        <w:pStyle w:val="ListBullet"/>
      </w:pPr>
      <w:r>
        <w:t>Apply privacy controls so patient-facing and referral outputs reveal only necessary information.</w:t>
      </w:r>
    </w:p>
    <w:p>
      <w:pPr>
        <w:pStyle w:val="Heading1"/>
      </w:pPr>
      <w:r>
        <w:t>11. Validation and Quality Controls</w:t>
      </w:r>
    </w:p>
    <w:tbl>
      <w:tblPr>
        <w:tblStyle w:val="TableGrid"/>
        <w:tblW w:type="auto" w:w="0"/>
        <w:jc w:val="center"/>
        <w:tblLook w:firstColumn="1" w:firstRow="1" w:lastColumn="0" w:lastRow="0" w:noHBand="0" w:noVBand="1" w:val="04A0"/>
      </w:tblPr>
      <w:tblGrid>
        <w:gridCol w:w="4997"/>
        <w:gridCol w:w="4997"/>
      </w:tblGrid>
      <w:tr>
        <w:tc>
          <w:tcPr>
            <w:tcW w:type="dxa" w:w="4320"/>
            <w:vAlign w:val="center"/>
            <w:shd w:fill="D9EAF7"/>
          </w:tcPr>
          <w:p>
            <w:pPr>
              <w:spacing w:after="40" w:before="0"/>
            </w:pPr>
            <w:r>
              <w:rPr>
                <w:sz w:val="17"/>
              </w:rPr>
            </w:r>
            <w:r>
              <w:rPr>
                <w:b/>
                <w:sz w:val="17"/>
              </w:rPr>
              <w:t>Validation rule</w:t>
            </w:r>
          </w:p>
        </w:tc>
        <w:tc>
          <w:tcPr>
            <w:tcW w:type="dxa" w:w="5616"/>
            <w:vAlign w:val="center"/>
            <w:shd w:fill="D9EAF7"/>
          </w:tcPr>
          <w:p>
            <w:pPr>
              <w:spacing w:after="40" w:before="0"/>
            </w:pPr>
            <w:r>
              <w:rPr>
                <w:sz w:val="17"/>
              </w:rPr>
            </w:r>
            <w:r>
              <w:rPr>
                <w:b/>
                <w:sz w:val="17"/>
              </w:rPr>
              <w:t>Failure response</w:t>
            </w:r>
          </w:p>
        </w:tc>
      </w:tr>
      <w:tr>
        <w:tc>
          <w:tcPr>
            <w:tcW w:type="dxa" w:w="4320"/>
            <w:vAlign w:val="center"/>
          </w:tcPr>
          <w:p>
            <w:pPr>
              <w:spacing w:after="40" w:before="0"/>
            </w:pPr>
            <w:r>
              <w:rPr>
                <w:sz w:val="17"/>
              </w:rPr>
            </w:r>
            <w:r>
              <w:rPr>
                <w:b w:val="0"/>
                <w:sz w:val="17"/>
              </w:rPr>
              <w:t>Final HIGH has no deterministic or valid ML HIGH reason</w:t>
            </w:r>
          </w:p>
        </w:tc>
        <w:tc>
          <w:tcPr>
            <w:tcW w:type="dxa" w:w="5616"/>
            <w:vAlign w:val="center"/>
          </w:tcPr>
          <w:p>
            <w:pPr>
              <w:spacing w:after="40" w:before="0"/>
            </w:pPr>
            <w:r>
              <w:rPr>
                <w:sz w:val="17"/>
              </w:rPr>
            </w:r>
            <w:r>
              <w:rPr>
                <w:b w:val="0"/>
                <w:sz w:val="17"/>
              </w:rPr>
              <w:t>Block release of the explanation and mark generation failed.</w:t>
            </w:r>
          </w:p>
        </w:tc>
      </w:tr>
      <w:tr>
        <w:tc>
          <w:tcPr>
            <w:tcW w:type="dxa" w:w="4320"/>
            <w:vAlign w:val="center"/>
          </w:tcPr>
          <w:p>
            <w:pPr>
              <w:spacing w:after="40" w:before="0"/>
            </w:pPr>
            <w:r>
              <w:rPr>
                <w:sz w:val="17"/>
              </w:rPr>
            </w:r>
            <w:r>
              <w:rPr>
                <w:b w:val="0"/>
                <w:sz w:val="17"/>
              </w:rPr>
              <w:t>A displayed reason does not match source data</w:t>
            </w:r>
          </w:p>
        </w:tc>
        <w:tc>
          <w:tcPr>
            <w:tcW w:type="dxa" w:w="5616"/>
            <w:vAlign w:val="center"/>
          </w:tcPr>
          <w:p>
            <w:pPr>
              <w:spacing w:after="40" w:before="0"/>
            </w:pPr>
            <w:r>
              <w:rPr>
                <w:sz w:val="17"/>
              </w:rPr>
            </w:r>
            <w:r>
              <w:rPr>
                <w:b w:val="0"/>
                <w:sz w:val="17"/>
              </w:rPr>
              <w:t>Block display; log integrity defect.</w:t>
            </w:r>
          </w:p>
        </w:tc>
      </w:tr>
      <w:tr>
        <w:tc>
          <w:tcPr>
            <w:tcW w:type="dxa" w:w="4320"/>
            <w:vAlign w:val="center"/>
          </w:tcPr>
          <w:p>
            <w:pPr>
              <w:spacing w:after="40" w:before="0"/>
            </w:pPr>
            <w:r>
              <w:rPr>
                <w:sz w:val="17"/>
              </w:rPr>
            </w:r>
            <w:r>
              <w:rPr>
                <w:b w:val="0"/>
                <w:sz w:val="17"/>
              </w:rPr>
              <w:t>Final LOW has a triggered HIGH rule</w:t>
            </w:r>
          </w:p>
        </w:tc>
        <w:tc>
          <w:tcPr>
            <w:tcW w:type="dxa" w:w="5616"/>
            <w:vAlign w:val="center"/>
          </w:tcPr>
          <w:p>
            <w:pPr>
              <w:spacing w:after="40" w:before="0"/>
            </w:pPr>
            <w:r>
              <w:rPr>
                <w:sz w:val="17"/>
              </w:rPr>
            </w:r>
            <w:r>
              <w:rPr>
                <w:b w:val="0"/>
                <w:sz w:val="17"/>
              </w:rPr>
              <w:t>Block LOW and escalate as a critical decision-engine defect.</w:t>
            </w:r>
          </w:p>
        </w:tc>
      </w:tr>
      <w:tr>
        <w:tc>
          <w:tcPr>
            <w:tcW w:type="dxa" w:w="4320"/>
            <w:vAlign w:val="center"/>
          </w:tcPr>
          <w:p>
            <w:pPr>
              <w:spacing w:after="40" w:before="0"/>
            </w:pPr>
            <w:r>
              <w:rPr>
                <w:sz w:val="17"/>
              </w:rPr>
            </w:r>
            <w:r>
              <w:rPr>
                <w:b w:val="0"/>
                <w:sz w:val="17"/>
              </w:rPr>
              <w:t>Final LOW lacks complete required records or valid ML LOW</w:t>
            </w:r>
          </w:p>
        </w:tc>
        <w:tc>
          <w:tcPr>
            <w:tcW w:type="dxa" w:w="5616"/>
            <w:vAlign w:val="center"/>
          </w:tcPr>
          <w:p>
            <w:pPr>
              <w:spacing w:after="40" w:before="0"/>
            </w:pPr>
            <w:r>
              <w:rPr>
                <w:sz w:val="17"/>
              </w:rPr>
            </w:r>
            <w:r>
              <w:rPr>
                <w:b w:val="0"/>
                <w:sz w:val="17"/>
              </w:rPr>
              <w:t>Convert to/retain ASSESSMENT INCOMPLETE.</w:t>
            </w:r>
          </w:p>
        </w:tc>
      </w:tr>
      <w:tr>
        <w:tc>
          <w:tcPr>
            <w:tcW w:type="dxa" w:w="4320"/>
            <w:vAlign w:val="center"/>
          </w:tcPr>
          <w:p>
            <w:pPr>
              <w:spacing w:after="40" w:before="0"/>
            </w:pPr>
            <w:r>
              <w:rPr>
                <w:sz w:val="17"/>
              </w:rPr>
            </w:r>
            <w:r>
              <w:rPr>
                <w:b w:val="0"/>
                <w:sz w:val="17"/>
              </w:rPr>
              <w:t>Urgent reason is hidden below nonurgent text</w:t>
            </w:r>
          </w:p>
        </w:tc>
        <w:tc>
          <w:tcPr>
            <w:tcW w:type="dxa" w:w="5616"/>
            <w:vAlign w:val="center"/>
          </w:tcPr>
          <w:p>
            <w:pPr>
              <w:spacing w:after="40" w:before="0"/>
            </w:pPr>
            <w:r>
              <w:rPr>
                <w:sz w:val="17"/>
              </w:rPr>
            </w:r>
            <w:r>
              <w:rPr>
                <w:b w:val="0"/>
                <w:sz w:val="17"/>
              </w:rPr>
              <w:t>Reorder and flag presentation defect.</w:t>
            </w:r>
          </w:p>
        </w:tc>
      </w:tr>
      <w:tr>
        <w:tc>
          <w:tcPr>
            <w:tcW w:type="dxa" w:w="4320"/>
            <w:vAlign w:val="center"/>
          </w:tcPr>
          <w:p>
            <w:pPr>
              <w:spacing w:after="40" w:before="0"/>
            </w:pPr>
            <w:r>
              <w:rPr>
                <w:sz w:val="17"/>
              </w:rPr>
            </w:r>
            <w:r>
              <w:rPr>
                <w:b w:val="0"/>
                <w:sz w:val="17"/>
              </w:rPr>
              <w:t>Patient projection contains diagnosis or unsupported certainty</w:t>
            </w:r>
          </w:p>
        </w:tc>
        <w:tc>
          <w:tcPr>
            <w:tcW w:type="dxa" w:w="5616"/>
            <w:vAlign w:val="center"/>
          </w:tcPr>
          <w:p>
            <w:pPr>
              <w:spacing w:after="40" w:before="0"/>
            </w:pPr>
            <w:r>
              <w:rPr>
                <w:sz w:val="17"/>
              </w:rPr>
            </w:r>
            <w:r>
              <w:rPr>
                <w:b w:val="0"/>
                <w:sz w:val="17"/>
              </w:rPr>
              <w:t>Reject template and use approved safe fallback wording.</w:t>
            </w:r>
          </w:p>
        </w:tc>
      </w:tr>
      <w:tr>
        <w:tc>
          <w:tcPr>
            <w:tcW w:type="dxa" w:w="4320"/>
            <w:vAlign w:val="center"/>
          </w:tcPr>
          <w:p>
            <w:pPr>
              <w:spacing w:after="40" w:before="0"/>
            </w:pPr>
            <w:r>
              <w:rPr>
                <w:sz w:val="17"/>
              </w:rPr>
            </w:r>
            <w:r>
              <w:rPr>
                <w:b w:val="0"/>
                <w:sz w:val="17"/>
              </w:rPr>
              <w:t>Rule/template version missing</w:t>
            </w:r>
          </w:p>
        </w:tc>
        <w:tc>
          <w:tcPr>
            <w:tcW w:type="dxa" w:w="5616"/>
            <w:vAlign w:val="center"/>
          </w:tcPr>
          <w:p>
            <w:pPr>
              <w:spacing w:after="40" w:before="0"/>
            </w:pPr>
            <w:r>
              <w:rPr>
                <w:sz w:val="17"/>
              </w:rPr>
            </w:r>
            <w:r>
              <w:rPr>
                <w:b w:val="0"/>
                <w:sz w:val="17"/>
              </w:rPr>
              <w:t>Block persistence of a final explanation bundle.</w:t>
            </w:r>
          </w:p>
        </w:tc>
      </w:tr>
      <w:tr>
        <w:tc>
          <w:tcPr>
            <w:tcW w:type="dxa" w:w="4320"/>
            <w:vAlign w:val="center"/>
          </w:tcPr>
          <w:p>
            <w:pPr>
              <w:spacing w:after="40" w:before="0"/>
            </w:pPr>
            <w:r>
              <w:rPr>
                <w:sz w:val="17"/>
              </w:rPr>
            </w:r>
            <w:r>
              <w:rPr>
                <w:b w:val="0"/>
                <w:sz w:val="17"/>
              </w:rPr>
              <w:t>Explanation is regenerated from current data rather than historical snapshot</w:t>
            </w:r>
          </w:p>
        </w:tc>
        <w:tc>
          <w:tcPr>
            <w:tcW w:type="dxa" w:w="5616"/>
            <w:vAlign w:val="center"/>
          </w:tcPr>
          <w:p>
            <w:pPr>
              <w:spacing w:after="40" w:before="0"/>
            </w:pPr>
            <w:r>
              <w:rPr>
                <w:sz w:val="17"/>
              </w:rPr>
            </w:r>
            <w:r>
              <w:rPr>
                <w:b w:val="0"/>
                <w:sz w:val="17"/>
              </w:rPr>
              <w:t>Block audit reconstruction; retrieve the original snapshot and versions.</w:t>
            </w:r>
          </w:p>
        </w:tc>
      </w:tr>
    </w:tbl>
    <w:p/>
    <w:p>
      <w:pPr>
        <w:pStyle w:val="Heading2"/>
      </w:pPr>
      <w:r>
        <w:t>11.1 Explanation quality dimensions</w:t>
      </w:r>
    </w:p>
    <w:p>
      <w:pPr>
        <w:pStyle w:val="ListBullet"/>
      </w:pPr>
      <w:r>
        <w:t>Correctness — reasons match executed logic and patient evidence.</w:t>
      </w:r>
    </w:p>
    <w:p>
      <w:pPr>
        <w:pStyle w:val="ListBullet"/>
      </w:pPr>
      <w:r>
        <w:t>Completeness — all material triggers are represented.</w:t>
      </w:r>
    </w:p>
    <w:p>
      <w:pPr>
        <w:pStyle w:val="ListBullet"/>
      </w:pPr>
      <w:r>
        <w:t>Consistency — outcome, reasons, recommendations, and workflow do not conflict.</w:t>
      </w:r>
    </w:p>
    <w:p>
      <w:pPr>
        <w:pStyle w:val="ListBullet"/>
      </w:pPr>
      <w:r>
        <w:t>Comprehensibility — intended users can understand the basis.</w:t>
      </w:r>
    </w:p>
    <w:p>
      <w:pPr>
        <w:pStyle w:val="ListBullet"/>
      </w:pPr>
      <w:r>
        <w:t>Actionability — the explanation supports appropriate review without prescribing outside scope.</w:t>
      </w:r>
    </w:p>
    <w:p>
      <w:pPr>
        <w:pStyle w:val="ListBullet"/>
      </w:pPr>
      <w:r>
        <w:t>Stability — identical inputs and versions produce identical canonical reasons.</w:t>
      </w:r>
    </w:p>
    <w:p>
      <w:pPr>
        <w:pStyle w:val="ListBullet"/>
      </w:pPr>
      <w:r>
        <w:t>Traceability — every statement can be traced to a source value and versioned rule.</w:t>
      </w:r>
    </w:p>
    <w:p>
      <w:pPr>
        <w:pStyle w:val="ListBullet"/>
      </w:pPr>
      <w:r>
        <w:t>Sensitivity — patient wording is respectful and avoids unnecessary alarm.</w:t>
      </w:r>
    </w:p>
    <w:p>
      <w:pPr>
        <w:pStyle w:val="Heading1"/>
      </w:pPr>
      <w:r>
        <w:t>12. Verification Scenarios</w:t>
      </w:r>
    </w:p>
    <w:tbl>
      <w:tblPr>
        <w:tblStyle w:val="TableGrid"/>
        <w:tblW w:type="auto" w:w="0"/>
        <w:jc w:val="center"/>
        <w:tblLook w:firstColumn="1" w:firstRow="1" w:lastColumn="0" w:lastRow="0" w:noHBand="0" w:noVBand="1" w:val="04A0"/>
      </w:tblPr>
      <w:tblGrid>
        <w:gridCol w:w="3331"/>
        <w:gridCol w:w="3331"/>
        <w:gridCol w:w="3331"/>
      </w:tblGrid>
      <w:tr>
        <w:tc>
          <w:tcPr>
            <w:tcW w:type="dxa" w:w="648"/>
            <w:vAlign w:val="center"/>
            <w:shd w:fill="D9EAF7"/>
          </w:tcPr>
          <w:p>
            <w:pPr>
              <w:spacing w:after="40" w:before="0"/>
            </w:pPr>
            <w:r>
              <w:rPr>
                <w:sz w:val="17"/>
              </w:rPr>
            </w:r>
            <w:r>
              <w:rPr>
                <w:b/>
                <w:sz w:val="17"/>
              </w:rPr>
              <w:t>ID</w:t>
            </w:r>
          </w:p>
        </w:tc>
        <w:tc>
          <w:tcPr>
            <w:tcW w:type="dxa" w:w="3672"/>
            <w:vAlign w:val="center"/>
            <w:shd w:fill="D9EAF7"/>
          </w:tcPr>
          <w:p>
            <w:pPr>
              <w:spacing w:after="40" w:before="0"/>
            </w:pPr>
            <w:r>
              <w:rPr>
                <w:sz w:val="17"/>
              </w:rPr>
            </w:r>
            <w:r>
              <w:rPr>
                <w:b/>
                <w:sz w:val="17"/>
              </w:rPr>
              <w:t>Input/condition</w:t>
            </w:r>
          </w:p>
        </w:tc>
        <w:tc>
          <w:tcPr>
            <w:tcW w:type="dxa" w:w="5616"/>
            <w:vAlign w:val="center"/>
            <w:shd w:fill="D9EAF7"/>
          </w:tcPr>
          <w:p>
            <w:pPr>
              <w:spacing w:after="40" w:before="0"/>
            </w:pPr>
            <w:r>
              <w:rPr>
                <w:sz w:val="17"/>
              </w:rPr>
            </w:r>
            <w:r>
              <w:rPr>
                <w:b/>
                <w:sz w:val="17"/>
              </w:rPr>
              <w:t>Expected explanation behavior</w:t>
            </w:r>
          </w:p>
        </w:tc>
      </w:tr>
      <w:tr>
        <w:tc>
          <w:tcPr>
            <w:tcW w:type="dxa" w:w="648"/>
            <w:vAlign w:val="center"/>
          </w:tcPr>
          <w:p>
            <w:pPr>
              <w:spacing w:after="40" w:before="0"/>
            </w:pPr>
            <w:r>
              <w:rPr>
                <w:sz w:val="17"/>
              </w:rPr>
            </w:r>
            <w:r>
              <w:rPr>
                <w:b w:val="0"/>
                <w:sz w:val="17"/>
              </w:rPr>
              <w:t>1</w:t>
            </w:r>
          </w:p>
        </w:tc>
        <w:tc>
          <w:tcPr>
            <w:tcW w:type="dxa" w:w="3672"/>
            <w:vAlign w:val="center"/>
          </w:tcPr>
          <w:p>
            <w:pPr>
              <w:spacing w:after="40" w:before="0"/>
            </w:pPr>
            <w:r>
              <w:rPr>
                <w:sz w:val="17"/>
              </w:rPr>
            </w:r>
            <w:r>
              <w:rPr>
                <w:b w:val="0"/>
                <w:sz w:val="17"/>
              </w:rPr>
              <w:t>Age 17; all records complete; ML LOW</w:t>
            </w:r>
          </w:p>
        </w:tc>
        <w:tc>
          <w:tcPr>
            <w:tcW w:type="dxa" w:w="5616"/>
            <w:vAlign w:val="center"/>
          </w:tcPr>
          <w:p>
            <w:pPr>
              <w:spacing w:after="40" w:before="0"/>
            </w:pPr>
            <w:r>
              <w:rPr>
                <w:sz w:val="17"/>
              </w:rPr>
            </w:r>
            <w:r>
              <w:rPr>
                <w:b w:val="0"/>
                <w:sz w:val="17"/>
              </w:rPr>
              <w:t>HIGH; AGE_LT_19; deterministic override of ML LOW stated.</w:t>
            </w:r>
          </w:p>
        </w:tc>
      </w:tr>
      <w:tr>
        <w:tc>
          <w:tcPr>
            <w:tcW w:type="dxa" w:w="648"/>
            <w:vAlign w:val="center"/>
          </w:tcPr>
          <w:p>
            <w:pPr>
              <w:spacing w:after="40" w:before="0"/>
            </w:pPr>
            <w:r>
              <w:rPr>
                <w:sz w:val="17"/>
              </w:rPr>
            </w:r>
            <w:r>
              <w:rPr>
                <w:b w:val="0"/>
                <w:sz w:val="17"/>
              </w:rPr>
              <w:t>2</w:t>
            </w:r>
          </w:p>
        </w:tc>
        <w:tc>
          <w:tcPr>
            <w:tcW w:type="dxa" w:w="3672"/>
            <w:vAlign w:val="center"/>
          </w:tcPr>
          <w:p>
            <w:pPr>
              <w:spacing w:after="40" w:before="0"/>
            </w:pPr>
            <w:r>
              <w:rPr>
                <w:sz w:val="17"/>
              </w:rPr>
            </w:r>
            <w:r>
              <w:rPr>
                <w:b w:val="0"/>
                <w:sz w:val="17"/>
              </w:rPr>
              <w:t>Age 36; first pregnancy; ML LOW</w:t>
            </w:r>
          </w:p>
        </w:tc>
        <w:tc>
          <w:tcPr>
            <w:tcW w:type="dxa" w:w="5616"/>
            <w:vAlign w:val="center"/>
          </w:tcPr>
          <w:p>
            <w:pPr>
              <w:spacing w:after="40" w:before="0"/>
            </w:pPr>
            <w:r>
              <w:rPr>
                <w:sz w:val="17"/>
              </w:rPr>
            </w:r>
            <w:r>
              <w:rPr>
                <w:b w:val="0"/>
                <w:sz w:val="17"/>
              </w:rPr>
              <w:t>HIGH; AGE_GE_35_FIRST_PREGNANCY.</w:t>
            </w:r>
          </w:p>
        </w:tc>
      </w:tr>
      <w:tr>
        <w:tc>
          <w:tcPr>
            <w:tcW w:type="dxa" w:w="648"/>
            <w:vAlign w:val="center"/>
          </w:tcPr>
          <w:p>
            <w:pPr>
              <w:spacing w:after="40" w:before="0"/>
            </w:pPr>
            <w:r>
              <w:rPr>
                <w:sz w:val="17"/>
              </w:rPr>
            </w:r>
            <w:r>
              <w:rPr>
                <w:b w:val="0"/>
                <w:sz w:val="17"/>
              </w:rPr>
              <w:t>3</w:t>
            </w:r>
          </w:p>
        </w:tc>
        <w:tc>
          <w:tcPr>
            <w:tcW w:type="dxa" w:w="3672"/>
            <w:vAlign w:val="center"/>
          </w:tcPr>
          <w:p>
            <w:pPr>
              <w:spacing w:after="40" w:before="0"/>
            </w:pPr>
            <w:r>
              <w:rPr>
                <w:sz w:val="17"/>
              </w:rPr>
            </w:r>
            <w:r>
              <w:rPr>
                <w:b w:val="0"/>
                <w:sz w:val="17"/>
              </w:rPr>
              <w:t>Age 36; not first pregnancy; no other factors; ML LOW</w:t>
            </w:r>
          </w:p>
        </w:tc>
        <w:tc>
          <w:tcPr>
            <w:tcW w:type="dxa" w:w="5616"/>
            <w:vAlign w:val="center"/>
          </w:tcPr>
          <w:p>
            <w:pPr>
              <w:spacing w:after="40" w:before="0"/>
            </w:pPr>
            <w:r>
              <w:rPr>
                <w:sz w:val="17"/>
              </w:rPr>
            </w:r>
            <w:r>
              <w:rPr>
                <w:b w:val="0"/>
                <w:sz w:val="17"/>
              </w:rPr>
              <w:t>LOW; combined age/first-pregnancy rule must not trigger.</w:t>
            </w:r>
          </w:p>
        </w:tc>
      </w:tr>
      <w:tr>
        <w:tc>
          <w:tcPr>
            <w:tcW w:type="dxa" w:w="648"/>
            <w:vAlign w:val="center"/>
          </w:tcPr>
          <w:p>
            <w:pPr>
              <w:spacing w:after="40" w:before="0"/>
            </w:pPr>
            <w:r>
              <w:rPr>
                <w:sz w:val="17"/>
              </w:rPr>
            </w:r>
            <w:r>
              <w:rPr>
                <w:b w:val="0"/>
                <w:sz w:val="17"/>
              </w:rPr>
              <w:t>4</w:t>
            </w:r>
          </w:p>
        </w:tc>
        <w:tc>
          <w:tcPr>
            <w:tcW w:type="dxa" w:w="3672"/>
            <w:vAlign w:val="center"/>
          </w:tcPr>
          <w:p>
            <w:pPr>
              <w:spacing w:after="40" w:before="0"/>
            </w:pPr>
            <w:r>
              <w:rPr>
                <w:sz w:val="17"/>
              </w:rPr>
            </w:r>
            <w:r>
              <w:rPr>
                <w:b w:val="0"/>
                <w:sz w:val="17"/>
              </w:rPr>
              <w:t>BP 140/90</w:t>
            </w:r>
          </w:p>
        </w:tc>
        <w:tc>
          <w:tcPr>
            <w:tcW w:type="dxa" w:w="5616"/>
            <w:vAlign w:val="center"/>
          </w:tcPr>
          <w:p>
            <w:pPr>
              <w:spacing w:after="40" w:before="0"/>
            </w:pPr>
            <w:r>
              <w:rPr>
                <w:sz w:val="17"/>
              </w:rPr>
            </w:r>
            <w:r>
              <w:rPr>
                <w:b w:val="0"/>
                <w:sz w:val="17"/>
              </w:rPr>
              <w:t>HIGH; BP_HIGH_140_90 with exact value.</w:t>
            </w:r>
          </w:p>
        </w:tc>
      </w:tr>
      <w:tr>
        <w:tc>
          <w:tcPr>
            <w:tcW w:type="dxa" w:w="648"/>
            <w:vAlign w:val="center"/>
          </w:tcPr>
          <w:p>
            <w:pPr>
              <w:spacing w:after="40" w:before="0"/>
            </w:pPr>
            <w:r>
              <w:rPr>
                <w:sz w:val="17"/>
              </w:rPr>
            </w:r>
            <w:r>
              <w:rPr>
                <w:b w:val="0"/>
                <w:sz w:val="17"/>
              </w:rPr>
              <w:t>5</w:t>
            </w:r>
          </w:p>
        </w:tc>
        <w:tc>
          <w:tcPr>
            <w:tcW w:type="dxa" w:w="3672"/>
            <w:vAlign w:val="center"/>
          </w:tcPr>
          <w:p>
            <w:pPr>
              <w:spacing w:after="40" w:before="0"/>
            </w:pPr>
            <w:r>
              <w:rPr>
                <w:sz w:val="17"/>
              </w:rPr>
            </w:r>
            <w:r>
              <w:rPr>
                <w:b w:val="0"/>
                <w:sz w:val="17"/>
              </w:rPr>
              <w:t>BP 160/110</w:t>
            </w:r>
          </w:p>
        </w:tc>
        <w:tc>
          <w:tcPr>
            <w:tcW w:type="dxa" w:w="5616"/>
            <w:vAlign w:val="center"/>
          </w:tcPr>
          <w:p>
            <w:pPr>
              <w:spacing w:after="40" w:before="0"/>
            </w:pPr>
            <w:r>
              <w:rPr>
                <w:sz w:val="17"/>
              </w:rPr>
            </w:r>
            <w:r>
              <w:rPr>
                <w:b w:val="0"/>
                <w:sz w:val="17"/>
              </w:rPr>
              <w:t>HIGH; BP_SEVERE_160_110 first; urgent wording; no duplicate general BP paragraph.</w:t>
            </w:r>
          </w:p>
        </w:tc>
      </w:tr>
      <w:tr>
        <w:tc>
          <w:tcPr>
            <w:tcW w:type="dxa" w:w="648"/>
            <w:vAlign w:val="center"/>
          </w:tcPr>
          <w:p>
            <w:pPr>
              <w:spacing w:after="40" w:before="0"/>
            </w:pPr>
            <w:r>
              <w:rPr>
                <w:sz w:val="17"/>
              </w:rPr>
            </w:r>
            <w:r>
              <w:rPr>
                <w:b w:val="0"/>
                <w:sz w:val="17"/>
              </w:rPr>
              <w:t>6</w:t>
            </w:r>
          </w:p>
        </w:tc>
        <w:tc>
          <w:tcPr>
            <w:tcW w:type="dxa" w:w="3672"/>
            <w:vAlign w:val="center"/>
          </w:tcPr>
          <w:p>
            <w:pPr>
              <w:spacing w:after="40" w:before="0"/>
            </w:pPr>
            <w:r>
              <w:rPr>
                <w:sz w:val="17"/>
              </w:rPr>
            </w:r>
            <w:r>
              <w:rPr>
                <w:b w:val="0"/>
                <w:sz w:val="17"/>
              </w:rPr>
              <w:t>BP 139/89; no other factors; ML LOW</w:t>
            </w:r>
          </w:p>
        </w:tc>
        <w:tc>
          <w:tcPr>
            <w:tcW w:type="dxa" w:w="5616"/>
            <w:vAlign w:val="center"/>
          </w:tcPr>
          <w:p>
            <w:pPr>
              <w:spacing w:after="40" w:before="0"/>
            </w:pPr>
            <w:r>
              <w:rPr>
                <w:sz w:val="17"/>
              </w:rPr>
            </w:r>
            <w:r>
              <w:rPr>
                <w:b w:val="0"/>
                <w:sz w:val="17"/>
              </w:rPr>
              <w:t>LOW; no BP reason.</w:t>
            </w:r>
          </w:p>
        </w:tc>
      </w:tr>
      <w:tr>
        <w:tc>
          <w:tcPr>
            <w:tcW w:type="dxa" w:w="648"/>
            <w:vAlign w:val="center"/>
          </w:tcPr>
          <w:p>
            <w:pPr>
              <w:spacing w:after="40" w:before="0"/>
            </w:pPr>
            <w:r>
              <w:rPr>
                <w:sz w:val="17"/>
              </w:rPr>
            </w:r>
            <w:r>
              <w:rPr>
                <w:b w:val="0"/>
                <w:sz w:val="17"/>
              </w:rPr>
              <w:t>7</w:t>
            </w:r>
          </w:p>
        </w:tc>
        <w:tc>
          <w:tcPr>
            <w:tcW w:type="dxa" w:w="3672"/>
            <w:vAlign w:val="center"/>
          </w:tcPr>
          <w:p>
            <w:pPr>
              <w:spacing w:after="40" w:before="0"/>
            </w:pPr>
            <w:r>
              <w:rPr>
                <w:sz w:val="17"/>
              </w:rPr>
            </w:r>
            <w:r>
              <w:rPr>
                <w:b w:val="0"/>
                <w:sz w:val="17"/>
              </w:rPr>
              <w:t>Diabetes true</w:t>
            </w:r>
          </w:p>
        </w:tc>
        <w:tc>
          <w:tcPr>
            <w:tcW w:type="dxa" w:w="5616"/>
            <w:vAlign w:val="center"/>
          </w:tcPr>
          <w:p>
            <w:pPr>
              <w:spacing w:after="40" w:before="0"/>
            </w:pPr>
            <w:r>
              <w:rPr>
                <w:sz w:val="17"/>
              </w:rPr>
            </w:r>
            <w:r>
              <w:rPr>
                <w:b w:val="0"/>
                <w:sz w:val="17"/>
              </w:rPr>
              <w:t>HIGH; DIABETES_PRESENT; no unsupported subtype.</w:t>
            </w:r>
          </w:p>
        </w:tc>
      </w:tr>
      <w:tr>
        <w:tc>
          <w:tcPr>
            <w:tcW w:type="dxa" w:w="648"/>
            <w:vAlign w:val="center"/>
          </w:tcPr>
          <w:p>
            <w:pPr>
              <w:spacing w:after="40" w:before="0"/>
            </w:pPr>
            <w:r>
              <w:rPr>
                <w:sz w:val="17"/>
              </w:rPr>
            </w:r>
            <w:r>
              <w:rPr>
                <w:b w:val="0"/>
                <w:sz w:val="17"/>
              </w:rPr>
              <w:t>8</w:t>
            </w:r>
          </w:p>
        </w:tc>
        <w:tc>
          <w:tcPr>
            <w:tcW w:type="dxa" w:w="3672"/>
            <w:vAlign w:val="center"/>
          </w:tcPr>
          <w:p>
            <w:pPr>
              <w:spacing w:after="40" w:before="0"/>
            </w:pPr>
            <w:r>
              <w:rPr>
                <w:sz w:val="17"/>
              </w:rPr>
            </w:r>
            <w:r>
              <w:rPr>
                <w:b w:val="0"/>
                <w:sz w:val="17"/>
              </w:rPr>
              <w:t>Anemia true</w:t>
            </w:r>
          </w:p>
        </w:tc>
        <w:tc>
          <w:tcPr>
            <w:tcW w:type="dxa" w:w="5616"/>
            <w:vAlign w:val="center"/>
          </w:tcPr>
          <w:p>
            <w:pPr>
              <w:spacing w:after="40" w:before="0"/>
            </w:pPr>
            <w:r>
              <w:rPr>
                <w:sz w:val="17"/>
              </w:rPr>
            </w:r>
            <w:r>
              <w:rPr>
                <w:b w:val="0"/>
                <w:sz w:val="17"/>
              </w:rPr>
              <w:t>HIGH; ANEMIA_PRESENT; no invented laboratory severity.</w:t>
            </w:r>
          </w:p>
        </w:tc>
      </w:tr>
      <w:tr>
        <w:tc>
          <w:tcPr>
            <w:tcW w:type="dxa" w:w="648"/>
            <w:vAlign w:val="center"/>
          </w:tcPr>
          <w:p>
            <w:pPr>
              <w:spacing w:after="40" w:before="0"/>
            </w:pPr>
            <w:r>
              <w:rPr>
                <w:sz w:val="17"/>
              </w:rPr>
            </w:r>
            <w:r>
              <w:rPr>
                <w:b w:val="0"/>
                <w:sz w:val="17"/>
              </w:rPr>
              <w:t>9</w:t>
            </w:r>
          </w:p>
        </w:tc>
        <w:tc>
          <w:tcPr>
            <w:tcW w:type="dxa" w:w="3672"/>
            <w:vAlign w:val="center"/>
          </w:tcPr>
          <w:p>
            <w:pPr>
              <w:spacing w:after="40" w:before="0"/>
            </w:pPr>
            <w:r>
              <w:rPr>
                <w:sz w:val="17"/>
              </w:rPr>
            </w:r>
            <w:r>
              <w:rPr>
                <w:b w:val="0"/>
                <w:sz w:val="17"/>
              </w:rPr>
              <w:t>Previous CS true</w:t>
            </w:r>
          </w:p>
        </w:tc>
        <w:tc>
          <w:tcPr>
            <w:tcW w:type="dxa" w:w="5616"/>
            <w:vAlign w:val="center"/>
          </w:tcPr>
          <w:p>
            <w:pPr>
              <w:spacing w:after="40" w:before="0"/>
            </w:pPr>
            <w:r>
              <w:rPr>
                <w:sz w:val="17"/>
              </w:rPr>
            </w:r>
            <w:r>
              <w:rPr>
                <w:b w:val="0"/>
                <w:sz w:val="17"/>
              </w:rPr>
              <w:t>HIGH; PREVIOUS_CS; delivery-planning language only.</w:t>
            </w:r>
          </w:p>
        </w:tc>
      </w:tr>
      <w:tr>
        <w:tc>
          <w:tcPr>
            <w:tcW w:type="dxa" w:w="648"/>
            <w:vAlign w:val="center"/>
          </w:tcPr>
          <w:p>
            <w:pPr>
              <w:spacing w:after="40" w:before="0"/>
            </w:pPr>
            <w:r>
              <w:rPr>
                <w:sz w:val="17"/>
              </w:rPr>
            </w:r>
            <w:r>
              <w:rPr>
                <w:b w:val="0"/>
                <w:sz w:val="17"/>
              </w:rPr>
              <w:t>10</w:t>
            </w:r>
          </w:p>
        </w:tc>
        <w:tc>
          <w:tcPr>
            <w:tcW w:type="dxa" w:w="3672"/>
            <w:vAlign w:val="center"/>
          </w:tcPr>
          <w:p>
            <w:pPr>
              <w:spacing w:after="40" w:before="0"/>
            </w:pPr>
            <w:r>
              <w:rPr>
                <w:sz w:val="17"/>
              </w:rPr>
            </w:r>
            <w:r>
              <w:rPr>
                <w:b w:val="0"/>
                <w:sz w:val="17"/>
              </w:rPr>
              <w:t>Miscarriage count 3</w:t>
            </w:r>
          </w:p>
        </w:tc>
        <w:tc>
          <w:tcPr>
            <w:tcW w:type="dxa" w:w="5616"/>
            <w:vAlign w:val="center"/>
          </w:tcPr>
          <w:p>
            <w:pPr>
              <w:spacing w:after="40" w:before="0"/>
            </w:pPr>
            <w:r>
              <w:rPr>
                <w:sz w:val="17"/>
              </w:rPr>
            </w:r>
            <w:r>
              <w:rPr>
                <w:b w:val="0"/>
                <w:sz w:val="17"/>
              </w:rPr>
              <w:t>HIGH; MISCARRIAGE_GE_3 with count.</w:t>
            </w:r>
          </w:p>
        </w:tc>
      </w:tr>
      <w:tr>
        <w:tc>
          <w:tcPr>
            <w:tcW w:type="dxa" w:w="648"/>
            <w:vAlign w:val="center"/>
          </w:tcPr>
          <w:p>
            <w:pPr>
              <w:spacing w:after="40" w:before="0"/>
            </w:pPr>
            <w:r>
              <w:rPr>
                <w:sz w:val="17"/>
              </w:rPr>
            </w:r>
            <w:r>
              <w:rPr>
                <w:b w:val="0"/>
                <w:sz w:val="17"/>
              </w:rPr>
              <w:t>11</w:t>
            </w:r>
          </w:p>
        </w:tc>
        <w:tc>
          <w:tcPr>
            <w:tcW w:type="dxa" w:w="3672"/>
            <w:vAlign w:val="center"/>
          </w:tcPr>
          <w:p>
            <w:pPr>
              <w:spacing w:after="40" w:before="0"/>
            </w:pPr>
            <w:r>
              <w:rPr>
                <w:sz w:val="17"/>
              </w:rPr>
            </w:r>
            <w:r>
              <w:rPr>
                <w:b w:val="0"/>
                <w:sz w:val="17"/>
              </w:rPr>
              <w:t>Miscarriage count 2</w:t>
            </w:r>
          </w:p>
        </w:tc>
        <w:tc>
          <w:tcPr>
            <w:tcW w:type="dxa" w:w="5616"/>
            <w:vAlign w:val="center"/>
          </w:tcPr>
          <w:p>
            <w:pPr>
              <w:spacing w:after="40" w:before="0"/>
            </w:pPr>
            <w:r>
              <w:rPr>
                <w:sz w:val="17"/>
              </w:rPr>
            </w:r>
            <w:r>
              <w:rPr>
                <w:b w:val="0"/>
                <w:sz w:val="17"/>
              </w:rPr>
              <w:t>Rule does not trigger.</w:t>
            </w:r>
          </w:p>
        </w:tc>
      </w:tr>
      <w:tr>
        <w:tc>
          <w:tcPr>
            <w:tcW w:type="dxa" w:w="648"/>
            <w:vAlign w:val="center"/>
          </w:tcPr>
          <w:p>
            <w:pPr>
              <w:spacing w:after="40" w:before="0"/>
            </w:pPr>
            <w:r>
              <w:rPr>
                <w:sz w:val="17"/>
              </w:rPr>
            </w:r>
            <w:r>
              <w:rPr>
                <w:b w:val="0"/>
                <w:sz w:val="17"/>
              </w:rPr>
              <w:t>12</w:t>
            </w:r>
          </w:p>
        </w:tc>
        <w:tc>
          <w:tcPr>
            <w:tcW w:type="dxa" w:w="3672"/>
            <w:vAlign w:val="center"/>
          </w:tcPr>
          <w:p>
            <w:pPr>
              <w:spacing w:after="40" w:before="0"/>
            </w:pPr>
            <w:r>
              <w:rPr>
                <w:sz w:val="17"/>
              </w:rPr>
            </w:r>
            <w:r>
              <w:rPr>
                <w:b w:val="0"/>
                <w:sz w:val="17"/>
              </w:rPr>
              <w:t>Breech presentation</w:t>
            </w:r>
          </w:p>
        </w:tc>
        <w:tc>
          <w:tcPr>
            <w:tcW w:type="dxa" w:w="5616"/>
            <w:vAlign w:val="center"/>
          </w:tcPr>
          <w:p>
            <w:pPr>
              <w:spacing w:after="40" w:before="0"/>
            </w:pPr>
            <w:r>
              <w:rPr>
                <w:sz w:val="17"/>
              </w:rPr>
            </w:r>
            <w:r>
              <w:rPr>
                <w:b w:val="0"/>
                <w:sz w:val="17"/>
              </w:rPr>
              <w:t>HIGH; PRESENTATION_BREECH.</w:t>
            </w:r>
          </w:p>
        </w:tc>
      </w:tr>
      <w:tr>
        <w:tc>
          <w:tcPr>
            <w:tcW w:type="dxa" w:w="648"/>
            <w:vAlign w:val="center"/>
          </w:tcPr>
          <w:p>
            <w:pPr>
              <w:spacing w:after="40" w:before="0"/>
            </w:pPr>
            <w:r>
              <w:rPr>
                <w:sz w:val="17"/>
              </w:rPr>
            </w:r>
            <w:r>
              <w:rPr>
                <w:b w:val="0"/>
                <w:sz w:val="17"/>
              </w:rPr>
              <w:t>13</w:t>
            </w:r>
          </w:p>
        </w:tc>
        <w:tc>
          <w:tcPr>
            <w:tcW w:type="dxa" w:w="3672"/>
            <w:vAlign w:val="center"/>
          </w:tcPr>
          <w:p>
            <w:pPr>
              <w:spacing w:after="40" w:before="0"/>
            </w:pPr>
            <w:r>
              <w:rPr>
                <w:sz w:val="17"/>
              </w:rPr>
            </w:r>
            <w:r>
              <w:rPr>
                <w:b w:val="0"/>
                <w:sz w:val="17"/>
              </w:rPr>
              <w:t>Transverse presentation</w:t>
            </w:r>
          </w:p>
        </w:tc>
        <w:tc>
          <w:tcPr>
            <w:tcW w:type="dxa" w:w="5616"/>
            <w:vAlign w:val="center"/>
          </w:tcPr>
          <w:p>
            <w:pPr>
              <w:spacing w:after="40" w:before="0"/>
            </w:pPr>
            <w:r>
              <w:rPr>
                <w:sz w:val="17"/>
              </w:rPr>
            </w:r>
            <w:r>
              <w:rPr>
                <w:b w:val="0"/>
                <w:sz w:val="17"/>
              </w:rPr>
              <w:t>HIGH; PRESENTATION_TRANSVERSE.</w:t>
            </w:r>
          </w:p>
        </w:tc>
      </w:tr>
      <w:tr>
        <w:tc>
          <w:tcPr>
            <w:tcW w:type="dxa" w:w="648"/>
            <w:vAlign w:val="center"/>
          </w:tcPr>
          <w:p>
            <w:pPr>
              <w:spacing w:after="40" w:before="0"/>
            </w:pPr>
            <w:r>
              <w:rPr>
                <w:sz w:val="17"/>
              </w:rPr>
            </w:r>
            <w:r>
              <w:rPr>
                <w:b w:val="0"/>
                <w:sz w:val="17"/>
              </w:rPr>
              <w:t>14</w:t>
            </w:r>
          </w:p>
        </w:tc>
        <w:tc>
          <w:tcPr>
            <w:tcW w:type="dxa" w:w="3672"/>
            <w:vAlign w:val="center"/>
          </w:tcPr>
          <w:p>
            <w:pPr>
              <w:spacing w:after="40" w:before="0"/>
            </w:pPr>
            <w:r>
              <w:rPr>
                <w:sz w:val="17"/>
              </w:rPr>
            </w:r>
            <w:r>
              <w:rPr>
                <w:b w:val="0"/>
                <w:sz w:val="17"/>
              </w:rPr>
              <w:t>Oblique presentation</w:t>
            </w:r>
          </w:p>
        </w:tc>
        <w:tc>
          <w:tcPr>
            <w:tcW w:type="dxa" w:w="5616"/>
            <w:vAlign w:val="center"/>
          </w:tcPr>
          <w:p>
            <w:pPr>
              <w:spacing w:after="40" w:before="0"/>
            </w:pPr>
            <w:r>
              <w:rPr>
                <w:sz w:val="17"/>
              </w:rPr>
            </w:r>
            <w:r>
              <w:rPr>
                <w:b w:val="0"/>
                <w:sz w:val="17"/>
              </w:rPr>
              <w:t>HIGH; PRESENTATION_OBLIQUE.</w:t>
            </w:r>
          </w:p>
        </w:tc>
      </w:tr>
      <w:tr>
        <w:tc>
          <w:tcPr>
            <w:tcW w:type="dxa" w:w="648"/>
            <w:vAlign w:val="center"/>
          </w:tcPr>
          <w:p>
            <w:pPr>
              <w:spacing w:after="40" w:before="0"/>
            </w:pPr>
            <w:r>
              <w:rPr>
                <w:sz w:val="17"/>
              </w:rPr>
            </w:r>
            <w:r>
              <w:rPr>
                <w:b w:val="0"/>
                <w:sz w:val="17"/>
              </w:rPr>
              <w:t>15</w:t>
            </w:r>
          </w:p>
        </w:tc>
        <w:tc>
          <w:tcPr>
            <w:tcW w:type="dxa" w:w="3672"/>
            <w:vAlign w:val="center"/>
          </w:tcPr>
          <w:p>
            <w:pPr>
              <w:spacing w:after="40" w:before="0"/>
            </w:pPr>
            <w:r>
              <w:rPr>
                <w:sz w:val="17"/>
              </w:rPr>
            </w:r>
            <w:r>
              <w:rPr>
                <w:b w:val="0"/>
                <w:sz w:val="17"/>
              </w:rPr>
              <w:t>Low amniotic fluid</w:t>
            </w:r>
          </w:p>
        </w:tc>
        <w:tc>
          <w:tcPr>
            <w:tcW w:type="dxa" w:w="5616"/>
            <w:vAlign w:val="center"/>
          </w:tcPr>
          <w:p>
            <w:pPr>
              <w:spacing w:after="40" w:before="0"/>
            </w:pPr>
            <w:r>
              <w:rPr>
                <w:sz w:val="17"/>
              </w:rPr>
            </w:r>
            <w:r>
              <w:rPr>
                <w:b w:val="0"/>
                <w:sz w:val="17"/>
              </w:rPr>
              <w:t>HIGH; AMNIOTIC_FLUID_LOW.</w:t>
            </w:r>
          </w:p>
        </w:tc>
      </w:tr>
      <w:tr>
        <w:tc>
          <w:tcPr>
            <w:tcW w:type="dxa" w:w="648"/>
            <w:vAlign w:val="center"/>
          </w:tcPr>
          <w:p>
            <w:pPr>
              <w:spacing w:after="40" w:before="0"/>
            </w:pPr>
            <w:r>
              <w:rPr>
                <w:sz w:val="17"/>
              </w:rPr>
            </w:r>
            <w:r>
              <w:rPr>
                <w:b w:val="0"/>
                <w:sz w:val="17"/>
              </w:rPr>
              <w:t>16</w:t>
            </w:r>
          </w:p>
        </w:tc>
        <w:tc>
          <w:tcPr>
            <w:tcW w:type="dxa" w:w="3672"/>
            <w:vAlign w:val="center"/>
          </w:tcPr>
          <w:p>
            <w:pPr>
              <w:spacing w:after="40" w:before="0"/>
            </w:pPr>
            <w:r>
              <w:rPr>
                <w:sz w:val="17"/>
              </w:rPr>
            </w:r>
            <w:r>
              <w:rPr>
                <w:b w:val="0"/>
                <w:sz w:val="17"/>
              </w:rPr>
              <w:t>High amniotic fluid</w:t>
            </w:r>
          </w:p>
        </w:tc>
        <w:tc>
          <w:tcPr>
            <w:tcW w:type="dxa" w:w="5616"/>
            <w:vAlign w:val="center"/>
          </w:tcPr>
          <w:p>
            <w:pPr>
              <w:spacing w:after="40" w:before="0"/>
            </w:pPr>
            <w:r>
              <w:rPr>
                <w:sz w:val="17"/>
              </w:rPr>
            </w:r>
            <w:r>
              <w:rPr>
                <w:b w:val="0"/>
                <w:sz w:val="17"/>
              </w:rPr>
              <w:t>HIGH; AMNIOTIC_FLUID_HIGH.</w:t>
            </w:r>
          </w:p>
        </w:tc>
      </w:tr>
      <w:tr>
        <w:tc>
          <w:tcPr>
            <w:tcW w:type="dxa" w:w="648"/>
            <w:vAlign w:val="center"/>
          </w:tcPr>
          <w:p>
            <w:pPr>
              <w:spacing w:after="40" w:before="0"/>
            </w:pPr>
            <w:r>
              <w:rPr>
                <w:sz w:val="17"/>
              </w:rPr>
            </w:r>
            <w:r>
              <w:rPr>
                <w:b w:val="0"/>
                <w:sz w:val="17"/>
              </w:rPr>
              <w:t>17</w:t>
            </w:r>
          </w:p>
        </w:tc>
        <w:tc>
          <w:tcPr>
            <w:tcW w:type="dxa" w:w="3672"/>
            <w:vAlign w:val="center"/>
          </w:tcPr>
          <w:p>
            <w:pPr>
              <w:spacing w:after="40" w:before="0"/>
            </w:pPr>
            <w:r>
              <w:rPr>
                <w:sz w:val="17"/>
              </w:rPr>
            </w:r>
            <w:r>
              <w:rPr>
                <w:b w:val="0"/>
                <w:sz w:val="17"/>
              </w:rPr>
              <w:t>Weak fetal heartbeat</w:t>
            </w:r>
          </w:p>
        </w:tc>
        <w:tc>
          <w:tcPr>
            <w:tcW w:type="dxa" w:w="5616"/>
            <w:vAlign w:val="center"/>
          </w:tcPr>
          <w:p>
            <w:pPr>
              <w:spacing w:after="40" w:before="0"/>
            </w:pPr>
            <w:r>
              <w:rPr>
                <w:sz w:val="17"/>
              </w:rPr>
            </w:r>
            <w:r>
              <w:rPr>
                <w:b w:val="0"/>
                <w:sz w:val="17"/>
              </w:rPr>
              <w:t>HIGH; FETAL_HEARTBEAT_WEAK; prompt review.</w:t>
            </w:r>
          </w:p>
        </w:tc>
      </w:tr>
      <w:tr>
        <w:tc>
          <w:tcPr>
            <w:tcW w:type="dxa" w:w="648"/>
            <w:vAlign w:val="center"/>
          </w:tcPr>
          <w:p>
            <w:pPr>
              <w:spacing w:after="40" w:before="0"/>
            </w:pPr>
            <w:r>
              <w:rPr>
                <w:sz w:val="17"/>
              </w:rPr>
            </w:r>
            <w:r>
              <w:rPr>
                <w:b w:val="0"/>
                <w:sz w:val="17"/>
              </w:rPr>
              <w:t>18</w:t>
            </w:r>
          </w:p>
        </w:tc>
        <w:tc>
          <w:tcPr>
            <w:tcW w:type="dxa" w:w="3672"/>
            <w:vAlign w:val="center"/>
          </w:tcPr>
          <w:p>
            <w:pPr>
              <w:spacing w:after="40" w:before="0"/>
            </w:pPr>
            <w:r>
              <w:rPr>
                <w:sz w:val="17"/>
              </w:rPr>
            </w:r>
            <w:r>
              <w:rPr>
                <w:b w:val="0"/>
                <w:sz w:val="17"/>
              </w:rPr>
              <w:t>Abnormal fetal heartbeat</w:t>
            </w:r>
          </w:p>
        </w:tc>
        <w:tc>
          <w:tcPr>
            <w:tcW w:type="dxa" w:w="5616"/>
            <w:vAlign w:val="center"/>
          </w:tcPr>
          <w:p>
            <w:pPr>
              <w:spacing w:after="40" w:before="0"/>
            </w:pPr>
            <w:r>
              <w:rPr>
                <w:sz w:val="17"/>
              </w:rPr>
            </w:r>
            <w:r>
              <w:rPr>
                <w:b w:val="0"/>
                <w:sz w:val="17"/>
              </w:rPr>
              <w:t>HIGH; FETAL_HEARTBEAT_ABNORMAL.</w:t>
            </w:r>
          </w:p>
        </w:tc>
      </w:tr>
      <w:tr>
        <w:tc>
          <w:tcPr>
            <w:tcW w:type="dxa" w:w="648"/>
            <w:vAlign w:val="center"/>
          </w:tcPr>
          <w:p>
            <w:pPr>
              <w:spacing w:after="40" w:before="0"/>
            </w:pPr>
            <w:r>
              <w:rPr>
                <w:sz w:val="17"/>
              </w:rPr>
            </w:r>
            <w:r>
              <w:rPr>
                <w:b w:val="0"/>
                <w:sz w:val="17"/>
              </w:rPr>
              <w:t>19</w:t>
            </w:r>
          </w:p>
        </w:tc>
        <w:tc>
          <w:tcPr>
            <w:tcW w:type="dxa" w:w="3672"/>
            <w:vAlign w:val="center"/>
          </w:tcPr>
          <w:p>
            <w:pPr>
              <w:spacing w:after="40" w:before="0"/>
            </w:pPr>
            <w:r>
              <w:rPr>
                <w:sz w:val="17"/>
              </w:rPr>
            </w:r>
            <w:r>
              <w:rPr>
                <w:b w:val="0"/>
                <w:sz w:val="17"/>
              </w:rPr>
              <w:t>Absent fetal heartbeat</w:t>
            </w:r>
          </w:p>
        </w:tc>
        <w:tc>
          <w:tcPr>
            <w:tcW w:type="dxa" w:w="5616"/>
            <w:vAlign w:val="center"/>
          </w:tcPr>
          <w:p>
            <w:pPr>
              <w:spacing w:after="40" w:before="0"/>
            </w:pPr>
            <w:r>
              <w:rPr>
                <w:sz w:val="17"/>
              </w:rPr>
            </w:r>
            <w:r>
              <w:rPr>
                <w:b w:val="0"/>
                <w:sz w:val="17"/>
              </w:rPr>
              <w:t>HIGH; FETAL_HEARTBEAT_ABSENT first; urgent and sensitive wording.</w:t>
            </w:r>
          </w:p>
        </w:tc>
      </w:tr>
      <w:tr>
        <w:tc>
          <w:tcPr>
            <w:tcW w:type="dxa" w:w="648"/>
            <w:vAlign w:val="center"/>
          </w:tcPr>
          <w:p>
            <w:pPr>
              <w:spacing w:after="40" w:before="0"/>
            </w:pPr>
            <w:r>
              <w:rPr>
                <w:sz w:val="17"/>
              </w:rPr>
            </w:r>
            <w:r>
              <w:rPr>
                <w:b w:val="0"/>
                <w:sz w:val="17"/>
              </w:rPr>
              <w:t>20</w:t>
            </w:r>
          </w:p>
        </w:tc>
        <w:tc>
          <w:tcPr>
            <w:tcW w:type="dxa" w:w="3672"/>
            <w:vAlign w:val="center"/>
          </w:tcPr>
          <w:p>
            <w:pPr>
              <w:spacing w:after="40" w:before="0"/>
            </w:pPr>
            <w:r>
              <w:rPr>
                <w:sz w:val="17"/>
              </w:rPr>
            </w:r>
            <w:r>
              <w:rPr>
                <w:b w:val="0"/>
                <w:sz w:val="17"/>
              </w:rPr>
              <w:t>No rules; ML HIGH</w:t>
            </w:r>
          </w:p>
        </w:tc>
        <w:tc>
          <w:tcPr>
            <w:tcW w:type="dxa" w:w="5616"/>
            <w:vAlign w:val="center"/>
          </w:tcPr>
          <w:p>
            <w:pPr>
              <w:spacing w:after="40" w:before="0"/>
            </w:pPr>
            <w:r>
              <w:rPr>
                <w:sz w:val="17"/>
              </w:rPr>
            </w:r>
            <w:r>
              <w:rPr>
                <w:b w:val="0"/>
                <w:sz w:val="17"/>
              </w:rPr>
              <w:t>HIGH; ML_OUTPUT_HIGH clearly labeled as model contribution.</w:t>
            </w:r>
          </w:p>
        </w:tc>
      </w:tr>
      <w:tr>
        <w:tc>
          <w:tcPr>
            <w:tcW w:type="dxa" w:w="648"/>
            <w:vAlign w:val="center"/>
          </w:tcPr>
          <w:p>
            <w:pPr>
              <w:spacing w:after="40" w:before="0"/>
            </w:pPr>
            <w:r>
              <w:rPr>
                <w:sz w:val="17"/>
              </w:rPr>
            </w:r>
            <w:r>
              <w:rPr>
                <w:b w:val="0"/>
                <w:sz w:val="17"/>
              </w:rPr>
              <w:t>21</w:t>
            </w:r>
          </w:p>
        </w:tc>
        <w:tc>
          <w:tcPr>
            <w:tcW w:type="dxa" w:w="3672"/>
            <w:vAlign w:val="center"/>
          </w:tcPr>
          <w:p>
            <w:pPr>
              <w:spacing w:after="40" w:before="0"/>
            </w:pPr>
            <w:r>
              <w:rPr>
                <w:sz w:val="17"/>
              </w:rPr>
            </w:r>
            <w:r>
              <w:rPr>
                <w:b w:val="0"/>
                <w:sz w:val="17"/>
              </w:rPr>
              <w:t>Rule HIGH; ML LOW</w:t>
            </w:r>
          </w:p>
        </w:tc>
        <w:tc>
          <w:tcPr>
            <w:tcW w:type="dxa" w:w="5616"/>
            <w:vAlign w:val="center"/>
          </w:tcPr>
          <w:p>
            <w:pPr>
              <w:spacing w:after="40" w:before="0"/>
            </w:pPr>
            <w:r>
              <w:rPr>
                <w:sz w:val="17"/>
              </w:rPr>
            </w:r>
            <w:r>
              <w:rPr>
                <w:b w:val="0"/>
                <w:sz w:val="17"/>
              </w:rPr>
              <w:t>HIGH; deterministic override explicitly explained.</w:t>
            </w:r>
          </w:p>
        </w:tc>
      </w:tr>
      <w:tr>
        <w:tc>
          <w:tcPr>
            <w:tcW w:type="dxa" w:w="648"/>
            <w:vAlign w:val="center"/>
          </w:tcPr>
          <w:p>
            <w:pPr>
              <w:spacing w:after="40" w:before="0"/>
            </w:pPr>
            <w:r>
              <w:rPr>
                <w:sz w:val="17"/>
              </w:rPr>
            </w:r>
            <w:r>
              <w:rPr>
                <w:b w:val="0"/>
                <w:sz w:val="17"/>
              </w:rPr>
              <w:t>22</w:t>
            </w:r>
          </w:p>
        </w:tc>
        <w:tc>
          <w:tcPr>
            <w:tcW w:type="dxa" w:w="3672"/>
            <w:vAlign w:val="center"/>
          </w:tcPr>
          <w:p>
            <w:pPr>
              <w:spacing w:after="40" w:before="0"/>
            </w:pPr>
            <w:r>
              <w:rPr>
                <w:sz w:val="17"/>
              </w:rPr>
            </w:r>
            <w:r>
              <w:rPr>
                <w:b w:val="0"/>
                <w:sz w:val="17"/>
              </w:rPr>
              <w:t>All required records; no rules; ML LOW</w:t>
            </w:r>
          </w:p>
        </w:tc>
        <w:tc>
          <w:tcPr>
            <w:tcW w:type="dxa" w:w="5616"/>
            <w:vAlign w:val="center"/>
          </w:tcPr>
          <w:p>
            <w:pPr>
              <w:spacing w:after="40" w:before="0"/>
            </w:pPr>
            <w:r>
              <w:rPr>
                <w:sz w:val="17"/>
              </w:rPr>
            </w:r>
            <w:r>
              <w:rPr>
                <w:b w:val="0"/>
                <w:sz w:val="17"/>
              </w:rPr>
              <w:t>LOW with bounded limitation statement.</w:t>
            </w:r>
          </w:p>
        </w:tc>
      </w:tr>
      <w:tr>
        <w:tc>
          <w:tcPr>
            <w:tcW w:type="dxa" w:w="648"/>
            <w:vAlign w:val="center"/>
          </w:tcPr>
          <w:p>
            <w:pPr>
              <w:spacing w:after="40" w:before="0"/>
            </w:pPr>
            <w:r>
              <w:rPr>
                <w:sz w:val="17"/>
              </w:rPr>
            </w:r>
            <w:r>
              <w:rPr>
                <w:b w:val="0"/>
                <w:sz w:val="17"/>
              </w:rPr>
              <w:t>23</w:t>
            </w:r>
          </w:p>
        </w:tc>
        <w:tc>
          <w:tcPr>
            <w:tcW w:type="dxa" w:w="3672"/>
            <w:vAlign w:val="center"/>
          </w:tcPr>
          <w:p>
            <w:pPr>
              <w:spacing w:after="40" w:before="0"/>
            </w:pPr>
            <w:r>
              <w:rPr>
                <w:sz w:val="17"/>
              </w:rPr>
            </w:r>
            <w:r>
              <w:rPr>
                <w:b w:val="0"/>
                <w:sz w:val="17"/>
              </w:rPr>
              <w:t>Medical History missing</w:t>
            </w:r>
          </w:p>
        </w:tc>
        <w:tc>
          <w:tcPr>
            <w:tcW w:type="dxa" w:w="5616"/>
            <w:vAlign w:val="center"/>
          </w:tcPr>
          <w:p>
            <w:pPr>
              <w:spacing w:after="40" w:before="0"/>
            </w:pPr>
            <w:r>
              <w:rPr>
                <w:sz w:val="17"/>
              </w:rPr>
            </w:r>
            <w:r>
              <w:rPr>
                <w:b w:val="0"/>
                <w:sz w:val="17"/>
              </w:rPr>
              <w:t>ASSESSMENT INCOMPLETE; MISSING_MEDICAL_HISTORY.</w:t>
            </w:r>
          </w:p>
        </w:tc>
      </w:tr>
      <w:tr>
        <w:tc>
          <w:tcPr>
            <w:tcW w:type="dxa" w:w="648"/>
            <w:vAlign w:val="center"/>
          </w:tcPr>
          <w:p>
            <w:pPr>
              <w:spacing w:after="40" w:before="0"/>
            </w:pPr>
            <w:r>
              <w:rPr>
                <w:sz w:val="17"/>
              </w:rPr>
            </w:r>
            <w:r>
              <w:rPr>
                <w:b w:val="0"/>
                <w:sz w:val="17"/>
              </w:rPr>
              <w:t>24</w:t>
            </w:r>
          </w:p>
        </w:tc>
        <w:tc>
          <w:tcPr>
            <w:tcW w:type="dxa" w:w="3672"/>
            <w:vAlign w:val="center"/>
          </w:tcPr>
          <w:p>
            <w:pPr>
              <w:spacing w:after="40" w:before="0"/>
            </w:pPr>
            <w:r>
              <w:rPr>
                <w:sz w:val="17"/>
              </w:rPr>
            </w:r>
            <w:r>
              <w:rPr>
                <w:b w:val="0"/>
                <w:sz w:val="17"/>
              </w:rPr>
              <w:t>Ultrasound and Birth Plan missing</w:t>
            </w:r>
          </w:p>
        </w:tc>
        <w:tc>
          <w:tcPr>
            <w:tcW w:type="dxa" w:w="5616"/>
            <w:vAlign w:val="center"/>
          </w:tcPr>
          <w:p>
            <w:pPr>
              <w:spacing w:after="40" w:before="0"/>
            </w:pPr>
            <w:r>
              <w:rPr>
                <w:sz w:val="17"/>
              </w:rPr>
            </w:r>
            <w:r>
              <w:rPr>
                <w:b w:val="0"/>
                <w:sz w:val="17"/>
              </w:rPr>
              <w:t>ASSESSMENT INCOMPLETE; both missing reasons shown.</w:t>
            </w:r>
          </w:p>
        </w:tc>
      </w:tr>
      <w:tr>
        <w:tc>
          <w:tcPr>
            <w:tcW w:type="dxa" w:w="648"/>
            <w:vAlign w:val="center"/>
          </w:tcPr>
          <w:p>
            <w:pPr>
              <w:spacing w:after="40" w:before="0"/>
            </w:pPr>
            <w:r>
              <w:rPr>
                <w:sz w:val="17"/>
              </w:rPr>
            </w:r>
            <w:r>
              <w:rPr>
                <w:b w:val="0"/>
                <w:sz w:val="17"/>
              </w:rPr>
              <w:t>25</w:t>
            </w:r>
          </w:p>
        </w:tc>
        <w:tc>
          <w:tcPr>
            <w:tcW w:type="dxa" w:w="3672"/>
            <w:vAlign w:val="center"/>
          </w:tcPr>
          <w:p>
            <w:pPr>
              <w:spacing w:after="40" w:before="0"/>
            </w:pPr>
            <w:r>
              <w:rPr>
                <w:sz w:val="17"/>
              </w:rPr>
            </w:r>
            <w:r>
              <w:rPr>
                <w:b w:val="0"/>
                <w:sz w:val="17"/>
              </w:rPr>
              <w:t>ML output “ERROR” or unexpected text</w:t>
            </w:r>
          </w:p>
        </w:tc>
        <w:tc>
          <w:tcPr>
            <w:tcW w:type="dxa" w:w="5616"/>
            <w:vAlign w:val="center"/>
          </w:tcPr>
          <w:p>
            <w:pPr>
              <w:spacing w:after="40" w:before="0"/>
            </w:pPr>
            <w:r>
              <w:rPr>
                <w:sz w:val="17"/>
              </w:rPr>
            </w:r>
            <w:r>
              <w:rPr>
                <w:b w:val="0"/>
                <w:sz w:val="17"/>
              </w:rPr>
              <w:t>ASSESSMENT INCOMPLETE; ML_OUTPUT_INVALID.</w:t>
            </w:r>
          </w:p>
        </w:tc>
      </w:tr>
      <w:tr>
        <w:tc>
          <w:tcPr>
            <w:tcW w:type="dxa" w:w="648"/>
            <w:vAlign w:val="center"/>
          </w:tcPr>
          <w:p>
            <w:pPr>
              <w:spacing w:after="40" w:before="0"/>
            </w:pPr>
            <w:r>
              <w:rPr>
                <w:sz w:val="17"/>
              </w:rPr>
            </w:r>
            <w:r>
              <w:rPr>
                <w:b w:val="0"/>
                <w:sz w:val="17"/>
              </w:rPr>
              <w:t>26</w:t>
            </w:r>
          </w:p>
        </w:tc>
        <w:tc>
          <w:tcPr>
            <w:tcW w:type="dxa" w:w="3672"/>
            <w:vAlign w:val="center"/>
          </w:tcPr>
          <w:p>
            <w:pPr>
              <w:spacing w:after="40" w:before="0"/>
            </w:pPr>
            <w:r>
              <w:rPr>
                <w:sz w:val="17"/>
              </w:rPr>
            </w:r>
            <w:r>
              <w:rPr>
                <w:b w:val="0"/>
                <w:sz w:val="17"/>
              </w:rPr>
              <w:t>Age 17 + severe BP + breech + diabetes</w:t>
            </w:r>
          </w:p>
        </w:tc>
        <w:tc>
          <w:tcPr>
            <w:tcW w:type="dxa" w:w="5616"/>
            <w:vAlign w:val="center"/>
          </w:tcPr>
          <w:p>
            <w:pPr>
              <w:spacing w:after="40" w:before="0"/>
            </w:pPr>
            <w:r>
              <w:rPr>
                <w:sz w:val="17"/>
              </w:rPr>
            </w:r>
            <w:r>
              <w:rPr>
                <w:b w:val="0"/>
                <w:sz w:val="17"/>
              </w:rPr>
              <w:t>Merged explanation ordered severe BP, breech, diabetes, age; one consolidated action.</w:t>
            </w:r>
          </w:p>
        </w:tc>
      </w:tr>
      <w:tr>
        <w:tc>
          <w:tcPr>
            <w:tcW w:type="dxa" w:w="648"/>
            <w:vAlign w:val="center"/>
          </w:tcPr>
          <w:p>
            <w:pPr>
              <w:spacing w:after="40" w:before="0"/>
            </w:pPr>
            <w:r>
              <w:rPr>
                <w:sz w:val="17"/>
              </w:rPr>
            </w:r>
            <w:r>
              <w:rPr>
                <w:b w:val="0"/>
                <w:sz w:val="17"/>
              </w:rPr>
              <w:t>27</w:t>
            </w:r>
          </w:p>
        </w:tc>
        <w:tc>
          <w:tcPr>
            <w:tcW w:type="dxa" w:w="3672"/>
            <w:vAlign w:val="center"/>
          </w:tcPr>
          <w:p>
            <w:pPr>
              <w:spacing w:after="40" w:before="0"/>
            </w:pPr>
            <w:r>
              <w:rPr>
                <w:sz w:val="17"/>
              </w:rPr>
            </w:r>
            <w:r>
              <w:rPr>
                <w:b w:val="0"/>
                <w:sz w:val="17"/>
              </w:rPr>
              <w:t>Historical explanation opened after rule update</w:t>
            </w:r>
          </w:p>
        </w:tc>
        <w:tc>
          <w:tcPr>
            <w:tcW w:type="dxa" w:w="5616"/>
            <w:vAlign w:val="center"/>
          </w:tcPr>
          <w:p>
            <w:pPr>
              <w:spacing w:after="40" w:before="0"/>
            </w:pPr>
            <w:r>
              <w:rPr>
                <w:sz w:val="17"/>
              </w:rPr>
            </w:r>
            <w:r>
              <w:rPr>
                <w:b w:val="0"/>
                <w:sz w:val="17"/>
              </w:rPr>
              <w:t>Original rule and template versions remain visible and unchanged.</w:t>
            </w:r>
          </w:p>
        </w:tc>
      </w:tr>
      <w:tr>
        <w:tc>
          <w:tcPr>
            <w:tcW w:type="dxa" w:w="648"/>
            <w:vAlign w:val="center"/>
          </w:tcPr>
          <w:p>
            <w:pPr>
              <w:spacing w:after="40" w:before="0"/>
            </w:pPr>
            <w:r>
              <w:rPr>
                <w:sz w:val="17"/>
              </w:rPr>
            </w:r>
            <w:r>
              <w:rPr>
                <w:b w:val="0"/>
                <w:sz w:val="17"/>
              </w:rPr>
              <w:t>28</w:t>
            </w:r>
          </w:p>
        </w:tc>
        <w:tc>
          <w:tcPr>
            <w:tcW w:type="dxa" w:w="3672"/>
            <w:vAlign w:val="center"/>
          </w:tcPr>
          <w:p>
            <w:pPr>
              <w:spacing w:after="40" w:before="0"/>
            </w:pPr>
            <w:r>
              <w:rPr>
                <w:sz w:val="17"/>
              </w:rPr>
            </w:r>
            <w:r>
              <w:rPr>
                <w:b w:val="0"/>
                <w:sz w:val="17"/>
              </w:rPr>
              <w:t>Patient printout for absent heartbeat</w:t>
            </w:r>
          </w:p>
        </w:tc>
        <w:tc>
          <w:tcPr>
            <w:tcW w:type="dxa" w:w="5616"/>
            <w:vAlign w:val="center"/>
          </w:tcPr>
          <w:p>
            <w:pPr>
              <w:spacing w:after="40" w:before="0"/>
            </w:pPr>
            <w:r>
              <w:rPr>
                <w:sz w:val="17"/>
              </w:rPr>
            </w:r>
            <w:r>
              <w:rPr>
                <w:b w:val="0"/>
                <w:sz w:val="17"/>
              </w:rPr>
              <w:t>Sensitive non-diagnostic wording; urgent evaluation; no definitive fetal-outcome statement.</w:t>
            </w:r>
          </w:p>
        </w:tc>
      </w:tr>
    </w:tbl>
    <w:p/>
    <w:p>
      <w:pPr>
        <w:pStyle w:val="Heading1"/>
      </w:pPr>
      <w:r>
        <w:t>13. Release-Blocking Defects</w:t>
      </w:r>
    </w:p>
    <w:p>
      <w:pPr>
        <w:pStyle w:val="ListBullet"/>
      </w:pPr>
      <w:r>
        <w:t>A HIGH assessment has no valid patient-specific basis.</w:t>
      </w:r>
    </w:p>
    <w:p>
      <w:pPr>
        <w:pStyle w:val="ListBullet"/>
      </w:pPr>
      <w:r>
        <w:t>A LOW assessment is produced while any approved HIGH rule is true.</w:t>
      </w:r>
    </w:p>
    <w:p>
      <w:pPr>
        <w:pStyle w:val="ListBullet"/>
      </w:pPr>
      <w:r>
        <w:t>An urgent reason is omitted, hidden, or rendered as routine.</w:t>
      </w:r>
    </w:p>
    <w:p>
      <w:pPr>
        <w:pStyle w:val="ListBullet"/>
      </w:pPr>
      <w:r>
        <w:t>The explanation cites a value different from the source assessment snapshot.</w:t>
      </w:r>
    </w:p>
    <w:p>
      <w:pPr>
        <w:pStyle w:val="ListBullet"/>
      </w:pPr>
      <w:r>
        <w:t>The system states or implies a diagnosis that it did not establish.</w:t>
      </w:r>
    </w:p>
    <w:p>
      <w:pPr>
        <w:pStyle w:val="ListBullet"/>
      </w:pPr>
      <w:r>
        <w:t>The patient-facing explanation claims certainty, causation, or guaranteed safety.</w:t>
      </w:r>
    </w:p>
    <w:p>
      <w:pPr>
        <w:pStyle w:val="ListBullet"/>
      </w:pPr>
      <w:r>
        <w:t>The explanation hides that a LOW ML result was overridden by a deterministic rule.</w:t>
      </w:r>
    </w:p>
    <w:p>
      <w:pPr>
        <w:pStyle w:val="ListBullet"/>
      </w:pPr>
      <w:r>
        <w:t>The system silently converts ML failure or missing records into LOW.</w:t>
      </w:r>
    </w:p>
    <w:p>
      <w:pPr>
        <w:pStyle w:val="ListBullet"/>
      </w:pPr>
      <w:r>
        <w:t>Reason codes or rule versions are absent from the audit representation.</w:t>
      </w:r>
    </w:p>
    <w:p>
      <w:pPr>
        <w:pStyle w:val="ListBullet"/>
      </w:pPr>
      <w:r>
        <w:t>Historical explanations change when current templates or rules are edited.</w:t>
      </w:r>
    </w:p>
    <w:p>
      <w:pPr>
        <w:pStyle w:val="ListBullet"/>
      </w:pPr>
      <w:r>
        <w:t>Duplicate messages obscure the actual number and importance of findings.</w:t>
      </w:r>
    </w:p>
    <w:p>
      <w:pPr>
        <w:pStyle w:val="ListBullet"/>
      </w:pPr>
      <w:r>
        <w:t>Sensitive patient information is exposed to an unauthorized audience.</w:t>
      </w:r>
    </w:p>
    <w:p>
      <w:pPr>
        <w:pStyle w:val="Heading1"/>
      </w:pPr>
      <w:r>
        <w:t>14. Governance and Change Control</w:t>
      </w:r>
    </w:p>
    <w:p>
      <w:pPr>
        <w:pStyle w:val="BodyText"/>
      </w:pPr>
      <w:r>
        <w:t>A rule explanation is part of the safety-critical decision-support configuration. Changes to trigger expressions, reason codes, clinical rationale, priority, recommendations, or patient wording must pass controlled review. A wording-only change can still alter user understanding and therefore requires versioning and regression testing.</w:t>
      </w:r>
    </w:p>
    <w:tbl>
      <w:tblPr>
        <w:tblStyle w:val="TableGrid"/>
        <w:tblW w:type="auto" w:w="0"/>
        <w:jc w:val="center"/>
        <w:tblLook w:firstColumn="1" w:firstRow="1" w:lastColumn="0" w:lastRow="0" w:noHBand="0" w:noVBand="1" w:val="04A0"/>
      </w:tblPr>
      <w:tblGrid>
        <w:gridCol w:w="4997"/>
        <w:gridCol w:w="4997"/>
      </w:tblGrid>
      <w:tr>
        <w:tc>
          <w:tcPr>
            <w:tcW w:type="dxa" w:w="3168"/>
            <w:vAlign w:val="center"/>
            <w:shd w:fill="D9EAF7"/>
          </w:tcPr>
          <w:p>
            <w:pPr>
              <w:spacing w:after="40" w:before="0"/>
            </w:pPr>
            <w:r>
              <w:rPr>
                <w:sz w:val="17"/>
              </w:rPr>
            </w:r>
            <w:r>
              <w:rPr>
                <w:b/>
                <w:sz w:val="17"/>
              </w:rPr>
              <w:t>Change type</w:t>
            </w:r>
          </w:p>
        </w:tc>
        <w:tc>
          <w:tcPr>
            <w:tcW w:type="dxa" w:w="6768"/>
            <w:vAlign w:val="center"/>
            <w:shd w:fill="D9EAF7"/>
          </w:tcPr>
          <w:p>
            <w:pPr>
              <w:spacing w:after="40" w:before="0"/>
            </w:pPr>
            <w:r>
              <w:rPr>
                <w:sz w:val="17"/>
              </w:rPr>
            </w:r>
            <w:r>
              <w:rPr>
                <w:b/>
                <w:sz w:val="17"/>
              </w:rPr>
              <w:t>Minimum review</w:t>
            </w:r>
          </w:p>
        </w:tc>
      </w:tr>
      <w:tr>
        <w:tc>
          <w:tcPr>
            <w:tcW w:type="dxa" w:w="3168"/>
            <w:vAlign w:val="center"/>
          </w:tcPr>
          <w:p>
            <w:pPr>
              <w:spacing w:after="40" w:before="0"/>
            </w:pPr>
            <w:r>
              <w:rPr>
                <w:sz w:val="17"/>
              </w:rPr>
            </w:r>
            <w:r>
              <w:rPr>
                <w:b w:val="0"/>
                <w:sz w:val="17"/>
              </w:rPr>
              <w:t>Clinical threshold or logic</w:t>
            </w:r>
          </w:p>
        </w:tc>
        <w:tc>
          <w:tcPr>
            <w:tcW w:type="dxa" w:w="6768"/>
            <w:vAlign w:val="center"/>
          </w:tcPr>
          <w:p>
            <w:pPr>
              <w:spacing w:after="40" w:before="0"/>
            </w:pPr>
            <w:r>
              <w:rPr>
                <w:sz w:val="17"/>
              </w:rPr>
            </w:r>
            <w:r>
              <w:rPr>
                <w:b w:val="0"/>
                <w:sz w:val="17"/>
              </w:rPr>
              <w:t>Clinical evidence review, technical review, test-matrix update, version increment, approval before deployment.</w:t>
            </w:r>
          </w:p>
        </w:tc>
      </w:tr>
      <w:tr>
        <w:tc>
          <w:tcPr>
            <w:tcW w:type="dxa" w:w="3168"/>
            <w:vAlign w:val="center"/>
          </w:tcPr>
          <w:p>
            <w:pPr>
              <w:spacing w:after="40" w:before="0"/>
            </w:pPr>
            <w:r>
              <w:rPr>
                <w:sz w:val="17"/>
              </w:rPr>
            </w:r>
            <w:r>
              <w:rPr>
                <w:b w:val="0"/>
                <w:sz w:val="17"/>
              </w:rPr>
              <w:t>Priority or urgency</w:t>
            </w:r>
          </w:p>
        </w:tc>
        <w:tc>
          <w:tcPr>
            <w:tcW w:type="dxa" w:w="6768"/>
            <w:vAlign w:val="center"/>
          </w:tcPr>
          <w:p>
            <w:pPr>
              <w:spacing w:after="40" w:before="0"/>
            </w:pPr>
            <w:r>
              <w:rPr>
                <w:sz w:val="17"/>
              </w:rPr>
            </w:r>
            <w:r>
              <w:rPr>
                <w:b w:val="0"/>
                <w:sz w:val="17"/>
              </w:rPr>
              <w:t>Clinical safety review and workflow verification.</w:t>
            </w:r>
          </w:p>
        </w:tc>
      </w:tr>
      <w:tr>
        <w:tc>
          <w:tcPr>
            <w:tcW w:type="dxa" w:w="3168"/>
            <w:vAlign w:val="center"/>
          </w:tcPr>
          <w:p>
            <w:pPr>
              <w:spacing w:after="40" w:before="0"/>
            </w:pPr>
            <w:r>
              <w:rPr>
                <w:sz w:val="17"/>
              </w:rPr>
            </w:r>
            <w:r>
              <w:rPr>
                <w:b w:val="0"/>
                <w:sz w:val="17"/>
              </w:rPr>
              <w:t>Midwife template</w:t>
            </w:r>
          </w:p>
        </w:tc>
        <w:tc>
          <w:tcPr>
            <w:tcW w:type="dxa" w:w="6768"/>
            <w:vAlign w:val="center"/>
          </w:tcPr>
          <w:p>
            <w:pPr>
              <w:spacing w:after="40" w:before="0"/>
            </w:pPr>
            <w:r>
              <w:rPr>
                <w:sz w:val="17"/>
              </w:rPr>
            </w:r>
            <w:r>
              <w:rPr>
                <w:b w:val="0"/>
                <w:sz w:val="17"/>
              </w:rPr>
              <w:t>Clinical-content and usability review.</w:t>
            </w:r>
          </w:p>
        </w:tc>
      </w:tr>
      <w:tr>
        <w:tc>
          <w:tcPr>
            <w:tcW w:type="dxa" w:w="3168"/>
            <w:vAlign w:val="center"/>
          </w:tcPr>
          <w:p>
            <w:pPr>
              <w:spacing w:after="40" w:before="0"/>
            </w:pPr>
            <w:r>
              <w:rPr>
                <w:sz w:val="17"/>
              </w:rPr>
            </w:r>
            <w:r>
              <w:rPr>
                <w:b w:val="0"/>
                <w:sz w:val="17"/>
              </w:rPr>
              <w:t>Patient wording</w:t>
            </w:r>
          </w:p>
        </w:tc>
        <w:tc>
          <w:tcPr>
            <w:tcW w:type="dxa" w:w="6768"/>
            <w:vAlign w:val="center"/>
          </w:tcPr>
          <w:p>
            <w:pPr>
              <w:spacing w:after="40" w:before="0"/>
            </w:pPr>
            <w:r>
              <w:rPr>
                <w:sz w:val="17"/>
              </w:rPr>
            </w:r>
            <w:r>
              <w:rPr>
                <w:b w:val="0"/>
                <w:sz w:val="17"/>
              </w:rPr>
              <w:t>Plain-language, sensitivity, and health-literacy review.</w:t>
            </w:r>
          </w:p>
        </w:tc>
      </w:tr>
      <w:tr>
        <w:tc>
          <w:tcPr>
            <w:tcW w:type="dxa" w:w="3168"/>
            <w:vAlign w:val="center"/>
          </w:tcPr>
          <w:p>
            <w:pPr>
              <w:spacing w:after="40" w:before="0"/>
            </w:pPr>
            <w:r>
              <w:rPr>
                <w:sz w:val="17"/>
              </w:rPr>
            </w:r>
            <w:r>
              <w:rPr>
                <w:b w:val="0"/>
                <w:sz w:val="17"/>
              </w:rPr>
              <w:t>Reason-code rename</w:t>
            </w:r>
          </w:p>
        </w:tc>
        <w:tc>
          <w:tcPr>
            <w:tcW w:type="dxa" w:w="6768"/>
            <w:vAlign w:val="center"/>
          </w:tcPr>
          <w:p>
            <w:pPr>
              <w:spacing w:after="40" w:before="0"/>
            </w:pPr>
            <w:r>
              <w:rPr>
                <w:sz w:val="17"/>
              </w:rPr>
            </w:r>
            <w:r>
              <w:rPr>
                <w:b w:val="0"/>
                <w:sz w:val="17"/>
              </w:rPr>
              <w:t>Migration/compatibility plan; preserve historical meaning.</w:t>
            </w:r>
          </w:p>
        </w:tc>
      </w:tr>
      <w:tr>
        <w:tc>
          <w:tcPr>
            <w:tcW w:type="dxa" w:w="3168"/>
            <w:vAlign w:val="center"/>
          </w:tcPr>
          <w:p>
            <w:pPr>
              <w:spacing w:after="40" w:before="0"/>
            </w:pPr>
            <w:r>
              <w:rPr>
                <w:sz w:val="17"/>
              </w:rPr>
            </w:r>
            <w:r>
              <w:rPr>
                <w:b w:val="0"/>
                <w:sz w:val="17"/>
              </w:rPr>
              <w:t>Recommendation mapping</w:t>
            </w:r>
          </w:p>
        </w:tc>
        <w:tc>
          <w:tcPr>
            <w:tcW w:type="dxa" w:w="6768"/>
            <w:vAlign w:val="center"/>
          </w:tcPr>
          <w:p>
            <w:pPr>
              <w:spacing w:after="40" w:before="0"/>
            </w:pPr>
            <w:r>
              <w:rPr>
                <w:sz w:val="17"/>
              </w:rPr>
            </w:r>
            <w:r>
              <w:rPr>
                <w:b w:val="0"/>
                <w:sz w:val="17"/>
              </w:rPr>
              <w:t>Clinical and operational review; referral workflow testing.</w:t>
            </w:r>
          </w:p>
        </w:tc>
      </w:tr>
      <w:tr>
        <w:tc>
          <w:tcPr>
            <w:tcW w:type="dxa" w:w="3168"/>
            <w:vAlign w:val="center"/>
          </w:tcPr>
          <w:p>
            <w:pPr>
              <w:spacing w:after="40" w:before="0"/>
            </w:pPr>
            <w:r>
              <w:rPr>
                <w:sz w:val="17"/>
              </w:rPr>
            </w:r>
            <w:r>
              <w:rPr>
                <w:b w:val="0"/>
                <w:sz w:val="17"/>
              </w:rPr>
              <w:t>Source-field mapping</w:t>
            </w:r>
          </w:p>
        </w:tc>
        <w:tc>
          <w:tcPr>
            <w:tcW w:type="dxa" w:w="6768"/>
            <w:vAlign w:val="center"/>
          </w:tcPr>
          <w:p>
            <w:pPr>
              <w:spacing w:after="40" w:before="0"/>
            </w:pPr>
            <w:r>
              <w:rPr>
                <w:sz w:val="17"/>
              </w:rPr>
            </w:r>
            <w:r>
              <w:rPr>
                <w:b w:val="0"/>
                <w:sz w:val="17"/>
              </w:rPr>
              <w:t>Data-quality and integration testing.</w:t>
            </w:r>
          </w:p>
        </w:tc>
      </w:tr>
      <w:tr>
        <w:tc>
          <w:tcPr>
            <w:tcW w:type="dxa" w:w="3168"/>
            <w:vAlign w:val="center"/>
          </w:tcPr>
          <w:p>
            <w:pPr>
              <w:spacing w:after="40" w:before="0"/>
            </w:pPr>
            <w:r>
              <w:rPr>
                <w:sz w:val="17"/>
              </w:rPr>
            </w:r>
            <w:r>
              <w:rPr>
                <w:b w:val="0"/>
                <w:sz w:val="17"/>
              </w:rPr>
              <w:t>Model contribution wording</w:t>
            </w:r>
          </w:p>
        </w:tc>
        <w:tc>
          <w:tcPr>
            <w:tcW w:type="dxa" w:w="6768"/>
            <w:vAlign w:val="center"/>
          </w:tcPr>
          <w:p>
            <w:pPr>
              <w:spacing w:after="40" w:before="0"/>
            </w:pPr>
            <w:r>
              <w:rPr>
                <w:sz w:val="17"/>
              </w:rPr>
            </w:r>
            <w:r>
              <w:rPr>
                <w:b w:val="0"/>
                <w:sz w:val="17"/>
              </w:rPr>
              <w:t>ML governance and independent-review assessment.</w:t>
            </w:r>
          </w:p>
        </w:tc>
      </w:tr>
    </w:tbl>
    <w:p/>
    <w:p>
      <w:pPr>
        <w:pStyle w:val="Heading1"/>
      </w:pPr>
      <w:r>
        <w:t>15. Implementation Roadmap</w:t>
      </w:r>
    </w:p>
    <w:p>
      <w:pPr>
        <w:pStyle w:val="ListNumber"/>
      </w:pPr>
      <w:r>
        <w:t>Freeze the current approved rule catalog and assign stable reason codes.</w:t>
      </w:r>
    </w:p>
    <w:p>
      <w:pPr>
        <w:pStyle w:val="ListNumber"/>
      </w:pPr>
      <w:r>
        <w:t>Create versioned RuleCatalog configuration and structured RuleReason DTOs.</w:t>
      </w:r>
    </w:p>
    <w:p>
      <w:pPr>
        <w:pStyle w:val="ListNumber"/>
      </w:pPr>
      <w:r>
        <w:t>Refactor rule evaluation so decision and explanation consume the same trigger result rather than duplicate logic.</w:t>
      </w:r>
    </w:p>
    <w:p>
      <w:pPr>
        <w:pStyle w:val="ListNumber"/>
      </w:pPr>
      <w:r>
        <w:t>Implement priority, deduplication, and merge behavior.</w:t>
      </w:r>
    </w:p>
    <w:p>
      <w:pPr>
        <w:pStyle w:val="ListNumber"/>
      </w:pPr>
      <w:r>
        <w:t>Create controlled audience templates and prohibited-phrase validation.</w:t>
      </w:r>
    </w:p>
    <w:p>
      <w:pPr>
        <w:pStyle w:val="ListNumber"/>
      </w:pPr>
      <w:r>
        <w:t>Persist immutable ExplanationBundle records with snapshot and version metadata.</w:t>
      </w:r>
    </w:p>
    <w:p>
      <w:pPr>
        <w:pStyle w:val="ListNumber"/>
      </w:pPr>
      <w:r>
        <w:t>Integrate recommendation, referral, print, and audit projections.</w:t>
      </w:r>
    </w:p>
    <w:p>
      <w:pPr>
        <w:pStyle w:val="ListNumber"/>
      </w:pPr>
      <w:r>
        <w:t>Run the complete rule-level and interaction test matrix.</w:t>
      </w:r>
    </w:p>
    <w:p>
      <w:pPr>
        <w:pStyle w:val="ListNumber"/>
      </w:pPr>
      <w:r>
        <w:t>Conduct midwife usability review and patient-language review.</w:t>
      </w:r>
    </w:p>
    <w:p>
      <w:pPr>
        <w:pStyle w:val="ListNumber"/>
      </w:pPr>
      <w:r>
        <w:t>Define release sign-off and post-deployment monitoring.</w:t>
      </w:r>
    </w:p>
    <w:p>
      <w:pPr>
        <w:pStyle w:val="Heading1"/>
      </w:pPr>
      <w:r>
        <w:t>16. Panel Defense Questions and Suggested Answers</w:t>
      </w:r>
    </w:p>
    <w:p>
      <w:pPr>
        <w:pStyle w:val="Heading2"/>
      </w:pPr>
      <w:r>
        <w:t>Why not let the Random Forest explain all HIGH results?</w:t>
      </w:r>
    </w:p>
    <w:p>
      <w:pPr>
        <w:pStyle w:val="BodyText"/>
      </w:pPr>
      <w:r>
        <w:t>The system contains explicit safety rules supported by the clinical knowledge base. Those rules are deterministic, directly inspectable, and override a LOW model result. The model is a bounded contributor, not the sole authority.</w:t>
      </w:r>
    </w:p>
    <w:p>
      <w:pPr>
        <w:pStyle w:val="Heading2"/>
      </w:pPr>
      <w:r>
        <w:t>How do you prove an explanation is faithful?</w:t>
      </w:r>
    </w:p>
    <w:p>
      <w:pPr>
        <w:pStyle w:val="BodyText"/>
      </w:pPr>
      <w:r>
        <w:t>Each reason code is generated from the same evaluated trigger result used by the Assessment Engine and retains the observed value, source record, trigger expression, and rule version. Validation rejects mismatches.</w:t>
      </w:r>
    </w:p>
    <w:p>
      <w:pPr>
        <w:pStyle w:val="Heading2"/>
      </w:pPr>
      <w:r>
        <w:t>Why is age ≥35 not always HIGH in this implementation?</w:t>
      </w:r>
    </w:p>
    <w:p>
      <w:pPr>
        <w:pStyle w:val="BodyText"/>
      </w:pPr>
      <w:r>
        <w:t>The approved capstone rule is specifically age ≥35 combined with first pregnancy. The explanation layer must reproduce the implemented rule exactly and must not broaden it without governance approval.</w:t>
      </w:r>
    </w:p>
    <w:p>
      <w:pPr>
        <w:pStyle w:val="Heading2"/>
      </w:pPr>
      <w:r>
        <w:t>What happens when several rules trigger?</w:t>
      </w:r>
    </w:p>
    <w:p>
      <w:pPr>
        <w:pStyle w:val="BodyText"/>
      </w:pPr>
      <w:r>
        <w:t>All distinct factors are preserved, prioritized, deduplicated, and merged into one coherent explanation. Urgent factors appear first, but secondary factors remain available.</w:t>
      </w:r>
    </w:p>
    <w:p>
      <w:pPr>
        <w:pStyle w:val="Heading2"/>
      </w:pPr>
      <w:r>
        <w:t>Can the system diagnose hypertension or fetal compromise?</w:t>
      </w:r>
    </w:p>
    <w:p>
      <w:pPr>
        <w:pStyle w:val="BodyText"/>
      </w:pPr>
      <w:r>
        <w:t>No. It flags entered values or structured findings against approved thresholds and recommends professional review. Diagnostic interpretation remains with qualified healthcare professionals.</w:t>
      </w:r>
    </w:p>
    <w:p>
      <w:pPr>
        <w:pStyle w:val="Heading2"/>
      </w:pPr>
      <w:r>
        <w:t>Why is ASSESSMENT INCOMPLETE important for explainability?</w:t>
      </w:r>
    </w:p>
    <w:p>
      <w:pPr>
        <w:pStyle w:val="BodyText"/>
      </w:pPr>
      <w:r>
        <w:t>It prevents the system from presenting a false sense of safety when required records or a valid model output are absent. The user is told exactly what is missing or invalid.</w:t>
      </w:r>
    </w:p>
    <w:p>
      <w:pPr>
        <w:pStyle w:val="Heading2"/>
      </w:pPr>
      <w:r>
        <w:t>How is patient wording different?</w:t>
      </w:r>
    </w:p>
    <w:p>
      <w:pPr>
        <w:pStyle w:val="BodyText"/>
      </w:pPr>
      <w:r>
        <w:t>It uses plain, respectful, non-diagnostic language and focuses on the need for professional review. Technical codes and unsupported certainty are excluded.</w:t>
      </w:r>
    </w:p>
    <w:p>
      <w:pPr>
        <w:pStyle w:val="Heading2"/>
      </w:pPr>
      <w:r>
        <w:t>How do you preserve historical explanations?</w:t>
      </w:r>
    </w:p>
    <w:p>
      <w:pPr>
        <w:pStyle w:val="BodyText"/>
      </w:pPr>
      <w:r>
        <w:t>The bundle stores the assessment snapshot plus rule, model, template, and schema versions. Later updates create new versions rather than rewriting the original basis.</w:t>
      </w:r>
    </w:p>
    <w:p>
      <w:pPr>
        <w:pStyle w:val="Heading2"/>
      </w:pPr>
      <w:r>
        <w:t>What is the most important release rule?</w:t>
      </w:r>
    </w:p>
    <w:p>
      <w:pPr>
        <w:pStyle w:val="BodyText"/>
      </w:pPr>
      <w:r>
        <w:t>The outcome and explanation must never conflict: HIGH must have a valid basis, LOW must have no triggered HIGH rule and valid complete inputs, and incomplete data must remain INCOMPLETE.</w:t>
      </w:r>
    </w:p>
    <w:p>
      <w:pPr>
        <w:pStyle w:val="Heading1"/>
      </w:pPr>
      <w:r>
        <w:t>17. Consolidated Rule-Based Explainability Requirements</w:t>
      </w:r>
    </w:p>
    <w:tbl>
      <w:tblPr>
        <w:tblStyle w:val="TableGrid"/>
        <w:tblW w:type="auto" w:w="0"/>
        <w:jc w:val="center"/>
        <w:tblLook w:firstColumn="1" w:firstRow="1" w:lastColumn="0" w:lastRow="0" w:noHBand="0" w:noVBand="1" w:val="04A0"/>
      </w:tblPr>
      <w:tblGrid>
        <w:gridCol w:w="4997"/>
        <w:gridCol w:w="4997"/>
      </w:tblGrid>
      <w:tr>
        <w:tc>
          <w:tcPr>
            <w:tcW w:type="dxa" w:w="1440"/>
            <w:vAlign w:val="center"/>
            <w:shd w:fill="D9EAF7"/>
          </w:tcPr>
          <w:p>
            <w:pPr>
              <w:spacing w:after="40" w:before="0"/>
            </w:pPr>
            <w:r>
              <w:rPr>
                <w:sz w:val="17"/>
              </w:rPr>
            </w:r>
            <w:r>
              <w:rPr>
                <w:b/>
                <w:sz w:val="17"/>
              </w:rPr>
              <w:t>ID</w:t>
            </w:r>
          </w:p>
        </w:tc>
        <w:tc>
          <w:tcPr>
            <w:tcW w:type="dxa" w:w="8496"/>
            <w:vAlign w:val="center"/>
            <w:shd w:fill="D9EAF7"/>
          </w:tcPr>
          <w:p>
            <w:pPr>
              <w:spacing w:after="40" w:before="0"/>
            </w:pPr>
            <w:r>
              <w:rPr>
                <w:sz w:val="17"/>
              </w:rPr>
            </w:r>
            <w:r>
              <w:rPr>
                <w:b/>
                <w:sz w:val="17"/>
              </w:rPr>
              <w:t>Requirement</w:t>
            </w:r>
          </w:p>
        </w:tc>
      </w:tr>
      <w:tr>
        <w:tc>
          <w:tcPr>
            <w:tcW w:type="dxa" w:w="1440"/>
            <w:vAlign w:val="center"/>
          </w:tcPr>
          <w:p>
            <w:pPr>
              <w:spacing w:after="40" w:before="0"/>
            </w:pPr>
            <w:r>
              <w:rPr>
                <w:sz w:val="17"/>
              </w:rPr>
            </w:r>
            <w:r>
              <w:rPr>
                <w:b w:val="0"/>
                <w:sz w:val="17"/>
              </w:rPr>
              <w:t>RBX-01</w:t>
            </w:r>
          </w:p>
        </w:tc>
        <w:tc>
          <w:tcPr>
            <w:tcW w:type="dxa" w:w="8496"/>
            <w:vAlign w:val="center"/>
          </w:tcPr>
          <w:p>
            <w:pPr>
              <w:spacing w:after="40" w:before="0"/>
            </w:pPr>
            <w:r>
              <w:rPr>
                <w:sz w:val="17"/>
              </w:rPr>
            </w:r>
            <w:r>
              <w:rPr>
                <w:b w:val="0"/>
                <w:sz w:val="17"/>
              </w:rPr>
              <w:t>Every deterministic rule shall have a stable reason code and version.</w:t>
            </w:r>
          </w:p>
        </w:tc>
      </w:tr>
      <w:tr>
        <w:tc>
          <w:tcPr>
            <w:tcW w:type="dxa" w:w="1440"/>
            <w:vAlign w:val="center"/>
          </w:tcPr>
          <w:p>
            <w:pPr>
              <w:spacing w:after="40" w:before="0"/>
            </w:pPr>
            <w:r>
              <w:rPr>
                <w:sz w:val="17"/>
              </w:rPr>
            </w:r>
            <w:r>
              <w:rPr>
                <w:b w:val="0"/>
                <w:sz w:val="17"/>
              </w:rPr>
              <w:t>RBX-02</w:t>
            </w:r>
          </w:p>
        </w:tc>
        <w:tc>
          <w:tcPr>
            <w:tcW w:type="dxa" w:w="8496"/>
            <w:vAlign w:val="center"/>
          </w:tcPr>
          <w:p>
            <w:pPr>
              <w:spacing w:after="40" w:before="0"/>
            </w:pPr>
            <w:r>
              <w:rPr>
                <w:sz w:val="17"/>
              </w:rPr>
            </w:r>
            <w:r>
              <w:rPr>
                <w:b w:val="0"/>
                <w:sz w:val="17"/>
              </w:rPr>
              <w:t>Every visible rule reason shall be supported by source evidence from the preserved snapshot.</w:t>
            </w:r>
          </w:p>
        </w:tc>
      </w:tr>
      <w:tr>
        <w:tc>
          <w:tcPr>
            <w:tcW w:type="dxa" w:w="1440"/>
            <w:vAlign w:val="center"/>
          </w:tcPr>
          <w:p>
            <w:pPr>
              <w:spacing w:after="40" w:before="0"/>
            </w:pPr>
            <w:r>
              <w:rPr>
                <w:sz w:val="17"/>
              </w:rPr>
            </w:r>
            <w:r>
              <w:rPr>
                <w:b w:val="0"/>
                <w:sz w:val="17"/>
              </w:rPr>
              <w:t>RBX-03</w:t>
            </w:r>
          </w:p>
        </w:tc>
        <w:tc>
          <w:tcPr>
            <w:tcW w:type="dxa" w:w="8496"/>
            <w:vAlign w:val="center"/>
          </w:tcPr>
          <w:p>
            <w:pPr>
              <w:spacing w:after="40" w:before="0"/>
            </w:pPr>
            <w:r>
              <w:rPr>
                <w:sz w:val="17"/>
              </w:rPr>
            </w:r>
            <w:r>
              <w:rPr>
                <w:b w:val="0"/>
                <w:sz w:val="17"/>
              </w:rPr>
              <w:t>Urgent rules shall be visually prioritized and linked to the appropriate workflow escalation.</w:t>
            </w:r>
          </w:p>
        </w:tc>
      </w:tr>
      <w:tr>
        <w:tc>
          <w:tcPr>
            <w:tcW w:type="dxa" w:w="1440"/>
            <w:vAlign w:val="center"/>
          </w:tcPr>
          <w:p>
            <w:pPr>
              <w:spacing w:after="40" w:before="0"/>
            </w:pPr>
            <w:r>
              <w:rPr>
                <w:sz w:val="17"/>
              </w:rPr>
            </w:r>
            <w:r>
              <w:rPr>
                <w:b w:val="0"/>
                <w:sz w:val="17"/>
              </w:rPr>
              <w:t>RBX-04</w:t>
            </w:r>
          </w:p>
        </w:tc>
        <w:tc>
          <w:tcPr>
            <w:tcW w:type="dxa" w:w="8496"/>
            <w:vAlign w:val="center"/>
          </w:tcPr>
          <w:p>
            <w:pPr>
              <w:spacing w:after="40" w:before="0"/>
            </w:pPr>
            <w:r>
              <w:rPr>
                <w:sz w:val="17"/>
              </w:rPr>
            </w:r>
            <w:r>
              <w:rPr>
                <w:b w:val="0"/>
                <w:sz w:val="17"/>
              </w:rPr>
              <w:t>Distinct simultaneous rules shall be retained; semantic duplicates shall be consolidated.</w:t>
            </w:r>
          </w:p>
        </w:tc>
      </w:tr>
      <w:tr>
        <w:tc>
          <w:tcPr>
            <w:tcW w:type="dxa" w:w="1440"/>
            <w:vAlign w:val="center"/>
          </w:tcPr>
          <w:p>
            <w:pPr>
              <w:spacing w:after="40" w:before="0"/>
            </w:pPr>
            <w:r>
              <w:rPr>
                <w:sz w:val="17"/>
              </w:rPr>
            </w:r>
            <w:r>
              <w:rPr>
                <w:b w:val="0"/>
                <w:sz w:val="17"/>
              </w:rPr>
              <w:t>RBX-05</w:t>
            </w:r>
          </w:p>
        </w:tc>
        <w:tc>
          <w:tcPr>
            <w:tcW w:type="dxa" w:w="8496"/>
            <w:vAlign w:val="center"/>
          </w:tcPr>
          <w:p>
            <w:pPr>
              <w:spacing w:after="40" w:before="0"/>
            </w:pPr>
            <w:r>
              <w:rPr>
                <w:sz w:val="17"/>
              </w:rPr>
            </w:r>
            <w:r>
              <w:rPr>
                <w:b w:val="0"/>
                <w:sz w:val="17"/>
              </w:rPr>
              <w:t>A deterministic HIGH rule shall override a LOW ML output.</w:t>
            </w:r>
          </w:p>
        </w:tc>
      </w:tr>
      <w:tr>
        <w:tc>
          <w:tcPr>
            <w:tcW w:type="dxa" w:w="1440"/>
            <w:vAlign w:val="center"/>
          </w:tcPr>
          <w:p>
            <w:pPr>
              <w:spacing w:after="40" w:before="0"/>
            </w:pPr>
            <w:r>
              <w:rPr>
                <w:sz w:val="17"/>
              </w:rPr>
            </w:r>
            <w:r>
              <w:rPr>
                <w:b w:val="0"/>
                <w:sz w:val="17"/>
              </w:rPr>
              <w:t>RBX-06</w:t>
            </w:r>
          </w:p>
        </w:tc>
        <w:tc>
          <w:tcPr>
            <w:tcW w:type="dxa" w:w="8496"/>
            <w:vAlign w:val="center"/>
          </w:tcPr>
          <w:p>
            <w:pPr>
              <w:spacing w:after="40" w:before="0"/>
            </w:pPr>
            <w:r>
              <w:rPr>
                <w:sz w:val="17"/>
              </w:rPr>
            </w:r>
            <w:r>
              <w:rPr>
                <w:b w:val="0"/>
                <w:sz w:val="17"/>
              </w:rPr>
              <w:t>LOW shall state its data and model limitations and shall never mean no clinical risk.</w:t>
            </w:r>
          </w:p>
        </w:tc>
      </w:tr>
      <w:tr>
        <w:tc>
          <w:tcPr>
            <w:tcW w:type="dxa" w:w="1440"/>
            <w:vAlign w:val="center"/>
          </w:tcPr>
          <w:p>
            <w:pPr>
              <w:spacing w:after="40" w:before="0"/>
            </w:pPr>
            <w:r>
              <w:rPr>
                <w:sz w:val="17"/>
              </w:rPr>
            </w:r>
            <w:r>
              <w:rPr>
                <w:b w:val="0"/>
                <w:sz w:val="17"/>
              </w:rPr>
              <w:t>RBX-07</w:t>
            </w:r>
          </w:p>
        </w:tc>
        <w:tc>
          <w:tcPr>
            <w:tcW w:type="dxa" w:w="8496"/>
            <w:vAlign w:val="center"/>
          </w:tcPr>
          <w:p>
            <w:pPr>
              <w:spacing w:after="40" w:before="0"/>
            </w:pPr>
            <w:r>
              <w:rPr>
                <w:sz w:val="17"/>
              </w:rPr>
            </w:r>
            <w:r>
              <w:rPr>
                <w:b w:val="0"/>
                <w:sz w:val="17"/>
              </w:rPr>
              <w:t>ASSESSMENT INCOMPLETE shall identify every missing requirement and invalid ML state.</w:t>
            </w:r>
          </w:p>
        </w:tc>
      </w:tr>
      <w:tr>
        <w:tc>
          <w:tcPr>
            <w:tcW w:type="dxa" w:w="1440"/>
            <w:vAlign w:val="center"/>
          </w:tcPr>
          <w:p>
            <w:pPr>
              <w:spacing w:after="40" w:before="0"/>
            </w:pPr>
            <w:r>
              <w:rPr>
                <w:sz w:val="17"/>
              </w:rPr>
            </w:r>
            <w:r>
              <w:rPr>
                <w:b w:val="0"/>
                <w:sz w:val="17"/>
              </w:rPr>
              <w:t>RBX-08</w:t>
            </w:r>
          </w:p>
        </w:tc>
        <w:tc>
          <w:tcPr>
            <w:tcW w:type="dxa" w:w="8496"/>
            <w:vAlign w:val="center"/>
          </w:tcPr>
          <w:p>
            <w:pPr>
              <w:spacing w:after="40" w:before="0"/>
            </w:pPr>
            <w:r>
              <w:rPr>
                <w:sz w:val="17"/>
              </w:rPr>
            </w:r>
            <w:r>
              <w:rPr>
                <w:b w:val="0"/>
                <w:sz w:val="17"/>
              </w:rPr>
              <w:t>Patient explanations shall be non-diagnostic, respectful, and action-oriented.</w:t>
            </w:r>
          </w:p>
        </w:tc>
      </w:tr>
      <w:tr>
        <w:tc>
          <w:tcPr>
            <w:tcW w:type="dxa" w:w="1440"/>
            <w:vAlign w:val="center"/>
          </w:tcPr>
          <w:p>
            <w:pPr>
              <w:spacing w:after="40" w:before="0"/>
            </w:pPr>
            <w:r>
              <w:rPr>
                <w:sz w:val="17"/>
              </w:rPr>
            </w:r>
            <w:r>
              <w:rPr>
                <w:b w:val="0"/>
                <w:sz w:val="17"/>
              </w:rPr>
              <w:t>RBX-09</w:t>
            </w:r>
          </w:p>
        </w:tc>
        <w:tc>
          <w:tcPr>
            <w:tcW w:type="dxa" w:w="8496"/>
            <w:vAlign w:val="center"/>
          </w:tcPr>
          <w:p>
            <w:pPr>
              <w:spacing w:after="40" w:before="0"/>
            </w:pPr>
            <w:r>
              <w:rPr>
                <w:sz w:val="17"/>
              </w:rPr>
            </w:r>
            <w:r>
              <w:rPr>
                <w:b w:val="0"/>
                <w:sz w:val="17"/>
              </w:rPr>
              <w:t>Audit explanations shall preserve reason codes, values, source records, and versions.</w:t>
            </w:r>
          </w:p>
        </w:tc>
      </w:tr>
      <w:tr>
        <w:tc>
          <w:tcPr>
            <w:tcW w:type="dxa" w:w="1440"/>
            <w:vAlign w:val="center"/>
          </w:tcPr>
          <w:p>
            <w:pPr>
              <w:spacing w:after="40" w:before="0"/>
            </w:pPr>
            <w:r>
              <w:rPr>
                <w:sz w:val="17"/>
              </w:rPr>
            </w:r>
            <w:r>
              <w:rPr>
                <w:b w:val="0"/>
                <w:sz w:val="17"/>
              </w:rPr>
              <w:t>RBX-10</w:t>
            </w:r>
          </w:p>
        </w:tc>
        <w:tc>
          <w:tcPr>
            <w:tcW w:type="dxa" w:w="8496"/>
            <w:vAlign w:val="center"/>
          </w:tcPr>
          <w:p>
            <w:pPr>
              <w:spacing w:after="40" w:before="0"/>
            </w:pPr>
            <w:r>
              <w:rPr>
                <w:sz w:val="17"/>
              </w:rPr>
            </w:r>
            <w:r>
              <w:rPr>
                <w:b w:val="0"/>
                <w:sz w:val="17"/>
              </w:rPr>
              <w:t>Historical explanations shall remain reproducible after rule or template updates.</w:t>
            </w:r>
          </w:p>
        </w:tc>
      </w:tr>
      <w:tr>
        <w:tc>
          <w:tcPr>
            <w:tcW w:type="dxa" w:w="1440"/>
            <w:vAlign w:val="center"/>
          </w:tcPr>
          <w:p>
            <w:pPr>
              <w:spacing w:after="40" w:before="0"/>
            </w:pPr>
            <w:r>
              <w:rPr>
                <w:sz w:val="17"/>
              </w:rPr>
            </w:r>
            <w:r>
              <w:rPr>
                <w:b w:val="0"/>
                <w:sz w:val="17"/>
              </w:rPr>
              <w:t>RBX-11</w:t>
            </w:r>
          </w:p>
        </w:tc>
        <w:tc>
          <w:tcPr>
            <w:tcW w:type="dxa" w:w="8496"/>
            <w:vAlign w:val="center"/>
          </w:tcPr>
          <w:p>
            <w:pPr>
              <w:spacing w:after="40" w:before="0"/>
            </w:pPr>
            <w:r>
              <w:rPr>
                <w:sz w:val="17"/>
              </w:rPr>
            </w:r>
            <w:r>
              <w:rPr>
                <w:b w:val="0"/>
                <w:sz w:val="17"/>
              </w:rPr>
              <w:t>Rule evaluation and explanation shall share the same trigger results to prevent logic drift.</w:t>
            </w:r>
          </w:p>
        </w:tc>
      </w:tr>
      <w:tr>
        <w:tc>
          <w:tcPr>
            <w:tcW w:type="dxa" w:w="1440"/>
            <w:vAlign w:val="center"/>
          </w:tcPr>
          <w:p>
            <w:pPr>
              <w:spacing w:after="40" w:before="0"/>
            </w:pPr>
            <w:r>
              <w:rPr>
                <w:sz w:val="17"/>
              </w:rPr>
            </w:r>
            <w:r>
              <w:rPr>
                <w:b w:val="0"/>
                <w:sz w:val="17"/>
              </w:rPr>
              <w:t>RBX-12</w:t>
            </w:r>
          </w:p>
        </w:tc>
        <w:tc>
          <w:tcPr>
            <w:tcW w:type="dxa" w:w="8496"/>
            <w:vAlign w:val="center"/>
          </w:tcPr>
          <w:p>
            <w:pPr>
              <w:spacing w:after="40" w:before="0"/>
            </w:pPr>
            <w:r>
              <w:rPr>
                <w:sz w:val="17"/>
              </w:rPr>
            </w:r>
            <w:r>
              <w:rPr>
                <w:b w:val="0"/>
                <w:sz w:val="17"/>
              </w:rPr>
              <w:t>No generative component shall invent the authoritative clinical basis.</w:t>
            </w:r>
          </w:p>
        </w:tc>
      </w:tr>
      <w:tr>
        <w:tc>
          <w:tcPr>
            <w:tcW w:type="dxa" w:w="1440"/>
            <w:vAlign w:val="center"/>
          </w:tcPr>
          <w:p>
            <w:pPr>
              <w:spacing w:after="40" w:before="0"/>
            </w:pPr>
            <w:r>
              <w:rPr>
                <w:sz w:val="17"/>
              </w:rPr>
            </w:r>
            <w:r>
              <w:rPr>
                <w:b w:val="0"/>
                <w:sz w:val="17"/>
              </w:rPr>
              <w:t>RBX-13</w:t>
            </w:r>
          </w:p>
        </w:tc>
        <w:tc>
          <w:tcPr>
            <w:tcW w:type="dxa" w:w="8496"/>
            <w:vAlign w:val="center"/>
          </w:tcPr>
          <w:p>
            <w:pPr>
              <w:spacing w:after="40" w:before="0"/>
            </w:pPr>
            <w:r>
              <w:rPr>
                <w:sz w:val="17"/>
              </w:rPr>
            </w:r>
            <w:r>
              <w:rPr>
                <w:b w:val="0"/>
                <w:sz w:val="17"/>
              </w:rPr>
              <w:t>All rule and interaction scenarios shall pass before release.</w:t>
            </w:r>
          </w:p>
        </w:tc>
      </w:tr>
      <w:tr>
        <w:tc>
          <w:tcPr>
            <w:tcW w:type="dxa" w:w="1440"/>
            <w:vAlign w:val="center"/>
          </w:tcPr>
          <w:p>
            <w:pPr>
              <w:spacing w:after="40" w:before="0"/>
            </w:pPr>
            <w:r>
              <w:rPr>
                <w:sz w:val="17"/>
              </w:rPr>
            </w:r>
            <w:r>
              <w:rPr>
                <w:b w:val="0"/>
                <w:sz w:val="17"/>
              </w:rPr>
              <w:t>RBX-14</w:t>
            </w:r>
          </w:p>
        </w:tc>
        <w:tc>
          <w:tcPr>
            <w:tcW w:type="dxa" w:w="8496"/>
            <w:vAlign w:val="center"/>
          </w:tcPr>
          <w:p>
            <w:pPr>
              <w:spacing w:after="40" w:before="0"/>
            </w:pPr>
            <w:r>
              <w:rPr>
                <w:sz w:val="17"/>
              </w:rPr>
            </w:r>
            <w:r>
              <w:rPr>
                <w:b w:val="0"/>
                <w:sz w:val="17"/>
              </w:rPr>
              <w:t>Changes to rules, rationale, priority, or templates shall undergo governed review.</w:t>
            </w:r>
          </w:p>
        </w:tc>
      </w:tr>
      <w:tr>
        <w:tc>
          <w:tcPr>
            <w:tcW w:type="dxa" w:w="1440"/>
            <w:vAlign w:val="center"/>
          </w:tcPr>
          <w:p>
            <w:pPr>
              <w:spacing w:after="40" w:before="0"/>
            </w:pPr>
            <w:r>
              <w:rPr>
                <w:sz w:val="17"/>
              </w:rPr>
            </w:r>
            <w:r>
              <w:rPr>
                <w:b w:val="0"/>
                <w:sz w:val="17"/>
              </w:rPr>
              <w:t>RBX-15</w:t>
            </w:r>
          </w:p>
        </w:tc>
        <w:tc>
          <w:tcPr>
            <w:tcW w:type="dxa" w:w="8496"/>
            <w:vAlign w:val="center"/>
          </w:tcPr>
          <w:p>
            <w:pPr>
              <w:spacing w:after="40" w:before="0"/>
            </w:pPr>
            <w:r>
              <w:rPr>
                <w:sz w:val="17"/>
              </w:rPr>
            </w:r>
            <w:r>
              <w:rPr>
                <w:b w:val="0"/>
                <w:sz w:val="17"/>
              </w:rPr>
              <w:t>The explanation shall support, not replace, midwife judgment and referral protocols.</w:t>
            </w:r>
          </w:p>
        </w:tc>
      </w:tr>
    </w:tbl>
    <w:p/>
    <w:p>
      <w:pPr>
        <w:pStyle w:val="Heading1"/>
      </w:pPr>
      <w:r>
        <w:t>18. Conclusion and Transition to Part 4</w:t>
      </w:r>
    </w:p>
    <w:p>
      <w:pPr>
        <w:pStyle w:val="BodyText"/>
      </w:pPr>
      <w:r>
        <w:t>Rule-based explainability gives the maternity CDSS a directly inspectable clinical basis. The design does not merely display a HIGH badge; it preserves the exact factor, value, source, priority, rationale, recommendation linkage, and version that produced the result. This supports safer use in a lying-in clinic, where the software must help a midwife recognize patients who require closer review or referral without presenting itself as an autonomous diagnostic authority.</w:t>
      </w:r>
    </w:p>
    <w:p>
      <w:pPr>
        <w:pStyle w:val="BodyText"/>
      </w:pPr>
      <w:r>
        <w:t>Part 4 will extend this foundation to Machine Learning Explainability. It will define how the Random Forest component is described, bounded, versioned, evaluated, and communicated; how model HIGH and LOW outputs are interpreted; how uncertainty and limitations are presented; and how the system avoids misleading feature-attribution or confidence claims.</w:t>
      </w:r>
    </w:p>
    <w:p>
      <w:pPr>
        <w:pStyle w:val="Heading1"/>
      </w:pPr>
      <w:r>
        <w:t>References</w:t>
      </w:r>
    </w:p>
    <w:p>
      <w:pPr>
        <w:pStyle w:val="BodyText"/>
      </w:pPr>
      <w:r>
        <w:t>1. World Health Organization. WHO recommendations on antenatal care for a positive pregnancy experience. Geneva: WHO; 2016.</w:t>
      </w:r>
    </w:p>
    <w:p>
      <w:pPr>
        <w:pStyle w:val="BodyText"/>
      </w:pPr>
      <w:r>
        <w:t>2. World Health Organization. Ethics and governance of artificial intelligence for health: WHO guidance. Geneva: WHO; 2021.</w:t>
      </w:r>
    </w:p>
    <w:p>
      <w:pPr>
        <w:pStyle w:val="BodyText"/>
      </w:pPr>
      <w:r>
        <w:t>3. Phillips PJ, Hahn CA, Fontana PC, et al. Four Principles of Explainable Artificial Intelligence. NISTIR 8312. National Institute of Standards and Technology; 2021.</w:t>
      </w:r>
    </w:p>
    <w:p>
      <w:pPr>
        <w:pStyle w:val="BodyText"/>
      </w:pPr>
      <w:r>
        <w:t>4. National Institute of Standards and Technology. Artificial Intelligence Risk Management Framework (AI RMF 1.0). NIST AI 100-1; 2023.</w:t>
      </w:r>
    </w:p>
    <w:p>
      <w:pPr>
        <w:pStyle w:val="BodyText"/>
      </w:pPr>
      <w:r>
        <w:t>5. U.S. Food and Drug Administration. Clinical Decision Support Software: Guidance for Industry and FDA Staff. Final Guidance; January 2026.</w:t>
      </w:r>
    </w:p>
    <w:p>
      <w:pPr>
        <w:pStyle w:val="BodyText"/>
      </w:pPr>
      <w:r>
        <w:t>6. American College of Obstetricians and Gynecologists. Clinical guidance resources concerning hypertensive disorders of pregnancy, gestational diabetes, anemia, breech presentation, previous cesarean delivery, and recurrent pregnancy loss. Accessed July 2026.</w:t>
      </w:r>
    </w:p>
    <w:p>
      <w:pPr>
        <w:pStyle w:val="BodyText"/>
      </w:pPr>
      <w:r>
        <w:t>7. Document 1: Clinical Knowledge Base, Parts 2–12. Capstone internal evidence specification.</w:t>
      </w:r>
    </w:p>
    <w:p>
      <w:pPr>
        <w:pStyle w:val="BodyText"/>
      </w:pPr>
      <w:r>
        <w:t>8. Document 4: Clinical Evidence Specification, Parts 1–12. Capstone internal evidence synthesis.</w:t>
      </w:r>
    </w:p>
    <w:p>
      <w:pPr>
        <w:pStyle w:val="BodyText"/>
      </w:pPr>
      <w:r>
        <w:t>9. Document 5: Risk Framework, Parts 1–8. Capstone risk architecture.</w:t>
      </w:r>
    </w:p>
    <w:p>
      <w:pPr>
        <w:pStyle w:val="BodyText"/>
      </w:pPr>
      <w:r>
        <w:t>10. Document 6 Part 3: Assessment Engine Architecture; Part 4: Explainability Engine Architecture; Part 5: Recommendation Engine Architecture.</w:t>
      </w:r>
    </w:p>
    <w:p>
      <w:pPr>
        <w:pStyle w:val="BodyText"/>
      </w:pPr>
      <w:r>
        <w:t>11. Document 7 Part 1: Explainability Philosophy and Clinical Transparency; Part 2: Explainability Framework Architecture.</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color w:val="595959"/>
      </w:rPr>
      <w:t>Document 7 - Part 2 | Page </w:t>
    </w:r>
    <w:r>
      <w:rPr>
        <w:sz w:val="16"/>
        <w:color w:val="595959"/>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DOCUMENT 7 | EXPLAINABILITY FRAMEWORK</w:t>
    </w:r>
  </w:p>
  <w:p>
    <w:pPr>
      <w:spacing w:after="0"/>
      <w:jc w:val="center"/>
    </w:pPr>
    <w:r>
      <w:rPr>
        <w:color w:val="595959"/>
        <w:sz w:val="16"/>
      </w:rPr>
      <w:t>Part 2 - Explainability Framework Architecture | Laravel + Python maternity CDSS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F6F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7 Part 2 - Explainability Framework Architecture</dc:title>
  <dc:subject>Explainability architecture for a Laravel and Python maternity CDSS</dc:subject>
  <dc:creator>python-docx</dc:creator>
  <cp:keywords>CDSS, explainability, XAI, maternity, Laravel, Python, Random Forest, clinical transparency</cp:keywords>
  <dc:description>Prepared as a system-specific capstone architecture specification.</dc:description>
  <cp:lastModifiedBy/>
  <cp:revision>1</cp:revision>
  <dcterms:created xsi:type="dcterms:W3CDTF">2013-12-23T23:15:00Z</dcterms:created>
  <dcterms:modified xsi:type="dcterms:W3CDTF">2013-12-23T23:15:00Z</dcterms:modified>
  <cp:category/>
</cp:coreProperties>
</file>