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595959"/>
          <w:sz w:val="26"/>
        </w:rPr>
        <w:t>DOCUMENT 7</w:t>
      </w:r>
    </w:p>
    <w:p>
      <w:pPr>
        <w:jc w:val="center"/>
      </w:pPr>
      <w:r>
        <w:rPr>
          <w:rFonts w:ascii="Aptos Display" w:hAnsi="Aptos Display"/>
          <w:b/>
          <w:color w:val="1F4E79"/>
          <w:sz w:val="52"/>
        </w:rPr>
        <w:t>Explainability Framework</w:t>
      </w:r>
    </w:p>
    <w:p>
      <w:pPr>
        <w:spacing w:before="200"/>
        <w:jc w:val="center"/>
      </w:pPr>
      <w:r>
        <w:rPr>
          <w:b/>
          <w:color w:val="2F75B5"/>
          <w:sz w:val="26"/>
        </w:rPr>
        <w:t>PART 6</w:t>
      </w:r>
    </w:p>
    <w:p>
      <w:pPr>
        <w:jc w:val="center"/>
      </w:pPr>
      <w:r>
        <w:rPr>
          <w:rFonts w:ascii="Aptos Display" w:hAnsi="Aptos Display"/>
          <w:b/>
          <w:color w:val="595959"/>
          <w:sz w:val="38"/>
        </w:rPr>
        <w:t>Explainability Quality Evaluation</w:t>
      </w:r>
    </w:p>
    <w:p>
      <w:pPr>
        <w:spacing w:before="160"/>
        <w:jc w:val="center"/>
      </w:pPr>
      <w:r>
        <w:rPr>
          <w:color w:val="595959"/>
          <w:sz w:val="22"/>
        </w:rPr>
        <w:t>Evaluation Dimensions, Metrics, Test Protocols, Human Review,</w:t>
        <w:br/>
        <w:t>Acceptance Criteria, Monitoring, and Continuous Improvement</w:t>
      </w:r>
    </w:p>
    <w:p/>
    <w:p/>
    <w:p/>
    <w:p>
      <w:pPr>
        <w:jc w:val="center"/>
      </w:pPr>
      <w:r>
        <w:rPr>
          <w:b/>
          <w:color w:val="1F4E79"/>
          <w:sz w:val="22"/>
        </w:rPr>
        <w:t>Capstone Project</w:t>
      </w:r>
    </w:p>
    <w:p>
      <w:pPr>
        <w:jc w:val="center"/>
      </w:pPr>
      <w:r>
        <w:rPr>
          <w:sz w:val="24"/>
        </w:rPr>
        <w:t>Development of an Explainable Clinical Decision Support System (CDSS)</w:t>
        <w:br/>
        <w:t>for a Web-Based Maternity Management System in a Philippine Lying-in Clinic</w:t>
      </w:r>
    </w:p>
    <w:p/>
    <w:p/>
    <w:p/>
    <w:p>
      <w:pPr>
        <w:jc w:val="center"/>
      </w:pPr>
      <w:r>
        <w:rPr>
          <w:i/>
          <w:color w:val="595959"/>
          <w:sz w:val="18"/>
        </w:rPr>
        <w:t>System-specific explainability quality specification | July 2026</w:t>
      </w:r>
    </w:p>
    <w:p>
      <w:r>
        <w:br w:type="page"/>
      </w:r>
    </w:p>
    <w:p>
      <w:pPr>
        <w:pStyle w:val="Heading1"/>
        <w:keepNext/>
      </w:pPr>
      <w:r>
        <w:t>Executive Summary</w:t>
      </w:r>
    </w:p>
    <w:p>
      <w:pPr>
        <w:pStyle w:val="BodyText"/>
      </w:pPr>
      <w:r>
        <w:t>Part 6 defines how the maternity Clinical Decision Support System evaluates whether its explanations are correct, complete, understandable, clinically useful, actionable, traceable, and safe. Prediction accuracy alone is insufficient. A model can predict the expected class while the displayed explanation is missing a decisive rule, references the wrong patient value, uses misleading certainty, omits a required limitation, or presents a recommendation that conflicts with the final assessment. Explainability quality is therefore treated as an independently testable system property.</w:t>
      </w:r>
    </w:p>
    <w:p>
      <w:pPr>
        <w:pStyle w:val="BodyText"/>
      </w:pPr>
      <w:r>
        <w:t>The evaluation framework combines automated conformance tests, scenario-based verification, clinician review, user comprehension testing, audit reconstruction, and operational monitoring. It evaluates the complete explanation chain: source data, normalized evidence, deterministic rules, Random Forest contribution, final HIGH/LOW/ASSESSMENT INCOMPLETE state, recommendation, audience projection, web display, printed referral, notification, and audit record. The framework is proportional to the project context: the lying-in clinic remains responsible for professional judgment and referral, while the CDSS supports rather than replaces care decisions.</w:t>
      </w:r>
    </w:p>
    <w:p>
      <w:pPr>
        <w:pStyle w:val="BodyText"/>
      </w:pPr>
      <w:r>
        <w:t>Nine core quality dimensions are specified: fidelity, completeness, consistency, understandability, clinical relevance, actionability, uncertainty disclosure, traceability, and robustness. Each dimension has evidence requirements, measurable indicators, acceptance thresholds, failure severity, and ownership. Safety-critical failures block release. Examples include a HIGH result without its triggering reason, LOW despite a deterministic HIGH rule, an INCOMPLETE explanation that names the wrong missing record, a patient message implying diagnosis, and any explanation that cannot be reconstructed from its source records and versions.</w:t>
      </w:r>
    </w:p>
    <w:p>
      <w:pPr>
        <w:pStyle w:val="BodyText"/>
      </w:pPr>
      <w:r>
        <w:t>The chapter also establishes 35 end-to-end verification scenarios, human-evaluation instruments, readability and comprehension procedures, test data governance, regression testing, production metrics, incident handling, and a continuous-improvement cycle. The design follows WHO principles for safety, transparency, accountability, and human autonomy; NIST guidance on explainability and AI test, evaluation, validation, and verification; FDA expectations that healthcare professionals can independently review the basis of CDS recommendations; and AHRQ/CDC communication practices for making health information understandable and actionable.</w:t>
      </w:r>
    </w:p>
    <w:p>
      <w:pPr>
        <w:pStyle w:val="Heading1"/>
        <w:keepNext/>
      </w:pPr>
      <w:r>
        <w:t>1. Purpose, Scope, and Evaluation Position</w:t>
      </w:r>
    </w:p>
    <w:p>
      <w:pPr>
        <w:pStyle w:val="Heading2"/>
        <w:keepNext/>
      </w:pPr>
      <w:r>
        <w:t>1.1 Purpose</w:t>
      </w:r>
    </w:p>
    <w:p>
      <w:pPr>
        <w:pStyle w:val="BodyText"/>
      </w:pPr>
      <w:r>
        <w:t>The purpose of explainability quality evaluation is to determine whether the explanation layer faithfully communicates the actual basis, meaning, limits, and required action of each CDSS assessment. Evaluation must answer not only whether the explanation exists, but whether it is the correct explanation for this patient, this assessment, this point in time, and this audience.</w:t>
      </w:r>
    </w:p>
    <w:p>
      <w:pPr>
        <w:pStyle w:val="Heading2"/>
        <w:keepNext/>
      </w:pPr>
      <w:r>
        <w:t>1.2 Relationship to Parts 1-5</w:t>
      </w:r>
    </w:p>
    <w:p>
      <w:pPr>
        <w:pStyle w:val="BodyText"/>
      </w:pPr>
      <w:r>
        <w:t>Parts 1-5 define the philosophy, architecture, deterministic reasons, machine-learning contribution, and audience-specific presentation of explanations. Part 6 evaluates those specifications. It does not introduce new risk rules or modify the Random Forest model. It verifies that implemented behavior conforms to the approved explanation contract and remains fit for use after code, data, template, or workflow changes.</w:t>
      </w:r>
    </w:p>
    <w:p>
      <w:pPr>
        <w:pStyle w:val="Heading2"/>
        <w:keepNext/>
      </w:pPr>
      <w:r>
        <w:t>1.3 In scope</w:t>
      </w:r>
    </w:p>
    <w:p>
      <w:pPr>
        <w:pStyle w:val="ListBullet"/>
      </w:pPr>
      <w:r>
        <w:t>Automated unit, integration, contract, regression, and end-to-end testing of explanations.</w:t>
      </w:r>
    </w:p>
    <w:p>
      <w:pPr>
        <w:pStyle w:val="ListBullet"/>
      </w:pPr>
      <w:r>
        <w:t>Clinical review of reason accuracy, relevance, prioritization, and recommended actions.</w:t>
      </w:r>
    </w:p>
    <w:p>
      <w:pPr>
        <w:pStyle w:val="ListBullet"/>
      </w:pPr>
      <w:r>
        <w:t>User evaluation of comprehension, usefulness, workload, and safe reliance.</w:t>
      </w:r>
    </w:p>
    <w:p>
      <w:pPr>
        <w:pStyle w:val="ListBullet"/>
      </w:pPr>
      <w:r>
        <w:t>Readability and plain-language assessment for patient-facing text.</w:t>
      </w:r>
    </w:p>
    <w:p>
      <w:pPr>
        <w:pStyle w:val="ListBullet"/>
      </w:pPr>
      <w:r>
        <w:t>Consistency across Laravel views, printed referrals, email notifications, and audit records.</w:t>
      </w:r>
    </w:p>
    <w:p>
      <w:pPr>
        <w:pStyle w:val="ListBullet"/>
      </w:pPr>
      <w:r>
        <w:t>Failure testing for missing data, malformed model output, timeouts, stale values, duplicates, and version mismatch.</w:t>
      </w:r>
    </w:p>
    <w:p>
      <w:pPr>
        <w:pStyle w:val="ListBullet"/>
      </w:pPr>
      <w:r>
        <w:t>Monitoring metrics, quality thresholds, release gates, incident response, and continuous improvement.</w:t>
      </w:r>
    </w:p>
    <w:p>
      <w:pPr>
        <w:pStyle w:val="Heading2"/>
        <w:keepNext/>
      </w:pPr>
      <w:r>
        <w:t>1.4 Out of scope</w:t>
      </w:r>
    </w:p>
    <w:p>
      <w:pPr>
        <w:pStyle w:val="ListBullet"/>
      </w:pPr>
      <w:r>
        <w:t>Proving clinical effectiveness or improved maternal outcomes without an appropriate clinical study.</w:t>
      </w:r>
    </w:p>
    <w:p>
      <w:pPr>
        <w:pStyle w:val="ListBullet"/>
      </w:pPr>
      <w:r>
        <w:t>Treating readability scores as proof of understanding.</w:t>
      </w:r>
    </w:p>
    <w:p>
      <w:pPr>
        <w:pStyle w:val="ListBullet"/>
      </w:pPr>
      <w:r>
        <w:t>Using explanation quality to compensate for an invalid model or unsafe rule.</w:t>
      </w:r>
    </w:p>
    <w:p>
      <w:pPr>
        <w:pStyle w:val="ListBullet"/>
      </w:pPr>
      <w:r>
        <w:t>Claiming regulatory approval or compliance solely because the framework references international guidance.</w:t>
      </w:r>
    </w:p>
    <w:p>
      <w:pPr>
        <w:pStyle w:val="ListBullet"/>
      </w:pPr>
      <w:r>
        <w:t>Allowing a test score to replace clinical review, local validation, or human oversight.</w:t>
      </w:r>
    </w:p>
    <w:tbl>
      <w:tblPr>
        <w:tblStyle w:val="TableGrid"/>
        <w:tblW w:type="auto" w:w="0"/>
        <w:jc w:val="center"/>
        <w:tblLook w:firstColumn="1" w:firstRow="1" w:lastColumn="0" w:lastRow="0" w:noHBand="0" w:noVBand="1" w:val="04A0"/>
      </w:tblPr>
      <w:tblGrid>
        <w:gridCol w:w="10080"/>
      </w:tblGrid>
      <w:tr>
        <w:tc>
          <w:tcPr>
            <w:tcW w:type="dxa" w:w="10080"/>
            <w:shd w:fill="D9EAF7"/>
            <w:tcMar>
              <w:top w:w="140" w:type="dxa"/>
              <w:start w:w="160" w:type="dxa"/>
              <w:bottom w:w="140" w:type="dxa"/>
              <w:end w:w="160" w:type="dxa"/>
            </w:tcMar>
          </w:tcPr>
          <w:p>
            <w:r>
              <w:rPr>
                <w:b/>
                <w:color w:val="1F4E79"/>
              </w:rPr>
              <w:t>Evaluation invariant</w:t>
            </w:r>
            <w:r>
              <w:br/>
              <w:t>An explanation passes only when the decision, reasons, patient-specific evidence, limitations, recommendation, audience wording, and audit provenance all agree. A correct final label with an incorrect explanation is a failed assessment artifact.</w:t>
            </w:r>
          </w:p>
        </w:tc>
      </w:tr>
    </w:tbl>
    <w:p>
      <w:pPr>
        <w:spacing w:after="0"/>
      </w:pPr>
    </w:p>
    <w:p>
      <w:pPr>
        <w:pStyle w:val="Heading1"/>
        <w:keepNext/>
      </w:pPr>
      <w:r>
        <w:t>2. Conceptual Separation of Evaluation Targets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6"/>
              </w:rPr>
              <w:t>Evaluation target</w:t>
            </w:r>
          </w:p>
        </w:tc>
        <w:tc>
          <w:tcPr>
            <w:tcW w:type="dxa" w:w="3312"/>
            <w:shd w:fill="1F4E79"/>
            <w:tcMar>
              <w:top w:w="90" w:type="dxa"/>
              <w:start w:w="90" w:type="dxa"/>
              <w:bottom w:w="90" w:type="dxa"/>
              <w:end w:w="90" w:type="dxa"/>
            </w:tcMar>
            <w:vAlign w:val="center"/>
          </w:tcPr>
          <w:p>
            <w:pPr>
              <w:jc w:val="center"/>
            </w:pPr>
            <w:r>
              <w:rPr>
                <w:b/>
                <w:color w:val="FFFFFF"/>
                <w:sz w:val="16"/>
              </w:rPr>
              <w:t>Primary question</w:t>
            </w:r>
          </w:p>
        </w:tc>
        <w:tc>
          <w:tcPr>
            <w:tcW w:type="dxa" w:w="3672"/>
            <w:shd w:fill="1F4E79"/>
            <w:tcMar>
              <w:top w:w="90" w:type="dxa"/>
              <w:start w:w="90" w:type="dxa"/>
              <w:bottom w:w="90" w:type="dxa"/>
              <w:end w:w="90" w:type="dxa"/>
            </w:tcMar>
            <w:vAlign w:val="center"/>
          </w:tcPr>
          <w:p>
            <w:pPr>
              <w:jc w:val="center"/>
            </w:pPr>
            <w:r>
              <w:rPr>
                <w:b/>
                <w:color w:val="FFFFFF"/>
                <w:sz w:val="16"/>
              </w:rPr>
              <w:t>Typical evidence</w:t>
            </w:r>
          </w:p>
        </w:tc>
      </w:tr>
      <w:tr>
        <w:tc>
          <w:tcPr>
            <w:tcW w:type="dxa" w:w="2232"/>
            <w:tcMar>
              <w:top w:w="90" w:type="dxa"/>
              <w:start w:w="90" w:type="dxa"/>
              <w:bottom w:w="90" w:type="dxa"/>
              <w:end w:w="90" w:type="dxa"/>
            </w:tcMar>
            <w:vAlign w:val="top"/>
          </w:tcPr>
          <w:p>
            <w:pPr>
              <w:pStyle w:val="BodyText"/>
              <w:spacing w:after="0"/>
            </w:pPr>
            <w:r>
              <w:rPr>
                <w:sz w:val="16"/>
              </w:rPr>
              <w:t>Clinical rule validity</w:t>
            </w:r>
          </w:p>
        </w:tc>
        <w:tc>
          <w:tcPr>
            <w:tcW w:type="dxa" w:w="3312"/>
            <w:tcMar>
              <w:top w:w="90" w:type="dxa"/>
              <w:start w:w="90" w:type="dxa"/>
              <w:bottom w:w="90" w:type="dxa"/>
              <w:end w:w="90" w:type="dxa"/>
            </w:tcMar>
            <w:vAlign w:val="top"/>
          </w:tcPr>
          <w:p>
            <w:pPr>
              <w:pStyle w:val="BodyText"/>
              <w:spacing w:after="0"/>
            </w:pPr>
            <w:r>
              <w:rPr>
                <w:sz w:val="16"/>
              </w:rPr>
              <w:t>Are the configured rules and thresholds clinically justified for the intended use?</w:t>
            </w:r>
          </w:p>
        </w:tc>
        <w:tc>
          <w:tcPr>
            <w:tcW w:type="dxa" w:w="3672"/>
            <w:tcMar>
              <w:top w:w="90" w:type="dxa"/>
              <w:start w:w="90" w:type="dxa"/>
              <w:bottom w:w="90" w:type="dxa"/>
              <w:end w:w="90" w:type="dxa"/>
            </w:tcMar>
            <w:vAlign w:val="top"/>
          </w:tcPr>
          <w:p>
            <w:pPr>
              <w:pStyle w:val="BodyText"/>
              <w:spacing w:after="0"/>
            </w:pPr>
            <w:r>
              <w:rPr>
                <w:sz w:val="16"/>
              </w:rPr>
              <w:t>Evidence review, clinical adviser approval, versioned knowledge base.</w:t>
            </w:r>
          </w:p>
        </w:tc>
      </w:tr>
      <w:tr>
        <w:tc>
          <w:tcPr>
            <w:tcW w:type="dxa" w:w="2232"/>
            <w:tcMar>
              <w:top w:w="90" w:type="dxa"/>
              <w:start w:w="90" w:type="dxa"/>
              <w:bottom w:w="90" w:type="dxa"/>
              <w:end w:w="90" w:type="dxa"/>
            </w:tcMar>
            <w:vAlign w:val="top"/>
            <w:shd w:fill="F8FBFD"/>
          </w:tcPr>
          <w:p>
            <w:pPr>
              <w:pStyle w:val="BodyText"/>
              <w:spacing w:after="0"/>
            </w:pPr>
            <w:r>
              <w:rPr>
                <w:sz w:val="16"/>
              </w:rPr>
              <w:t>Model performance</w:t>
            </w:r>
          </w:p>
        </w:tc>
        <w:tc>
          <w:tcPr>
            <w:tcW w:type="dxa" w:w="3312"/>
            <w:tcMar>
              <w:top w:w="90" w:type="dxa"/>
              <w:start w:w="90" w:type="dxa"/>
              <w:bottom w:w="90" w:type="dxa"/>
              <w:end w:w="90" w:type="dxa"/>
            </w:tcMar>
            <w:vAlign w:val="top"/>
            <w:shd w:fill="F8FBFD"/>
          </w:tcPr>
          <w:p>
            <w:pPr>
              <w:pStyle w:val="BodyText"/>
              <w:spacing w:after="0"/>
            </w:pPr>
            <w:r>
              <w:rPr>
                <w:sz w:val="16"/>
              </w:rPr>
              <w:t>How reliably does the Random Forest classify data in its validated test context?</w:t>
            </w:r>
          </w:p>
        </w:tc>
        <w:tc>
          <w:tcPr>
            <w:tcW w:type="dxa" w:w="3672"/>
            <w:tcMar>
              <w:top w:w="90" w:type="dxa"/>
              <w:start w:w="90" w:type="dxa"/>
              <w:bottom w:w="90" w:type="dxa"/>
              <w:end w:w="90" w:type="dxa"/>
            </w:tcMar>
            <w:vAlign w:val="top"/>
            <w:shd w:fill="F8FBFD"/>
          </w:tcPr>
          <w:p>
            <w:pPr>
              <w:pStyle w:val="BodyText"/>
              <w:spacing w:after="0"/>
            </w:pPr>
            <w:r>
              <w:rPr>
                <w:sz w:val="16"/>
              </w:rPr>
              <w:t>Accuracy, sensitivity/recall, specificity, precision, F1, confusion matrix, calibration if available.</w:t>
            </w:r>
          </w:p>
        </w:tc>
      </w:tr>
      <w:tr>
        <w:tc>
          <w:tcPr>
            <w:tcW w:type="dxa" w:w="2232"/>
            <w:tcMar>
              <w:top w:w="90" w:type="dxa"/>
              <w:start w:w="90" w:type="dxa"/>
              <w:bottom w:w="90" w:type="dxa"/>
              <w:end w:w="90" w:type="dxa"/>
            </w:tcMar>
            <w:vAlign w:val="top"/>
          </w:tcPr>
          <w:p>
            <w:pPr>
              <w:pStyle w:val="BodyText"/>
              <w:spacing w:after="0"/>
            </w:pPr>
            <w:r>
              <w:rPr>
                <w:sz w:val="16"/>
              </w:rPr>
              <w:t>Decision-engine correctness</w:t>
            </w:r>
          </w:p>
        </w:tc>
        <w:tc>
          <w:tcPr>
            <w:tcW w:type="dxa" w:w="3312"/>
            <w:tcMar>
              <w:top w:w="90" w:type="dxa"/>
              <w:start w:w="90" w:type="dxa"/>
              <w:bottom w:w="90" w:type="dxa"/>
              <w:end w:w="90" w:type="dxa"/>
            </w:tcMar>
            <w:vAlign w:val="top"/>
          </w:tcPr>
          <w:p>
            <w:pPr>
              <w:pStyle w:val="BodyText"/>
              <w:spacing w:after="0"/>
            </w:pPr>
            <w:r>
              <w:rPr>
                <w:sz w:val="16"/>
              </w:rPr>
              <w:t>Does the hybrid engine apply completeness, rule override, and ML logic exactly as specified?</w:t>
            </w:r>
          </w:p>
        </w:tc>
        <w:tc>
          <w:tcPr>
            <w:tcW w:type="dxa" w:w="3672"/>
            <w:tcMar>
              <w:top w:w="90" w:type="dxa"/>
              <w:start w:w="90" w:type="dxa"/>
              <w:bottom w:w="90" w:type="dxa"/>
              <w:end w:w="90" w:type="dxa"/>
            </w:tcMar>
            <w:vAlign w:val="top"/>
          </w:tcPr>
          <w:p>
            <w:pPr>
              <w:pStyle w:val="BodyText"/>
              <w:spacing w:after="0"/>
            </w:pPr>
            <w:r>
              <w:rPr>
                <w:sz w:val="16"/>
              </w:rPr>
              <w:t>Unit and integration tests against the decision matrix.</w:t>
            </w:r>
          </w:p>
        </w:tc>
      </w:tr>
      <w:tr>
        <w:tc>
          <w:tcPr>
            <w:tcW w:type="dxa" w:w="2232"/>
            <w:tcMar>
              <w:top w:w="90" w:type="dxa"/>
              <w:start w:w="90" w:type="dxa"/>
              <w:bottom w:w="90" w:type="dxa"/>
              <w:end w:w="90" w:type="dxa"/>
            </w:tcMar>
            <w:vAlign w:val="top"/>
            <w:shd w:fill="F8FBFD"/>
          </w:tcPr>
          <w:p>
            <w:pPr>
              <w:pStyle w:val="BodyText"/>
              <w:spacing w:after="0"/>
            </w:pPr>
            <w:r>
              <w:rPr>
                <w:sz w:val="16"/>
              </w:rPr>
              <w:t>Explanation correctness</w:t>
            </w:r>
          </w:p>
        </w:tc>
        <w:tc>
          <w:tcPr>
            <w:tcW w:type="dxa" w:w="3312"/>
            <w:tcMar>
              <w:top w:w="90" w:type="dxa"/>
              <w:start w:w="90" w:type="dxa"/>
              <w:bottom w:w="90" w:type="dxa"/>
              <w:end w:w="90" w:type="dxa"/>
            </w:tcMar>
            <w:vAlign w:val="top"/>
            <w:shd w:fill="F8FBFD"/>
          </w:tcPr>
          <w:p>
            <w:pPr>
              <w:pStyle w:val="BodyText"/>
              <w:spacing w:after="0"/>
            </w:pPr>
            <w:r>
              <w:rPr>
                <w:sz w:val="16"/>
              </w:rPr>
              <w:t>Does the explanation faithfully describe the actual basis of this result?</w:t>
            </w:r>
          </w:p>
        </w:tc>
        <w:tc>
          <w:tcPr>
            <w:tcW w:type="dxa" w:w="3672"/>
            <w:tcMar>
              <w:top w:w="90" w:type="dxa"/>
              <w:start w:w="90" w:type="dxa"/>
              <w:bottom w:w="90" w:type="dxa"/>
              <w:end w:w="90" w:type="dxa"/>
            </w:tcMar>
            <w:vAlign w:val="top"/>
            <w:shd w:fill="F8FBFD"/>
          </w:tcPr>
          <w:p>
            <w:pPr>
              <w:pStyle w:val="BodyText"/>
              <w:spacing w:after="0"/>
            </w:pPr>
            <w:r>
              <w:rPr>
                <w:sz w:val="16"/>
              </w:rPr>
              <w:t>Reason-to-evidence assertions, source-field checks, version checks.</w:t>
            </w:r>
          </w:p>
        </w:tc>
      </w:tr>
      <w:tr>
        <w:tc>
          <w:tcPr>
            <w:tcW w:type="dxa" w:w="2232"/>
            <w:tcMar>
              <w:top w:w="90" w:type="dxa"/>
              <w:start w:w="90" w:type="dxa"/>
              <w:bottom w:w="90" w:type="dxa"/>
              <w:end w:w="90" w:type="dxa"/>
            </w:tcMar>
            <w:vAlign w:val="top"/>
          </w:tcPr>
          <w:p>
            <w:pPr>
              <w:pStyle w:val="BodyText"/>
              <w:spacing w:after="0"/>
            </w:pPr>
            <w:r>
              <w:rPr>
                <w:sz w:val="16"/>
              </w:rPr>
              <w:t>Human usefulness</w:t>
            </w:r>
          </w:p>
        </w:tc>
        <w:tc>
          <w:tcPr>
            <w:tcW w:type="dxa" w:w="3312"/>
            <w:tcMar>
              <w:top w:w="90" w:type="dxa"/>
              <w:start w:w="90" w:type="dxa"/>
              <w:bottom w:w="90" w:type="dxa"/>
              <w:end w:w="90" w:type="dxa"/>
            </w:tcMar>
            <w:vAlign w:val="top"/>
          </w:tcPr>
          <w:p>
            <w:pPr>
              <w:pStyle w:val="BodyText"/>
              <w:spacing w:after="0"/>
            </w:pPr>
            <w:r>
              <w:rPr>
                <w:sz w:val="16"/>
              </w:rPr>
              <w:t>Can the intended user understand and safely act on the explanation?</w:t>
            </w:r>
          </w:p>
        </w:tc>
        <w:tc>
          <w:tcPr>
            <w:tcW w:type="dxa" w:w="3672"/>
            <w:tcMar>
              <w:top w:w="90" w:type="dxa"/>
              <w:start w:w="90" w:type="dxa"/>
              <w:bottom w:w="90" w:type="dxa"/>
              <w:end w:w="90" w:type="dxa"/>
            </w:tcMar>
            <w:vAlign w:val="top"/>
          </w:tcPr>
          <w:p>
            <w:pPr>
              <w:pStyle w:val="BodyText"/>
              <w:spacing w:after="0"/>
            </w:pPr>
            <w:r>
              <w:rPr>
                <w:sz w:val="16"/>
              </w:rPr>
              <w:t>Comprehension, task success, interview, observation, usability findings.</w:t>
            </w:r>
          </w:p>
        </w:tc>
      </w:tr>
      <w:tr>
        <w:tc>
          <w:tcPr>
            <w:tcW w:type="dxa" w:w="2232"/>
            <w:tcMar>
              <w:top w:w="90" w:type="dxa"/>
              <w:start w:w="90" w:type="dxa"/>
              <w:bottom w:w="90" w:type="dxa"/>
              <w:end w:w="90" w:type="dxa"/>
            </w:tcMar>
            <w:vAlign w:val="top"/>
            <w:shd w:fill="F8FBFD"/>
          </w:tcPr>
          <w:p>
            <w:pPr>
              <w:pStyle w:val="BodyText"/>
              <w:spacing w:after="0"/>
            </w:pPr>
            <w:r>
              <w:rPr>
                <w:sz w:val="16"/>
              </w:rPr>
              <w:t>Operational quality</w:t>
            </w:r>
          </w:p>
        </w:tc>
        <w:tc>
          <w:tcPr>
            <w:tcW w:type="dxa" w:w="3312"/>
            <w:tcMar>
              <w:top w:w="90" w:type="dxa"/>
              <w:start w:w="90" w:type="dxa"/>
              <w:bottom w:w="90" w:type="dxa"/>
              <w:end w:w="90" w:type="dxa"/>
            </w:tcMar>
            <w:vAlign w:val="top"/>
            <w:shd w:fill="F8FBFD"/>
          </w:tcPr>
          <w:p>
            <w:pPr>
              <w:pStyle w:val="BodyText"/>
              <w:spacing w:after="0"/>
            </w:pPr>
            <w:r>
              <w:rPr>
                <w:sz w:val="16"/>
              </w:rPr>
              <w:t>Does the explanation remain available, current, consistent, and auditable in real workflows?</w:t>
            </w:r>
          </w:p>
        </w:tc>
        <w:tc>
          <w:tcPr>
            <w:tcW w:type="dxa" w:w="3672"/>
            <w:tcMar>
              <w:top w:w="90" w:type="dxa"/>
              <w:start w:w="90" w:type="dxa"/>
              <w:bottom w:w="90" w:type="dxa"/>
              <w:end w:w="90" w:type="dxa"/>
            </w:tcMar>
            <w:vAlign w:val="top"/>
            <w:shd w:fill="F8FBFD"/>
          </w:tcPr>
          <w:p>
            <w:pPr>
              <w:pStyle w:val="BodyText"/>
              <w:spacing w:after="0"/>
            </w:pPr>
            <w:r>
              <w:rPr>
                <w:sz w:val="16"/>
              </w:rPr>
              <w:t>Monitoring, incident logs, print comparisons, audit reconstruction.</w:t>
            </w:r>
          </w:p>
        </w:tc>
      </w:tr>
    </w:tbl>
    <w:p>
      <w:pPr>
        <w:spacing w:after="0"/>
      </w:pPr>
    </w:p>
    <w:p>
      <w:pPr>
        <w:pStyle w:val="BodyText"/>
      </w:pPr>
      <w:r>
        <w:t>These targets interact but are not interchangeable. High model accuracy does not prove explanation correctness. A readable patient message does not prove clinical validity. A correct rule explanation does not prove that a midwife interpreted it appropriately. Each target therefore requires evidence suited to its own question.</w:t>
      </w:r>
    </w:p>
    <w:p>
      <w:pPr>
        <w:pStyle w:val="Heading1"/>
        <w:keepNext/>
      </w:pPr>
      <w:r>
        <w:t>3. Explainability Quality Model</w:t>
      </w:r>
    </w:p>
    <w:p>
      <w:pPr>
        <w:pStyle w:val="Heading2"/>
        <w:keepNext/>
      </w:pPr>
      <w:r>
        <w:t>3.1 Core quality dimensions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88"/>
            <w:shd w:fill="1F4E79"/>
            <w:tcMar>
              <w:top w:w="90" w:type="dxa"/>
              <w:start w:w="90" w:type="dxa"/>
              <w:bottom w:w="90" w:type="dxa"/>
              <w:end w:w="90" w:type="dxa"/>
            </w:tcMar>
            <w:vAlign w:val="center"/>
          </w:tcPr>
          <w:p>
            <w:pPr>
              <w:jc w:val="center"/>
            </w:pPr>
            <w:r>
              <w:rPr>
                <w:b/>
                <w:color w:val="FFFFFF"/>
                <w:sz w:val="16"/>
              </w:rPr>
              <w:t>Dimension</w:t>
            </w:r>
          </w:p>
        </w:tc>
        <w:tc>
          <w:tcPr>
            <w:tcW w:type="dxa" w:w="3816"/>
            <w:shd w:fill="1F4E79"/>
            <w:tcMar>
              <w:top w:w="90" w:type="dxa"/>
              <w:start w:w="90" w:type="dxa"/>
              <w:bottom w:w="90" w:type="dxa"/>
              <w:end w:w="90" w:type="dxa"/>
            </w:tcMar>
            <w:vAlign w:val="center"/>
          </w:tcPr>
          <w:p>
            <w:pPr>
              <w:jc w:val="center"/>
            </w:pPr>
            <w:r>
              <w:rPr>
                <w:b/>
                <w:color w:val="FFFFFF"/>
                <w:sz w:val="16"/>
              </w:rPr>
              <w:t>Definition</w:t>
            </w:r>
          </w:p>
        </w:tc>
        <w:tc>
          <w:tcPr>
            <w:tcW w:type="dxa" w:w="3312"/>
            <w:shd w:fill="1F4E79"/>
            <w:tcMar>
              <w:top w:w="90" w:type="dxa"/>
              <w:start w:w="90" w:type="dxa"/>
              <w:bottom w:w="90" w:type="dxa"/>
              <w:end w:w="90" w:type="dxa"/>
            </w:tcMar>
            <w:vAlign w:val="center"/>
          </w:tcPr>
          <w:p>
            <w:pPr>
              <w:jc w:val="center"/>
            </w:pPr>
            <w:r>
              <w:rPr>
                <w:b/>
                <w:color w:val="FFFFFF"/>
                <w:sz w:val="16"/>
              </w:rPr>
              <w:t>Minimum acceptance evidence</w:t>
            </w:r>
          </w:p>
        </w:tc>
      </w:tr>
      <w:tr>
        <w:tc>
          <w:tcPr>
            <w:tcW w:type="dxa" w:w="2088"/>
            <w:tcMar>
              <w:top w:w="90" w:type="dxa"/>
              <w:start w:w="90" w:type="dxa"/>
              <w:bottom w:w="90" w:type="dxa"/>
              <w:end w:w="90" w:type="dxa"/>
            </w:tcMar>
            <w:vAlign w:val="top"/>
          </w:tcPr>
          <w:p>
            <w:pPr>
              <w:pStyle w:val="BodyText"/>
              <w:spacing w:after="0"/>
            </w:pPr>
            <w:r>
              <w:rPr>
                <w:sz w:val="16"/>
              </w:rPr>
              <w:t>Fidelity</w:t>
            </w:r>
          </w:p>
        </w:tc>
        <w:tc>
          <w:tcPr>
            <w:tcW w:type="dxa" w:w="3816"/>
            <w:tcMar>
              <w:top w:w="90" w:type="dxa"/>
              <w:start w:w="90" w:type="dxa"/>
              <w:bottom w:w="90" w:type="dxa"/>
              <w:end w:w="90" w:type="dxa"/>
            </w:tcMar>
            <w:vAlign w:val="top"/>
          </w:tcPr>
          <w:p>
            <w:pPr>
              <w:pStyle w:val="BodyText"/>
              <w:spacing w:after="0"/>
            </w:pPr>
            <w:r>
              <w:rPr>
                <w:sz w:val="16"/>
              </w:rPr>
              <w:t>The explanation accurately reflects the logic and evidence that produced the final result.</w:t>
            </w:r>
          </w:p>
        </w:tc>
        <w:tc>
          <w:tcPr>
            <w:tcW w:type="dxa" w:w="3312"/>
            <w:tcMar>
              <w:top w:w="90" w:type="dxa"/>
              <w:start w:w="90" w:type="dxa"/>
              <w:bottom w:w="90" w:type="dxa"/>
              <w:end w:w="90" w:type="dxa"/>
            </w:tcMar>
            <w:vAlign w:val="top"/>
          </w:tcPr>
          <w:p>
            <w:pPr>
              <w:pStyle w:val="BodyText"/>
              <w:spacing w:after="0"/>
            </w:pPr>
            <w:r>
              <w:rPr>
                <w:sz w:val="16"/>
              </w:rPr>
              <w:t>Every displayed reason maps to a triggered rule or validated ML contribution; no invented reason.</w:t>
            </w:r>
          </w:p>
        </w:tc>
      </w:tr>
      <w:tr>
        <w:tc>
          <w:tcPr>
            <w:tcW w:type="dxa" w:w="2088"/>
            <w:tcMar>
              <w:top w:w="90" w:type="dxa"/>
              <w:start w:w="90" w:type="dxa"/>
              <w:bottom w:w="90" w:type="dxa"/>
              <w:end w:w="90" w:type="dxa"/>
            </w:tcMar>
            <w:vAlign w:val="top"/>
            <w:shd w:fill="F8FBFD"/>
          </w:tcPr>
          <w:p>
            <w:pPr>
              <w:pStyle w:val="BodyText"/>
              <w:spacing w:after="0"/>
            </w:pPr>
            <w:r>
              <w:rPr>
                <w:sz w:val="16"/>
              </w:rPr>
              <w:t>Completeness</w:t>
            </w:r>
          </w:p>
        </w:tc>
        <w:tc>
          <w:tcPr>
            <w:tcW w:type="dxa" w:w="3816"/>
            <w:tcMar>
              <w:top w:w="90" w:type="dxa"/>
              <w:start w:w="90" w:type="dxa"/>
              <w:bottom w:w="90" w:type="dxa"/>
              <w:end w:w="90" w:type="dxa"/>
            </w:tcMar>
            <w:vAlign w:val="top"/>
            <w:shd w:fill="F8FBFD"/>
          </w:tcPr>
          <w:p>
            <w:pPr>
              <w:pStyle w:val="BodyText"/>
              <w:spacing w:after="0"/>
            </w:pPr>
            <w:r>
              <w:rPr>
                <w:sz w:val="16"/>
              </w:rPr>
              <w:t>All safety-relevant reasons, missing requirements, and limitations required for the audience are present.</w:t>
            </w:r>
          </w:p>
        </w:tc>
        <w:tc>
          <w:tcPr>
            <w:tcW w:type="dxa" w:w="3312"/>
            <w:tcMar>
              <w:top w:w="90" w:type="dxa"/>
              <w:start w:w="90" w:type="dxa"/>
              <w:bottom w:w="90" w:type="dxa"/>
              <w:end w:w="90" w:type="dxa"/>
            </w:tcMar>
            <w:vAlign w:val="top"/>
            <w:shd w:fill="F8FBFD"/>
          </w:tcPr>
          <w:p>
            <w:pPr>
              <w:pStyle w:val="BodyText"/>
              <w:spacing w:after="0"/>
            </w:pPr>
            <w:r>
              <w:rPr>
                <w:sz w:val="16"/>
              </w:rPr>
              <w:t>Required-reason coverage equals 100% for midwife/referral views.</w:t>
            </w:r>
          </w:p>
        </w:tc>
      </w:tr>
      <w:tr>
        <w:tc>
          <w:tcPr>
            <w:tcW w:type="dxa" w:w="2088"/>
            <w:tcMar>
              <w:top w:w="90" w:type="dxa"/>
              <w:start w:w="90" w:type="dxa"/>
              <w:bottom w:w="90" w:type="dxa"/>
              <w:end w:w="90" w:type="dxa"/>
            </w:tcMar>
            <w:vAlign w:val="top"/>
          </w:tcPr>
          <w:p>
            <w:pPr>
              <w:pStyle w:val="BodyText"/>
              <w:spacing w:after="0"/>
            </w:pPr>
            <w:r>
              <w:rPr>
                <w:sz w:val="16"/>
              </w:rPr>
              <w:t>Consistency</w:t>
            </w:r>
          </w:p>
        </w:tc>
        <w:tc>
          <w:tcPr>
            <w:tcW w:type="dxa" w:w="3816"/>
            <w:tcMar>
              <w:top w:w="90" w:type="dxa"/>
              <w:start w:w="90" w:type="dxa"/>
              <w:bottom w:w="90" w:type="dxa"/>
              <w:end w:w="90" w:type="dxa"/>
            </w:tcMar>
            <w:vAlign w:val="top"/>
          </w:tcPr>
          <w:p>
            <w:pPr>
              <w:pStyle w:val="BodyText"/>
              <w:spacing w:after="0"/>
            </w:pPr>
            <w:r>
              <w:rPr>
                <w:sz w:val="16"/>
              </w:rPr>
              <w:t>The explanation agrees with the final status, recommendation, source data, other audience views, and stored audit record.</w:t>
            </w:r>
          </w:p>
        </w:tc>
        <w:tc>
          <w:tcPr>
            <w:tcW w:type="dxa" w:w="3312"/>
            <w:tcMar>
              <w:top w:w="90" w:type="dxa"/>
              <w:start w:w="90" w:type="dxa"/>
              <w:bottom w:w="90" w:type="dxa"/>
              <w:end w:w="90" w:type="dxa"/>
            </w:tcMar>
            <w:vAlign w:val="top"/>
          </w:tcPr>
          <w:p>
            <w:pPr>
              <w:pStyle w:val="BodyText"/>
              <w:spacing w:after="0"/>
            </w:pPr>
            <w:r>
              <w:rPr>
                <w:sz w:val="16"/>
              </w:rPr>
              <w:t>No cross-channel contradiction in automated comparison.</w:t>
            </w:r>
          </w:p>
        </w:tc>
      </w:tr>
      <w:tr>
        <w:tc>
          <w:tcPr>
            <w:tcW w:type="dxa" w:w="2088"/>
            <w:tcMar>
              <w:top w:w="90" w:type="dxa"/>
              <w:start w:w="90" w:type="dxa"/>
              <w:bottom w:w="90" w:type="dxa"/>
              <w:end w:w="90" w:type="dxa"/>
            </w:tcMar>
            <w:vAlign w:val="top"/>
            <w:shd w:fill="F8FBFD"/>
          </w:tcPr>
          <w:p>
            <w:pPr>
              <w:pStyle w:val="BodyText"/>
              <w:spacing w:after="0"/>
            </w:pPr>
            <w:r>
              <w:rPr>
                <w:sz w:val="16"/>
              </w:rPr>
              <w:t>Understandability</w:t>
            </w:r>
          </w:p>
        </w:tc>
        <w:tc>
          <w:tcPr>
            <w:tcW w:type="dxa" w:w="3816"/>
            <w:tcMar>
              <w:top w:w="90" w:type="dxa"/>
              <w:start w:w="90" w:type="dxa"/>
              <w:bottom w:w="90" w:type="dxa"/>
              <w:end w:w="90" w:type="dxa"/>
            </w:tcMar>
            <w:vAlign w:val="top"/>
            <w:shd w:fill="F8FBFD"/>
          </w:tcPr>
          <w:p>
            <w:pPr>
              <w:pStyle w:val="BodyText"/>
              <w:spacing w:after="0"/>
            </w:pPr>
            <w:r>
              <w:rPr>
                <w:sz w:val="16"/>
              </w:rPr>
              <w:t>The intended user can identify what happened, why, what it means, and what to do next.</w:t>
            </w:r>
          </w:p>
        </w:tc>
        <w:tc>
          <w:tcPr>
            <w:tcW w:type="dxa" w:w="3312"/>
            <w:tcMar>
              <w:top w:w="90" w:type="dxa"/>
              <w:start w:w="90" w:type="dxa"/>
              <w:bottom w:w="90" w:type="dxa"/>
              <w:end w:w="90" w:type="dxa"/>
            </w:tcMar>
            <w:vAlign w:val="top"/>
            <w:shd w:fill="F8FBFD"/>
          </w:tcPr>
          <w:p>
            <w:pPr>
              <w:pStyle w:val="BodyText"/>
              <w:spacing w:after="0"/>
            </w:pPr>
            <w:r>
              <w:rPr>
                <w:sz w:val="16"/>
              </w:rPr>
              <w:t>Comprehension and task-success threshold met.</w:t>
            </w:r>
          </w:p>
        </w:tc>
      </w:tr>
      <w:tr>
        <w:tc>
          <w:tcPr>
            <w:tcW w:type="dxa" w:w="2088"/>
            <w:tcMar>
              <w:top w:w="90" w:type="dxa"/>
              <w:start w:w="90" w:type="dxa"/>
              <w:bottom w:w="90" w:type="dxa"/>
              <w:end w:w="90" w:type="dxa"/>
            </w:tcMar>
            <w:vAlign w:val="top"/>
          </w:tcPr>
          <w:p>
            <w:pPr>
              <w:pStyle w:val="BodyText"/>
              <w:spacing w:after="0"/>
            </w:pPr>
            <w:r>
              <w:rPr>
                <w:sz w:val="16"/>
              </w:rPr>
              <w:t>Clinical relevance</w:t>
            </w:r>
          </w:p>
        </w:tc>
        <w:tc>
          <w:tcPr>
            <w:tcW w:type="dxa" w:w="3816"/>
            <w:tcMar>
              <w:top w:w="90" w:type="dxa"/>
              <w:start w:w="90" w:type="dxa"/>
              <w:bottom w:w="90" w:type="dxa"/>
              <w:end w:w="90" w:type="dxa"/>
            </w:tcMar>
            <w:vAlign w:val="top"/>
          </w:tcPr>
          <w:p>
            <w:pPr>
              <w:pStyle w:val="BodyText"/>
              <w:spacing w:after="0"/>
            </w:pPr>
            <w:r>
              <w:rPr>
                <w:sz w:val="16"/>
              </w:rPr>
              <w:t>The explanation prioritizes findings that matter to the assessment and clinic workflow.</w:t>
            </w:r>
          </w:p>
        </w:tc>
        <w:tc>
          <w:tcPr>
            <w:tcW w:type="dxa" w:w="3312"/>
            <w:tcMar>
              <w:top w:w="90" w:type="dxa"/>
              <w:start w:w="90" w:type="dxa"/>
              <w:bottom w:w="90" w:type="dxa"/>
              <w:end w:w="90" w:type="dxa"/>
            </w:tcMar>
            <w:vAlign w:val="top"/>
          </w:tcPr>
          <w:p>
            <w:pPr>
              <w:pStyle w:val="BodyText"/>
              <w:spacing w:after="0"/>
            </w:pPr>
            <w:r>
              <w:rPr>
                <w:sz w:val="16"/>
              </w:rPr>
              <w:t>Clinical reviewer rates relevance and ordering acceptable.</w:t>
            </w:r>
          </w:p>
        </w:tc>
      </w:tr>
      <w:tr>
        <w:tc>
          <w:tcPr>
            <w:tcW w:type="dxa" w:w="2088"/>
            <w:tcMar>
              <w:top w:w="90" w:type="dxa"/>
              <w:start w:w="90" w:type="dxa"/>
              <w:bottom w:w="90" w:type="dxa"/>
              <w:end w:w="90" w:type="dxa"/>
            </w:tcMar>
            <w:vAlign w:val="top"/>
            <w:shd w:fill="F8FBFD"/>
          </w:tcPr>
          <w:p>
            <w:pPr>
              <w:pStyle w:val="BodyText"/>
              <w:spacing w:after="0"/>
            </w:pPr>
            <w:r>
              <w:rPr>
                <w:sz w:val="16"/>
              </w:rPr>
              <w:t>Actionability</w:t>
            </w:r>
          </w:p>
        </w:tc>
        <w:tc>
          <w:tcPr>
            <w:tcW w:type="dxa" w:w="3816"/>
            <w:tcMar>
              <w:top w:w="90" w:type="dxa"/>
              <w:start w:w="90" w:type="dxa"/>
              <w:bottom w:w="90" w:type="dxa"/>
              <w:end w:w="90" w:type="dxa"/>
            </w:tcMar>
            <w:vAlign w:val="top"/>
            <w:shd w:fill="F8FBFD"/>
          </w:tcPr>
          <w:p>
            <w:pPr>
              <w:pStyle w:val="BodyText"/>
              <w:spacing w:after="0"/>
            </w:pPr>
            <w:r>
              <w:rPr>
                <w:sz w:val="16"/>
              </w:rPr>
              <w:t>The explanation states a safe and role-appropriate next step without overstepping the clinic scope.</w:t>
            </w:r>
          </w:p>
        </w:tc>
        <w:tc>
          <w:tcPr>
            <w:tcW w:type="dxa" w:w="3312"/>
            <w:tcMar>
              <w:top w:w="90" w:type="dxa"/>
              <w:start w:w="90" w:type="dxa"/>
              <w:bottom w:w="90" w:type="dxa"/>
              <w:end w:w="90" w:type="dxa"/>
            </w:tcMar>
            <w:vAlign w:val="top"/>
            <w:shd w:fill="F8FBFD"/>
          </w:tcPr>
          <w:p>
            <w:pPr>
              <w:pStyle w:val="BodyText"/>
              <w:spacing w:after="0"/>
            </w:pPr>
            <w:r>
              <w:rPr>
                <w:sz w:val="16"/>
              </w:rPr>
              <w:t>Action is present and compatible with HIGH/LOW/INCOMPLETE.</w:t>
            </w:r>
          </w:p>
        </w:tc>
      </w:tr>
      <w:tr>
        <w:tc>
          <w:tcPr>
            <w:tcW w:type="dxa" w:w="2088"/>
            <w:tcMar>
              <w:top w:w="90" w:type="dxa"/>
              <w:start w:w="90" w:type="dxa"/>
              <w:bottom w:w="90" w:type="dxa"/>
              <w:end w:w="90" w:type="dxa"/>
            </w:tcMar>
            <w:vAlign w:val="top"/>
          </w:tcPr>
          <w:p>
            <w:pPr>
              <w:pStyle w:val="BodyText"/>
              <w:spacing w:after="0"/>
            </w:pPr>
            <w:r>
              <w:rPr>
                <w:sz w:val="16"/>
              </w:rPr>
              <w:t>Uncertainty disclosure</w:t>
            </w:r>
          </w:p>
        </w:tc>
        <w:tc>
          <w:tcPr>
            <w:tcW w:type="dxa" w:w="3816"/>
            <w:tcMar>
              <w:top w:w="90" w:type="dxa"/>
              <w:start w:w="90" w:type="dxa"/>
              <w:bottom w:w="90" w:type="dxa"/>
              <w:end w:w="90" w:type="dxa"/>
            </w:tcMar>
            <w:vAlign w:val="top"/>
          </w:tcPr>
          <w:p>
            <w:pPr>
              <w:pStyle w:val="BodyText"/>
              <w:spacing w:after="0"/>
            </w:pPr>
            <w:r>
              <w:rPr>
                <w:sz w:val="16"/>
              </w:rPr>
              <w:t>The explanation communicates limitations, missing information, and non-diagnostic status without false certainty.</w:t>
            </w:r>
          </w:p>
        </w:tc>
        <w:tc>
          <w:tcPr>
            <w:tcW w:type="dxa" w:w="3312"/>
            <w:tcMar>
              <w:top w:w="90" w:type="dxa"/>
              <w:start w:w="90" w:type="dxa"/>
              <w:bottom w:w="90" w:type="dxa"/>
              <w:end w:w="90" w:type="dxa"/>
            </w:tcMar>
            <w:vAlign w:val="top"/>
          </w:tcPr>
          <w:p>
            <w:pPr>
              <w:pStyle w:val="BodyText"/>
              <w:spacing w:after="0"/>
            </w:pPr>
            <w:r>
              <w:rPr>
                <w:sz w:val="16"/>
              </w:rPr>
              <w:t>Required limitation phrases present; prohibited certainty absent.</w:t>
            </w:r>
          </w:p>
        </w:tc>
      </w:tr>
      <w:tr>
        <w:tc>
          <w:tcPr>
            <w:tcW w:type="dxa" w:w="2088"/>
            <w:tcMar>
              <w:top w:w="90" w:type="dxa"/>
              <w:start w:w="90" w:type="dxa"/>
              <w:bottom w:w="90" w:type="dxa"/>
              <w:end w:w="90" w:type="dxa"/>
            </w:tcMar>
            <w:vAlign w:val="top"/>
            <w:shd w:fill="F8FBFD"/>
          </w:tcPr>
          <w:p>
            <w:pPr>
              <w:pStyle w:val="BodyText"/>
              <w:spacing w:after="0"/>
            </w:pPr>
            <w:r>
              <w:rPr>
                <w:sz w:val="16"/>
              </w:rPr>
              <w:t>Traceability</w:t>
            </w:r>
          </w:p>
        </w:tc>
        <w:tc>
          <w:tcPr>
            <w:tcW w:type="dxa" w:w="3816"/>
            <w:tcMar>
              <w:top w:w="90" w:type="dxa"/>
              <w:start w:w="90" w:type="dxa"/>
              <w:bottom w:w="90" w:type="dxa"/>
              <w:end w:w="90" w:type="dxa"/>
            </w:tcMar>
            <w:vAlign w:val="top"/>
            <w:shd w:fill="F8FBFD"/>
          </w:tcPr>
          <w:p>
            <w:pPr>
              <w:pStyle w:val="BodyText"/>
              <w:spacing w:after="0"/>
            </w:pPr>
            <w:r>
              <w:rPr>
                <w:sz w:val="16"/>
              </w:rPr>
              <w:t>The explanation can be reconstructed from source records, rule/model/template versions, and timestamps.</w:t>
            </w:r>
          </w:p>
        </w:tc>
        <w:tc>
          <w:tcPr>
            <w:tcW w:type="dxa" w:w="3312"/>
            <w:tcMar>
              <w:top w:w="90" w:type="dxa"/>
              <w:start w:w="90" w:type="dxa"/>
              <w:bottom w:w="90" w:type="dxa"/>
              <w:end w:w="90" w:type="dxa"/>
            </w:tcMar>
            <w:vAlign w:val="top"/>
            <w:shd w:fill="F8FBFD"/>
          </w:tcPr>
          <w:p>
            <w:pPr>
              <w:pStyle w:val="BodyText"/>
              <w:spacing w:after="0"/>
            </w:pPr>
            <w:r>
              <w:rPr>
                <w:sz w:val="16"/>
              </w:rPr>
              <w:t>Audit reconstruction succeeds with matching digest.</w:t>
            </w:r>
          </w:p>
        </w:tc>
      </w:tr>
      <w:tr>
        <w:tc>
          <w:tcPr>
            <w:tcW w:type="dxa" w:w="2088"/>
            <w:tcMar>
              <w:top w:w="90" w:type="dxa"/>
              <w:start w:w="90" w:type="dxa"/>
              <w:bottom w:w="90" w:type="dxa"/>
              <w:end w:w="90" w:type="dxa"/>
            </w:tcMar>
            <w:vAlign w:val="top"/>
          </w:tcPr>
          <w:p>
            <w:pPr>
              <w:pStyle w:val="BodyText"/>
              <w:spacing w:after="0"/>
            </w:pPr>
            <w:r>
              <w:rPr>
                <w:sz w:val="16"/>
              </w:rPr>
              <w:t>Robustness</w:t>
            </w:r>
          </w:p>
        </w:tc>
        <w:tc>
          <w:tcPr>
            <w:tcW w:type="dxa" w:w="3816"/>
            <w:tcMar>
              <w:top w:w="90" w:type="dxa"/>
              <w:start w:w="90" w:type="dxa"/>
              <w:bottom w:w="90" w:type="dxa"/>
              <w:end w:w="90" w:type="dxa"/>
            </w:tcMar>
            <w:vAlign w:val="top"/>
          </w:tcPr>
          <w:p>
            <w:pPr>
              <w:pStyle w:val="BodyText"/>
              <w:spacing w:after="0"/>
            </w:pPr>
            <w:r>
              <w:rPr>
                <w:sz w:val="16"/>
              </w:rPr>
              <w:t>The explanation fails safely under invalid inputs, service errors, stale state, and unusual combinations.</w:t>
            </w:r>
          </w:p>
        </w:tc>
        <w:tc>
          <w:tcPr>
            <w:tcW w:type="dxa" w:w="3312"/>
            <w:tcMar>
              <w:top w:w="90" w:type="dxa"/>
              <w:start w:w="90" w:type="dxa"/>
              <w:bottom w:w="90" w:type="dxa"/>
              <w:end w:w="90" w:type="dxa"/>
            </w:tcMar>
            <w:vAlign w:val="top"/>
          </w:tcPr>
          <w:p>
            <w:pPr>
              <w:pStyle w:val="BodyText"/>
              <w:spacing w:after="0"/>
            </w:pPr>
            <w:r>
              <w:rPr>
                <w:sz w:val="16"/>
              </w:rPr>
              <w:t>All critical fault-injection scenarios pass.</w:t>
            </w:r>
          </w:p>
        </w:tc>
      </w:tr>
    </w:tbl>
    <w:p>
      <w:pPr>
        <w:spacing w:after="0"/>
      </w:pPr>
    </w:p>
    <w:p>
      <w:pPr>
        <w:pStyle w:val="Heading2"/>
        <w:keepNext/>
      </w:pPr>
      <w:r>
        <w:t>3.2 Quality is audience-dependent</w:t>
      </w:r>
    </w:p>
    <w:p>
      <w:pPr>
        <w:pStyle w:val="BodyText"/>
      </w:pPr>
      <w:r>
        <w:t>The canonical explanation must be faithful for every audience, but acceptable detail differs by role. A patient view may omit technical identifiers while remaining complete for counseling. A developer view may expose reason codes and versions but is not acceptable as a patient message. Evaluation therefore uses audience-specific required fields, prohibited content, comprehension tasks, and privacy rules.</w:t>
      </w:r>
    </w:p>
    <w:p>
      <w:pPr>
        <w:pStyle w:val="Heading1"/>
        <w:keepNext/>
      </w:pPr>
      <w:r>
        <w:t>4. Evaluation Architecture and Evidence Flow</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Patient Records</w:t>
            </w:r>
            <w:r>
              <w:br/>
            </w:r>
            <w:r>
              <w:rPr>
                <w:rFonts w:ascii="Consolas" w:hAnsi="Consolas"/>
                <w:sz w:val="16"/>
              </w:rPr>
              <w:t xml:space="preserve">   ↓</w:t>
            </w:r>
            <w:r>
              <w:br/>
            </w:r>
            <w:r>
              <w:rPr>
                <w:rFonts w:ascii="Consolas" w:hAnsi="Consolas"/>
                <w:sz w:val="16"/>
              </w:rPr>
              <w:t>AssessmentSnapshot validation</w:t>
            </w:r>
            <w:r>
              <w:br/>
            </w:r>
            <w:r>
              <w:rPr>
                <w:rFonts w:ascii="Consolas" w:hAnsi="Consolas"/>
                <w:sz w:val="16"/>
              </w:rPr>
              <w:t xml:space="preserve">   ↓</w:t>
            </w:r>
            <w:r>
              <w:br/>
            </w:r>
            <w:r>
              <w:rPr>
                <w:rFonts w:ascii="Consolas" w:hAnsi="Consolas"/>
                <w:sz w:val="16"/>
              </w:rPr>
              <w:t>Rule Engine + Random Forest Adapter</w:t>
            </w:r>
            <w:r>
              <w:br/>
            </w:r>
            <w:r>
              <w:rPr>
                <w:rFonts w:ascii="Consolas" w:hAnsi="Consolas"/>
                <w:sz w:val="16"/>
              </w:rPr>
              <w:t xml:space="preserve">   ↓</w:t>
            </w:r>
            <w:r>
              <w:br/>
            </w:r>
            <w:r>
              <w:rPr>
                <w:rFonts w:ascii="Consolas" w:hAnsi="Consolas"/>
                <w:sz w:val="16"/>
              </w:rPr>
              <w:t>Final Decision + Canonical ExplanationBundle</w:t>
            </w:r>
            <w:r>
              <w:br/>
            </w:r>
            <w:r>
              <w:rPr>
                <w:rFonts w:ascii="Consolas" w:hAnsi="Consolas"/>
                <w:sz w:val="16"/>
              </w:rPr>
              <w:t xml:space="preserve">   ↓</w:t>
            </w:r>
            <w:r>
              <w:br/>
            </w:r>
            <w:r>
              <w:rPr>
                <w:rFonts w:ascii="Consolas" w:hAnsi="Consolas"/>
                <w:sz w:val="16"/>
              </w:rPr>
              <w:t>Automated Explainability Validator</w:t>
            </w:r>
            <w:r>
              <w:br/>
            </w:r>
            <w:r>
              <w:rPr>
                <w:rFonts w:ascii="Consolas" w:hAnsi="Consolas"/>
                <w:sz w:val="16"/>
              </w:rPr>
              <w:t xml:space="preserve">   ↓</w:t>
            </w:r>
            <w:r>
              <w:br/>
            </w:r>
            <w:r>
              <w:rPr>
                <w:rFonts w:ascii="Consolas" w:hAnsi="Consolas"/>
                <w:sz w:val="16"/>
              </w:rPr>
              <w:t>Audience Projection Validator</w:t>
            </w:r>
            <w:r>
              <w:br/>
            </w:r>
            <w:r>
              <w:rPr>
                <w:rFonts w:ascii="Consolas" w:hAnsi="Consolas"/>
                <w:sz w:val="16"/>
              </w:rPr>
              <w:t xml:space="preserve">   ↓</w:t>
            </w:r>
            <w:r>
              <w:br/>
            </w:r>
            <w:r>
              <w:rPr>
                <w:rFonts w:ascii="Consolas" w:hAnsi="Consolas"/>
                <w:sz w:val="16"/>
              </w:rPr>
              <w:t>Web / Print / Referral / Notification / Audit</w:t>
            </w:r>
            <w:r>
              <w:br/>
            </w:r>
            <w:r>
              <w:rPr>
                <w:rFonts w:ascii="Consolas" w:hAnsi="Consolas"/>
                <w:sz w:val="16"/>
              </w:rPr>
              <w:t xml:space="preserve">   ↓</w:t>
            </w:r>
            <w:r>
              <w:br/>
            </w:r>
            <w:r>
              <w:rPr>
                <w:rFonts w:ascii="Consolas" w:hAnsi="Consolas"/>
                <w:sz w:val="16"/>
              </w:rPr>
              <w:t>Human Review + Operational Monitoring</w:t>
            </w:r>
          </w:p>
        </w:tc>
      </w:tr>
    </w:tbl>
    <w:p>
      <w:pPr>
        <w:spacing w:after="0"/>
      </w:pPr>
    </w:p>
    <w:p>
      <w:pPr>
        <w:pStyle w:val="Heading2"/>
        <w:keepNext/>
      </w:pPr>
      <w:r>
        <w:t>4.1 Validation layers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6"/>
              </w:rPr>
              <w:t>Layer</w:t>
            </w:r>
          </w:p>
        </w:tc>
        <w:tc>
          <w:tcPr>
            <w:tcW w:type="dxa" w:w="4032"/>
            <w:shd w:fill="1F4E79"/>
            <w:tcMar>
              <w:top w:w="90" w:type="dxa"/>
              <w:start w:w="90" w:type="dxa"/>
              <w:bottom w:w="90" w:type="dxa"/>
              <w:end w:w="90" w:type="dxa"/>
            </w:tcMar>
            <w:vAlign w:val="center"/>
          </w:tcPr>
          <w:p>
            <w:pPr>
              <w:jc w:val="center"/>
            </w:pPr>
            <w:r>
              <w:rPr>
                <w:b/>
                <w:color w:val="FFFFFF"/>
                <w:sz w:val="16"/>
              </w:rPr>
              <w:t>Checks</w:t>
            </w:r>
          </w:p>
        </w:tc>
        <w:tc>
          <w:tcPr>
            <w:tcW w:type="dxa" w:w="2952"/>
            <w:shd w:fill="1F4E79"/>
            <w:tcMar>
              <w:top w:w="90" w:type="dxa"/>
              <w:start w:w="90" w:type="dxa"/>
              <w:bottom w:w="90" w:type="dxa"/>
              <w:end w:w="90" w:type="dxa"/>
            </w:tcMar>
            <w:vAlign w:val="center"/>
          </w:tcPr>
          <w:p>
            <w:pPr>
              <w:jc w:val="center"/>
            </w:pPr>
            <w:r>
              <w:rPr>
                <w:b/>
                <w:color w:val="FFFFFF"/>
                <w:sz w:val="16"/>
              </w:rPr>
              <w:t>Failure response</w:t>
            </w:r>
          </w:p>
        </w:tc>
      </w:tr>
      <w:tr>
        <w:tc>
          <w:tcPr>
            <w:tcW w:type="dxa" w:w="2232"/>
            <w:tcMar>
              <w:top w:w="90" w:type="dxa"/>
              <w:start w:w="90" w:type="dxa"/>
              <w:bottom w:w="90" w:type="dxa"/>
              <w:end w:w="90" w:type="dxa"/>
            </w:tcMar>
            <w:vAlign w:val="top"/>
          </w:tcPr>
          <w:p>
            <w:pPr>
              <w:pStyle w:val="BodyText"/>
              <w:spacing w:after="0"/>
            </w:pPr>
            <w:r>
              <w:rPr>
                <w:sz w:val="16"/>
              </w:rPr>
              <w:t>Input evidence</w:t>
            </w:r>
          </w:p>
        </w:tc>
        <w:tc>
          <w:tcPr>
            <w:tcW w:type="dxa" w:w="4032"/>
            <w:tcMar>
              <w:top w:w="90" w:type="dxa"/>
              <w:start w:w="90" w:type="dxa"/>
              <w:bottom w:w="90" w:type="dxa"/>
              <w:end w:w="90" w:type="dxa"/>
            </w:tcMar>
            <w:vAlign w:val="top"/>
          </w:tcPr>
          <w:p>
            <w:pPr>
              <w:pStyle w:val="BodyText"/>
              <w:spacing w:after="0"/>
            </w:pPr>
            <w:r>
              <w:rPr>
                <w:sz w:val="16"/>
              </w:rPr>
              <w:t>Required records, data types, ranges, timestamps, source IDs.</w:t>
            </w:r>
          </w:p>
        </w:tc>
        <w:tc>
          <w:tcPr>
            <w:tcW w:type="dxa" w:w="2952"/>
            <w:tcMar>
              <w:top w:w="90" w:type="dxa"/>
              <w:start w:w="90" w:type="dxa"/>
              <w:bottom w:w="90" w:type="dxa"/>
              <w:end w:w="90" w:type="dxa"/>
            </w:tcMar>
            <w:vAlign w:val="top"/>
          </w:tcPr>
          <w:p>
            <w:pPr>
              <w:pStyle w:val="BodyText"/>
              <w:spacing w:after="0"/>
            </w:pPr>
            <w:r>
              <w:rPr>
                <w:sz w:val="16"/>
              </w:rPr>
              <w:t>Return ASSESSMENT INCOMPLETE or validation error; do not invent evidence.</w:t>
            </w:r>
          </w:p>
        </w:tc>
      </w:tr>
      <w:tr>
        <w:tc>
          <w:tcPr>
            <w:tcW w:type="dxa" w:w="2232"/>
            <w:tcMar>
              <w:top w:w="90" w:type="dxa"/>
              <w:start w:w="90" w:type="dxa"/>
              <w:bottom w:w="90" w:type="dxa"/>
              <w:end w:w="90" w:type="dxa"/>
            </w:tcMar>
            <w:vAlign w:val="top"/>
            <w:shd w:fill="F8FBFD"/>
          </w:tcPr>
          <w:p>
            <w:pPr>
              <w:pStyle w:val="BodyText"/>
              <w:spacing w:after="0"/>
            </w:pPr>
            <w:r>
              <w:rPr>
                <w:sz w:val="16"/>
              </w:rPr>
              <w:t>Decision logic</w:t>
            </w:r>
          </w:p>
        </w:tc>
        <w:tc>
          <w:tcPr>
            <w:tcW w:type="dxa" w:w="4032"/>
            <w:tcMar>
              <w:top w:w="90" w:type="dxa"/>
              <w:start w:w="90" w:type="dxa"/>
              <w:bottom w:w="90" w:type="dxa"/>
              <w:end w:w="90" w:type="dxa"/>
            </w:tcMar>
            <w:vAlign w:val="top"/>
            <w:shd w:fill="F8FBFD"/>
          </w:tcPr>
          <w:p>
            <w:pPr>
              <w:pStyle w:val="BodyText"/>
              <w:spacing w:after="0"/>
            </w:pPr>
            <w:r>
              <w:rPr>
                <w:sz w:val="16"/>
              </w:rPr>
              <w:t>Rule triggers, urgent threshold, completeness gate, ML validity, override behavior.</w:t>
            </w:r>
          </w:p>
        </w:tc>
        <w:tc>
          <w:tcPr>
            <w:tcW w:type="dxa" w:w="2952"/>
            <w:tcMar>
              <w:top w:w="90" w:type="dxa"/>
              <w:start w:w="90" w:type="dxa"/>
              <w:bottom w:w="90" w:type="dxa"/>
              <w:end w:w="90" w:type="dxa"/>
            </w:tcMar>
            <w:vAlign w:val="top"/>
            <w:shd w:fill="F8FBFD"/>
          </w:tcPr>
          <w:p>
            <w:pPr>
              <w:pStyle w:val="BodyText"/>
              <w:spacing w:after="0"/>
            </w:pPr>
            <w:r>
              <w:rPr>
                <w:sz w:val="16"/>
              </w:rPr>
              <w:t>Block incorrect result; log critical defect during testing.</w:t>
            </w:r>
          </w:p>
        </w:tc>
      </w:tr>
      <w:tr>
        <w:tc>
          <w:tcPr>
            <w:tcW w:type="dxa" w:w="2232"/>
            <w:tcMar>
              <w:top w:w="90" w:type="dxa"/>
              <w:start w:w="90" w:type="dxa"/>
              <w:bottom w:w="90" w:type="dxa"/>
              <w:end w:w="90" w:type="dxa"/>
            </w:tcMar>
            <w:vAlign w:val="top"/>
          </w:tcPr>
          <w:p>
            <w:pPr>
              <w:pStyle w:val="BodyText"/>
              <w:spacing w:after="0"/>
            </w:pPr>
            <w:r>
              <w:rPr>
                <w:sz w:val="16"/>
              </w:rPr>
              <w:t>Canonical bundle</w:t>
            </w:r>
          </w:p>
        </w:tc>
        <w:tc>
          <w:tcPr>
            <w:tcW w:type="dxa" w:w="4032"/>
            <w:tcMar>
              <w:top w:w="90" w:type="dxa"/>
              <w:start w:w="90" w:type="dxa"/>
              <w:bottom w:w="90" w:type="dxa"/>
              <w:end w:w="90" w:type="dxa"/>
            </w:tcMar>
            <w:vAlign w:val="top"/>
          </w:tcPr>
          <w:p>
            <w:pPr>
              <w:pStyle w:val="BodyText"/>
              <w:spacing w:after="0"/>
            </w:pPr>
            <w:r>
              <w:rPr>
                <w:sz w:val="16"/>
              </w:rPr>
              <w:t>Status, reasons, evidence values, limitations, action, versions.</w:t>
            </w:r>
          </w:p>
        </w:tc>
        <w:tc>
          <w:tcPr>
            <w:tcW w:type="dxa" w:w="2952"/>
            <w:tcMar>
              <w:top w:w="90" w:type="dxa"/>
              <w:start w:w="90" w:type="dxa"/>
              <w:bottom w:w="90" w:type="dxa"/>
              <w:end w:w="90" w:type="dxa"/>
            </w:tcMar>
            <w:vAlign w:val="top"/>
          </w:tcPr>
          <w:p>
            <w:pPr>
              <w:pStyle w:val="BodyText"/>
              <w:spacing w:after="0"/>
            </w:pPr>
            <w:r>
              <w:rPr>
                <w:sz w:val="16"/>
              </w:rPr>
              <w:t>Reject bundle and fail safely.</w:t>
            </w:r>
          </w:p>
        </w:tc>
      </w:tr>
      <w:tr>
        <w:tc>
          <w:tcPr>
            <w:tcW w:type="dxa" w:w="2232"/>
            <w:tcMar>
              <w:top w:w="90" w:type="dxa"/>
              <w:start w:w="90" w:type="dxa"/>
              <w:bottom w:w="90" w:type="dxa"/>
              <w:end w:w="90" w:type="dxa"/>
            </w:tcMar>
            <w:vAlign w:val="top"/>
            <w:shd w:fill="F8FBFD"/>
          </w:tcPr>
          <w:p>
            <w:pPr>
              <w:pStyle w:val="BodyText"/>
              <w:spacing w:after="0"/>
            </w:pPr>
            <w:r>
              <w:rPr>
                <w:sz w:val="16"/>
              </w:rPr>
              <w:t>Audience projection</w:t>
            </w:r>
          </w:p>
        </w:tc>
        <w:tc>
          <w:tcPr>
            <w:tcW w:type="dxa" w:w="4032"/>
            <w:tcMar>
              <w:top w:w="90" w:type="dxa"/>
              <w:start w:w="90" w:type="dxa"/>
              <w:bottom w:w="90" w:type="dxa"/>
              <w:end w:w="90" w:type="dxa"/>
            </w:tcMar>
            <w:vAlign w:val="top"/>
            <w:shd w:fill="F8FBFD"/>
          </w:tcPr>
          <w:p>
            <w:pPr>
              <w:pStyle w:val="BodyText"/>
              <w:spacing w:after="0"/>
            </w:pPr>
            <w:r>
              <w:rPr>
                <w:sz w:val="16"/>
              </w:rPr>
              <w:t>Required fields, prohibited fields, wording, privacy, localization, template version.</w:t>
            </w:r>
          </w:p>
        </w:tc>
        <w:tc>
          <w:tcPr>
            <w:tcW w:type="dxa" w:w="2952"/>
            <w:tcMar>
              <w:top w:w="90" w:type="dxa"/>
              <w:start w:w="90" w:type="dxa"/>
              <w:bottom w:w="90" w:type="dxa"/>
              <w:end w:w="90" w:type="dxa"/>
            </w:tcMar>
            <w:vAlign w:val="top"/>
            <w:shd w:fill="F8FBFD"/>
          </w:tcPr>
          <w:p>
            <w:pPr>
              <w:pStyle w:val="BodyText"/>
              <w:spacing w:after="0"/>
            </w:pPr>
            <w:r>
              <w:rPr>
                <w:sz w:val="16"/>
              </w:rPr>
              <w:t>Do not render invalid projection; show controlled fallback.</w:t>
            </w:r>
          </w:p>
        </w:tc>
      </w:tr>
      <w:tr>
        <w:tc>
          <w:tcPr>
            <w:tcW w:type="dxa" w:w="2232"/>
            <w:tcMar>
              <w:top w:w="90" w:type="dxa"/>
              <w:start w:w="90" w:type="dxa"/>
              <w:bottom w:w="90" w:type="dxa"/>
              <w:end w:w="90" w:type="dxa"/>
            </w:tcMar>
            <w:vAlign w:val="top"/>
          </w:tcPr>
          <w:p>
            <w:pPr>
              <w:pStyle w:val="BodyText"/>
              <w:spacing w:after="0"/>
            </w:pPr>
            <w:r>
              <w:rPr>
                <w:sz w:val="16"/>
              </w:rPr>
              <w:t>Channel rendering</w:t>
            </w:r>
          </w:p>
        </w:tc>
        <w:tc>
          <w:tcPr>
            <w:tcW w:type="dxa" w:w="4032"/>
            <w:tcMar>
              <w:top w:w="90" w:type="dxa"/>
              <w:start w:w="90" w:type="dxa"/>
              <w:bottom w:w="90" w:type="dxa"/>
              <w:end w:w="90" w:type="dxa"/>
            </w:tcMar>
            <w:vAlign w:val="top"/>
          </w:tcPr>
          <w:p>
            <w:pPr>
              <w:pStyle w:val="BodyText"/>
              <w:spacing w:after="0"/>
            </w:pPr>
            <w:r>
              <w:rPr>
                <w:sz w:val="16"/>
              </w:rPr>
              <w:t>Web, mobile, print, email, referral consistency and accessibility.</w:t>
            </w:r>
          </w:p>
        </w:tc>
        <w:tc>
          <w:tcPr>
            <w:tcW w:type="dxa" w:w="2952"/>
            <w:tcMar>
              <w:top w:w="90" w:type="dxa"/>
              <w:start w:w="90" w:type="dxa"/>
              <w:bottom w:w="90" w:type="dxa"/>
              <w:end w:w="90" w:type="dxa"/>
            </w:tcMar>
            <w:vAlign w:val="top"/>
          </w:tcPr>
          <w:p>
            <w:pPr>
              <w:pStyle w:val="BodyText"/>
              <w:spacing w:after="0"/>
            </w:pPr>
            <w:r>
              <w:rPr>
                <w:sz w:val="16"/>
              </w:rPr>
              <w:t>Flag mismatch; prevent unsafe print/send where applicable.</w:t>
            </w:r>
          </w:p>
        </w:tc>
      </w:tr>
      <w:tr>
        <w:tc>
          <w:tcPr>
            <w:tcW w:type="dxa" w:w="2232"/>
            <w:tcMar>
              <w:top w:w="90" w:type="dxa"/>
              <w:start w:w="90" w:type="dxa"/>
              <w:bottom w:w="90" w:type="dxa"/>
              <w:end w:w="90" w:type="dxa"/>
            </w:tcMar>
            <w:vAlign w:val="top"/>
            <w:shd w:fill="F8FBFD"/>
          </w:tcPr>
          <w:p>
            <w:pPr>
              <w:pStyle w:val="BodyText"/>
              <w:spacing w:after="0"/>
            </w:pPr>
            <w:r>
              <w:rPr>
                <w:sz w:val="16"/>
              </w:rPr>
              <w:t>Audit persistence</w:t>
            </w:r>
          </w:p>
        </w:tc>
        <w:tc>
          <w:tcPr>
            <w:tcW w:type="dxa" w:w="4032"/>
            <w:tcMar>
              <w:top w:w="90" w:type="dxa"/>
              <w:start w:w="90" w:type="dxa"/>
              <w:bottom w:w="90" w:type="dxa"/>
              <w:end w:w="90" w:type="dxa"/>
            </w:tcMar>
            <w:vAlign w:val="top"/>
            <w:shd w:fill="F8FBFD"/>
          </w:tcPr>
          <w:p>
            <w:pPr>
              <w:pStyle w:val="BodyText"/>
              <w:spacing w:after="0"/>
            </w:pPr>
            <w:r>
              <w:rPr>
                <w:sz w:val="16"/>
              </w:rPr>
              <w:t>IDs, hashes, timestamps, source links, actor, versions.</w:t>
            </w:r>
          </w:p>
        </w:tc>
        <w:tc>
          <w:tcPr>
            <w:tcW w:type="dxa" w:w="2952"/>
            <w:tcMar>
              <w:top w:w="90" w:type="dxa"/>
              <w:start w:w="90" w:type="dxa"/>
              <w:bottom w:w="90" w:type="dxa"/>
              <w:end w:w="90" w:type="dxa"/>
            </w:tcMar>
            <w:vAlign w:val="top"/>
            <w:shd w:fill="F8FBFD"/>
          </w:tcPr>
          <w:p>
            <w:pPr>
              <w:pStyle w:val="BodyText"/>
              <w:spacing w:after="0"/>
            </w:pPr>
            <w:r>
              <w:rPr>
                <w:sz w:val="16"/>
              </w:rPr>
              <w:t>Record incident; do not claim traceability if incomplete.</w:t>
            </w:r>
          </w:p>
        </w:tc>
      </w:tr>
    </w:tbl>
    <w:p>
      <w:pPr>
        <w:spacing w:after="0"/>
      </w:pPr>
    </w:p>
    <w:p>
      <w:pPr>
        <w:pStyle w:val="Heading2"/>
        <w:keepNext/>
      </w:pPr>
      <w:r>
        <w:t>4.2 Evidence package for each evaluated assessment</w:t>
      </w:r>
    </w:p>
    <w:p>
      <w:pPr>
        <w:pStyle w:val="ListBullet"/>
      </w:pPr>
      <w:r>
        <w:t>Test case identifier and purpose.</w:t>
      </w:r>
    </w:p>
    <w:p>
      <w:pPr>
        <w:pStyle w:val="ListBullet"/>
      </w:pPr>
      <w:r>
        <w:t>Input records and normalized AssessmentSnapshot.</w:t>
      </w:r>
    </w:p>
    <w:p>
      <w:pPr>
        <w:pStyle w:val="ListBullet"/>
      </w:pPr>
      <w:r>
        <w:t>Expected triggered and non-triggered rules.</w:t>
      </w:r>
    </w:p>
    <w:p>
      <w:pPr>
        <w:pStyle w:val="ListBullet"/>
      </w:pPr>
      <w:r>
        <w:t>Expected ML state: HIGH, LOW, invalid, unavailable, or not executed.</w:t>
      </w:r>
    </w:p>
    <w:p>
      <w:pPr>
        <w:pStyle w:val="ListBullet"/>
      </w:pPr>
      <w:r>
        <w:t>Expected final status and recommendation class.</w:t>
      </w:r>
    </w:p>
    <w:p>
      <w:pPr>
        <w:pStyle w:val="ListBullet"/>
      </w:pPr>
      <w:r>
        <w:t>Expected canonical reasons and required audience projections.</w:t>
      </w:r>
    </w:p>
    <w:p>
      <w:pPr>
        <w:pStyle w:val="ListBullet"/>
      </w:pPr>
      <w:r>
        <w:t>Actual outputs, screenshots or rendered artifacts where relevant.</w:t>
      </w:r>
    </w:p>
    <w:p>
      <w:pPr>
        <w:pStyle w:val="ListBullet"/>
      </w:pPr>
      <w:r>
        <w:t>Pass/fail result, reviewer, date, software versions, and defect reference.</w:t>
      </w:r>
    </w:p>
    <w:p>
      <w:pPr>
        <w:pStyle w:val="Heading1"/>
        <w:keepNext/>
      </w:pPr>
      <w:r>
        <w:t>5. Automated Evaluation Metrics</w:t>
      </w:r>
    </w:p>
    <w:p>
      <w:pPr>
        <w:pStyle w:val="Heading2"/>
        <w:keepNext/>
      </w:pPr>
      <w:r>
        <w:t>5.1 Fidelity and reason accuracy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76"/>
            <w:shd w:fill="1F4E79"/>
            <w:tcMar>
              <w:top w:w="90" w:type="dxa"/>
              <w:start w:w="90" w:type="dxa"/>
              <w:bottom w:w="90" w:type="dxa"/>
              <w:end w:w="90" w:type="dxa"/>
            </w:tcMar>
            <w:vAlign w:val="center"/>
          </w:tcPr>
          <w:p>
            <w:pPr>
              <w:jc w:val="center"/>
            </w:pPr>
            <w:r>
              <w:rPr>
                <w:b/>
                <w:color w:val="FFFFFF"/>
                <w:sz w:val="16"/>
              </w:rPr>
              <w:t>Metric</w:t>
            </w:r>
          </w:p>
        </w:tc>
        <w:tc>
          <w:tcPr>
            <w:tcW w:type="dxa" w:w="4680"/>
            <w:shd w:fill="1F4E79"/>
            <w:tcMar>
              <w:top w:w="90" w:type="dxa"/>
              <w:start w:w="90" w:type="dxa"/>
              <w:bottom w:w="90" w:type="dxa"/>
              <w:end w:w="90" w:type="dxa"/>
            </w:tcMar>
            <w:vAlign w:val="center"/>
          </w:tcPr>
          <w:p>
            <w:pPr>
              <w:jc w:val="center"/>
            </w:pPr>
            <w:r>
              <w:rPr>
                <w:b/>
                <w:color w:val="FFFFFF"/>
                <w:sz w:val="16"/>
              </w:rPr>
              <w:t>Computation</w:t>
            </w:r>
          </w:p>
        </w:tc>
        <w:tc>
          <w:tcPr>
            <w:tcW w:type="dxa" w:w="2160"/>
            <w:shd w:fill="1F4E79"/>
            <w:tcMar>
              <w:top w:w="90" w:type="dxa"/>
              <w:start w:w="90" w:type="dxa"/>
              <w:bottom w:w="90" w:type="dxa"/>
              <w:end w:w="90" w:type="dxa"/>
            </w:tcMar>
            <w:vAlign w:val="center"/>
          </w:tcPr>
          <w:p>
            <w:pPr>
              <w:jc w:val="center"/>
            </w:pPr>
            <w:r>
              <w:rPr>
                <w:b/>
                <w:color w:val="FFFFFF"/>
                <w:sz w:val="16"/>
              </w:rPr>
              <w:t>Target</w:t>
            </w:r>
          </w:p>
        </w:tc>
      </w:tr>
      <w:tr>
        <w:tc>
          <w:tcPr>
            <w:tcW w:type="dxa" w:w="2376"/>
            <w:tcMar>
              <w:top w:w="90" w:type="dxa"/>
              <w:start w:w="90" w:type="dxa"/>
              <w:bottom w:w="90" w:type="dxa"/>
              <w:end w:w="90" w:type="dxa"/>
            </w:tcMar>
            <w:vAlign w:val="top"/>
          </w:tcPr>
          <w:p>
            <w:pPr>
              <w:pStyle w:val="BodyText"/>
              <w:spacing w:after="0"/>
            </w:pPr>
            <w:r>
              <w:rPr>
                <w:sz w:val="16"/>
              </w:rPr>
              <w:t>Reason precision</w:t>
            </w:r>
          </w:p>
        </w:tc>
        <w:tc>
          <w:tcPr>
            <w:tcW w:type="dxa" w:w="4680"/>
            <w:tcMar>
              <w:top w:w="90" w:type="dxa"/>
              <w:start w:w="90" w:type="dxa"/>
              <w:bottom w:w="90" w:type="dxa"/>
              <w:end w:w="90" w:type="dxa"/>
            </w:tcMar>
            <w:vAlign w:val="top"/>
          </w:tcPr>
          <w:p>
            <w:pPr>
              <w:pStyle w:val="BodyText"/>
              <w:spacing w:after="0"/>
            </w:pPr>
            <w:r>
              <w:rPr>
                <w:sz w:val="16"/>
              </w:rPr>
              <w:t>Correct displayed reasons / all displayed reasons.</w:t>
            </w:r>
          </w:p>
        </w:tc>
        <w:tc>
          <w:tcPr>
            <w:tcW w:type="dxa" w:w="2160"/>
            <w:tcMar>
              <w:top w:w="90" w:type="dxa"/>
              <w:start w:w="90" w:type="dxa"/>
              <w:bottom w:w="90" w:type="dxa"/>
              <w:end w:w="90" w:type="dxa"/>
            </w:tcMar>
            <w:vAlign w:val="top"/>
          </w:tcPr>
          <w:p>
            <w:pPr>
              <w:pStyle w:val="BodyText"/>
              <w:spacing w:after="0"/>
            </w:pPr>
            <w:r>
              <w:rPr>
                <w:sz w:val="16"/>
              </w:rPr>
              <w:t>100% for safety-critical production explanations.</w:t>
            </w:r>
          </w:p>
        </w:tc>
      </w:tr>
      <w:tr>
        <w:tc>
          <w:tcPr>
            <w:tcW w:type="dxa" w:w="2376"/>
            <w:tcMar>
              <w:top w:w="90" w:type="dxa"/>
              <w:start w:w="90" w:type="dxa"/>
              <w:bottom w:w="90" w:type="dxa"/>
              <w:end w:w="90" w:type="dxa"/>
            </w:tcMar>
            <w:vAlign w:val="top"/>
            <w:shd w:fill="F8FBFD"/>
          </w:tcPr>
          <w:p>
            <w:pPr>
              <w:pStyle w:val="BodyText"/>
              <w:spacing w:after="0"/>
            </w:pPr>
            <w:r>
              <w:rPr>
                <w:sz w:val="16"/>
              </w:rPr>
              <w:t>Reason recall</w:t>
            </w:r>
          </w:p>
        </w:tc>
        <w:tc>
          <w:tcPr>
            <w:tcW w:type="dxa" w:w="4680"/>
            <w:tcMar>
              <w:top w:w="90" w:type="dxa"/>
              <w:start w:w="90" w:type="dxa"/>
              <w:bottom w:w="90" w:type="dxa"/>
              <w:end w:w="90" w:type="dxa"/>
            </w:tcMar>
            <w:vAlign w:val="top"/>
            <w:shd w:fill="F8FBFD"/>
          </w:tcPr>
          <w:p>
            <w:pPr>
              <w:pStyle w:val="BodyText"/>
              <w:spacing w:after="0"/>
            </w:pPr>
            <w:r>
              <w:rPr>
                <w:sz w:val="16"/>
              </w:rPr>
              <w:t>Correct required reasons displayed / all required triggered reasons.</w:t>
            </w:r>
          </w:p>
        </w:tc>
        <w:tc>
          <w:tcPr>
            <w:tcW w:type="dxa" w:w="2160"/>
            <w:tcMar>
              <w:top w:w="90" w:type="dxa"/>
              <w:start w:w="90" w:type="dxa"/>
              <w:bottom w:w="90" w:type="dxa"/>
              <w:end w:w="90" w:type="dxa"/>
            </w:tcMar>
            <w:vAlign w:val="top"/>
            <w:shd w:fill="F8FBFD"/>
          </w:tcPr>
          <w:p>
            <w:pPr>
              <w:pStyle w:val="BodyText"/>
              <w:spacing w:after="0"/>
            </w:pPr>
            <w:r>
              <w:rPr>
                <w:sz w:val="16"/>
              </w:rPr>
              <w:t>100% in midwife and referral views.</w:t>
            </w:r>
          </w:p>
        </w:tc>
      </w:tr>
      <w:tr>
        <w:tc>
          <w:tcPr>
            <w:tcW w:type="dxa" w:w="2376"/>
            <w:tcMar>
              <w:top w:w="90" w:type="dxa"/>
              <w:start w:w="90" w:type="dxa"/>
              <w:bottom w:w="90" w:type="dxa"/>
              <w:end w:w="90" w:type="dxa"/>
            </w:tcMar>
            <w:vAlign w:val="top"/>
          </w:tcPr>
          <w:p>
            <w:pPr>
              <w:pStyle w:val="BodyText"/>
              <w:spacing w:after="0"/>
            </w:pPr>
            <w:r>
              <w:rPr>
                <w:sz w:val="16"/>
              </w:rPr>
              <w:t>Evidence-value match</w:t>
            </w:r>
          </w:p>
        </w:tc>
        <w:tc>
          <w:tcPr>
            <w:tcW w:type="dxa" w:w="4680"/>
            <w:tcMar>
              <w:top w:w="90" w:type="dxa"/>
              <w:start w:w="90" w:type="dxa"/>
              <w:bottom w:w="90" w:type="dxa"/>
              <w:end w:w="90" w:type="dxa"/>
            </w:tcMar>
            <w:vAlign w:val="top"/>
          </w:tcPr>
          <w:p>
            <w:pPr>
              <w:pStyle w:val="BodyText"/>
              <w:spacing w:after="0"/>
            </w:pPr>
            <w:r>
              <w:rPr>
                <w:sz w:val="16"/>
              </w:rPr>
              <w:t>Reasons whose displayed value and unit match the source / reasons requiring values.</w:t>
            </w:r>
          </w:p>
        </w:tc>
        <w:tc>
          <w:tcPr>
            <w:tcW w:type="dxa" w:w="2160"/>
            <w:tcMar>
              <w:top w:w="90" w:type="dxa"/>
              <w:start w:w="90" w:type="dxa"/>
              <w:bottom w:w="90" w:type="dxa"/>
              <w:end w:w="90" w:type="dxa"/>
            </w:tcMar>
            <w:vAlign w:val="top"/>
          </w:tcPr>
          <w:p>
            <w:pPr>
              <w:pStyle w:val="BodyText"/>
              <w:spacing w:after="0"/>
            </w:pPr>
            <w:r>
              <w:rPr>
                <w:sz w:val="16"/>
              </w:rPr>
              <w:t>100%.</w:t>
            </w:r>
          </w:p>
        </w:tc>
      </w:tr>
      <w:tr>
        <w:tc>
          <w:tcPr>
            <w:tcW w:type="dxa" w:w="2376"/>
            <w:tcMar>
              <w:top w:w="90" w:type="dxa"/>
              <w:start w:w="90" w:type="dxa"/>
              <w:bottom w:w="90" w:type="dxa"/>
              <w:end w:w="90" w:type="dxa"/>
            </w:tcMar>
            <w:vAlign w:val="top"/>
            <w:shd w:fill="F8FBFD"/>
          </w:tcPr>
          <w:p>
            <w:pPr>
              <w:pStyle w:val="BodyText"/>
              <w:spacing w:after="0"/>
            </w:pPr>
            <w:r>
              <w:rPr>
                <w:sz w:val="16"/>
              </w:rPr>
              <w:t>Threshold statement match</w:t>
            </w:r>
          </w:p>
        </w:tc>
        <w:tc>
          <w:tcPr>
            <w:tcW w:type="dxa" w:w="4680"/>
            <w:tcMar>
              <w:top w:w="90" w:type="dxa"/>
              <w:start w:w="90" w:type="dxa"/>
              <w:bottom w:w="90" w:type="dxa"/>
              <w:end w:w="90" w:type="dxa"/>
            </w:tcMar>
            <w:vAlign w:val="top"/>
            <w:shd w:fill="F8FBFD"/>
          </w:tcPr>
          <w:p>
            <w:pPr>
              <w:pStyle w:val="BodyText"/>
              <w:spacing w:after="0"/>
            </w:pPr>
            <w:r>
              <w:rPr>
                <w:sz w:val="16"/>
              </w:rPr>
              <w:t>Rule explanations using the configured threshold version / threshold explanations.</w:t>
            </w:r>
          </w:p>
        </w:tc>
        <w:tc>
          <w:tcPr>
            <w:tcW w:type="dxa" w:w="2160"/>
            <w:tcMar>
              <w:top w:w="90" w:type="dxa"/>
              <w:start w:w="90" w:type="dxa"/>
              <w:bottom w:w="90" w:type="dxa"/>
              <w:end w:w="90" w:type="dxa"/>
            </w:tcMar>
            <w:vAlign w:val="top"/>
            <w:shd w:fill="F8FBFD"/>
          </w:tcPr>
          <w:p>
            <w:pPr>
              <w:pStyle w:val="BodyText"/>
              <w:spacing w:after="0"/>
            </w:pPr>
            <w:r>
              <w:rPr>
                <w:sz w:val="16"/>
              </w:rPr>
              <w:t>100%.</w:t>
            </w:r>
          </w:p>
        </w:tc>
      </w:tr>
      <w:tr>
        <w:tc>
          <w:tcPr>
            <w:tcW w:type="dxa" w:w="2376"/>
            <w:tcMar>
              <w:top w:w="90" w:type="dxa"/>
              <w:start w:w="90" w:type="dxa"/>
              <w:bottom w:w="90" w:type="dxa"/>
              <w:end w:w="90" w:type="dxa"/>
            </w:tcMar>
            <w:vAlign w:val="top"/>
          </w:tcPr>
          <w:p>
            <w:pPr>
              <w:pStyle w:val="BodyText"/>
              <w:spacing w:after="0"/>
            </w:pPr>
            <w:r>
              <w:rPr>
                <w:sz w:val="16"/>
              </w:rPr>
              <w:t>Unsupported-claim count</w:t>
            </w:r>
          </w:p>
        </w:tc>
        <w:tc>
          <w:tcPr>
            <w:tcW w:type="dxa" w:w="4680"/>
            <w:tcMar>
              <w:top w:w="90" w:type="dxa"/>
              <w:start w:w="90" w:type="dxa"/>
              <w:bottom w:w="90" w:type="dxa"/>
              <w:end w:w="90" w:type="dxa"/>
            </w:tcMar>
            <w:vAlign w:val="top"/>
          </w:tcPr>
          <w:p>
            <w:pPr>
              <w:pStyle w:val="BodyText"/>
              <w:spacing w:after="0"/>
            </w:pPr>
            <w:r>
              <w:rPr>
                <w:sz w:val="16"/>
              </w:rPr>
              <w:t>Reasons or causal claims without supporting bundle evidence.</w:t>
            </w:r>
          </w:p>
        </w:tc>
        <w:tc>
          <w:tcPr>
            <w:tcW w:type="dxa" w:w="2160"/>
            <w:tcMar>
              <w:top w:w="90" w:type="dxa"/>
              <w:start w:w="90" w:type="dxa"/>
              <w:bottom w:w="90" w:type="dxa"/>
              <w:end w:w="90" w:type="dxa"/>
            </w:tcMar>
            <w:vAlign w:val="top"/>
          </w:tcPr>
          <w:p>
            <w:pPr>
              <w:pStyle w:val="BodyText"/>
              <w:spacing w:after="0"/>
            </w:pPr>
            <w:r>
              <w:rPr>
                <w:sz w:val="16"/>
              </w:rPr>
              <w:t>0.</w:t>
            </w:r>
          </w:p>
        </w:tc>
      </w:tr>
      <w:tr>
        <w:tc>
          <w:tcPr>
            <w:tcW w:type="dxa" w:w="2376"/>
            <w:tcMar>
              <w:top w:w="90" w:type="dxa"/>
              <w:start w:w="90" w:type="dxa"/>
              <w:bottom w:w="90" w:type="dxa"/>
              <w:end w:w="90" w:type="dxa"/>
            </w:tcMar>
            <w:vAlign w:val="top"/>
            <w:shd w:fill="F8FBFD"/>
          </w:tcPr>
          <w:p>
            <w:pPr>
              <w:pStyle w:val="BodyText"/>
              <w:spacing w:after="0"/>
            </w:pPr>
            <w:r>
              <w:rPr>
                <w:sz w:val="16"/>
              </w:rPr>
              <w:t>Duplicate-reason count</w:t>
            </w:r>
          </w:p>
        </w:tc>
        <w:tc>
          <w:tcPr>
            <w:tcW w:type="dxa" w:w="4680"/>
            <w:tcMar>
              <w:top w:w="90" w:type="dxa"/>
              <w:start w:w="90" w:type="dxa"/>
              <w:bottom w:w="90" w:type="dxa"/>
              <w:end w:w="90" w:type="dxa"/>
            </w:tcMar>
            <w:vAlign w:val="top"/>
            <w:shd w:fill="F8FBFD"/>
          </w:tcPr>
          <w:p>
            <w:pPr>
              <w:pStyle w:val="BodyText"/>
              <w:spacing w:after="0"/>
            </w:pPr>
            <w:r>
              <w:rPr>
                <w:sz w:val="16"/>
              </w:rPr>
              <w:t>Semantically duplicated reasons after normalization.</w:t>
            </w:r>
          </w:p>
        </w:tc>
        <w:tc>
          <w:tcPr>
            <w:tcW w:type="dxa" w:w="2160"/>
            <w:tcMar>
              <w:top w:w="90" w:type="dxa"/>
              <w:start w:w="90" w:type="dxa"/>
              <w:bottom w:w="90" w:type="dxa"/>
              <w:end w:w="90" w:type="dxa"/>
            </w:tcMar>
            <w:vAlign w:val="top"/>
            <w:shd w:fill="F8FBFD"/>
          </w:tcPr>
          <w:p>
            <w:pPr>
              <w:pStyle w:val="BodyText"/>
              <w:spacing w:after="0"/>
            </w:pPr>
            <w:r>
              <w:rPr>
                <w:sz w:val="16"/>
              </w:rPr>
              <w:t>0 unless intentionally grouped and labeled.</w:t>
            </w:r>
          </w:p>
        </w:tc>
      </w:tr>
    </w:tbl>
    <w:p>
      <w:pPr>
        <w:spacing w:after="0"/>
      </w:pPr>
    </w:p>
    <w:p>
      <w:pPr>
        <w:pStyle w:val="Heading2"/>
        <w:keepNext/>
      </w:pPr>
      <w:r>
        <w:t>5.2 Consistency metrics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6"/>
              </w:rPr>
              <w:t>Metric</w:t>
            </w:r>
          </w:p>
        </w:tc>
        <w:tc>
          <w:tcPr>
            <w:tcW w:type="dxa" w:w="4464"/>
            <w:shd w:fill="1F4E79"/>
            <w:tcMar>
              <w:top w:w="90" w:type="dxa"/>
              <w:start w:w="90" w:type="dxa"/>
              <w:bottom w:w="90" w:type="dxa"/>
              <w:end w:w="90" w:type="dxa"/>
            </w:tcMar>
            <w:vAlign w:val="center"/>
          </w:tcPr>
          <w:p>
            <w:pPr>
              <w:jc w:val="center"/>
            </w:pPr>
            <w:r>
              <w:rPr>
                <w:b/>
                <w:color w:val="FFFFFF"/>
                <w:sz w:val="16"/>
              </w:rPr>
              <w:t>Definition</w:t>
            </w:r>
          </w:p>
        </w:tc>
        <w:tc>
          <w:tcPr>
            <w:tcW w:type="dxa" w:w="2160"/>
            <w:shd w:fill="1F4E79"/>
            <w:tcMar>
              <w:top w:w="90" w:type="dxa"/>
              <w:start w:w="90" w:type="dxa"/>
              <w:bottom w:w="90" w:type="dxa"/>
              <w:end w:w="90" w:type="dxa"/>
            </w:tcMar>
            <w:vAlign w:val="center"/>
          </w:tcPr>
          <w:p>
            <w:pPr>
              <w:jc w:val="center"/>
            </w:pPr>
            <w:r>
              <w:rPr>
                <w:b/>
                <w:color w:val="FFFFFF"/>
                <w:sz w:val="16"/>
              </w:rPr>
              <w:t>Target</w:t>
            </w:r>
          </w:p>
        </w:tc>
      </w:tr>
      <w:tr>
        <w:tc>
          <w:tcPr>
            <w:tcW w:type="dxa" w:w="2592"/>
            <w:tcMar>
              <w:top w:w="90" w:type="dxa"/>
              <w:start w:w="90" w:type="dxa"/>
              <w:bottom w:w="90" w:type="dxa"/>
              <w:end w:w="90" w:type="dxa"/>
            </w:tcMar>
            <w:vAlign w:val="top"/>
          </w:tcPr>
          <w:p>
            <w:pPr>
              <w:pStyle w:val="BodyText"/>
              <w:spacing w:after="0"/>
            </w:pPr>
            <w:r>
              <w:rPr>
                <w:sz w:val="16"/>
              </w:rPr>
              <w:t>Status-explanation consistency</w:t>
            </w:r>
          </w:p>
        </w:tc>
        <w:tc>
          <w:tcPr>
            <w:tcW w:type="dxa" w:w="4464"/>
            <w:tcMar>
              <w:top w:w="90" w:type="dxa"/>
              <w:start w:w="90" w:type="dxa"/>
              <w:bottom w:w="90" w:type="dxa"/>
              <w:end w:w="90" w:type="dxa"/>
            </w:tcMar>
            <w:vAlign w:val="top"/>
          </w:tcPr>
          <w:p>
            <w:pPr>
              <w:pStyle w:val="BodyText"/>
              <w:spacing w:after="0"/>
            </w:pPr>
            <w:r>
              <w:rPr>
                <w:sz w:val="16"/>
              </w:rPr>
              <w:t>Explanation wording supports the stored final status.</w:t>
            </w:r>
          </w:p>
        </w:tc>
        <w:tc>
          <w:tcPr>
            <w:tcW w:type="dxa" w:w="2160"/>
            <w:tcMar>
              <w:top w:w="90" w:type="dxa"/>
              <w:start w:w="90" w:type="dxa"/>
              <w:bottom w:w="90" w:type="dxa"/>
              <w:end w:w="90" w:type="dxa"/>
            </w:tcMar>
            <w:vAlign w:val="top"/>
          </w:tcPr>
          <w:p>
            <w:pPr>
              <w:pStyle w:val="BodyText"/>
              <w:spacing w:after="0"/>
            </w:pPr>
            <w:r>
              <w:rPr>
                <w:sz w:val="16"/>
              </w:rPr>
              <w:t>100%.</w:t>
            </w:r>
          </w:p>
        </w:tc>
      </w:tr>
      <w:tr>
        <w:tc>
          <w:tcPr>
            <w:tcW w:type="dxa" w:w="2592"/>
            <w:tcMar>
              <w:top w:w="90" w:type="dxa"/>
              <w:start w:w="90" w:type="dxa"/>
              <w:bottom w:w="90" w:type="dxa"/>
              <w:end w:w="90" w:type="dxa"/>
            </w:tcMar>
            <w:vAlign w:val="top"/>
            <w:shd w:fill="F8FBFD"/>
          </w:tcPr>
          <w:p>
            <w:pPr>
              <w:pStyle w:val="BodyText"/>
              <w:spacing w:after="0"/>
            </w:pPr>
            <w:r>
              <w:rPr>
                <w:sz w:val="16"/>
              </w:rPr>
              <w:t>Status-action consistency</w:t>
            </w:r>
          </w:p>
        </w:tc>
        <w:tc>
          <w:tcPr>
            <w:tcW w:type="dxa" w:w="4464"/>
            <w:tcMar>
              <w:top w:w="90" w:type="dxa"/>
              <w:start w:w="90" w:type="dxa"/>
              <w:bottom w:w="90" w:type="dxa"/>
              <w:end w:w="90" w:type="dxa"/>
            </w:tcMar>
            <w:vAlign w:val="top"/>
            <w:shd w:fill="F8FBFD"/>
          </w:tcPr>
          <w:p>
            <w:pPr>
              <w:pStyle w:val="BodyText"/>
              <w:spacing w:after="0"/>
            </w:pPr>
            <w:r>
              <w:rPr>
                <w:sz w:val="16"/>
              </w:rPr>
              <w:t>Recommended action belongs to the approved action set for the status and urgent flags.</w:t>
            </w:r>
          </w:p>
        </w:tc>
        <w:tc>
          <w:tcPr>
            <w:tcW w:type="dxa" w:w="2160"/>
            <w:tcMar>
              <w:top w:w="90" w:type="dxa"/>
              <w:start w:w="90" w:type="dxa"/>
              <w:bottom w:w="90" w:type="dxa"/>
              <w:end w:w="90" w:type="dxa"/>
            </w:tcMar>
            <w:vAlign w:val="top"/>
            <w:shd w:fill="F8FBFD"/>
          </w:tcPr>
          <w:p>
            <w:pPr>
              <w:pStyle w:val="BodyText"/>
              <w:spacing w:after="0"/>
            </w:pPr>
            <w:r>
              <w:rPr>
                <w:sz w:val="16"/>
              </w:rPr>
              <w:t>100%.</w:t>
            </w:r>
          </w:p>
        </w:tc>
      </w:tr>
      <w:tr>
        <w:tc>
          <w:tcPr>
            <w:tcW w:type="dxa" w:w="2592"/>
            <w:tcMar>
              <w:top w:w="90" w:type="dxa"/>
              <w:start w:w="90" w:type="dxa"/>
              <w:bottom w:w="90" w:type="dxa"/>
              <w:end w:w="90" w:type="dxa"/>
            </w:tcMar>
            <w:vAlign w:val="top"/>
          </w:tcPr>
          <w:p>
            <w:pPr>
              <w:pStyle w:val="BodyText"/>
              <w:spacing w:after="0"/>
            </w:pPr>
            <w:r>
              <w:rPr>
                <w:sz w:val="16"/>
              </w:rPr>
              <w:t>Cross-channel agreement</w:t>
            </w:r>
          </w:p>
        </w:tc>
        <w:tc>
          <w:tcPr>
            <w:tcW w:type="dxa" w:w="4464"/>
            <w:tcMar>
              <w:top w:w="90" w:type="dxa"/>
              <w:start w:w="90" w:type="dxa"/>
              <w:bottom w:w="90" w:type="dxa"/>
              <w:end w:w="90" w:type="dxa"/>
            </w:tcMar>
            <w:vAlign w:val="top"/>
          </w:tcPr>
          <w:p>
            <w:pPr>
              <w:pStyle w:val="BodyText"/>
              <w:spacing w:after="0"/>
            </w:pPr>
            <w:r>
              <w:rPr>
                <w:sz w:val="16"/>
              </w:rPr>
              <w:t>Canonical status and required reasons match across web, referral, print, and audit.</w:t>
            </w:r>
          </w:p>
        </w:tc>
        <w:tc>
          <w:tcPr>
            <w:tcW w:type="dxa" w:w="2160"/>
            <w:tcMar>
              <w:top w:w="90" w:type="dxa"/>
              <w:start w:w="90" w:type="dxa"/>
              <w:bottom w:w="90" w:type="dxa"/>
              <w:end w:w="90" w:type="dxa"/>
            </w:tcMar>
            <w:vAlign w:val="top"/>
          </w:tcPr>
          <w:p>
            <w:pPr>
              <w:pStyle w:val="BodyText"/>
              <w:spacing w:after="0"/>
            </w:pPr>
            <w:r>
              <w:rPr>
                <w:sz w:val="16"/>
              </w:rPr>
              <w:t>100% for the same assessment ID.</w:t>
            </w:r>
          </w:p>
        </w:tc>
      </w:tr>
      <w:tr>
        <w:tc>
          <w:tcPr>
            <w:tcW w:type="dxa" w:w="2592"/>
            <w:tcMar>
              <w:top w:w="90" w:type="dxa"/>
              <w:start w:w="90" w:type="dxa"/>
              <w:bottom w:w="90" w:type="dxa"/>
              <w:end w:w="90" w:type="dxa"/>
            </w:tcMar>
            <w:vAlign w:val="top"/>
            <w:shd w:fill="F8FBFD"/>
          </w:tcPr>
          <w:p>
            <w:pPr>
              <w:pStyle w:val="BodyText"/>
              <w:spacing w:after="0"/>
            </w:pPr>
            <w:r>
              <w:rPr>
                <w:sz w:val="16"/>
              </w:rPr>
              <w:t>Projection-source consistency</w:t>
            </w:r>
          </w:p>
        </w:tc>
        <w:tc>
          <w:tcPr>
            <w:tcW w:type="dxa" w:w="4464"/>
            <w:tcMar>
              <w:top w:w="90" w:type="dxa"/>
              <w:start w:w="90" w:type="dxa"/>
              <w:bottom w:w="90" w:type="dxa"/>
              <w:end w:w="90" w:type="dxa"/>
            </w:tcMar>
            <w:vAlign w:val="top"/>
            <w:shd w:fill="F8FBFD"/>
          </w:tcPr>
          <w:p>
            <w:pPr>
              <w:pStyle w:val="BodyText"/>
              <w:spacing w:after="0"/>
            </w:pPr>
            <w:r>
              <w:rPr>
                <w:sz w:val="16"/>
              </w:rPr>
              <w:t>Every displayed fact exists in the canonical bundle.</w:t>
            </w:r>
          </w:p>
        </w:tc>
        <w:tc>
          <w:tcPr>
            <w:tcW w:type="dxa" w:w="2160"/>
            <w:tcMar>
              <w:top w:w="90" w:type="dxa"/>
              <w:start w:w="90" w:type="dxa"/>
              <w:bottom w:w="90" w:type="dxa"/>
              <w:end w:w="90" w:type="dxa"/>
            </w:tcMar>
            <w:vAlign w:val="top"/>
            <w:shd w:fill="F8FBFD"/>
          </w:tcPr>
          <w:p>
            <w:pPr>
              <w:pStyle w:val="BodyText"/>
              <w:spacing w:after="0"/>
            </w:pPr>
            <w:r>
              <w:rPr>
                <w:sz w:val="16"/>
              </w:rPr>
              <w:t>100%.</w:t>
            </w:r>
          </w:p>
        </w:tc>
      </w:tr>
      <w:tr>
        <w:tc>
          <w:tcPr>
            <w:tcW w:type="dxa" w:w="2592"/>
            <w:tcMar>
              <w:top w:w="90" w:type="dxa"/>
              <w:start w:w="90" w:type="dxa"/>
              <w:bottom w:w="90" w:type="dxa"/>
              <w:end w:w="90" w:type="dxa"/>
            </w:tcMar>
            <w:vAlign w:val="top"/>
          </w:tcPr>
          <w:p>
            <w:pPr>
              <w:pStyle w:val="BodyText"/>
              <w:spacing w:after="0"/>
            </w:pPr>
            <w:r>
              <w:rPr>
                <w:sz w:val="16"/>
              </w:rPr>
              <w:t>Version coherence</w:t>
            </w:r>
          </w:p>
        </w:tc>
        <w:tc>
          <w:tcPr>
            <w:tcW w:type="dxa" w:w="4464"/>
            <w:tcMar>
              <w:top w:w="90" w:type="dxa"/>
              <w:start w:w="90" w:type="dxa"/>
              <w:bottom w:w="90" w:type="dxa"/>
              <w:end w:w="90" w:type="dxa"/>
            </w:tcMar>
            <w:vAlign w:val="top"/>
          </w:tcPr>
          <w:p>
            <w:pPr>
              <w:pStyle w:val="BodyText"/>
              <w:spacing w:after="0"/>
            </w:pPr>
            <w:r>
              <w:rPr>
                <w:sz w:val="16"/>
              </w:rPr>
              <w:t>Rule, model, template, and explanation versions form an approved combination.</w:t>
            </w:r>
          </w:p>
        </w:tc>
        <w:tc>
          <w:tcPr>
            <w:tcW w:type="dxa" w:w="2160"/>
            <w:tcMar>
              <w:top w:w="90" w:type="dxa"/>
              <w:start w:w="90" w:type="dxa"/>
              <w:bottom w:w="90" w:type="dxa"/>
              <w:end w:w="90" w:type="dxa"/>
            </w:tcMar>
            <w:vAlign w:val="top"/>
          </w:tcPr>
          <w:p>
            <w:pPr>
              <w:pStyle w:val="BodyText"/>
              <w:spacing w:after="0"/>
            </w:pPr>
            <w:r>
              <w:rPr>
                <w:sz w:val="16"/>
              </w:rPr>
              <w:t>100%.</w:t>
            </w:r>
          </w:p>
        </w:tc>
      </w:tr>
      <w:tr>
        <w:tc>
          <w:tcPr>
            <w:tcW w:type="dxa" w:w="2592"/>
            <w:tcMar>
              <w:top w:w="90" w:type="dxa"/>
              <w:start w:w="90" w:type="dxa"/>
              <w:bottom w:w="90" w:type="dxa"/>
              <w:end w:w="90" w:type="dxa"/>
            </w:tcMar>
            <w:vAlign w:val="top"/>
            <w:shd w:fill="F8FBFD"/>
          </w:tcPr>
          <w:p>
            <w:pPr>
              <w:pStyle w:val="BodyText"/>
              <w:spacing w:after="0"/>
            </w:pPr>
            <w:r>
              <w:rPr>
                <w:sz w:val="16"/>
              </w:rPr>
              <w:t>Recalculation freshness</w:t>
            </w:r>
          </w:p>
        </w:tc>
        <w:tc>
          <w:tcPr>
            <w:tcW w:type="dxa" w:w="4464"/>
            <w:tcMar>
              <w:top w:w="90" w:type="dxa"/>
              <w:start w:w="90" w:type="dxa"/>
              <w:bottom w:w="90" w:type="dxa"/>
              <w:end w:w="90" w:type="dxa"/>
            </w:tcMar>
            <w:vAlign w:val="top"/>
            <w:shd w:fill="F8FBFD"/>
          </w:tcPr>
          <w:p>
            <w:pPr>
              <w:pStyle w:val="BodyText"/>
              <w:spacing w:after="0"/>
            </w:pPr>
            <w:r>
              <w:rPr>
                <w:sz w:val="16"/>
              </w:rPr>
              <w:t>Explanation timestamp is not older than any source record change that should trigger recalculation.</w:t>
            </w:r>
          </w:p>
        </w:tc>
        <w:tc>
          <w:tcPr>
            <w:tcW w:type="dxa" w:w="2160"/>
            <w:tcMar>
              <w:top w:w="90" w:type="dxa"/>
              <w:start w:w="90" w:type="dxa"/>
              <w:bottom w:w="90" w:type="dxa"/>
              <w:end w:w="90" w:type="dxa"/>
            </w:tcMar>
            <w:vAlign w:val="top"/>
            <w:shd w:fill="F8FBFD"/>
          </w:tcPr>
          <w:p>
            <w:pPr>
              <w:pStyle w:val="BodyText"/>
              <w:spacing w:after="0"/>
            </w:pPr>
            <w:r>
              <w:rPr>
                <w:sz w:val="16"/>
              </w:rPr>
              <w:t>100% before clinical use.</w:t>
            </w:r>
          </w:p>
        </w:tc>
      </w:tr>
    </w:tbl>
    <w:p>
      <w:pPr>
        <w:spacing w:after="0"/>
      </w:pPr>
    </w:p>
    <w:p>
      <w:pPr>
        <w:pStyle w:val="Heading2"/>
        <w:keepNext/>
      </w:pPr>
      <w:r>
        <w:t>5.3 Completeness and availability metrics</w:t>
      </w:r>
    </w:p>
    <w:p>
      <w:pPr>
        <w:pStyle w:val="ListBullet"/>
      </w:pPr>
      <w:r>
        <w:t>Explanation generation success rate = valid explanation bundles / completed assessment attempts.</w:t>
      </w:r>
    </w:p>
    <w:p>
      <w:pPr>
        <w:pStyle w:val="ListBullet"/>
      </w:pPr>
      <w:r>
        <w:t>Required-field completeness rate = populated required fields / required fields for the audience.</w:t>
      </w:r>
    </w:p>
    <w:p>
      <w:pPr>
        <w:pStyle w:val="ListBullet"/>
      </w:pPr>
      <w:r>
        <w:t>Missing-record accuracy = correctly named missing requirements / all incomplete cases.</w:t>
      </w:r>
    </w:p>
    <w:p>
      <w:pPr>
        <w:pStyle w:val="ListBullet"/>
      </w:pPr>
      <w:r>
        <w:t>Audit linkage rate = explanations with complete assessment and source references / stored explanations.</w:t>
      </w:r>
    </w:p>
    <w:p>
      <w:pPr>
        <w:pStyle w:val="ListBullet"/>
      </w:pPr>
      <w:r>
        <w:t>Channel parity rate = channels generated from the same canonical explanation ID / all related outputs.</w:t>
      </w:r>
    </w:p>
    <w:tbl>
      <w:tblPr>
        <w:tblStyle w:val="TableGrid"/>
        <w:tblW w:type="auto" w:w="0"/>
        <w:jc w:val="center"/>
        <w:tblLook w:firstColumn="1" w:firstRow="1" w:lastColumn="0" w:lastRow="0" w:noHBand="0" w:noVBand="1" w:val="04A0"/>
      </w:tblPr>
      <w:tblGrid>
        <w:gridCol w:w="10080"/>
      </w:tblGrid>
      <w:tr>
        <w:tc>
          <w:tcPr>
            <w:tcW w:type="dxa" w:w="10080"/>
            <w:shd w:fill="FCE4D6"/>
            <w:tcMar>
              <w:top w:w="140" w:type="dxa"/>
              <w:start w:w="160" w:type="dxa"/>
              <w:bottom w:w="140" w:type="dxa"/>
              <w:end w:w="160" w:type="dxa"/>
            </w:tcMar>
          </w:tcPr>
          <w:p>
            <w:r>
              <w:rPr>
                <w:b/>
                <w:color w:val="9C0006"/>
              </w:rPr>
              <w:t>Safety threshold</w:t>
            </w:r>
            <w:r>
              <w:br/>
              <w:t>For a capstone pilot, any known instance of HIGH without its correct patient-specific reason, LOW despite a deterministic HIGH trigger, or ASSESSMENT INCOMPLETE with an incorrect missing-record statement is a release-blocking defect, regardless of aggregate percentage.</w:t>
            </w:r>
          </w:p>
        </w:tc>
      </w:tr>
    </w:tbl>
    <w:p>
      <w:pPr>
        <w:spacing w:after="0"/>
      </w:pPr>
    </w:p>
    <w:p>
      <w:pPr>
        <w:pStyle w:val="Heading1"/>
        <w:keepNext/>
      </w:pPr>
      <w:r>
        <w:t>6. Readability, Comprehension, and Health-Literacy Evaluation</w:t>
      </w:r>
    </w:p>
    <w:p>
      <w:pPr>
        <w:pStyle w:val="Heading2"/>
        <w:keepNext/>
      </w:pPr>
      <w:r>
        <w:t>6.1 Readability is a screening measure</w:t>
      </w:r>
    </w:p>
    <w:p>
      <w:pPr>
        <w:pStyle w:val="BodyText"/>
      </w:pPr>
      <w:r>
        <w:t>Automated readability formulas may help identify long sentences and difficult words, but they cannot determine whether a patient understands the risk meaning, the non-diagnostic limitation, or the required next step. Evaluation therefore combines linguistic checks with direct comprehension tasks. CDC plain-language guidance supports putting the most important message first, using familiar words, limiting each sentence to one idea, and organizing information for the audience. AHRQ health-literacy universal precautions support simplifying communication and confirming understanding for everyone.</w:t>
      </w:r>
    </w:p>
    <w:p>
      <w:pPr>
        <w:pStyle w:val="Heading2"/>
        <w:keepNext/>
      </w:pPr>
      <w:r>
        <w:t>6.2 Patient-facing linguistic checks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448"/>
            <w:shd w:fill="1F4E79"/>
            <w:tcMar>
              <w:top w:w="90" w:type="dxa"/>
              <w:start w:w="90" w:type="dxa"/>
              <w:bottom w:w="90" w:type="dxa"/>
              <w:end w:w="90" w:type="dxa"/>
            </w:tcMar>
            <w:vAlign w:val="center"/>
          </w:tcPr>
          <w:p>
            <w:pPr>
              <w:jc w:val="center"/>
            </w:pPr>
            <w:r>
              <w:rPr>
                <w:b/>
                <w:color w:val="FFFFFF"/>
                <w:sz w:val="16"/>
              </w:rPr>
              <w:t>Check</w:t>
            </w:r>
          </w:p>
        </w:tc>
        <w:tc>
          <w:tcPr>
            <w:tcW w:type="dxa" w:w="6912"/>
            <w:shd w:fill="1F4E79"/>
            <w:tcMar>
              <w:top w:w="90" w:type="dxa"/>
              <w:start w:w="90" w:type="dxa"/>
              <w:bottom w:w="90" w:type="dxa"/>
              <w:end w:w="90" w:type="dxa"/>
            </w:tcMar>
            <w:vAlign w:val="center"/>
          </w:tcPr>
          <w:p>
            <w:pPr>
              <w:jc w:val="center"/>
            </w:pPr>
            <w:r>
              <w:rPr>
                <w:b/>
                <w:color w:val="FFFFFF"/>
                <w:sz w:val="16"/>
              </w:rPr>
              <w:t>Acceptance rule</w:t>
            </w:r>
          </w:p>
        </w:tc>
      </w:tr>
      <w:tr>
        <w:tc>
          <w:tcPr>
            <w:tcW w:type="dxa" w:w="2448"/>
            <w:tcMar>
              <w:top w:w="90" w:type="dxa"/>
              <w:start w:w="90" w:type="dxa"/>
              <w:bottom w:w="90" w:type="dxa"/>
              <w:end w:w="90" w:type="dxa"/>
            </w:tcMar>
            <w:vAlign w:val="top"/>
          </w:tcPr>
          <w:p>
            <w:pPr>
              <w:pStyle w:val="BodyText"/>
              <w:spacing w:after="0"/>
            </w:pPr>
            <w:r>
              <w:rPr>
                <w:sz w:val="16"/>
              </w:rPr>
              <w:t>Message-first order</w:t>
            </w:r>
          </w:p>
        </w:tc>
        <w:tc>
          <w:tcPr>
            <w:tcW w:type="dxa" w:w="6912"/>
            <w:tcMar>
              <w:top w:w="90" w:type="dxa"/>
              <w:start w:w="90" w:type="dxa"/>
              <w:bottom w:w="90" w:type="dxa"/>
              <w:end w:w="90" w:type="dxa"/>
            </w:tcMar>
            <w:vAlign w:val="top"/>
          </w:tcPr>
          <w:p>
            <w:pPr>
              <w:pStyle w:val="BodyText"/>
              <w:spacing w:after="0"/>
            </w:pPr>
            <w:r>
              <w:rPr>
                <w:sz w:val="16"/>
              </w:rPr>
              <w:t>Status meaning and next action appear before technical background.</w:t>
            </w:r>
          </w:p>
        </w:tc>
      </w:tr>
      <w:tr>
        <w:tc>
          <w:tcPr>
            <w:tcW w:type="dxa" w:w="2448"/>
            <w:tcMar>
              <w:top w:w="90" w:type="dxa"/>
              <w:start w:w="90" w:type="dxa"/>
              <w:bottom w:w="90" w:type="dxa"/>
              <w:end w:w="90" w:type="dxa"/>
            </w:tcMar>
            <w:vAlign w:val="top"/>
            <w:shd w:fill="F8FBFD"/>
          </w:tcPr>
          <w:p>
            <w:pPr>
              <w:pStyle w:val="BodyText"/>
              <w:spacing w:after="0"/>
            </w:pPr>
            <w:r>
              <w:rPr>
                <w:sz w:val="16"/>
              </w:rPr>
              <w:t>Sentence focus</w:t>
            </w:r>
          </w:p>
        </w:tc>
        <w:tc>
          <w:tcPr>
            <w:tcW w:type="dxa" w:w="6912"/>
            <w:tcMar>
              <w:top w:w="90" w:type="dxa"/>
              <w:start w:w="90" w:type="dxa"/>
              <w:bottom w:w="90" w:type="dxa"/>
              <w:end w:w="90" w:type="dxa"/>
            </w:tcMar>
            <w:vAlign w:val="top"/>
            <w:shd w:fill="F8FBFD"/>
          </w:tcPr>
          <w:p>
            <w:pPr>
              <w:pStyle w:val="BodyText"/>
              <w:spacing w:after="0"/>
            </w:pPr>
            <w:r>
              <w:rPr>
                <w:sz w:val="16"/>
              </w:rPr>
              <w:t>Each sentence generally communicates one main idea; long compound sentences are revised.</w:t>
            </w:r>
          </w:p>
        </w:tc>
      </w:tr>
      <w:tr>
        <w:tc>
          <w:tcPr>
            <w:tcW w:type="dxa" w:w="2448"/>
            <w:tcMar>
              <w:top w:w="90" w:type="dxa"/>
              <w:start w:w="90" w:type="dxa"/>
              <w:bottom w:w="90" w:type="dxa"/>
              <w:end w:w="90" w:type="dxa"/>
            </w:tcMar>
            <w:vAlign w:val="top"/>
          </w:tcPr>
          <w:p>
            <w:pPr>
              <w:pStyle w:val="BodyText"/>
              <w:spacing w:after="0"/>
            </w:pPr>
            <w:r>
              <w:rPr>
                <w:sz w:val="16"/>
              </w:rPr>
              <w:t>Terminology</w:t>
            </w:r>
          </w:p>
        </w:tc>
        <w:tc>
          <w:tcPr>
            <w:tcW w:type="dxa" w:w="6912"/>
            <w:tcMar>
              <w:top w:w="90" w:type="dxa"/>
              <w:start w:w="90" w:type="dxa"/>
              <w:bottom w:w="90" w:type="dxa"/>
              <w:end w:w="90" w:type="dxa"/>
            </w:tcMar>
            <w:vAlign w:val="top"/>
          </w:tcPr>
          <w:p>
            <w:pPr>
              <w:pStyle w:val="BodyText"/>
              <w:spacing w:after="0"/>
            </w:pPr>
            <w:r>
              <w:rPr>
                <w:sz w:val="16"/>
              </w:rPr>
              <w:t>Technical terms are avoided or immediately explained in familiar words.</w:t>
            </w:r>
          </w:p>
        </w:tc>
      </w:tr>
      <w:tr>
        <w:tc>
          <w:tcPr>
            <w:tcW w:type="dxa" w:w="2448"/>
            <w:tcMar>
              <w:top w:w="90" w:type="dxa"/>
              <w:start w:w="90" w:type="dxa"/>
              <w:bottom w:w="90" w:type="dxa"/>
              <w:end w:w="90" w:type="dxa"/>
            </w:tcMar>
            <w:vAlign w:val="top"/>
            <w:shd w:fill="F8FBFD"/>
          </w:tcPr>
          <w:p>
            <w:pPr>
              <w:pStyle w:val="BodyText"/>
              <w:spacing w:after="0"/>
            </w:pPr>
            <w:r>
              <w:rPr>
                <w:sz w:val="16"/>
              </w:rPr>
              <w:t>Numeracy</w:t>
            </w:r>
          </w:p>
        </w:tc>
        <w:tc>
          <w:tcPr>
            <w:tcW w:type="dxa" w:w="6912"/>
            <w:tcMar>
              <w:top w:w="90" w:type="dxa"/>
              <w:start w:w="90" w:type="dxa"/>
              <w:bottom w:w="90" w:type="dxa"/>
              <w:end w:w="90" w:type="dxa"/>
            </w:tcMar>
            <w:vAlign w:val="top"/>
            <w:shd w:fill="F8FBFD"/>
          </w:tcPr>
          <w:p>
            <w:pPr>
              <w:pStyle w:val="BodyText"/>
              <w:spacing w:after="0"/>
            </w:pPr>
            <w:r>
              <w:rPr>
                <w:sz w:val="16"/>
              </w:rPr>
              <w:t>Observed measurements are paired with meaning; numbers are not presented without context.</w:t>
            </w:r>
          </w:p>
        </w:tc>
      </w:tr>
      <w:tr>
        <w:tc>
          <w:tcPr>
            <w:tcW w:type="dxa" w:w="2448"/>
            <w:tcMar>
              <w:top w:w="90" w:type="dxa"/>
              <w:start w:w="90" w:type="dxa"/>
              <w:bottom w:w="90" w:type="dxa"/>
              <w:end w:w="90" w:type="dxa"/>
            </w:tcMar>
            <w:vAlign w:val="top"/>
          </w:tcPr>
          <w:p>
            <w:pPr>
              <w:pStyle w:val="BodyText"/>
              <w:spacing w:after="0"/>
            </w:pPr>
            <w:r>
              <w:rPr>
                <w:sz w:val="16"/>
              </w:rPr>
              <w:t>Certainty</w:t>
            </w:r>
          </w:p>
        </w:tc>
        <w:tc>
          <w:tcPr>
            <w:tcW w:type="dxa" w:w="6912"/>
            <w:tcMar>
              <w:top w:w="90" w:type="dxa"/>
              <w:start w:w="90" w:type="dxa"/>
              <w:bottom w:w="90" w:type="dxa"/>
              <w:end w:w="90" w:type="dxa"/>
            </w:tcMar>
            <w:vAlign w:val="top"/>
          </w:tcPr>
          <w:p>
            <w:pPr>
              <w:pStyle w:val="BodyText"/>
              <w:spacing w:after="0"/>
            </w:pPr>
            <w:r>
              <w:rPr>
                <w:sz w:val="16"/>
              </w:rPr>
              <w:t>No wording states or implies a confirmed diagnosis from the CDSS.</w:t>
            </w:r>
          </w:p>
        </w:tc>
      </w:tr>
      <w:tr>
        <w:tc>
          <w:tcPr>
            <w:tcW w:type="dxa" w:w="2448"/>
            <w:tcMar>
              <w:top w:w="90" w:type="dxa"/>
              <w:start w:w="90" w:type="dxa"/>
              <w:bottom w:w="90" w:type="dxa"/>
              <w:end w:w="90" w:type="dxa"/>
            </w:tcMar>
            <w:vAlign w:val="top"/>
            <w:shd w:fill="F8FBFD"/>
          </w:tcPr>
          <w:p>
            <w:pPr>
              <w:pStyle w:val="BodyText"/>
              <w:spacing w:after="0"/>
            </w:pPr>
            <w:r>
              <w:rPr>
                <w:sz w:val="16"/>
              </w:rPr>
              <w:t>Tone</w:t>
            </w:r>
          </w:p>
        </w:tc>
        <w:tc>
          <w:tcPr>
            <w:tcW w:type="dxa" w:w="6912"/>
            <w:tcMar>
              <w:top w:w="90" w:type="dxa"/>
              <w:start w:w="90" w:type="dxa"/>
              <w:bottom w:w="90" w:type="dxa"/>
              <w:end w:w="90" w:type="dxa"/>
            </w:tcMar>
            <w:vAlign w:val="top"/>
            <w:shd w:fill="F8FBFD"/>
          </w:tcPr>
          <w:p>
            <w:pPr>
              <w:pStyle w:val="BodyText"/>
              <w:spacing w:after="0"/>
            </w:pPr>
            <w:r>
              <w:rPr>
                <w:sz w:val="16"/>
              </w:rPr>
              <w:t>Language is respectful, non-blaming, calm, and proportionate to urgency.</w:t>
            </w:r>
          </w:p>
        </w:tc>
      </w:tr>
      <w:tr>
        <w:tc>
          <w:tcPr>
            <w:tcW w:type="dxa" w:w="2448"/>
            <w:tcMar>
              <w:top w:w="90" w:type="dxa"/>
              <w:start w:w="90" w:type="dxa"/>
              <w:bottom w:w="90" w:type="dxa"/>
              <w:end w:w="90" w:type="dxa"/>
            </w:tcMar>
            <w:vAlign w:val="top"/>
          </w:tcPr>
          <w:p>
            <w:pPr>
              <w:pStyle w:val="BodyText"/>
              <w:spacing w:after="0"/>
            </w:pPr>
            <w:r>
              <w:rPr>
                <w:sz w:val="16"/>
              </w:rPr>
              <w:t>Action clarity</w:t>
            </w:r>
          </w:p>
        </w:tc>
        <w:tc>
          <w:tcPr>
            <w:tcW w:type="dxa" w:w="6912"/>
            <w:tcMar>
              <w:top w:w="90" w:type="dxa"/>
              <w:start w:w="90" w:type="dxa"/>
              <w:bottom w:w="90" w:type="dxa"/>
              <w:end w:w="90" w:type="dxa"/>
            </w:tcMar>
            <w:vAlign w:val="top"/>
          </w:tcPr>
          <w:p>
            <w:pPr>
              <w:pStyle w:val="BodyText"/>
              <w:spacing w:after="0"/>
            </w:pPr>
            <w:r>
              <w:rPr>
                <w:sz w:val="16"/>
              </w:rPr>
              <w:t>The reader can state who to contact or what record/action is needed next.</w:t>
            </w:r>
          </w:p>
        </w:tc>
      </w:tr>
      <w:tr>
        <w:tc>
          <w:tcPr>
            <w:tcW w:type="dxa" w:w="2448"/>
            <w:tcMar>
              <w:top w:w="90" w:type="dxa"/>
              <w:start w:w="90" w:type="dxa"/>
              <w:bottom w:w="90" w:type="dxa"/>
              <w:end w:w="90" w:type="dxa"/>
            </w:tcMar>
            <w:vAlign w:val="top"/>
            <w:shd w:fill="F8FBFD"/>
          </w:tcPr>
          <w:p>
            <w:pPr>
              <w:pStyle w:val="BodyText"/>
              <w:spacing w:after="0"/>
            </w:pPr>
            <w:r>
              <w:rPr>
                <w:sz w:val="16"/>
              </w:rPr>
              <w:t>Teach-back compatibility</w:t>
            </w:r>
          </w:p>
        </w:tc>
        <w:tc>
          <w:tcPr>
            <w:tcW w:type="dxa" w:w="6912"/>
            <w:tcMar>
              <w:top w:w="90" w:type="dxa"/>
              <w:start w:w="90" w:type="dxa"/>
              <w:bottom w:w="90" w:type="dxa"/>
              <w:end w:w="90" w:type="dxa"/>
            </w:tcMar>
            <w:vAlign w:val="top"/>
            <w:shd w:fill="F8FBFD"/>
          </w:tcPr>
          <w:p>
            <w:pPr>
              <w:pStyle w:val="BodyText"/>
              <w:spacing w:after="0"/>
            </w:pPr>
            <w:r>
              <w:rPr>
                <w:sz w:val="16"/>
              </w:rPr>
              <w:t>The explanation can be checked with an open question such as “What will you do next?”</w:t>
            </w:r>
          </w:p>
        </w:tc>
      </w:tr>
    </w:tbl>
    <w:p>
      <w:pPr>
        <w:spacing w:after="0"/>
      </w:pPr>
    </w:p>
    <w:p>
      <w:pPr>
        <w:pStyle w:val="Heading2"/>
        <w:keepNext/>
      </w:pPr>
      <w:r>
        <w:t>6.3 Comprehension tasks</w:t>
      </w:r>
    </w:p>
    <w:p>
      <w:pPr>
        <w:pStyle w:val="ListBullet"/>
      </w:pPr>
      <w:r>
        <w:t>Identify the result category in their own words.</w:t>
      </w:r>
    </w:p>
    <w:p>
      <w:pPr>
        <w:pStyle w:val="ListBullet"/>
      </w:pPr>
      <w:r>
        <w:t>Name at least one main reason or missing requirement appropriate to the audience.</w:t>
      </w:r>
    </w:p>
    <w:p>
      <w:pPr>
        <w:pStyle w:val="ListBullet"/>
      </w:pPr>
      <w:r>
        <w:t>State that the result supports but does not replace professional assessment.</w:t>
      </w:r>
    </w:p>
    <w:p>
      <w:pPr>
        <w:pStyle w:val="ListBullet"/>
      </w:pPr>
      <w:r>
        <w:t>Identify the next action or follow-up step.</w:t>
      </w:r>
    </w:p>
    <w:p>
      <w:pPr>
        <w:pStyle w:val="ListBullet"/>
      </w:pPr>
      <w:r>
        <w:t>For LOW, recognize that continued prenatal care is still required.</w:t>
      </w:r>
    </w:p>
    <w:p>
      <w:pPr>
        <w:pStyle w:val="ListBullet"/>
      </w:pPr>
      <w:r>
        <w:t>For ASSESSMENT INCOMPLETE, recognize that risk has not been confirmed as low.</w:t>
      </w:r>
    </w:p>
    <w:p>
      <w:pPr>
        <w:pStyle w:val="Heading2"/>
        <w:keepNext/>
      </w:pPr>
      <w:r>
        <w:t>6.4 Suggested pilot acceptance criteria</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520"/>
            <w:shd w:fill="1F4E79"/>
            <w:tcMar>
              <w:top w:w="90" w:type="dxa"/>
              <w:start w:w="90" w:type="dxa"/>
              <w:bottom w:w="90" w:type="dxa"/>
              <w:end w:w="90" w:type="dxa"/>
            </w:tcMar>
            <w:vAlign w:val="center"/>
          </w:tcPr>
          <w:p>
            <w:pPr>
              <w:jc w:val="center"/>
            </w:pPr>
            <w:r>
              <w:rPr>
                <w:b/>
                <w:color w:val="FFFFFF"/>
                <w:sz w:val="16"/>
              </w:rPr>
              <w:t>Audience</w:t>
            </w:r>
          </w:p>
        </w:tc>
        <w:tc>
          <w:tcPr>
            <w:tcW w:type="dxa" w:w="6840"/>
            <w:shd w:fill="1F4E79"/>
            <w:tcMar>
              <w:top w:w="90" w:type="dxa"/>
              <w:start w:w="90" w:type="dxa"/>
              <w:bottom w:w="90" w:type="dxa"/>
              <w:end w:w="90" w:type="dxa"/>
            </w:tcMar>
            <w:vAlign w:val="center"/>
          </w:tcPr>
          <w:p>
            <w:pPr>
              <w:jc w:val="center"/>
            </w:pPr>
            <w:r>
              <w:rPr>
                <w:b/>
                <w:color w:val="FFFFFF"/>
                <w:sz w:val="16"/>
              </w:rPr>
              <w:t>Suggested small-pilot criterion</w:t>
            </w:r>
          </w:p>
        </w:tc>
      </w:tr>
      <w:tr>
        <w:tc>
          <w:tcPr>
            <w:tcW w:type="dxa" w:w="2520"/>
            <w:tcMar>
              <w:top w:w="90" w:type="dxa"/>
              <w:start w:w="90" w:type="dxa"/>
              <w:bottom w:w="90" w:type="dxa"/>
              <w:end w:w="90" w:type="dxa"/>
            </w:tcMar>
            <w:vAlign w:val="top"/>
          </w:tcPr>
          <w:p>
            <w:pPr>
              <w:pStyle w:val="BodyText"/>
              <w:spacing w:after="0"/>
            </w:pPr>
            <w:r>
              <w:rPr>
                <w:sz w:val="16"/>
              </w:rPr>
              <w:t>Midwife</w:t>
            </w:r>
          </w:p>
        </w:tc>
        <w:tc>
          <w:tcPr>
            <w:tcW w:type="dxa" w:w="6840"/>
            <w:tcMar>
              <w:top w:w="90" w:type="dxa"/>
              <w:start w:w="90" w:type="dxa"/>
              <w:bottom w:w="90" w:type="dxa"/>
              <w:end w:w="90" w:type="dxa"/>
            </w:tcMar>
            <w:vAlign w:val="top"/>
          </w:tcPr>
          <w:p>
            <w:pPr>
              <w:pStyle w:val="BodyText"/>
              <w:spacing w:after="0"/>
            </w:pPr>
            <w:r>
              <w:rPr>
                <w:sz w:val="16"/>
              </w:rPr>
              <w:t>At least 90% correct completion of status, reason, limitation, and action tasks; no safety-critical misunderstanding.</w:t>
            </w:r>
          </w:p>
        </w:tc>
      </w:tr>
      <w:tr>
        <w:tc>
          <w:tcPr>
            <w:tcW w:type="dxa" w:w="2520"/>
            <w:tcMar>
              <w:top w:w="90" w:type="dxa"/>
              <w:start w:w="90" w:type="dxa"/>
              <w:bottom w:w="90" w:type="dxa"/>
              <w:end w:w="90" w:type="dxa"/>
            </w:tcMar>
            <w:vAlign w:val="top"/>
            <w:shd w:fill="F8FBFD"/>
          </w:tcPr>
          <w:p>
            <w:pPr>
              <w:pStyle w:val="BodyText"/>
              <w:spacing w:after="0"/>
            </w:pPr>
            <w:r>
              <w:rPr>
                <w:sz w:val="16"/>
              </w:rPr>
              <w:t>Patient representative</w:t>
            </w:r>
          </w:p>
        </w:tc>
        <w:tc>
          <w:tcPr>
            <w:tcW w:type="dxa" w:w="6840"/>
            <w:tcMar>
              <w:top w:w="90" w:type="dxa"/>
              <w:start w:w="90" w:type="dxa"/>
              <w:bottom w:w="90" w:type="dxa"/>
              <w:end w:w="90" w:type="dxa"/>
            </w:tcMar>
            <w:vAlign w:val="top"/>
            <w:shd w:fill="F8FBFD"/>
          </w:tcPr>
          <w:p>
            <w:pPr>
              <w:pStyle w:val="BodyText"/>
              <w:spacing w:after="0"/>
            </w:pPr>
            <w:r>
              <w:rPr>
                <w:sz w:val="16"/>
              </w:rPr>
              <w:t>At least 80% correctly identify meaning and next step after one reading; all recurring misunderstandings trigger revision.</w:t>
            </w:r>
          </w:p>
        </w:tc>
      </w:tr>
      <w:tr>
        <w:tc>
          <w:tcPr>
            <w:tcW w:type="dxa" w:w="2520"/>
            <w:tcMar>
              <w:top w:w="90" w:type="dxa"/>
              <w:start w:w="90" w:type="dxa"/>
              <w:bottom w:w="90" w:type="dxa"/>
              <w:end w:w="90" w:type="dxa"/>
            </w:tcMar>
            <w:vAlign w:val="top"/>
          </w:tcPr>
          <w:p>
            <w:pPr>
              <w:pStyle w:val="BodyText"/>
              <w:spacing w:after="0"/>
            </w:pPr>
            <w:r>
              <w:rPr>
                <w:sz w:val="16"/>
              </w:rPr>
              <w:t>Administrator</w:t>
            </w:r>
          </w:p>
        </w:tc>
        <w:tc>
          <w:tcPr>
            <w:tcW w:type="dxa" w:w="6840"/>
            <w:tcMar>
              <w:top w:w="90" w:type="dxa"/>
              <w:start w:w="90" w:type="dxa"/>
              <w:bottom w:w="90" w:type="dxa"/>
              <w:end w:w="90" w:type="dxa"/>
            </w:tcMar>
            <w:vAlign w:val="top"/>
          </w:tcPr>
          <w:p>
            <w:pPr>
              <w:pStyle w:val="BodyText"/>
              <w:spacing w:after="0"/>
            </w:pPr>
            <w:r>
              <w:rPr>
                <w:sz w:val="16"/>
              </w:rPr>
              <w:t>At least 90% correctly identify workflow state without making unsupported clinical interpretation.</w:t>
            </w:r>
          </w:p>
        </w:tc>
      </w:tr>
      <w:tr>
        <w:tc>
          <w:tcPr>
            <w:tcW w:type="dxa" w:w="2520"/>
            <w:tcMar>
              <w:top w:w="90" w:type="dxa"/>
              <w:start w:w="90" w:type="dxa"/>
              <w:bottom w:w="90" w:type="dxa"/>
              <w:end w:w="90" w:type="dxa"/>
            </w:tcMar>
            <w:vAlign w:val="top"/>
            <w:shd w:fill="F8FBFD"/>
          </w:tcPr>
          <w:p>
            <w:pPr>
              <w:pStyle w:val="BodyText"/>
              <w:spacing w:after="0"/>
            </w:pPr>
            <w:r>
              <w:rPr>
                <w:sz w:val="16"/>
              </w:rPr>
              <w:t>Developer/auditor</w:t>
            </w:r>
          </w:p>
        </w:tc>
        <w:tc>
          <w:tcPr>
            <w:tcW w:type="dxa" w:w="6840"/>
            <w:tcMar>
              <w:top w:w="90" w:type="dxa"/>
              <w:start w:w="90" w:type="dxa"/>
              <w:bottom w:w="90" w:type="dxa"/>
              <w:end w:w="90" w:type="dxa"/>
            </w:tcMar>
            <w:vAlign w:val="top"/>
            <w:shd w:fill="F8FBFD"/>
          </w:tcPr>
          <w:p>
            <w:pPr>
              <w:pStyle w:val="BodyText"/>
              <w:spacing w:after="0"/>
            </w:pPr>
            <w:r>
              <w:rPr>
                <w:sz w:val="16"/>
              </w:rPr>
              <w:t>100% successful reconstruction of sampled explanations using approved records and versions.</w:t>
            </w:r>
          </w:p>
        </w:tc>
      </w:tr>
    </w:tbl>
    <w:p>
      <w:pPr>
        <w:spacing w:after="0"/>
      </w:pPr>
    </w:p>
    <w:p>
      <w:pPr>
        <w:pStyle w:val="BodyText"/>
      </w:pPr>
      <w:r>
        <w:t>These are engineering acceptance targets for prototype evaluation, not claims of clinical effectiveness. Sample size, participant characteristics, setting, facilitator influence, and limitations must be reported transparently.</w:t>
      </w:r>
    </w:p>
    <w:p>
      <w:pPr>
        <w:pStyle w:val="Heading1"/>
        <w:keepNext/>
      </w:pPr>
      <w:r>
        <w:t>7. Clinical and Expert Review Protocol</w:t>
      </w:r>
    </w:p>
    <w:p>
      <w:pPr>
        <w:pStyle w:val="Heading2"/>
        <w:keepNext/>
      </w:pPr>
      <w:r>
        <w:t>7.1 Reviewer responsibilities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6"/>
              </w:rPr>
              <w:t>Reviewer</w:t>
            </w:r>
          </w:p>
        </w:tc>
        <w:tc>
          <w:tcPr>
            <w:tcW w:type="dxa" w:w="6480"/>
            <w:shd w:fill="1F4E79"/>
            <w:tcMar>
              <w:top w:w="90" w:type="dxa"/>
              <w:start w:w="90" w:type="dxa"/>
              <w:bottom w:w="90" w:type="dxa"/>
              <w:end w:w="90" w:type="dxa"/>
            </w:tcMar>
            <w:vAlign w:val="center"/>
          </w:tcPr>
          <w:p>
            <w:pPr>
              <w:jc w:val="center"/>
            </w:pPr>
            <w:r>
              <w:rPr>
                <w:b/>
                <w:color w:val="FFFFFF"/>
                <w:sz w:val="16"/>
              </w:rPr>
              <w:t>Primary review questions</w:t>
            </w:r>
          </w:p>
        </w:tc>
      </w:tr>
      <w:tr>
        <w:tc>
          <w:tcPr>
            <w:tcW w:type="dxa" w:w="2880"/>
            <w:tcMar>
              <w:top w:w="90" w:type="dxa"/>
              <w:start w:w="90" w:type="dxa"/>
              <w:bottom w:w="90" w:type="dxa"/>
              <w:end w:w="90" w:type="dxa"/>
            </w:tcMar>
            <w:vAlign w:val="top"/>
          </w:tcPr>
          <w:p>
            <w:pPr>
              <w:pStyle w:val="BodyText"/>
              <w:spacing w:after="0"/>
            </w:pPr>
            <w:r>
              <w:rPr>
                <w:sz w:val="16"/>
              </w:rPr>
              <w:t>Midwife or qualified clinical adviser</w:t>
            </w:r>
          </w:p>
        </w:tc>
        <w:tc>
          <w:tcPr>
            <w:tcW w:type="dxa" w:w="6480"/>
            <w:tcMar>
              <w:top w:w="90" w:type="dxa"/>
              <w:start w:w="90" w:type="dxa"/>
              <w:bottom w:w="90" w:type="dxa"/>
              <w:end w:w="90" w:type="dxa"/>
            </w:tcMar>
            <w:vAlign w:val="top"/>
          </w:tcPr>
          <w:p>
            <w:pPr>
              <w:pStyle w:val="BodyText"/>
              <w:spacing w:after="0"/>
            </w:pPr>
            <w:r>
              <w:rPr>
                <w:sz w:val="16"/>
              </w:rPr>
              <w:t>Are findings, thresholds, urgency, limitations, and actions clinically coherent and appropriate to the lying-in context?</w:t>
            </w:r>
          </w:p>
        </w:tc>
      </w:tr>
      <w:tr>
        <w:tc>
          <w:tcPr>
            <w:tcW w:type="dxa" w:w="2880"/>
            <w:tcMar>
              <w:top w:w="90" w:type="dxa"/>
              <w:start w:w="90" w:type="dxa"/>
              <w:bottom w:w="90" w:type="dxa"/>
              <w:end w:w="90" w:type="dxa"/>
            </w:tcMar>
            <w:vAlign w:val="top"/>
            <w:shd w:fill="F8FBFD"/>
          </w:tcPr>
          <w:p>
            <w:pPr>
              <w:pStyle w:val="BodyText"/>
              <w:spacing w:after="0"/>
            </w:pPr>
            <w:r>
              <w:rPr>
                <w:sz w:val="16"/>
              </w:rPr>
              <w:t>System developer</w:t>
            </w:r>
          </w:p>
        </w:tc>
        <w:tc>
          <w:tcPr>
            <w:tcW w:type="dxa" w:w="6480"/>
            <w:tcMar>
              <w:top w:w="90" w:type="dxa"/>
              <w:start w:w="90" w:type="dxa"/>
              <w:bottom w:w="90" w:type="dxa"/>
              <w:end w:w="90" w:type="dxa"/>
            </w:tcMar>
            <w:vAlign w:val="top"/>
            <w:shd w:fill="F8FBFD"/>
          </w:tcPr>
          <w:p>
            <w:pPr>
              <w:pStyle w:val="BodyText"/>
              <w:spacing w:after="0"/>
            </w:pPr>
            <w:r>
              <w:rPr>
                <w:sz w:val="16"/>
              </w:rPr>
              <w:t>Does each reason map to the correct field, rule, model state, template, and audit object?</w:t>
            </w:r>
          </w:p>
        </w:tc>
      </w:tr>
      <w:tr>
        <w:tc>
          <w:tcPr>
            <w:tcW w:type="dxa" w:w="2880"/>
            <w:tcMar>
              <w:top w:w="90" w:type="dxa"/>
              <w:start w:w="90" w:type="dxa"/>
              <w:bottom w:w="90" w:type="dxa"/>
              <w:end w:w="90" w:type="dxa"/>
            </w:tcMar>
            <w:vAlign w:val="top"/>
          </w:tcPr>
          <w:p>
            <w:pPr>
              <w:pStyle w:val="BodyText"/>
              <w:spacing w:after="0"/>
            </w:pPr>
            <w:r>
              <w:rPr>
                <w:sz w:val="16"/>
              </w:rPr>
              <w:t>Usability evaluator or faculty adviser</w:t>
            </w:r>
          </w:p>
        </w:tc>
        <w:tc>
          <w:tcPr>
            <w:tcW w:type="dxa" w:w="6480"/>
            <w:tcMar>
              <w:top w:w="90" w:type="dxa"/>
              <w:start w:w="90" w:type="dxa"/>
              <w:bottom w:w="90" w:type="dxa"/>
              <w:end w:w="90" w:type="dxa"/>
            </w:tcMar>
            <w:vAlign w:val="top"/>
          </w:tcPr>
          <w:p>
            <w:pPr>
              <w:pStyle w:val="BodyText"/>
              <w:spacing w:after="0"/>
            </w:pPr>
            <w:r>
              <w:rPr>
                <w:sz w:val="16"/>
              </w:rPr>
              <w:t>Can the intended user locate, understand, and act on the explanation efficiently?</w:t>
            </w:r>
          </w:p>
        </w:tc>
      </w:tr>
      <w:tr>
        <w:tc>
          <w:tcPr>
            <w:tcW w:type="dxa" w:w="2880"/>
            <w:tcMar>
              <w:top w:w="90" w:type="dxa"/>
              <w:start w:w="90" w:type="dxa"/>
              <w:bottom w:w="90" w:type="dxa"/>
              <w:end w:w="90" w:type="dxa"/>
            </w:tcMar>
            <w:vAlign w:val="top"/>
            <w:shd w:fill="F8FBFD"/>
          </w:tcPr>
          <w:p>
            <w:pPr>
              <w:pStyle w:val="BodyText"/>
              <w:spacing w:after="0"/>
            </w:pPr>
            <w:r>
              <w:rPr>
                <w:sz w:val="16"/>
              </w:rPr>
              <w:t>Privacy/security reviewer</w:t>
            </w:r>
          </w:p>
        </w:tc>
        <w:tc>
          <w:tcPr>
            <w:tcW w:type="dxa" w:w="6480"/>
            <w:tcMar>
              <w:top w:w="90" w:type="dxa"/>
              <w:start w:w="90" w:type="dxa"/>
              <w:bottom w:w="90" w:type="dxa"/>
              <w:end w:w="90" w:type="dxa"/>
            </w:tcMar>
            <w:vAlign w:val="top"/>
            <w:shd w:fill="F8FBFD"/>
          </w:tcPr>
          <w:p>
            <w:pPr>
              <w:pStyle w:val="BodyText"/>
              <w:spacing w:after="0"/>
            </w:pPr>
            <w:r>
              <w:rPr>
                <w:sz w:val="16"/>
              </w:rPr>
              <w:t>Does each audience receive only authorized and necessary information?</w:t>
            </w:r>
          </w:p>
        </w:tc>
      </w:tr>
      <w:tr>
        <w:tc>
          <w:tcPr>
            <w:tcW w:type="dxa" w:w="2880"/>
            <w:tcMar>
              <w:top w:w="90" w:type="dxa"/>
              <w:start w:w="90" w:type="dxa"/>
              <w:bottom w:w="90" w:type="dxa"/>
              <w:end w:w="90" w:type="dxa"/>
            </w:tcMar>
            <w:vAlign w:val="top"/>
          </w:tcPr>
          <w:p>
            <w:pPr>
              <w:pStyle w:val="BodyText"/>
              <w:spacing w:after="0"/>
            </w:pPr>
            <w:r>
              <w:rPr>
                <w:sz w:val="16"/>
              </w:rPr>
              <w:t>Research adviser</w:t>
            </w:r>
          </w:p>
        </w:tc>
        <w:tc>
          <w:tcPr>
            <w:tcW w:type="dxa" w:w="6480"/>
            <w:tcMar>
              <w:top w:w="90" w:type="dxa"/>
              <w:start w:w="90" w:type="dxa"/>
              <w:bottom w:w="90" w:type="dxa"/>
              <w:end w:w="90" w:type="dxa"/>
            </w:tcMar>
            <w:vAlign w:val="top"/>
          </w:tcPr>
          <w:p>
            <w:pPr>
              <w:pStyle w:val="BodyText"/>
              <w:spacing w:after="0"/>
            </w:pPr>
            <w:r>
              <w:rPr>
                <w:sz w:val="16"/>
              </w:rPr>
              <w:t>Are methods, measures, sampling, and conclusions reported without overstating evidence?</w:t>
            </w:r>
          </w:p>
        </w:tc>
      </w:tr>
    </w:tbl>
    <w:p>
      <w:pPr>
        <w:spacing w:after="0"/>
      </w:pPr>
    </w:p>
    <w:p>
      <w:pPr>
        <w:pStyle w:val="Heading2"/>
        <w:keepNext/>
      </w:pPr>
      <w:r>
        <w:t>7.2 Structured clinical review form</w:t>
      </w:r>
    </w:p>
    <w:p>
      <w:pPr>
        <w:pStyle w:val="ListBullet"/>
      </w:pPr>
      <w:r>
        <w:t>Correct patient-specific finding and unit.</w:t>
      </w:r>
    </w:p>
    <w:p>
      <w:pPr>
        <w:pStyle w:val="ListBullet"/>
      </w:pPr>
      <w:r>
        <w:t>Correct configured threshold or condition.</w:t>
      </w:r>
    </w:p>
    <w:p>
      <w:pPr>
        <w:pStyle w:val="ListBullet"/>
      </w:pPr>
      <w:r>
        <w:t>Correct severity and prioritization.</w:t>
      </w:r>
    </w:p>
    <w:p>
      <w:pPr>
        <w:pStyle w:val="ListBullet"/>
      </w:pPr>
      <w:r>
        <w:t>Appropriate recommendation and referral wording.</w:t>
      </w:r>
    </w:p>
    <w:p>
      <w:pPr>
        <w:pStyle w:val="ListBullet"/>
      </w:pPr>
      <w:r>
        <w:t>No diagnosis or treatment claim outside system scope.</w:t>
      </w:r>
    </w:p>
    <w:p>
      <w:pPr>
        <w:pStyle w:val="ListBullet"/>
      </w:pPr>
      <w:r>
        <w:t>Appropriate handling of disagreement between rules and ML.</w:t>
      </w:r>
    </w:p>
    <w:p>
      <w:pPr>
        <w:pStyle w:val="ListBullet"/>
      </w:pPr>
      <w:r>
        <w:t>Clear limitation and human-oversight statement.</w:t>
      </w:r>
    </w:p>
    <w:p>
      <w:pPr>
        <w:pStyle w:val="ListBullet"/>
      </w:pPr>
      <w:r>
        <w:t>Overall rating: acceptable, acceptable with revision, or unsafe/unacceptable.</w:t>
      </w:r>
    </w:p>
    <w:p>
      <w:pPr>
        <w:pStyle w:val="Heading2"/>
        <w:keepNext/>
      </w:pPr>
      <w:r>
        <w:t>7.3 Inter-reviewer disagreement</w:t>
      </w:r>
    </w:p>
    <w:p>
      <w:pPr>
        <w:pStyle w:val="BodyText"/>
      </w:pPr>
      <w:r>
        <w:t>Disagreement is documented rather than averaged away. Reviewers record the disputed wording or rule, the safety consequence, and the proposed resolution. Clinical content changes require the designated clinical governance process and version increment. A developer may correct a mapping defect but may not independently redefine a clinical threshold.</w:t>
      </w:r>
    </w:p>
    <w:p>
      <w:pPr>
        <w:pStyle w:val="Heading1"/>
        <w:keepNext/>
      </w:pPr>
      <w:r>
        <w:t>8. Scenario-Based Verification Strategy</w:t>
      </w:r>
    </w:p>
    <w:p>
      <w:pPr>
        <w:pStyle w:val="Heading2"/>
        <w:keepNext/>
      </w:pPr>
      <w:r>
        <w:t>8.1 Test design principles</w:t>
      </w:r>
    </w:p>
    <w:p>
      <w:pPr>
        <w:pStyle w:val="ListBullet"/>
      </w:pPr>
      <w:r>
        <w:t>Include positive, negative, boundary, missing-data, disagreement, and failure cases.</w:t>
      </w:r>
    </w:p>
    <w:p>
      <w:pPr>
        <w:pStyle w:val="ListBullet"/>
      </w:pPr>
      <w:r>
        <w:t>Test one factor in isolation before testing combinations.</w:t>
      </w:r>
    </w:p>
    <w:p>
      <w:pPr>
        <w:pStyle w:val="ListBullet"/>
      </w:pPr>
      <w:r>
        <w:t>Include exact thresholds and values immediately below and above them.</w:t>
      </w:r>
    </w:p>
    <w:p>
      <w:pPr>
        <w:pStyle w:val="ListBullet"/>
      </w:pPr>
      <w:r>
        <w:t>Assert non-triggered rules as well as triggered rules to detect unintended logic.</w:t>
      </w:r>
    </w:p>
    <w:p>
      <w:pPr>
        <w:pStyle w:val="ListBullet"/>
      </w:pPr>
      <w:r>
        <w:t>Verify canonical, midwife, patient, referral, administrator, developer, and audit outputs where applicable.</w:t>
      </w:r>
    </w:p>
    <w:p>
      <w:pPr>
        <w:pStyle w:val="ListBullet"/>
      </w:pPr>
      <w:r>
        <w:t>Preserve deterministic fixtures so every release can run the same regression suite.</w:t>
      </w:r>
    </w:p>
    <w:p>
      <w:pPr>
        <w:pStyle w:val="ListBullet"/>
      </w:pPr>
      <w:r>
        <w:t>Separate synthetic test data from real patient data and never use identifiable records in screenshots or demonstrations.</w:t>
      </w:r>
    </w:p>
    <w:p>
      <w:pPr>
        <w:pStyle w:val="Heading2"/>
        <w:keepNext/>
      </w:pPr>
      <w:r>
        <w:t>8.2 Boundary-value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088"/>
            <w:shd w:fill="1F4E79"/>
            <w:tcMar>
              <w:top w:w="90" w:type="dxa"/>
              <w:start w:w="90" w:type="dxa"/>
              <w:bottom w:w="90" w:type="dxa"/>
              <w:end w:w="90" w:type="dxa"/>
            </w:tcMar>
            <w:vAlign w:val="center"/>
          </w:tcPr>
          <w:p>
            <w:pPr>
              <w:jc w:val="center"/>
            </w:pPr>
            <w:r>
              <w:rPr>
                <w:b/>
                <w:color w:val="FFFFFF"/>
                <w:sz w:val="16"/>
              </w:rPr>
              <w:t>Rule</w:t>
            </w:r>
          </w:p>
        </w:tc>
        <w:tc>
          <w:tcPr>
            <w:tcW w:type="dxa" w:w="3024"/>
            <w:shd w:fill="1F4E79"/>
            <w:tcMar>
              <w:top w:w="90" w:type="dxa"/>
              <w:start w:w="90" w:type="dxa"/>
              <w:bottom w:w="90" w:type="dxa"/>
              <w:end w:w="90" w:type="dxa"/>
            </w:tcMar>
            <w:vAlign w:val="center"/>
          </w:tcPr>
          <w:p>
            <w:pPr>
              <w:jc w:val="center"/>
            </w:pPr>
            <w:r>
              <w:rPr>
                <w:b/>
                <w:color w:val="FFFFFF"/>
                <w:sz w:val="16"/>
              </w:rPr>
              <w:t>Below / negative case</w:t>
            </w:r>
          </w:p>
        </w:tc>
        <w:tc>
          <w:tcPr>
            <w:tcW w:type="dxa" w:w="3024"/>
            <w:shd w:fill="1F4E79"/>
            <w:tcMar>
              <w:top w:w="90" w:type="dxa"/>
              <w:start w:w="90" w:type="dxa"/>
              <w:bottom w:w="90" w:type="dxa"/>
              <w:end w:w="90" w:type="dxa"/>
            </w:tcMar>
            <w:vAlign w:val="center"/>
          </w:tcPr>
          <w:p>
            <w:pPr>
              <w:jc w:val="center"/>
            </w:pPr>
            <w:r>
              <w:rPr>
                <w:b/>
                <w:color w:val="FFFFFF"/>
                <w:sz w:val="16"/>
              </w:rPr>
              <w:t>Boundary / positive case</w:t>
            </w:r>
          </w:p>
        </w:tc>
        <w:tc>
          <w:tcPr>
            <w:tcW w:type="dxa" w:w="2520"/>
            <w:shd w:fill="1F4E79"/>
            <w:tcMar>
              <w:top w:w="90" w:type="dxa"/>
              <w:start w:w="90" w:type="dxa"/>
              <w:bottom w:w="90" w:type="dxa"/>
              <w:end w:w="90" w:type="dxa"/>
            </w:tcMar>
            <w:vAlign w:val="center"/>
          </w:tcPr>
          <w:p>
            <w:pPr>
              <w:jc w:val="center"/>
            </w:pPr>
            <w:r>
              <w:rPr>
                <w:b/>
                <w:color w:val="FFFFFF"/>
                <w:sz w:val="16"/>
              </w:rPr>
              <w:t>Explanation assertion</w:t>
            </w:r>
          </w:p>
        </w:tc>
      </w:tr>
      <w:tr>
        <w:tc>
          <w:tcPr>
            <w:tcW w:type="dxa" w:w="2088"/>
            <w:tcMar>
              <w:top w:w="90" w:type="dxa"/>
              <w:start w:w="90" w:type="dxa"/>
              <w:bottom w:w="90" w:type="dxa"/>
              <w:end w:w="90" w:type="dxa"/>
            </w:tcMar>
            <w:vAlign w:val="top"/>
          </w:tcPr>
          <w:p>
            <w:pPr>
              <w:pStyle w:val="BodyText"/>
              <w:spacing w:after="0"/>
            </w:pPr>
            <w:r>
              <w:rPr>
                <w:sz w:val="16"/>
              </w:rPr>
              <w:t>Age under 19</w:t>
            </w:r>
          </w:p>
        </w:tc>
        <w:tc>
          <w:tcPr>
            <w:tcW w:type="dxa" w:w="3024"/>
            <w:tcMar>
              <w:top w:w="90" w:type="dxa"/>
              <w:start w:w="90" w:type="dxa"/>
              <w:bottom w:w="90" w:type="dxa"/>
              <w:end w:w="90" w:type="dxa"/>
            </w:tcMar>
            <w:vAlign w:val="top"/>
          </w:tcPr>
          <w:p>
            <w:pPr>
              <w:pStyle w:val="BodyText"/>
              <w:spacing w:after="0"/>
            </w:pPr>
            <w:r>
              <w:rPr>
                <w:sz w:val="16"/>
              </w:rPr>
              <w:t>Age 19 does not trigger this rule.</w:t>
            </w:r>
          </w:p>
        </w:tc>
        <w:tc>
          <w:tcPr>
            <w:tcW w:type="dxa" w:w="3024"/>
            <w:tcMar>
              <w:top w:w="90" w:type="dxa"/>
              <w:start w:w="90" w:type="dxa"/>
              <w:bottom w:w="90" w:type="dxa"/>
              <w:end w:w="90" w:type="dxa"/>
            </w:tcMar>
            <w:vAlign w:val="top"/>
          </w:tcPr>
          <w:p>
            <w:pPr>
              <w:pStyle w:val="BodyText"/>
              <w:spacing w:after="0"/>
            </w:pPr>
            <w:r>
              <w:rPr>
                <w:sz w:val="16"/>
              </w:rPr>
              <w:t>Age 18 triggers HIGH.</w:t>
            </w:r>
          </w:p>
        </w:tc>
        <w:tc>
          <w:tcPr>
            <w:tcW w:type="dxa" w:w="2520"/>
            <w:tcMar>
              <w:top w:w="90" w:type="dxa"/>
              <w:start w:w="90" w:type="dxa"/>
              <w:bottom w:w="90" w:type="dxa"/>
              <w:end w:w="90" w:type="dxa"/>
            </w:tcMar>
            <w:vAlign w:val="top"/>
          </w:tcPr>
          <w:p>
            <w:pPr>
              <w:pStyle w:val="BodyText"/>
              <w:spacing w:after="0"/>
            </w:pPr>
            <w:r>
              <w:rPr>
                <w:sz w:val="16"/>
              </w:rPr>
              <w:t>Age and rule basis are displayed correctly.</w:t>
            </w:r>
          </w:p>
        </w:tc>
      </w:tr>
      <w:tr>
        <w:tc>
          <w:tcPr>
            <w:tcW w:type="dxa" w:w="2088"/>
            <w:tcMar>
              <w:top w:w="90" w:type="dxa"/>
              <w:start w:w="90" w:type="dxa"/>
              <w:bottom w:w="90" w:type="dxa"/>
              <w:end w:w="90" w:type="dxa"/>
            </w:tcMar>
            <w:vAlign w:val="top"/>
            <w:shd w:fill="F8FBFD"/>
          </w:tcPr>
          <w:p>
            <w:pPr>
              <w:pStyle w:val="BodyText"/>
              <w:spacing w:after="0"/>
            </w:pPr>
            <w:r>
              <w:rPr>
                <w:sz w:val="16"/>
              </w:rPr>
              <w:t>Age 35+ first pregnancy</w:t>
            </w:r>
          </w:p>
        </w:tc>
        <w:tc>
          <w:tcPr>
            <w:tcW w:type="dxa" w:w="3024"/>
            <w:tcMar>
              <w:top w:w="90" w:type="dxa"/>
              <w:start w:w="90" w:type="dxa"/>
              <w:bottom w:w="90" w:type="dxa"/>
              <w:end w:w="90" w:type="dxa"/>
            </w:tcMar>
            <w:vAlign w:val="top"/>
            <w:shd w:fill="F8FBFD"/>
          </w:tcPr>
          <w:p>
            <w:pPr>
              <w:pStyle w:val="BodyText"/>
              <w:spacing w:after="0"/>
            </w:pPr>
            <w:r>
              <w:rPr>
                <w:sz w:val="16"/>
              </w:rPr>
              <w:t>Age 35 with non-first pregnancy does not trigger this combined rule.</w:t>
            </w:r>
          </w:p>
        </w:tc>
        <w:tc>
          <w:tcPr>
            <w:tcW w:type="dxa" w:w="3024"/>
            <w:tcMar>
              <w:top w:w="90" w:type="dxa"/>
              <w:start w:w="90" w:type="dxa"/>
              <w:bottom w:w="90" w:type="dxa"/>
              <w:end w:w="90" w:type="dxa"/>
            </w:tcMar>
            <w:vAlign w:val="top"/>
            <w:shd w:fill="F8FBFD"/>
          </w:tcPr>
          <w:p>
            <w:pPr>
              <w:pStyle w:val="BodyText"/>
              <w:spacing w:after="0"/>
            </w:pPr>
            <w:r>
              <w:rPr>
                <w:sz w:val="16"/>
              </w:rPr>
              <w:t>Age 35 and first pregnancy triggers HIGH.</w:t>
            </w:r>
          </w:p>
        </w:tc>
        <w:tc>
          <w:tcPr>
            <w:tcW w:type="dxa" w:w="2520"/>
            <w:tcMar>
              <w:top w:w="90" w:type="dxa"/>
              <w:start w:w="90" w:type="dxa"/>
              <w:bottom w:w="90" w:type="dxa"/>
              <w:end w:w="90" w:type="dxa"/>
            </w:tcMar>
            <w:vAlign w:val="top"/>
            <w:shd w:fill="F8FBFD"/>
          </w:tcPr>
          <w:p>
            <w:pPr>
              <w:pStyle w:val="BodyText"/>
              <w:spacing w:after="0"/>
            </w:pPr>
            <w:r>
              <w:rPr>
                <w:sz w:val="16"/>
              </w:rPr>
              <w:t>Both conditions are stated; neither is omitted.</w:t>
            </w:r>
          </w:p>
        </w:tc>
      </w:tr>
      <w:tr>
        <w:tc>
          <w:tcPr>
            <w:tcW w:type="dxa" w:w="2088"/>
            <w:tcMar>
              <w:top w:w="90" w:type="dxa"/>
              <w:start w:w="90" w:type="dxa"/>
              <w:bottom w:w="90" w:type="dxa"/>
              <w:end w:w="90" w:type="dxa"/>
            </w:tcMar>
            <w:vAlign w:val="top"/>
          </w:tcPr>
          <w:p>
            <w:pPr>
              <w:pStyle w:val="BodyText"/>
              <w:spacing w:after="0"/>
            </w:pPr>
            <w:r>
              <w:rPr>
                <w:sz w:val="16"/>
              </w:rPr>
              <w:t>Blood pressure HIGH</w:t>
            </w:r>
          </w:p>
        </w:tc>
        <w:tc>
          <w:tcPr>
            <w:tcW w:type="dxa" w:w="3024"/>
            <w:tcMar>
              <w:top w:w="90" w:type="dxa"/>
              <w:start w:w="90" w:type="dxa"/>
              <w:bottom w:w="90" w:type="dxa"/>
              <w:end w:w="90" w:type="dxa"/>
            </w:tcMar>
            <w:vAlign w:val="top"/>
          </w:tcPr>
          <w:p>
            <w:pPr>
              <w:pStyle w:val="BodyText"/>
              <w:spacing w:after="0"/>
            </w:pPr>
            <w:r>
              <w:rPr>
                <w:sz w:val="16"/>
              </w:rPr>
              <w:t>139/89 does not trigger configured BP HIGH.</w:t>
            </w:r>
          </w:p>
        </w:tc>
        <w:tc>
          <w:tcPr>
            <w:tcW w:type="dxa" w:w="3024"/>
            <w:tcMar>
              <w:top w:w="90" w:type="dxa"/>
              <w:start w:w="90" w:type="dxa"/>
              <w:bottom w:w="90" w:type="dxa"/>
              <w:end w:w="90" w:type="dxa"/>
            </w:tcMar>
            <w:vAlign w:val="top"/>
          </w:tcPr>
          <w:p>
            <w:pPr>
              <w:pStyle w:val="BodyText"/>
              <w:spacing w:after="0"/>
            </w:pPr>
            <w:r>
              <w:rPr>
                <w:sz w:val="16"/>
              </w:rPr>
              <w:t>140/90 triggers HIGH.</w:t>
            </w:r>
          </w:p>
        </w:tc>
        <w:tc>
          <w:tcPr>
            <w:tcW w:type="dxa" w:w="2520"/>
            <w:tcMar>
              <w:top w:w="90" w:type="dxa"/>
              <w:start w:w="90" w:type="dxa"/>
              <w:bottom w:w="90" w:type="dxa"/>
              <w:end w:w="90" w:type="dxa"/>
            </w:tcMar>
            <w:vAlign w:val="top"/>
          </w:tcPr>
          <w:p>
            <w:pPr>
              <w:pStyle w:val="BodyText"/>
              <w:spacing w:after="0"/>
            </w:pPr>
            <w:r>
              <w:rPr>
                <w:sz w:val="16"/>
              </w:rPr>
              <w:t>Observed systolic/diastolic and threshold are correct.</w:t>
            </w:r>
          </w:p>
        </w:tc>
      </w:tr>
      <w:tr>
        <w:tc>
          <w:tcPr>
            <w:tcW w:type="dxa" w:w="2088"/>
            <w:tcMar>
              <w:top w:w="90" w:type="dxa"/>
              <w:start w:w="90" w:type="dxa"/>
              <w:bottom w:w="90" w:type="dxa"/>
              <w:end w:w="90" w:type="dxa"/>
            </w:tcMar>
            <w:vAlign w:val="top"/>
            <w:shd w:fill="F8FBFD"/>
          </w:tcPr>
          <w:p>
            <w:pPr>
              <w:pStyle w:val="BodyText"/>
              <w:spacing w:after="0"/>
            </w:pPr>
            <w:r>
              <w:rPr>
                <w:sz w:val="16"/>
              </w:rPr>
              <w:t>Urgent BP</w:t>
            </w:r>
          </w:p>
        </w:tc>
        <w:tc>
          <w:tcPr>
            <w:tcW w:type="dxa" w:w="3024"/>
            <w:tcMar>
              <w:top w:w="90" w:type="dxa"/>
              <w:start w:w="90" w:type="dxa"/>
              <w:bottom w:w="90" w:type="dxa"/>
              <w:end w:w="90" w:type="dxa"/>
            </w:tcMar>
            <w:vAlign w:val="top"/>
            <w:shd w:fill="F8FBFD"/>
          </w:tcPr>
          <w:p>
            <w:pPr>
              <w:pStyle w:val="BodyText"/>
              <w:spacing w:after="0"/>
            </w:pPr>
            <w:r>
              <w:rPr>
                <w:sz w:val="16"/>
              </w:rPr>
              <w:t>159/109 is HIGH but not urgent by this configured urgent threshold.</w:t>
            </w:r>
          </w:p>
        </w:tc>
        <w:tc>
          <w:tcPr>
            <w:tcW w:type="dxa" w:w="3024"/>
            <w:tcMar>
              <w:top w:w="90" w:type="dxa"/>
              <w:start w:w="90" w:type="dxa"/>
              <w:bottom w:w="90" w:type="dxa"/>
              <w:end w:w="90" w:type="dxa"/>
            </w:tcMar>
            <w:vAlign w:val="top"/>
            <w:shd w:fill="F8FBFD"/>
          </w:tcPr>
          <w:p>
            <w:pPr>
              <w:pStyle w:val="BodyText"/>
              <w:spacing w:after="0"/>
            </w:pPr>
            <w:r>
              <w:rPr>
                <w:sz w:val="16"/>
              </w:rPr>
              <w:t>160/110 sets urgent reason.</w:t>
            </w:r>
          </w:p>
        </w:tc>
        <w:tc>
          <w:tcPr>
            <w:tcW w:type="dxa" w:w="2520"/>
            <w:tcMar>
              <w:top w:w="90" w:type="dxa"/>
              <w:start w:w="90" w:type="dxa"/>
              <w:bottom w:w="90" w:type="dxa"/>
              <w:end w:w="90" w:type="dxa"/>
            </w:tcMar>
            <w:vAlign w:val="top"/>
            <w:shd w:fill="F8FBFD"/>
          </w:tcPr>
          <w:p>
            <w:pPr>
              <w:pStyle w:val="BodyText"/>
              <w:spacing w:after="0"/>
            </w:pPr>
            <w:r>
              <w:rPr>
                <w:sz w:val="16"/>
              </w:rPr>
              <w:t>Urgent wording appears and is prioritized.</w:t>
            </w:r>
          </w:p>
        </w:tc>
      </w:tr>
      <w:tr>
        <w:tc>
          <w:tcPr>
            <w:tcW w:type="dxa" w:w="2088"/>
            <w:tcMar>
              <w:top w:w="90" w:type="dxa"/>
              <w:start w:w="90" w:type="dxa"/>
              <w:bottom w:w="90" w:type="dxa"/>
              <w:end w:w="90" w:type="dxa"/>
            </w:tcMar>
            <w:vAlign w:val="top"/>
          </w:tcPr>
          <w:p>
            <w:pPr>
              <w:pStyle w:val="BodyText"/>
              <w:spacing w:after="0"/>
            </w:pPr>
            <w:r>
              <w:rPr>
                <w:sz w:val="16"/>
              </w:rPr>
              <w:t>Miscarriage count</w:t>
            </w:r>
          </w:p>
        </w:tc>
        <w:tc>
          <w:tcPr>
            <w:tcW w:type="dxa" w:w="3024"/>
            <w:tcMar>
              <w:top w:w="90" w:type="dxa"/>
              <w:start w:w="90" w:type="dxa"/>
              <w:bottom w:w="90" w:type="dxa"/>
              <w:end w:w="90" w:type="dxa"/>
            </w:tcMar>
            <w:vAlign w:val="top"/>
          </w:tcPr>
          <w:p>
            <w:pPr>
              <w:pStyle w:val="BodyText"/>
              <w:spacing w:after="0"/>
            </w:pPr>
            <w:r>
              <w:rPr>
                <w:sz w:val="16"/>
              </w:rPr>
              <w:t>2 does not trigger recurrent-miscarriage rule.</w:t>
            </w:r>
          </w:p>
        </w:tc>
        <w:tc>
          <w:tcPr>
            <w:tcW w:type="dxa" w:w="3024"/>
            <w:tcMar>
              <w:top w:w="90" w:type="dxa"/>
              <w:start w:w="90" w:type="dxa"/>
              <w:bottom w:w="90" w:type="dxa"/>
              <w:end w:w="90" w:type="dxa"/>
            </w:tcMar>
            <w:vAlign w:val="top"/>
          </w:tcPr>
          <w:p>
            <w:pPr>
              <w:pStyle w:val="BodyText"/>
              <w:spacing w:after="0"/>
            </w:pPr>
            <w:r>
              <w:rPr>
                <w:sz w:val="16"/>
              </w:rPr>
              <w:t>3 triggers HIGH.</w:t>
            </w:r>
          </w:p>
        </w:tc>
        <w:tc>
          <w:tcPr>
            <w:tcW w:type="dxa" w:w="2520"/>
            <w:tcMar>
              <w:top w:w="90" w:type="dxa"/>
              <w:start w:w="90" w:type="dxa"/>
              <w:bottom w:w="90" w:type="dxa"/>
              <w:end w:w="90" w:type="dxa"/>
            </w:tcMar>
            <w:vAlign w:val="top"/>
          </w:tcPr>
          <w:p>
            <w:pPr>
              <w:pStyle w:val="BodyText"/>
              <w:spacing w:after="0"/>
            </w:pPr>
            <w:r>
              <w:rPr>
                <w:sz w:val="16"/>
              </w:rPr>
              <w:t>Count is correct and not converted into a diagnosis.</w:t>
            </w:r>
          </w:p>
        </w:tc>
      </w:tr>
      <w:tr>
        <w:tc>
          <w:tcPr>
            <w:tcW w:type="dxa" w:w="2088"/>
            <w:tcMar>
              <w:top w:w="90" w:type="dxa"/>
              <w:start w:w="90" w:type="dxa"/>
              <w:bottom w:w="90" w:type="dxa"/>
              <w:end w:w="90" w:type="dxa"/>
            </w:tcMar>
            <w:vAlign w:val="top"/>
            <w:shd w:fill="F8FBFD"/>
          </w:tcPr>
          <w:p>
            <w:pPr>
              <w:pStyle w:val="BodyText"/>
              <w:spacing w:after="0"/>
            </w:pPr>
            <w:r>
              <w:rPr>
                <w:sz w:val="16"/>
              </w:rPr>
              <w:t>Completeness</w:t>
            </w:r>
          </w:p>
        </w:tc>
        <w:tc>
          <w:tcPr>
            <w:tcW w:type="dxa" w:w="3024"/>
            <w:tcMar>
              <w:top w:w="90" w:type="dxa"/>
              <w:start w:w="90" w:type="dxa"/>
              <w:bottom w:w="90" w:type="dxa"/>
              <w:end w:w="90" w:type="dxa"/>
            </w:tcMar>
            <w:vAlign w:val="top"/>
            <w:shd w:fill="F8FBFD"/>
          </w:tcPr>
          <w:p>
            <w:pPr>
              <w:pStyle w:val="BodyText"/>
              <w:spacing w:after="0"/>
            </w:pPr>
            <w:r>
              <w:rPr>
                <w:sz w:val="16"/>
              </w:rPr>
              <w:t>All three required records present.</w:t>
            </w:r>
          </w:p>
        </w:tc>
        <w:tc>
          <w:tcPr>
            <w:tcW w:type="dxa" w:w="3024"/>
            <w:tcMar>
              <w:top w:w="90" w:type="dxa"/>
              <w:start w:w="90" w:type="dxa"/>
              <w:bottom w:w="90" w:type="dxa"/>
              <w:end w:w="90" w:type="dxa"/>
            </w:tcMar>
            <w:vAlign w:val="top"/>
            <w:shd w:fill="F8FBFD"/>
          </w:tcPr>
          <w:p>
            <w:pPr>
              <w:pStyle w:val="BodyText"/>
              <w:spacing w:after="0"/>
            </w:pPr>
            <w:r>
              <w:rPr>
                <w:sz w:val="16"/>
              </w:rPr>
              <w:t>Any one missing returns INCOMPLETE unless another approved workflow explicitly blocks assessment.</w:t>
            </w:r>
          </w:p>
        </w:tc>
        <w:tc>
          <w:tcPr>
            <w:tcW w:type="dxa" w:w="2520"/>
            <w:tcMar>
              <w:top w:w="90" w:type="dxa"/>
              <w:start w:w="90" w:type="dxa"/>
              <w:bottom w:w="90" w:type="dxa"/>
              <w:end w:w="90" w:type="dxa"/>
            </w:tcMar>
            <w:vAlign w:val="top"/>
            <w:shd w:fill="F8FBFD"/>
          </w:tcPr>
          <w:p>
            <w:pPr>
              <w:pStyle w:val="BodyText"/>
              <w:spacing w:after="0"/>
            </w:pPr>
            <w:r>
              <w:rPr>
                <w:sz w:val="16"/>
              </w:rPr>
              <w:t>Exact missing record is named.</w:t>
            </w:r>
          </w:p>
        </w:tc>
      </w:tr>
    </w:tbl>
    <w:p>
      <w:pPr>
        <w:spacing w:after="0"/>
      </w:pPr>
    </w:p>
    <w:p>
      <w:pPr>
        <w:pStyle w:val="Heading1"/>
        <w:keepNext/>
      </w:pPr>
      <w:r>
        <w:t>9. Robustness and Failure-Mode Evaluation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76"/>
            <w:shd w:fill="1F4E79"/>
            <w:tcMar>
              <w:top w:w="90" w:type="dxa"/>
              <w:start w:w="90" w:type="dxa"/>
              <w:bottom w:w="90" w:type="dxa"/>
              <w:end w:w="90" w:type="dxa"/>
            </w:tcMar>
            <w:vAlign w:val="center"/>
          </w:tcPr>
          <w:p>
            <w:pPr>
              <w:jc w:val="center"/>
            </w:pPr>
            <w:r>
              <w:rPr>
                <w:b/>
                <w:color w:val="FFFFFF"/>
                <w:sz w:val="16"/>
              </w:rPr>
              <w:t>Failure mode</w:t>
            </w:r>
          </w:p>
        </w:tc>
        <w:tc>
          <w:tcPr>
            <w:tcW w:type="dxa" w:w="4608"/>
            <w:shd w:fill="1F4E79"/>
            <w:tcMar>
              <w:top w:w="90" w:type="dxa"/>
              <w:start w:w="90" w:type="dxa"/>
              <w:bottom w:w="90" w:type="dxa"/>
              <w:end w:w="90" w:type="dxa"/>
            </w:tcMar>
            <w:vAlign w:val="center"/>
          </w:tcPr>
          <w:p>
            <w:pPr>
              <w:jc w:val="center"/>
            </w:pPr>
            <w:r>
              <w:rPr>
                <w:b/>
                <w:color w:val="FFFFFF"/>
                <w:sz w:val="16"/>
              </w:rPr>
              <w:t>Expected safe behavior</w:t>
            </w:r>
          </w:p>
        </w:tc>
        <w:tc>
          <w:tcPr>
            <w:tcW w:type="dxa" w:w="2088"/>
            <w:shd w:fill="1F4E79"/>
            <w:tcMar>
              <w:top w:w="90" w:type="dxa"/>
              <w:start w:w="90" w:type="dxa"/>
              <w:bottom w:w="90" w:type="dxa"/>
              <w:end w:w="90" w:type="dxa"/>
            </w:tcMar>
            <w:vAlign w:val="center"/>
          </w:tcPr>
          <w:p>
            <w:pPr>
              <w:jc w:val="center"/>
            </w:pPr>
            <w:r>
              <w:rPr>
                <w:b/>
                <w:color w:val="FFFFFF"/>
                <w:sz w:val="16"/>
              </w:rPr>
              <w:t>Required evidence</w:t>
            </w:r>
          </w:p>
        </w:tc>
      </w:tr>
      <w:tr>
        <w:tc>
          <w:tcPr>
            <w:tcW w:type="dxa" w:w="2376"/>
            <w:tcMar>
              <w:top w:w="90" w:type="dxa"/>
              <w:start w:w="90" w:type="dxa"/>
              <w:bottom w:w="90" w:type="dxa"/>
              <w:end w:w="90" w:type="dxa"/>
            </w:tcMar>
            <w:vAlign w:val="top"/>
          </w:tcPr>
          <w:p>
            <w:pPr>
              <w:pStyle w:val="BodyText"/>
              <w:spacing w:after="0"/>
            </w:pPr>
            <w:r>
              <w:rPr>
                <w:sz w:val="16"/>
              </w:rPr>
              <w:t>Python process unavailable</w:t>
            </w:r>
          </w:p>
        </w:tc>
        <w:tc>
          <w:tcPr>
            <w:tcW w:type="dxa" w:w="4608"/>
            <w:tcMar>
              <w:top w:w="90" w:type="dxa"/>
              <w:start w:w="90" w:type="dxa"/>
              <w:bottom w:w="90" w:type="dxa"/>
              <w:end w:w="90" w:type="dxa"/>
            </w:tcMar>
            <w:vAlign w:val="top"/>
          </w:tcPr>
          <w:p>
            <w:pPr>
              <w:pStyle w:val="BodyText"/>
              <w:spacing w:after="0"/>
            </w:pPr>
            <w:r>
              <w:rPr>
                <w:sz w:val="16"/>
              </w:rPr>
              <w:t>ML contribution marked unavailable/invalid; no fabricated LOW or HIGH; final state follows approved incomplete/safety logic.</w:t>
            </w:r>
          </w:p>
        </w:tc>
        <w:tc>
          <w:tcPr>
            <w:tcW w:type="dxa" w:w="2088"/>
            <w:tcMar>
              <w:top w:w="90" w:type="dxa"/>
              <w:start w:w="90" w:type="dxa"/>
              <w:bottom w:w="90" w:type="dxa"/>
              <w:end w:w="90" w:type="dxa"/>
            </w:tcMar>
            <w:vAlign w:val="top"/>
          </w:tcPr>
          <w:p>
            <w:pPr>
              <w:pStyle w:val="BodyText"/>
              <w:spacing w:after="0"/>
            </w:pPr>
            <w:r>
              <w:rPr>
                <w:sz w:val="16"/>
              </w:rPr>
              <w:t>Integration test and error log.</w:t>
            </w:r>
          </w:p>
        </w:tc>
      </w:tr>
      <w:tr>
        <w:tc>
          <w:tcPr>
            <w:tcW w:type="dxa" w:w="2376"/>
            <w:tcMar>
              <w:top w:w="90" w:type="dxa"/>
              <w:start w:w="90" w:type="dxa"/>
              <w:bottom w:w="90" w:type="dxa"/>
              <w:end w:w="90" w:type="dxa"/>
            </w:tcMar>
            <w:vAlign w:val="top"/>
            <w:shd w:fill="F8FBFD"/>
          </w:tcPr>
          <w:p>
            <w:pPr>
              <w:pStyle w:val="BodyText"/>
              <w:spacing w:after="0"/>
            </w:pPr>
            <w:r>
              <w:rPr>
                <w:sz w:val="16"/>
              </w:rPr>
              <w:t>Malformed ML output</w:t>
            </w:r>
          </w:p>
        </w:tc>
        <w:tc>
          <w:tcPr>
            <w:tcW w:type="dxa" w:w="4608"/>
            <w:tcMar>
              <w:top w:w="90" w:type="dxa"/>
              <w:start w:w="90" w:type="dxa"/>
              <w:bottom w:w="90" w:type="dxa"/>
              <w:end w:w="90" w:type="dxa"/>
            </w:tcMar>
            <w:vAlign w:val="top"/>
            <w:shd w:fill="F8FBFD"/>
          </w:tcPr>
          <w:p>
            <w:pPr>
              <w:pStyle w:val="BodyText"/>
              <w:spacing w:after="0"/>
            </w:pPr>
            <w:r>
              <w:rPr>
                <w:sz w:val="16"/>
              </w:rPr>
              <w:t>Reject output unless exactly valid under contract; preserve technical error for authorized users only.</w:t>
            </w:r>
          </w:p>
        </w:tc>
        <w:tc>
          <w:tcPr>
            <w:tcW w:type="dxa" w:w="2088"/>
            <w:tcMar>
              <w:top w:w="90" w:type="dxa"/>
              <w:start w:w="90" w:type="dxa"/>
              <w:bottom w:w="90" w:type="dxa"/>
              <w:end w:w="90" w:type="dxa"/>
            </w:tcMar>
            <w:vAlign w:val="top"/>
            <w:shd w:fill="F8FBFD"/>
          </w:tcPr>
          <w:p>
            <w:pPr>
              <w:pStyle w:val="BodyText"/>
              <w:spacing w:after="0"/>
            </w:pPr>
            <w:r>
              <w:rPr>
                <w:sz w:val="16"/>
              </w:rPr>
              <w:t>Contract test with malformed strings and JSON.</w:t>
            </w:r>
          </w:p>
        </w:tc>
      </w:tr>
      <w:tr>
        <w:tc>
          <w:tcPr>
            <w:tcW w:type="dxa" w:w="2376"/>
            <w:tcMar>
              <w:top w:w="90" w:type="dxa"/>
              <w:start w:w="90" w:type="dxa"/>
              <w:bottom w:w="90" w:type="dxa"/>
              <w:end w:w="90" w:type="dxa"/>
            </w:tcMar>
            <w:vAlign w:val="top"/>
          </w:tcPr>
          <w:p>
            <w:pPr>
              <w:pStyle w:val="BodyText"/>
              <w:spacing w:after="0"/>
            </w:pPr>
            <w:r>
              <w:rPr>
                <w:sz w:val="16"/>
              </w:rPr>
              <w:t>Timeout</w:t>
            </w:r>
          </w:p>
        </w:tc>
        <w:tc>
          <w:tcPr>
            <w:tcW w:type="dxa" w:w="4608"/>
            <w:tcMar>
              <w:top w:w="90" w:type="dxa"/>
              <w:start w:w="90" w:type="dxa"/>
              <w:bottom w:w="90" w:type="dxa"/>
              <w:end w:w="90" w:type="dxa"/>
            </w:tcMar>
            <w:vAlign w:val="top"/>
          </w:tcPr>
          <w:p>
            <w:pPr>
              <w:pStyle w:val="BodyText"/>
              <w:spacing w:after="0"/>
            </w:pPr>
            <w:r>
              <w:rPr>
                <w:sz w:val="16"/>
              </w:rPr>
              <w:t>Stop waiting within configured limit; do not reuse unrelated result.</w:t>
            </w:r>
          </w:p>
        </w:tc>
        <w:tc>
          <w:tcPr>
            <w:tcW w:type="dxa" w:w="2088"/>
            <w:tcMar>
              <w:top w:w="90" w:type="dxa"/>
              <w:start w:w="90" w:type="dxa"/>
              <w:bottom w:w="90" w:type="dxa"/>
              <w:end w:w="90" w:type="dxa"/>
            </w:tcMar>
            <w:vAlign w:val="top"/>
          </w:tcPr>
          <w:p>
            <w:pPr>
              <w:pStyle w:val="BodyText"/>
              <w:spacing w:after="0"/>
            </w:pPr>
            <w:r>
              <w:rPr>
                <w:sz w:val="16"/>
              </w:rPr>
              <w:t>Fault-injection test.</w:t>
            </w:r>
          </w:p>
        </w:tc>
      </w:tr>
      <w:tr>
        <w:tc>
          <w:tcPr>
            <w:tcW w:type="dxa" w:w="2376"/>
            <w:tcMar>
              <w:top w:w="90" w:type="dxa"/>
              <w:start w:w="90" w:type="dxa"/>
              <w:bottom w:w="90" w:type="dxa"/>
              <w:end w:w="90" w:type="dxa"/>
            </w:tcMar>
            <w:vAlign w:val="top"/>
            <w:shd w:fill="F8FBFD"/>
          </w:tcPr>
          <w:p>
            <w:pPr>
              <w:pStyle w:val="BodyText"/>
              <w:spacing w:after="0"/>
            </w:pPr>
            <w:r>
              <w:rPr>
                <w:sz w:val="16"/>
              </w:rPr>
              <w:t>Stale explanation</w:t>
            </w:r>
          </w:p>
        </w:tc>
        <w:tc>
          <w:tcPr>
            <w:tcW w:type="dxa" w:w="4608"/>
            <w:tcMar>
              <w:top w:w="90" w:type="dxa"/>
              <w:start w:w="90" w:type="dxa"/>
              <w:bottom w:w="90" w:type="dxa"/>
              <w:end w:w="90" w:type="dxa"/>
            </w:tcMar>
            <w:vAlign w:val="top"/>
            <w:shd w:fill="F8FBFD"/>
          </w:tcPr>
          <w:p>
            <w:pPr>
              <w:pStyle w:val="BodyText"/>
              <w:spacing w:after="0"/>
            </w:pPr>
            <w:r>
              <w:rPr>
                <w:sz w:val="16"/>
              </w:rPr>
              <w:t>Detect source record updated after explanation; require recalculation before use.</w:t>
            </w:r>
          </w:p>
        </w:tc>
        <w:tc>
          <w:tcPr>
            <w:tcW w:type="dxa" w:w="2088"/>
            <w:tcMar>
              <w:top w:w="90" w:type="dxa"/>
              <w:start w:w="90" w:type="dxa"/>
              <w:bottom w:w="90" w:type="dxa"/>
              <w:end w:w="90" w:type="dxa"/>
            </w:tcMar>
            <w:vAlign w:val="top"/>
            <w:shd w:fill="F8FBFD"/>
          </w:tcPr>
          <w:p>
            <w:pPr>
              <w:pStyle w:val="BodyText"/>
              <w:spacing w:after="0"/>
            </w:pPr>
            <w:r>
              <w:rPr>
                <w:sz w:val="16"/>
              </w:rPr>
              <w:t>Timestamp/version test.</w:t>
            </w:r>
          </w:p>
        </w:tc>
      </w:tr>
      <w:tr>
        <w:tc>
          <w:tcPr>
            <w:tcW w:type="dxa" w:w="2376"/>
            <w:tcMar>
              <w:top w:w="90" w:type="dxa"/>
              <w:start w:w="90" w:type="dxa"/>
              <w:bottom w:w="90" w:type="dxa"/>
              <w:end w:w="90" w:type="dxa"/>
            </w:tcMar>
            <w:vAlign w:val="top"/>
          </w:tcPr>
          <w:p>
            <w:pPr>
              <w:pStyle w:val="BodyText"/>
              <w:spacing w:after="0"/>
            </w:pPr>
            <w:r>
              <w:rPr>
                <w:sz w:val="16"/>
              </w:rPr>
              <w:t>Duplicate reasons</w:t>
            </w:r>
          </w:p>
        </w:tc>
        <w:tc>
          <w:tcPr>
            <w:tcW w:type="dxa" w:w="4608"/>
            <w:tcMar>
              <w:top w:w="90" w:type="dxa"/>
              <w:start w:w="90" w:type="dxa"/>
              <w:bottom w:w="90" w:type="dxa"/>
              <w:end w:w="90" w:type="dxa"/>
            </w:tcMar>
            <w:vAlign w:val="top"/>
          </w:tcPr>
          <w:p>
            <w:pPr>
              <w:pStyle w:val="BodyText"/>
              <w:spacing w:after="0"/>
            </w:pPr>
            <w:r>
              <w:rPr>
                <w:sz w:val="16"/>
              </w:rPr>
              <w:t>Normalize and merge equivalent reason codes without hiding distinct evidence.</w:t>
            </w:r>
          </w:p>
        </w:tc>
        <w:tc>
          <w:tcPr>
            <w:tcW w:type="dxa" w:w="2088"/>
            <w:tcMar>
              <w:top w:w="90" w:type="dxa"/>
              <w:start w:w="90" w:type="dxa"/>
              <w:bottom w:w="90" w:type="dxa"/>
              <w:end w:w="90" w:type="dxa"/>
            </w:tcMar>
            <w:vAlign w:val="top"/>
          </w:tcPr>
          <w:p>
            <w:pPr>
              <w:pStyle w:val="BodyText"/>
              <w:spacing w:after="0"/>
            </w:pPr>
            <w:r>
              <w:rPr>
                <w:sz w:val="16"/>
              </w:rPr>
              <w:t>Deduplication unit test.</w:t>
            </w:r>
          </w:p>
        </w:tc>
      </w:tr>
      <w:tr>
        <w:tc>
          <w:tcPr>
            <w:tcW w:type="dxa" w:w="2376"/>
            <w:tcMar>
              <w:top w:w="90" w:type="dxa"/>
              <w:start w:w="90" w:type="dxa"/>
              <w:bottom w:w="90" w:type="dxa"/>
              <w:end w:w="90" w:type="dxa"/>
            </w:tcMar>
            <w:vAlign w:val="top"/>
            <w:shd w:fill="F8FBFD"/>
          </w:tcPr>
          <w:p>
            <w:pPr>
              <w:pStyle w:val="BodyText"/>
              <w:spacing w:after="0"/>
            </w:pPr>
            <w:r>
              <w:rPr>
                <w:sz w:val="16"/>
              </w:rPr>
              <w:t>Conflicting rule and ML</w:t>
            </w:r>
          </w:p>
        </w:tc>
        <w:tc>
          <w:tcPr>
            <w:tcW w:type="dxa" w:w="4608"/>
            <w:tcMar>
              <w:top w:w="90" w:type="dxa"/>
              <w:start w:w="90" w:type="dxa"/>
              <w:bottom w:w="90" w:type="dxa"/>
              <w:end w:w="90" w:type="dxa"/>
            </w:tcMar>
            <w:vAlign w:val="top"/>
            <w:shd w:fill="F8FBFD"/>
          </w:tcPr>
          <w:p>
            <w:pPr>
              <w:pStyle w:val="BodyText"/>
              <w:spacing w:after="0"/>
            </w:pPr>
            <w:r>
              <w:rPr>
                <w:sz w:val="16"/>
              </w:rPr>
              <w:t>Deterministic HIGH overrides ML LOW; disagreement disclosed to clinician, not framed as uncertainty that weakens the HIGH action.</w:t>
            </w:r>
          </w:p>
        </w:tc>
        <w:tc>
          <w:tcPr>
            <w:tcW w:type="dxa" w:w="2088"/>
            <w:tcMar>
              <w:top w:w="90" w:type="dxa"/>
              <w:start w:w="90" w:type="dxa"/>
              <w:bottom w:w="90" w:type="dxa"/>
              <w:end w:w="90" w:type="dxa"/>
            </w:tcMar>
            <w:vAlign w:val="top"/>
            <w:shd w:fill="F8FBFD"/>
          </w:tcPr>
          <w:p>
            <w:pPr>
              <w:pStyle w:val="BodyText"/>
              <w:spacing w:after="0"/>
            </w:pPr>
            <w:r>
              <w:rPr>
                <w:sz w:val="16"/>
              </w:rPr>
              <w:t>Hybrid decision test.</w:t>
            </w:r>
          </w:p>
        </w:tc>
      </w:tr>
      <w:tr>
        <w:tc>
          <w:tcPr>
            <w:tcW w:type="dxa" w:w="2376"/>
            <w:tcMar>
              <w:top w:w="90" w:type="dxa"/>
              <w:start w:w="90" w:type="dxa"/>
              <w:bottom w:w="90" w:type="dxa"/>
              <w:end w:w="90" w:type="dxa"/>
            </w:tcMar>
            <w:vAlign w:val="top"/>
          </w:tcPr>
          <w:p>
            <w:pPr>
              <w:pStyle w:val="BodyText"/>
              <w:spacing w:after="0"/>
            </w:pPr>
            <w:r>
              <w:rPr>
                <w:sz w:val="16"/>
              </w:rPr>
              <w:t>Missing source record</w:t>
            </w:r>
          </w:p>
        </w:tc>
        <w:tc>
          <w:tcPr>
            <w:tcW w:type="dxa" w:w="4608"/>
            <w:tcMar>
              <w:top w:w="90" w:type="dxa"/>
              <w:start w:w="90" w:type="dxa"/>
              <w:bottom w:w="90" w:type="dxa"/>
              <w:end w:w="90" w:type="dxa"/>
            </w:tcMar>
            <w:vAlign w:val="top"/>
          </w:tcPr>
          <w:p>
            <w:pPr>
              <w:pStyle w:val="BodyText"/>
              <w:spacing w:after="0"/>
            </w:pPr>
            <w:r>
              <w:rPr>
                <w:sz w:val="16"/>
              </w:rPr>
              <w:t>Return INCOMPLETE and name exact missing requirement; never imply LOW.</w:t>
            </w:r>
          </w:p>
        </w:tc>
        <w:tc>
          <w:tcPr>
            <w:tcW w:type="dxa" w:w="2088"/>
            <w:tcMar>
              <w:top w:w="90" w:type="dxa"/>
              <w:start w:w="90" w:type="dxa"/>
              <w:bottom w:w="90" w:type="dxa"/>
              <w:end w:w="90" w:type="dxa"/>
            </w:tcMar>
            <w:vAlign w:val="top"/>
          </w:tcPr>
          <w:p>
            <w:pPr>
              <w:pStyle w:val="BodyText"/>
              <w:spacing w:after="0"/>
            </w:pPr>
            <w:r>
              <w:rPr>
                <w:sz w:val="16"/>
              </w:rPr>
              <w:t>Completeness matrix.</w:t>
            </w:r>
          </w:p>
        </w:tc>
      </w:tr>
      <w:tr>
        <w:tc>
          <w:tcPr>
            <w:tcW w:type="dxa" w:w="2376"/>
            <w:tcMar>
              <w:top w:w="90" w:type="dxa"/>
              <w:start w:w="90" w:type="dxa"/>
              <w:bottom w:w="90" w:type="dxa"/>
              <w:end w:w="90" w:type="dxa"/>
            </w:tcMar>
            <w:vAlign w:val="top"/>
            <w:shd w:fill="F8FBFD"/>
          </w:tcPr>
          <w:p>
            <w:pPr>
              <w:pStyle w:val="BodyText"/>
              <w:spacing w:after="0"/>
            </w:pPr>
            <w:r>
              <w:rPr>
                <w:sz w:val="16"/>
              </w:rPr>
              <w:t>Template missing</w:t>
            </w:r>
          </w:p>
        </w:tc>
        <w:tc>
          <w:tcPr>
            <w:tcW w:type="dxa" w:w="4608"/>
            <w:tcMar>
              <w:top w:w="90" w:type="dxa"/>
              <w:start w:w="90" w:type="dxa"/>
              <w:bottom w:w="90" w:type="dxa"/>
              <w:end w:w="90" w:type="dxa"/>
            </w:tcMar>
            <w:vAlign w:val="top"/>
            <w:shd w:fill="F8FBFD"/>
          </w:tcPr>
          <w:p>
            <w:pPr>
              <w:pStyle w:val="BodyText"/>
              <w:spacing w:after="0"/>
            </w:pPr>
            <w:r>
              <w:rPr>
                <w:sz w:val="16"/>
              </w:rPr>
              <w:t>Use approved safe fallback or block channel; never generate free-form clinical text.</w:t>
            </w:r>
          </w:p>
        </w:tc>
        <w:tc>
          <w:tcPr>
            <w:tcW w:type="dxa" w:w="2088"/>
            <w:tcMar>
              <w:top w:w="90" w:type="dxa"/>
              <w:start w:w="90" w:type="dxa"/>
              <w:bottom w:w="90" w:type="dxa"/>
              <w:end w:w="90" w:type="dxa"/>
            </w:tcMar>
            <w:vAlign w:val="top"/>
            <w:shd w:fill="F8FBFD"/>
          </w:tcPr>
          <w:p>
            <w:pPr>
              <w:pStyle w:val="BodyText"/>
              <w:spacing w:after="0"/>
            </w:pPr>
            <w:r>
              <w:rPr>
                <w:sz w:val="16"/>
              </w:rPr>
              <w:t>Template-catalog test.</w:t>
            </w:r>
          </w:p>
        </w:tc>
      </w:tr>
      <w:tr>
        <w:tc>
          <w:tcPr>
            <w:tcW w:type="dxa" w:w="2376"/>
            <w:tcMar>
              <w:top w:w="90" w:type="dxa"/>
              <w:start w:w="90" w:type="dxa"/>
              <w:bottom w:w="90" w:type="dxa"/>
              <w:end w:w="90" w:type="dxa"/>
            </w:tcMar>
            <w:vAlign w:val="top"/>
          </w:tcPr>
          <w:p>
            <w:pPr>
              <w:pStyle w:val="BodyText"/>
              <w:spacing w:after="0"/>
            </w:pPr>
            <w:r>
              <w:rPr>
                <w:sz w:val="16"/>
              </w:rPr>
              <w:t>Audit write failure</w:t>
            </w:r>
          </w:p>
        </w:tc>
        <w:tc>
          <w:tcPr>
            <w:tcW w:type="dxa" w:w="4608"/>
            <w:tcMar>
              <w:top w:w="90" w:type="dxa"/>
              <w:start w:w="90" w:type="dxa"/>
              <w:bottom w:w="90" w:type="dxa"/>
              <w:end w:w="90" w:type="dxa"/>
            </w:tcMar>
            <w:vAlign w:val="top"/>
          </w:tcPr>
          <w:p>
            <w:pPr>
              <w:pStyle w:val="BodyText"/>
              <w:spacing w:after="0"/>
            </w:pPr>
            <w:r>
              <w:rPr>
                <w:sz w:val="16"/>
              </w:rPr>
              <w:t>Clinical screen may follow approved local policy, but system must report loss of traceability and prevent claims of successful audit persistence.</w:t>
            </w:r>
          </w:p>
        </w:tc>
        <w:tc>
          <w:tcPr>
            <w:tcW w:type="dxa" w:w="2088"/>
            <w:tcMar>
              <w:top w:w="90" w:type="dxa"/>
              <w:start w:w="90" w:type="dxa"/>
              <w:bottom w:w="90" w:type="dxa"/>
              <w:end w:w="90" w:type="dxa"/>
            </w:tcMar>
            <w:vAlign w:val="top"/>
          </w:tcPr>
          <w:p>
            <w:pPr>
              <w:pStyle w:val="BodyText"/>
              <w:spacing w:after="0"/>
            </w:pPr>
            <w:r>
              <w:rPr>
                <w:sz w:val="16"/>
              </w:rPr>
              <w:t>Transaction/exception test.</w:t>
            </w:r>
          </w:p>
        </w:tc>
      </w:tr>
      <w:tr>
        <w:tc>
          <w:tcPr>
            <w:tcW w:type="dxa" w:w="2376"/>
            <w:tcMar>
              <w:top w:w="90" w:type="dxa"/>
              <w:start w:w="90" w:type="dxa"/>
              <w:bottom w:w="90" w:type="dxa"/>
              <w:end w:w="90" w:type="dxa"/>
            </w:tcMar>
            <w:vAlign w:val="top"/>
            <w:shd w:fill="F8FBFD"/>
          </w:tcPr>
          <w:p>
            <w:pPr>
              <w:pStyle w:val="BodyText"/>
              <w:spacing w:after="0"/>
            </w:pPr>
            <w:r>
              <w:rPr>
                <w:sz w:val="16"/>
              </w:rPr>
              <w:t>Unauthorized view</w:t>
            </w:r>
          </w:p>
        </w:tc>
        <w:tc>
          <w:tcPr>
            <w:tcW w:type="dxa" w:w="4608"/>
            <w:tcMar>
              <w:top w:w="90" w:type="dxa"/>
              <w:start w:w="90" w:type="dxa"/>
              <w:bottom w:w="90" w:type="dxa"/>
              <w:end w:w="90" w:type="dxa"/>
            </w:tcMar>
            <w:vAlign w:val="top"/>
            <w:shd w:fill="F8FBFD"/>
          </w:tcPr>
          <w:p>
            <w:pPr>
              <w:pStyle w:val="BodyText"/>
              <w:spacing w:after="0"/>
            </w:pPr>
            <w:r>
              <w:rPr>
                <w:sz w:val="16"/>
              </w:rPr>
              <w:t>Deny access before projection generation and log access-control event.</w:t>
            </w:r>
          </w:p>
        </w:tc>
        <w:tc>
          <w:tcPr>
            <w:tcW w:type="dxa" w:w="2088"/>
            <w:tcMar>
              <w:top w:w="90" w:type="dxa"/>
              <w:start w:w="90" w:type="dxa"/>
              <w:bottom w:w="90" w:type="dxa"/>
              <w:end w:w="90" w:type="dxa"/>
            </w:tcMar>
            <w:vAlign w:val="top"/>
            <w:shd w:fill="F8FBFD"/>
          </w:tcPr>
          <w:p>
            <w:pPr>
              <w:pStyle w:val="BodyText"/>
              <w:spacing w:after="0"/>
            </w:pPr>
            <w:r>
              <w:rPr>
                <w:sz w:val="16"/>
              </w:rPr>
              <w:t>Authorization test.</w:t>
            </w:r>
          </w:p>
        </w:tc>
      </w:tr>
    </w:tbl>
    <w:p>
      <w:pPr>
        <w:spacing w:after="0"/>
      </w:pPr>
    </w:p>
    <w:p>
      <w:pPr>
        <w:pStyle w:val="Heading1"/>
        <w:keepNext/>
      </w:pPr>
      <w:r>
        <w:t>10. Human-Factors and Usability Evaluation</w:t>
      </w:r>
    </w:p>
    <w:p>
      <w:pPr>
        <w:pStyle w:val="Heading2"/>
        <w:keepNext/>
      </w:pPr>
      <w:r>
        <w:t>10.1 Core tasks</w:t>
      </w:r>
    </w:p>
    <w:p>
      <w:pPr>
        <w:pStyle w:val="ListBullet"/>
      </w:pPr>
      <w:r>
        <w:t>Find the final status.</w:t>
      </w:r>
    </w:p>
    <w:p>
      <w:pPr>
        <w:pStyle w:val="ListBullet"/>
      </w:pPr>
      <w:r>
        <w:t>Find the top reason and supporting value.</w:t>
      </w:r>
    </w:p>
    <w:p>
      <w:pPr>
        <w:pStyle w:val="ListBullet"/>
      </w:pPr>
      <w:r>
        <w:t>Identify whether the model contributed and whether rules overrode it.</w:t>
      </w:r>
    </w:p>
    <w:p>
      <w:pPr>
        <w:pStyle w:val="ListBullet"/>
      </w:pPr>
      <w:r>
        <w:t>Find the recommended next action.</w:t>
      </w:r>
    </w:p>
    <w:p>
      <w:pPr>
        <w:pStyle w:val="ListBullet"/>
      </w:pPr>
      <w:r>
        <w:t>For INCOMPLETE, navigate to the missing record workflow.</w:t>
      </w:r>
    </w:p>
    <w:p>
      <w:pPr>
        <w:pStyle w:val="ListBullet"/>
      </w:pPr>
      <w:r>
        <w:t>Generate and verify a referral summary.</w:t>
      </w:r>
    </w:p>
    <w:p>
      <w:pPr>
        <w:pStyle w:val="ListBullet"/>
      </w:pPr>
      <w:r>
        <w:t>Explain the result to a patient using the patient-facing text.</w:t>
      </w:r>
    </w:p>
    <w:p>
      <w:pPr>
        <w:pStyle w:val="ListBullet"/>
      </w:pPr>
      <w:r>
        <w:t>Locate limitation and provenance information when needed.</w:t>
      </w:r>
    </w:p>
    <w:p>
      <w:pPr>
        <w:pStyle w:val="Heading2"/>
        <w:keepNext/>
      </w:pPr>
      <w:r>
        <w:t>10.2 Measures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6"/>
              </w:rPr>
              <w:t>Measure</w:t>
            </w:r>
          </w:p>
        </w:tc>
        <w:tc>
          <w:tcPr>
            <w:tcW w:type="dxa" w:w="6768"/>
            <w:shd w:fill="1F4E79"/>
            <w:tcMar>
              <w:top w:w="90" w:type="dxa"/>
              <w:start w:w="90" w:type="dxa"/>
              <w:bottom w:w="90" w:type="dxa"/>
              <w:end w:w="90" w:type="dxa"/>
            </w:tcMar>
            <w:vAlign w:val="center"/>
          </w:tcPr>
          <w:p>
            <w:pPr>
              <w:jc w:val="center"/>
            </w:pPr>
            <w:r>
              <w:rPr>
                <w:b/>
                <w:color w:val="FFFFFF"/>
                <w:sz w:val="16"/>
              </w:rPr>
              <w:t>Interpretation</w:t>
            </w:r>
          </w:p>
        </w:tc>
      </w:tr>
      <w:tr>
        <w:tc>
          <w:tcPr>
            <w:tcW w:type="dxa" w:w="2592"/>
            <w:tcMar>
              <w:top w:w="90" w:type="dxa"/>
              <w:start w:w="90" w:type="dxa"/>
              <w:bottom w:w="90" w:type="dxa"/>
              <w:end w:w="90" w:type="dxa"/>
            </w:tcMar>
            <w:vAlign w:val="top"/>
          </w:tcPr>
          <w:p>
            <w:pPr>
              <w:pStyle w:val="BodyText"/>
              <w:spacing w:after="0"/>
            </w:pPr>
            <w:r>
              <w:rPr>
                <w:sz w:val="16"/>
              </w:rPr>
              <w:t>Task success</w:t>
            </w:r>
          </w:p>
        </w:tc>
        <w:tc>
          <w:tcPr>
            <w:tcW w:type="dxa" w:w="6768"/>
            <w:tcMar>
              <w:top w:w="90" w:type="dxa"/>
              <w:start w:w="90" w:type="dxa"/>
              <w:bottom w:w="90" w:type="dxa"/>
              <w:end w:w="90" w:type="dxa"/>
            </w:tcMar>
            <w:vAlign w:val="top"/>
          </w:tcPr>
          <w:p>
            <w:pPr>
              <w:pStyle w:val="BodyText"/>
              <w:spacing w:after="0"/>
            </w:pPr>
            <w:r>
              <w:rPr>
                <w:sz w:val="16"/>
              </w:rPr>
              <w:t>Whether the participant reaches the correct answer or completes the workflow safely.</w:t>
            </w:r>
          </w:p>
        </w:tc>
      </w:tr>
      <w:tr>
        <w:tc>
          <w:tcPr>
            <w:tcW w:type="dxa" w:w="2592"/>
            <w:tcMar>
              <w:top w:w="90" w:type="dxa"/>
              <w:start w:w="90" w:type="dxa"/>
              <w:bottom w:w="90" w:type="dxa"/>
              <w:end w:w="90" w:type="dxa"/>
            </w:tcMar>
            <w:vAlign w:val="top"/>
            <w:shd w:fill="F8FBFD"/>
          </w:tcPr>
          <w:p>
            <w:pPr>
              <w:pStyle w:val="BodyText"/>
              <w:spacing w:after="0"/>
            </w:pPr>
            <w:r>
              <w:rPr>
                <w:sz w:val="16"/>
              </w:rPr>
              <w:t>Time on task</w:t>
            </w:r>
          </w:p>
        </w:tc>
        <w:tc>
          <w:tcPr>
            <w:tcW w:type="dxa" w:w="6768"/>
            <w:tcMar>
              <w:top w:w="90" w:type="dxa"/>
              <w:start w:w="90" w:type="dxa"/>
              <w:bottom w:w="90" w:type="dxa"/>
              <w:end w:w="90" w:type="dxa"/>
            </w:tcMar>
            <w:vAlign w:val="top"/>
            <w:shd w:fill="F8FBFD"/>
          </w:tcPr>
          <w:p>
            <w:pPr>
              <w:pStyle w:val="BodyText"/>
              <w:spacing w:after="0"/>
            </w:pPr>
            <w:r>
              <w:rPr>
                <w:sz w:val="16"/>
              </w:rPr>
              <w:t>Whether the explanation supports timely review without encouraging rushed acceptance.</w:t>
            </w:r>
          </w:p>
        </w:tc>
      </w:tr>
      <w:tr>
        <w:tc>
          <w:tcPr>
            <w:tcW w:type="dxa" w:w="2592"/>
            <w:tcMar>
              <w:top w:w="90" w:type="dxa"/>
              <w:start w:w="90" w:type="dxa"/>
              <w:bottom w:w="90" w:type="dxa"/>
              <w:end w:w="90" w:type="dxa"/>
            </w:tcMar>
            <w:vAlign w:val="top"/>
          </w:tcPr>
          <w:p>
            <w:pPr>
              <w:pStyle w:val="BodyText"/>
              <w:spacing w:after="0"/>
            </w:pPr>
            <w:r>
              <w:rPr>
                <w:sz w:val="16"/>
              </w:rPr>
              <w:t>Critical error rate</w:t>
            </w:r>
          </w:p>
        </w:tc>
        <w:tc>
          <w:tcPr>
            <w:tcW w:type="dxa" w:w="6768"/>
            <w:tcMar>
              <w:top w:w="90" w:type="dxa"/>
              <w:start w:w="90" w:type="dxa"/>
              <w:bottom w:w="90" w:type="dxa"/>
              <w:end w:w="90" w:type="dxa"/>
            </w:tcMar>
            <w:vAlign w:val="top"/>
          </w:tcPr>
          <w:p>
            <w:pPr>
              <w:pStyle w:val="BodyText"/>
              <w:spacing w:after="0"/>
            </w:pPr>
            <w:r>
              <w:rPr>
                <w:sz w:val="16"/>
              </w:rPr>
              <w:t>Incorrect referral, missed urgent reason, false LOW interpretation, or wrong missing record.</w:t>
            </w:r>
          </w:p>
        </w:tc>
      </w:tr>
      <w:tr>
        <w:tc>
          <w:tcPr>
            <w:tcW w:type="dxa" w:w="2592"/>
            <w:tcMar>
              <w:top w:w="90" w:type="dxa"/>
              <w:start w:w="90" w:type="dxa"/>
              <w:bottom w:w="90" w:type="dxa"/>
              <w:end w:w="90" w:type="dxa"/>
            </w:tcMar>
            <w:vAlign w:val="top"/>
            <w:shd w:fill="F8FBFD"/>
          </w:tcPr>
          <w:p>
            <w:pPr>
              <w:pStyle w:val="BodyText"/>
              <w:spacing w:after="0"/>
            </w:pPr>
            <w:r>
              <w:rPr>
                <w:sz w:val="16"/>
              </w:rPr>
              <w:t>Comprehension score</w:t>
            </w:r>
          </w:p>
        </w:tc>
        <w:tc>
          <w:tcPr>
            <w:tcW w:type="dxa" w:w="6768"/>
            <w:tcMar>
              <w:top w:w="90" w:type="dxa"/>
              <w:start w:w="90" w:type="dxa"/>
              <w:bottom w:w="90" w:type="dxa"/>
              <w:end w:w="90" w:type="dxa"/>
            </w:tcMar>
            <w:vAlign w:val="top"/>
            <w:shd w:fill="F8FBFD"/>
          </w:tcPr>
          <w:p>
            <w:pPr>
              <w:pStyle w:val="BodyText"/>
              <w:spacing w:after="0"/>
            </w:pPr>
            <w:r>
              <w:rPr>
                <w:sz w:val="16"/>
              </w:rPr>
              <w:t>Correct responses to status, reason, limitation, and action questions.</w:t>
            </w:r>
          </w:p>
        </w:tc>
      </w:tr>
      <w:tr>
        <w:tc>
          <w:tcPr>
            <w:tcW w:type="dxa" w:w="2592"/>
            <w:tcMar>
              <w:top w:w="90" w:type="dxa"/>
              <w:start w:w="90" w:type="dxa"/>
              <w:bottom w:w="90" w:type="dxa"/>
              <w:end w:w="90" w:type="dxa"/>
            </w:tcMar>
            <w:vAlign w:val="top"/>
          </w:tcPr>
          <w:p>
            <w:pPr>
              <w:pStyle w:val="BodyText"/>
              <w:spacing w:after="0"/>
            </w:pPr>
            <w:r>
              <w:rPr>
                <w:sz w:val="16"/>
              </w:rPr>
              <w:t>Confidence appropriateness</w:t>
            </w:r>
          </w:p>
        </w:tc>
        <w:tc>
          <w:tcPr>
            <w:tcW w:type="dxa" w:w="6768"/>
            <w:tcMar>
              <w:top w:w="90" w:type="dxa"/>
              <w:start w:w="90" w:type="dxa"/>
              <w:bottom w:w="90" w:type="dxa"/>
              <w:end w:w="90" w:type="dxa"/>
            </w:tcMar>
            <w:vAlign w:val="top"/>
          </w:tcPr>
          <w:p>
            <w:pPr>
              <w:pStyle w:val="BodyText"/>
              <w:spacing w:after="0"/>
            </w:pPr>
            <w:r>
              <w:rPr>
                <w:sz w:val="16"/>
              </w:rPr>
              <w:t>Confidence aligns with understanding; high confidence with wrong answers is a concern.</w:t>
            </w:r>
          </w:p>
        </w:tc>
      </w:tr>
      <w:tr>
        <w:tc>
          <w:tcPr>
            <w:tcW w:type="dxa" w:w="2592"/>
            <w:tcMar>
              <w:top w:w="90" w:type="dxa"/>
              <w:start w:w="90" w:type="dxa"/>
              <w:bottom w:w="90" w:type="dxa"/>
              <w:end w:w="90" w:type="dxa"/>
            </w:tcMar>
            <w:vAlign w:val="top"/>
            <w:shd w:fill="F8FBFD"/>
          </w:tcPr>
          <w:p>
            <w:pPr>
              <w:pStyle w:val="BodyText"/>
              <w:spacing w:after="0"/>
            </w:pPr>
            <w:r>
              <w:rPr>
                <w:sz w:val="16"/>
              </w:rPr>
              <w:t>Perceived usefulness</w:t>
            </w:r>
          </w:p>
        </w:tc>
        <w:tc>
          <w:tcPr>
            <w:tcW w:type="dxa" w:w="6768"/>
            <w:tcMar>
              <w:top w:w="90" w:type="dxa"/>
              <w:start w:w="90" w:type="dxa"/>
              <w:bottom w:w="90" w:type="dxa"/>
              <w:end w:w="90" w:type="dxa"/>
            </w:tcMar>
            <w:vAlign w:val="top"/>
            <w:shd w:fill="F8FBFD"/>
          </w:tcPr>
          <w:p>
            <w:pPr>
              <w:pStyle w:val="BodyText"/>
              <w:spacing w:after="0"/>
            </w:pPr>
            <w:r>
              <w:rPr>
                <w:sz w:val="16"/>
              </w:rPr>
              <w:t>Whether the explanation supports the participant’s real responsibility.</w:t>
            </w:r>
          </w:p>
        </w:tc>
      </w:tr>
      <w:tr>
        <w:tc>
          <w:tcPr>
            <w:tcW w:type="dxa" w:w="2592"/>
            <w:tcMar>
              <w:top w:w="90" w:type="dxa"/>
              <w:start w:w="90" w:type="dxa"/>
              <w:bottom w:w="90" w:type="dxa"/>
              <w:end w:w="90" w:type="dxa"/>
            </w:tcMar>
            <w:vAlign w:val="top"/>
          </w:tcPr>
          <w:p>
            <w:pPr>
              <w:pStyle w:val="BodyText"/>
              <w:spacing w:after="0"/>
            </w:pPr>
            <w:r>
              <w:rPr>
                <w:sz w:val="16"/>
              </w:rPr>
              <w:t>Cognitive workload</w:t>
            </w:r>
          </w:p>
        </w:tc>
        <w:tc>
          <w:tcPr>
            <w:tcW w:type="dxa" w:w="6768"/>
            <w:tcMar>
              <w:top w:w="90" w:type="dxa"/>
              <w:start w:w="90" w:type="dxa"/>
              <w:bottom w:w="90" w:type="dxa"/>
              <w:end w:w="90" w:type="dxa"/>
            </w:tcMar>
            <w:vAlign w:val="top"/>
          </w:tcPr>
          <w:p>
            <w:pPr>
              <w:pStyle w:val="BodyText"/>
              <w:spacing w:after="0"/>
            </w:pPr>
            <w:r>
              <w:rPr>
                <w:sz w:val="16"/>
              </w:rPr>
              <w:t>Whether density, ordering, and terminology create avoidable burden.</w:t>
            </w:r>
          </w:p>
        </w:tc>
      </w:tr>
      <w:tr>
        <w:tc>
          <w:tcPr>
            <w:tcW w:type="dxa" w:w="2592"/>
            <w:tcMar>
              <w:top w:w="90" w:type="dxa"/>
              <w:start w:w="90" w:type="dxa"/>
              <w:bottom w:w="90" w:type="dxa"/>
              <w:end w:w="90" w:type="dxa"/>
            </w:tcMar>
            <w:vAlign w:val="top"/>
            <w:shd w:fill="F8FBFD"/>
          </w:tcPr>
          <w:p>
            <w:pPr>
              <w:pStyle w:val="BodyText"/>
              <w:spacing w:after="0"/>
            </w:pPr>
            <w:r>
              <w:rPr>
                <w:sz w:val="16"/>
              </w:rPr>
              <w:t>Trust calibration</w:t>
            </w:r>
          </w:p>
        </w:tc>
        <w:tc>
          <w:tcPr>
            <w:tcW w:type="dxa" w:w="6768"/>
            <w:tcMar>
              <w:top w:w="90" w:type="dxa"/>
              <w:start w:w="90" w:type="dxa"/>
              <w:bottom w:w="90" w:type="dxa"/>
              <w:end w:w="90" w:type="dxa"/>
            </w:tcMar>
            <w:vAlign w:val="top"/>
            <w:shd w:fill="F8FBFD"/>
          </w:tcPr>
          <w:p>
            <w:pPr>
              <w:pStyle w:val="BodyText"/>
              <w:spacing w:after="0"/>
            </w:pPr>
            <w:r>
              <w:rPr>
                <w:sz w:val="16"/>
              </w:rPr>
              <w:t>Whether users neither ignore the system nor accept it blindly.</w:t>
            </w:r>
          </w:p>
        </w:tc>
      </w:tr>
    </w:tbl>
    <w:p>
      <w:pPr>
        <w:spacing w:after="0"/>
      </w:pPr>
    </w:p>
    <w:p>
      <w:pPr>
        <w:pStyle w:val="Heading2"/>
        <w:keepNext/>
      </w:pPr>
      <w:r>
        <w:t>10.3 Observation and debrief</w:t>
      </w:r>
    </w:p>
    <w:p>
      <w:pPr>
        <w:pStyle w:val="BodyText"/>
      </w:pPr>
      <w:r>
        <w:t>The evaluator records where users hesitate, what they overlook, whether they rely only on color, how they describe the model, and whether they verify patient-specific evidence. Debrief questions ask what the participant believed the system was saying, what influenced the action, and what information was missing or excessive. Findings are mapped to a concrete template, interface, or workflow change.</w:t>
      </w:r>
    </w:p>
    <w:p>
      <w:pPr>
        <w:pStyle w:val="Heading1"/>
        <w:keepNext/>
      </w:pPr>
      <w:r>
        <w:t>11. End-to-End Verification Scenarios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648"/>
            <w:shd w:fill="1F4E79"/>
            <w:tcMar>
              <w:top w:w="90" w:type="dxa"/>
              <w:start w:w="90" w:type="dxa"/>
              <w:bottom w:w="90" w:type="dxa"/>
              <w:end w:w="90" w:type="dxa"/>
            </w:tcMar>
            <w:vAlign w:val="center"/>
          </w:tcPr>
          <w:p>
            <w:pPr>
              <w:jc w:val="center"/>
            </w:pPr>
            <w:r>
              <w:rPr>
                <w:b/>
                <w:color w:val="FFFFFF"/>
                <w:sz w:val="15"/>
              </w:rPr>
              <w:t>ID</w:t>
            </w:r>
          </w:p>
        </w:tc>
        <w:tc>
          <w:tcPr>
            <w:tcW w:type="dxa" w:w="3024"/>
            <w:shd w:fill="1F4E79"/>
            <w:tcMar>
              <w:top w:w="90" w:type="dxa"/>
              <w:start w:w="90" w:type="dxa"/>
              <w:bottom w:w="90" w:type="dxa"/>
              <w:end w:w="90" w:type="dxa"/>
            </w:tcMar>
            <w:vAlign w:val="center"/>
          </w:tcPr>
          <w:p>
            <w:pPr>
              <w:jc w:val="center"/>
            </w:pPr>
            <w:r>
              <w:rPr>
                <w:b/>
                <w:color w:val="FFFFFF"/>
                <w:sz w:val="15"/>
              </w:rPr>
              <w:t>Scenario</w:t>
            </w:r>
          </w:p>
        </w:tc>
        <w:tc>
          <w:tcPr>
            <w:tcW w:type="dxa" w:w="5760"/>
            <w:shd w:fill="1F4E79"/>
            <w:tcMar>
              <w:top w:w="90" w:type="dxa"/>
              <w:start w:w="90" w:type="dxa"/>
              <w:bottom w:w="90" w:type="dxa"/>
              <w:end w:w="90" w:type="dxa"/>
            </w:tcMar>
            <w:vAlign w:val="center"/>
          </w:tcPr>
          <w:p>
            <w:pPr>
              <w:jc w:val="center"/>
            </w:pPr>
            <w:r>
              <w:rPr>
                <w:b/>
                <w:color w:val="FFFFFF"/>
                <w:sz w:val="15"/>
              </w:rPr>
              <w:t>Expected explainability result</w:t>
            </w:r>
          </w:p>
        </w:tc>
      </w:tr>
      <w:tr>
        <w:tc>
          <w:tcPr>
            <w:tcW w:type="dxa" w:w="648"/>
            <w:tcMar>
              <w:top w:w="90" w:type="dxa"/>
              <w:start w:w="90" w:type="dxa"/>
              <w:bottom w:w="90" w:type="dxa"/>
              <w:end w:w="90" w:type="dxa"/>
            </w:tcMar>
            <w:vAlign w:val="top"/>
          </w:tcPr>
          <w:p>
            <w:pPr>
              <w:pStyle w:val="BodyText"/>
              <w:spacing w:after="0"/>
            </w:pPr>
            <w:r>
              <w:rPr>
                <w:sz w:val="15"/>
              </w:rPr>
              <w:t>1</w:t>
            </w:r>
          </w:p>
        </w:tc>
        <w:tc>
          <w:tcPr>
            <w:tcW w:type="dxa" w:w="3024"/>
            <w:tcMar>
              <w:top w:w="90" w:type="dxa"/>
              <w:start w:w="90" w:type="dxa"/>
              <w:bottom w:w="90" w:type="dxa"/>
              <w:end w:w="90" w:type="dxa"/>
            </w:tcMar>
            <w:vAlign w:val="top"/>
          </w:tcPr>
          <w:p>
            <w:pPr>
              <w:pStyle w:val="BodyText"/>
              <w:spacing w:after="0"/>
            </w:pPr>
            <w:r>
              <w:rPr>
                <w:sz w:val="15"/>
              </w:rPr>
              <w:t>Age 18, all required records present, ML LOW</w:t>
            </w:r>
          </w:p>
        </w:tc>
        <w:tc>
          <w:tcPr>
            <w:tcW w:type="dxa" w:w="5760"/>
            <w:tcMar>
              <w:top w:w="90" w:type="dxa"/>
              <w:start w:w="90" w:type="dxa"/>
              <w:bottom w:w="90" w:type="dxa"/>
              <w:end w:w="90" w:type="dxa"/>
            </w:tcMar>
            <w:vAlign w:val="top"/>
          </w:tcPr>
          <w:p>
            <w:pPr>
              <w:pStyle w:val="BodyText"/>
              <w:spacing w:after="0"/>
            </w:pPr>
            <w:r>
              <w:rPr>
                <w:sz w:val="15"/>
              </w:rPr>
              <w:t>Final HIGH; under-19 reason shown; ML LOW disagreement disclosed to midwife; patient receives age-related closer-monitoring message; no LOW reassurance.</w:t>
            </w:r>
          </w:p>
        </w:tc>
      </w:tr>
      <w:tr>
        <w:tc>
          <w:tcPr>
            <w:tcW w:type="dxa" w:w="648"/>
            <w:tcMar>
              <w:top w:w="90" w:type="dxa"/>
              <w:start w:w="90" w:type="dxa"/>
              <w:bottom w:w="90" w:type="dxa"/>
              <w:end w:w="90" w:type="dxa"/>
            </w:tcMar>
            <w:vAlign w:val="top"/>
            <w:shd w:fill="F8FBFD"/>
          </w:tcPr>
          <w:p>
            <w:pPr>
              <w:pStyle w:val="BodyText"/>
              <w:spacing w:after="0"/>
            </w:pPr>
            <w:r>
              <w:rPr>
                <w:sz w:val="15"/>
              </w:rPr>
              <w:t>2</w:t>
            </w:r>
          </w:p>
        </w:tc>
        <w:tc>
          <w:tcPr>
            <w:tcW w:type="dxa" w:w="3024"/>
            <w:tcMar>
              <w:top w:w="90" w:type="dxa"/>
              <w:start w:w="90" w:type="dxa"/>
              <w:bottom w:w="90" w:type="dxa"/>
              <w:end w:w="90" w:type="dxa"/>
            </w:tcMar>
            <w:vAlign w:val="top"/>
            <w:shd w:fill="F8FBFD"/>
          </w:tcPr>
          <w:p>
            <w:pPr>
              <w:pStyle w:val="BodyText"/>
              <w:spacing w:after="0"/>
            </w:pPr>
            <w:r>
              <w:rPr>
                <w:sz w:val="15"/>
              </w:rPr>
              <w:t>Age 19, no other factors, ML LOW</w:t>
            </w:r>
          </w:p>
        </w:tc>
        <w:tc>
          <w:tcPr>
            <w:tcW w:type="dxa" w:w="5760"/>
            <w:tcMar>
              <w:top w:w="90" w:type="dxa"/>
              <w:start w:w="90" w:type="dxa"/>
              <w:bottom w:w="90" w:type="dxa"/>
              <w:end w:w="90" w:type="dxa"/>
            </w:tcMar>
            <w:vAlign w:val="top"/>
            <w:shd w:fill="F8FBFD"/>
          </w:tcPr>
          <w:p>
            <w:pPr>
              <w:pStyle w:val="BodyText"/>
              <w:spacing w:after="0"/>
            </w:pPr>
            <w:r>
              <w:rPr>
                <w:sz w:val="15"/>
              </w:rPr>
              <w:t>Under-19 rule absent; final LOW only when all completeness and ML validity conditions are satisfied.</w:t>
            </w:r>
          </w:p>
        </w:tc>
      </w:tr>
      <w:tr>
        <w:tc>
          <w:tcPr>
            <w:tcW w:type="dxa" w:w="648"/>
            <w:tcMar>
              <w:top w:w="90" w:type="dxa"/>
              <w:start w:w="90" w:type="dxa"/>
              <w:bottom w:w="90" w:type="dxa"/>
              <w:end w:w="90" w:type="dxa"/>
            </w:tcMar>
            <w:vAlign w:val="top"/>
          </w:tcPr>
          <w:p>
            <w:pPr>
              <w:pStyle w:val="BodyText"/>
              <w:spacing w:after="0"/>
            </w:pPr>
            <w:r>
              <w:rPr>
                <w:sz w:val="15"/>
              </w:rPr>
              <w:t>3</w:t>
            </w:r>
          </w:p>
        </w:tc>
        <w:tc>
          <w:tcPr>
            <w:tcW w:type="dxa" w:w="3024"/>
            <w:tcMar>
              <w:top w:w="90" w:type="dxa"/>
              <w:start w:w="90" w:type="dxa"/>
              <w:bottom w:w="90" w:type="dxa"/>
              <w:end w:w="90" w:type="dxa"/>
            </w:tcMar>
            <w:vAlign w:val="top"/>
          </w:tcPr>
          <w:p>
            <w:pPr>
              <w:pStyle w:val="BodyText"/>
              <w:spacing w:after="0"/>
            </w:pPr>
            <w:r>
              <w:rPr>
                <w:sz w:val="15"/>
              </w:rPr>
              <w:t>Age 35, first pregnancy, ML LOW</w:t>
            </w:r>
          </w:p>
        </w:tc>
        <w:tc>
          <w:tcPr>
            <w:tcW w:type="dxa" w:w="5760"/>
            <w:tcMar>
              <w:top w:w="90" w:type="dxa"/>
              <w:start w:w="90" w:type="dxa"/>
              <w:bottom w:w="90" w:type="dxa"/>
              <w:end w:w="90" w:type="dxa"/>
            </w:tcMar>
            <w:vAlign w:val="top"/>
          </w:tcPr>
          <w:p>
            <w:pPr>
              <w:pStyle w:val="BodyText"/>
              <w:spacing w:after="0"/>
            </w:pPr>
            <w:r>
              <w:rPr>
                <w:sz w:val="15"/>
              </w:rPr>
              <w:t>Final HIGH; both age and first-pregnancy conditions appear in the combined reason.</w:t>
            </w:r>
          </w:p>
        </w:tc>
      </w:tr>
      <w:tr>
        <w:tc>
          <w:tcPr>
            <w:tcW w:type="dxa" w:w="648"/>
            <w:tcMar>
              <w:top w:w="90" w:type="dxa"/>
              <w:start w:w="90" w:type="dxa"/>
              <w:bottom w:w="90" w:type="dxa"/>
              <w:end w:w="90" w:type="dxa"/>
            </w:tcMar>
            <w:vAlign w:val="top"/>
            <w:shd w:fill="F8FBFD"/>
          </w:tcPr>
          <w:p>
            <w:pPr>
              <w:pStyle w:val="BodyText"/>
              <w:spacing w:after="0"/>
            </w:pPr>
            <w:r>
              <w:rPr>
                <w:sz w:val="15"/>
              </w:rPr>
              <w:t>4</w:t>
            </w:r>
          </w:p>
        </w:tc>
        <w:tc>
          <w:tcPr>
            <w:tcW w:type="dxa" w:w="3024"/>
            <w:tcMar>
              <w:top w:w="90" w:type="dxa"/>
              <w:start w:w="90" w:type="dxa"/>
              <w:bottom w:w="90" w:type="dxa"/>
              <w:end w:w="90" w:type="dxa"/>
            </w:tcMar>
            <w:vAlign w:val="top"/>
            <w:shd w:fill="F8FBFD"/>
          </w:tcPr>
          <w:p>
            <w:pPr>
              <w:pStyle w:val="BodyText"/>
              <w:spacing w:after="0"/>
            </w:pPr>
            <w:r>
              <w:rPr>
                <w:sz w:val="15"/>
              </w:rPr>
              <w:t>Age 35, not first pregnancy, ML LOW</w:t>
            </w:r>
          </w:p>
        </w:tc>
        <w:tc>
          <w:tcPr>
            <w:tcW w:type="dxa" w:w="5760"/>
            <w:tcMar>
              <w:top w:w="90" w:type="dxa"/>
              <w:start w:w="90" w:type="dxa"/>
              <w:bottom w:w="90" w:type="dxa"/>
              <w:end w:w="90" w:type="dxa"/>
            </w:tcMar>
            <w:vAlign w:val="top"/>
            <w:shd w:fill="F8FBFD"/>
          </w:tcPr>
          <w:p>
            <w:pPr>
              <w:pStyle w:val="BodyText"/>
              <w:spacing w:after="0"/>
            </w:pPr>
            <w:r>
              <w:rPr>
                <w:sz w:val="15"/>
              </w:rPr>
              <w:t>Combined advanced-age-first-pregnancy rule absent; no invented HIGH reason.</w:t>
            </w:r>
          </w:p>
        </w:tc>
      </w:tr>
      <w:tr>
        <w:tc>
          <w:tcPr>
            <w:tcW w:type="dxa" w:w="648"/>
            <w:tcMar>
              <w:top w:w="90" w:type="dxa"/>
              <w:start w:w="90" w:type="dxa"/>
              <w:bottom w:w="90" w:type="dxa"/>
              <w:end w:w="90" w:type="dxa"/>
            </w:tcMar>
            <w:vAlign w:val="top"/>
          </w:tcPr>
          <w:p>
            <w:pPr>
              <w:pStyle w:val="BodyText"/>
              <w:spacing w:after="0"/>
            </w:pPr>
            <w:r>
              <w:rPr>
                <w:sz w:val="15"/>
              </w:rPr>
              <w:t>5</w:t>
            </w:r>
          </w:p>
        </w:tc>
        <w:tc>
          <w:tcPr>
            <w:tcW w:type="dxa" w:w="3024"/>
            <w:tcMar>
              <w:top w:w="90" w:type="dxa"/>
              <w:start w:w="90" w:type="dxa"/>
              <w:bottom w:w="90" w:type="dxa"/>
              <w:end w:w="90" w:type="dxa"/>
            </w:tcMar>
            <w:vAlign w:val="top"/>
          </w:tcPr>
          <w:p>
            <w:pPr>
              <w:pStyle w:val="BodyText"/>
              <w:spacing w:after="0"/>
            </w:pPr>
            <w:r>
              <w:rPr>
                <w:sz w:val="15"/>
              </w:rPr>
              <w:t>BP 139/89, no other factors, ML LOW</w:t>
            </w:r>
          </w:p>
        </w:tc>
        <w:tc>
          <w:tcPr>
            <w:tcW w:type="dxa" w:w="5760"/>
            <w:tcMar>
              <w:top w:w="90" w:type="dxa"/>
              <w:start w:w="90" w:type="dxa"/>
              <w:bottom w:w="90" w:type="dxa"/>
              <w:end w:w="90" w:type="dxa"/>
            </w:tcMar>
            <w:vAlign w:val="top"/>
          </w:tcPr>
          <w:p>
            <w:pPr>
              <w:pStyle w:val="BodyText"/>
              <w:spacing w:after="0"/>
            </w:pPr>
            <w:r>
              <w:rPr>
                <w:sz w:val="15"/>
              </w:rPr>
              <w:t>BP HIGH reason absent.</w:t>
            </w:r>
          </w:p>
        </w:tc>
      </w:tr>
      <w:tr>
        <w:tc>
          <w:tcPr>
            <w:tcW w:type="dxa" w:w="648"/>
            <w:tcMar>
              <w:top w:w="90" w:type="dxa"/>
              <w:start w:w="90" w:type="dxa"/>
              <w:bottom w:w="90" w:type="dxa"/>
              <w:end w:w="90" w:type="dxa"/>
            </w:tcMar>
            <w:vAlign w:val="top"/>
            <w:shd w:fill="F8FBFD"/>
          </w:tcPr>
          <w:p>
            <w:pPr>
              <w:pStyle w:val="BodyText"/>
              <w:spacing w:after="0"/>
            </w:pPr>
            <w:r>
              <w:rPr>
                <w:sz w:val="15"/>
              </w:rPr>
              <w:t>6</w:t>
            </w:r>
          </w:p>
        </w:tc>
        <w:tc>
          <w:tcPr>
            <w:tcW w:type="dxa" w:w="3024"/>
            <w:tcMar>
              <w:top w:w="90" w:type="dxa"/>
              <w:start w:w="90" w:type="dxa"/>
              <w:bottom w:w="90" w:type="dxa"/>
              <w:end w:w="90" w:type="dxa"/>
            </w:tcMar>
            <w:vAlign w:val="top"/>
            <w:shd w:fill="F8FBFD"/>
          </w:tcPr>
          <w:p>
            <w:pPr>
              <w:pStyle w:val="BodyText"/>
              <w:spacing w:after="0"/>
            </w:pPr>
            <w:r>
              <w:rPr>
                <w:sz w:val="15"/>
              </w:rPr>
              <w:t>BP 140/90, ML LOW</w:t>
            </w:r>
          </w:p>
        </w:tc>
        <w:tc>
          <w:tcPr>
            <w:tcW w:type="dxa" w:w="5760"/>
            <w:tcMar>
              <w:top w:w="90" w:type="dxa"/>
              <w:start w:w="90" w:type="dxa"/>
              <w:bottom w:w="90" w:type="dxa"/>
              <w:end w:w="90" w:type="dxa"/>
            </w:tcMar>
            <w:vAlign w:val="top"/>
            <w:shd w:fill="F8FBFD"/>
          </w:tcPr>
          <w:p>
            <w:pPr>
              <w:pStyle w:val="BodyText"/>
              <w:spacing w:after="0"/>
            </w:pPr>
            <w:r>
              <w:rPr>
                <w:sz w:val="15"/>
              </w:rPr>
              <w:t>Final HIGH; observed value and configured threshold shown; rule overrides ML LOW.</w:t>
            </w:r>
          </w:p>
        </w:tc>
      </w:tr>
      <w:tr>
        <w:tc>
          <w:tcPr>
            <w:tcW w:type="dxa" w:w="648"/>
            <w:tcMar>
              <w:top w:w="90" w:type="dxa"/>
              <w:start w:w="90" w:type="dxa"/>
              <w:bottom w:w="90" w:type="dxa"/>
              <w:end w:w="90" w:type="dxa"/>
            </w:tcMar>
            <w:vAlign w:val="top"/>
          </w:tcPr>
          <w:p>
            <w:pPr>
              <w:pStyle w:val="BodyText"/>
              <w:spacing w:after="0"/>
            </w:pPr>
            <w:r>
              <w:rPr>
                <w:sz w:val="15"/>
              </w:rPr>
              <w:t>7</w:t>
            </w:r>
          </w:p>
        </w:tc>
        <w:tc>
          <w:tcPr>
            <w:tcW w:type="dxa" w:w="3024"/>
            <w:tcMar>
              <w:top w:w="90" w:type="dxa"/>
              <w:start w:w="90" w:type="dxa"/>
              <w:bottom w:w="90" w:type="dxa"/>
              <w:end w:w="90" w:type="dxa"/>
            </w:tcMar>
            <w:vAlign w:val="top"/>
          </w:tcPr>
          <w:p>
            <w:pPr>
              <w:pStyle w:val="BodyText"/>
              <w:spacing w:after="0"/>
            </w:pPr>
            <w:r>
              <w:rPr>
                <w:sz w:val="15"/>
              </w:rPr>
              <w:t>BP 160/110, ML LOW</w:t>
            </w:r>
          </w:p>
        </w:tc>
        <w:tc>
          <w:tcPr>
            <w:tcW w:type="dxa" w:w="5760"/>
            <w:tcMar>
              <w:top w:w="90" w:type="dxa"/>
              <w:start w:w="90" w:type="dxa"/>
              <w:bottom w:w="90" w:type="dxa"/>
              <w:end w:w="90" w:type="dxa"/>
            </w:tcMar>
            <w:vAlign w:val="top"/>
          </w:tcPr>
          <w:p>
            <w:pPr>
              <w:pStyle w:val="BodyText"/>
              <w:spacing w:after="0"/>
            </w:pPr>
            <w:r>
              <w:rPr>
                <w:sz w:val="15"/>
              </w:rPr>
              <w:t>Final HIGH with urgent reason prioritized above non-urgent BP reason or appropriately merged.</w:t>
            </w:r>
          </w:p>
        </w:tc>
      </w:tr>
      <w:tr>
        <w:tc>
          <w:tcPr>
            <w:tcW w:type="dxa" w:w="648"/>
            <w:tcMar>
              <w:top w:w="90" w:type="dxa"/>
              <w:start w:w="90" w:type="dxa"/>
              <w:bottom w:w="90" w:type="dxa"/>
              <w:end w:w="90" w:type="dxa"/>
            </w:tcMar>
            <w:vAlign w:val="top"/>
            <w:shd w:fill="F8FBFD"/>
          </w:tcPr>
          <w:p>
            <w:pPr>
              <w:pStyle w:val="BodyText"/>
              <w:spacing w:after="0"/>
            </w:pPr>
            <w:r>
              <w:rPr>
                <w:sz w:val="15"/>
              </w:rPr>
              <w:t>8</w:t>
            </w:r>
          </w:p>
        </w:tc>
        <w:tc>
          <w:tcPr>
            <w:tcW w:type="dxa" w:w="3024"/>
            <w:tcMar>
              <w:top w:w="90" w:type="dxa"/>
              <w:start w:w="90" w:type="dxa"/>
              <w:bottom w:w="90" w:type="dxa"/>
              <w:end w:w="90" w:type="dxa"/>
            </w:tcMar>
            <w:vAlign w:val="top"/>
            <w:shd w:fill="F8FBFD"/>
          </w:tcPr>
          <w:p>
            <w:pPr>
              <w:pStyle w:val="BodyText"/>
              <w:spacing w:after="0"/>
            </w:pPr>
            <w:r>
              <w:rPr>
                <w:sz w:val="15"/>
              </w:rPr>
              <w:t>Diabetes present</w:t>
            </w:r>
          </w:p>
        </w:tc>
        <w:tc>
          <w:tcPr>
            <w:tcW w:type="dxa" w:w="5760"/>
            <w:tcMar>
              <w:top w:w="90" w:type="dxa"/>
              <w:start w:w="90" w:type="dxa"/>
              <w:bottom w:w="90" w:type="dxa"/>
              <w:end w:w="90" w:type="dxa"/>
            </w:tcMar>
            <w:vAlign w:val="top"/>
            <w:shd w:fill="F8FBFD"/>
          </w:tcPr>
          <w:p>
            <w:pPr>
              <w:pStyle w:val="BodyText"/>
              <w:spacing w:after="0"/>
            </w:pPr>
            <w:r>
              <w:rPr>
                <w:sz w:val="15"/>
              </w:rPr>
              <w:t>Final HIGH; diabetes history reason appears without stating a new diagnosis.</w:t>
            </w:r>
          </w:p>
        </w:tc>
      </w:tr>
      <w:tr>
        <w:tc>
          <w:tcPr>
            <w:tcW w:type="dxa" w:w="648"/>
            <w:tcMar>
              <w:top w:w="90" w:type="dxa"/>
              <w:start w:w="90" w:type="dxa"/>
              <w:bottom w:w="90" w:type="dxa"/>
              <w:end w:w="90" w:type="dxa"/>
            </w:tcMar>
            <w:vAlign w:val="top"/>
          </w:tcPr>
          <w:p>
            <w:pPr>
              <w:pStyle w:val="BodyText"/>
              <w:spacing w:after="0"/>
            </w:pPr>
            <w:r>
              <w:rPr>
                <w:sz w:val="15"/>
              </w:rPr>
              <w:t>9</w:t>
            </w:r>
          </w:p>
        </w:tc>
        <w:tc>
          <w:tcPr>
            <w:tcW w:type="dxa" w:w="3024"/>
            <w:tcMar>
              <w:top w:w="90" w:type="dxa"/>
              <w:start w:w="90" w:type="dxa"/>
              <w:bottom w:w="90" w:type="dxa"/>
              <w:end w:w="90" w:type="dxa"/>
            </w:tcMar>
            <w:vAlign w:val="top"/>
          </w:tcPr>
          <w:p>
            <w:pPr>
              <w:pStyle w:val="BodyText"/>
              <w:spacing w:after="0"/>
            </w:pPr>
            <w:r>
              <w:rPr>
                <w:sz w:val="15"/>
              </w:rPr>
              <w:t>Anemia present</w:t>
            </w:r>
          </w:p>
        </w:tc>
        <w:tc>
          <w:tcPr>
            <w:tcW w:type="dxa" w:w="5760"/>
            <w:tcMar>
              <w:top w:w="90" w:type="dxa"/>
              <w:start w:w="90" w:type="dxa"/>
              <w:bottom w:w="90" w:type="dxa"/>
              <w:end w:w="90" w:type="dxa"/>
            </w:tcMar>
            <w:vAlign w:val="top"/>
          </w:tcPr>
          <w:p>
            <w:pPr>
              <w:pStyle w:val="BodyText"/>
              <w:spacing w:after="0"/>
            </w:pPr>
            <w:r>
              <w:rPr>
                <w:sz w:val="15"/>
              </w:rPr>
              <w:t>Final HIGH; history/source is identified correctly.</w:t>
            </w:r>
          </w:p>
        </w:tc>
      </w:tr>
      <w:tr>
        <w:tc>
          <w:tcPr>
            <w:tcW w:type="dxa" w:w="648"/>
            <w:tcMar>
              <w:top w:w="90" w:type="dxa"/>
              <w:start w:w="90" w:type="dxa"/>
              <w:bottom w:w="90" w:type="dxa"/>
              <w:end w:w="90" w:type="dxa"/>
            </w:tcMar>
            <w:vAlign w:val="top"/>
            <w:shd w:fill="F8FBFD"/>
          </w:tcPr>
          <w:p>
            <w:pPr>
              <w:pStyle w:val="BodyText"/>
              <w:spacing w:after="0"/>
            </w:pPr>
            <w:r>
              <w:rPr>
                <w:sz w:val="15"/>
              </w:rPr>
              <w:t>10</w:t>
            </w:r>
          </w:p>
        </w:tc>
        <w:tc>
          <w:tcPr>
            <w:tcW w:type="dxa" w:w="3024"/>
            <w:tcMar>
              <w:top w:w="90" w:type="dxa"/>
              <w:start w:w="90" w:type="dxa"/>
              <w:bottom w:w="90" w:type="dxa"/>
              <w:end w:w="90" w:type="dxa"/>
            </w:tcMar>
            <w:vAlign w:val="top"/>
            <w:shd w:fill="F8FBFD"/>
          </w:tcPr>
          <w:p>
            <w:pPr>
              <w:pStyle w:val="BodyText"/>
              <w:spacing w:after="0"/>
            </w:pPr>
            <w:r>
              <w:rPr>
                <w:sz w:val="15"/>
              </w:rPr>
              <w:t>Previous cesarean present</w:t>
            </w:r>
          </w:p>
        </w:tc>
        <w:tc>
          <w:tcPr>
            <w:tcW w:type="dxa" w:w="5760"/>
            <w:tcMar>
              <w:top w:w="90" w:type="dxa"/>
              <w:start w:w="90" w:type="dxa"/>
              <w:bottom w:w="90" w:type="dxa"/>
              <w:end w:w="90" w:type="dxa"/>
            </w:tcMar>
            <w:vAlign w:val="top"/>
            <w:shd w:fill="F8FBFD"/>
          </w:tcPr>
          <w:p>
            <w:pPr>
              <w:pStyle w:val="BodyText"/>
              <w:spacing w:after="0"/>
            </w:pPr>
            <w:r>
              <w:rPr>
                <w:sz w:val="15"/>
              </w:rPr>
              <w:t>Final HIGH; previous cesarean reason and referral/monitoring action are appropriate.</w:t>
            </w:r>
          </w:p>
        </w:tc>
      </w:tr>
      <w:tr>
        <w:tc>
          <w:tcPr>
            <w:tcW w:type="dxa" w:w="648"/>
            <w:tcMar>
              <w:top w:w="90" w:type="dxa"/>
              <w:start w:w="90" w:type="dxa"/>
              <w:bottom w:w="90" w:type="dxa"/>
              <w:end w:w="90" w:type="dxa"/>
            </w:tcMar>
            <w:vAlign w:val="top"/>
          </w:tcPr>
          <w:p>
            <w:pPr>
              <w:pStyle w:val="BodyText"/>
              <w:spacing w:after="0"/>
            </w:pPr>
            <w:r>
              <w:rPr>
                <w:sz w:val="15"/>
              </w:rPr>
              <w:t>11</w:t>
            </w:r>
          </w:p>
        </w:tc>
        <w:tc>
          <w:tcPr>
            <w:tcW w:type="dxa" w:w="3024"/>
            <w:tcMar>
              <w:top w:w="90" w:type="dxa"/>
              <w:start w:w="90" w:type="dxa"/>
              <w:bottom w:w="90" w:type="dxa"/>
              <w:end w:w="90" w:type="dxa"/>
            </w:tcMar>
            <w:vAlign w:val="top"/>
          </w:tcPr>
          <w:p>
            <w:pPr>
              <w:pStyle w:val="BodyText"/>
              <w:spacing w:after="0"/>
            </w:pPr>
            <w:r>
              <w:rPr>
                <w:sz w:val="15"/>
              </w:rPr>
              <w:t>Miscarriage count 2</w:t>
            </w:r>
          </w:p>
        </w:tc>
        <w:tc>
          <w:tcPr>
            <w:tcW w:type="dxa" w:w="5760"/>
            <w:tcMar>
              <w:top w:w="90" w:type="dxa"/>
              <w:start w:w="90" w:type="dxa"/>
              <w:bottom w:w="90" w:type="dxa"/>
              <w:end w:w="90" w:type="dxa"/>
            </w:tcMar>
            <w:vAlign w:val="top"/>
          </w:tcPr>
          <w:p>
            <w:pPr>
              <w:pStyle w:val="BodyText"/>
              <w:spacing w:after="0"/>
            </w:pPr>
            <w:r>
              <w:rPr>
                <w:sz w:val="15"/>
              </w:rPr>
              <w:t>Recurrent-miscarriage reason absent.</w:t>
            </w:r>
          </w:p>
        </w:tc>
      </w:tr>
      <w:tr>
        <w:tc>
          <w:tcPr>
            <w:tcW w:type="dxa" w:w="648"/>
            <w:tcMar>
              <w:top w:w="90" w:type="dxa"/>
              <w:start w:w="90" w:type="dxa"/>
              <w:bottom w:w="90" w:type="dxa"/>
              <w:end w:w="90" w:type="dxa"/>
            </w:tcMar>
            <w:vAlign w:val="top"/>
            <w:shd w:fill="F8FBFD"/>
          </w:tcPr>
          <w:p>
            <w:pPr>
              <w:pStyle w:val="BodyText"/>
              <w:spacing w:after="0"/>
            </w:pPr>
            <w:r>
              <w:rPr>
                <w:sz w:val="15"/>
              </w:rPr>
              <w:t>12</w:t>
            </w:r>
          </w:p>
        </w:tc>
        <w:tc>
          <w:tcPr>
            <w:tcW w:type="dxa" w:w="3024"/>
            <w:tcMar>
              <w:top w:w="90" w:type="dxa"/>
              <w:start w:w="90" w:type="dxa"/>
              <w:bottom w:w="90" w:type="dxa"/>
              <w:end w:w="90" w:type="dxa"/>
            </w:tcMar>
            <w:vAlign w:val="top"/>
            <w:shd w:fill="F8FBFD"/>
          </w:tcPr>
          <w:p>
            <w:pPr>
              <w:pStyle w:val="BodyText"/>
              <w:spacing w:after="0"/>
            </w:pPr>
            <w:r>
              <w:rPr>
                <w:sz w:val="15"/>
              </w:rPr>
              <w:t>Miscarriage count 3</w:t>
            </w:r>
          </w:p>
        </w:tc>
        <w:tc>
          <w:tcPr>
            <w:tcW w:type="dxa" w:w="5760"/>
            <w:tcMar>
              <w:top w:w="90" w:type="dxa"/>
              <w:start w:w="90" w:type="dxa"/>
              <w:bottom w:w="90" w:type="dxa"/>
              <w:end w:w="90" w:type="dxa"/>
            </w:tcMar>
            <w:vAlign w:val="top"/>
            <w:shd w:fill="F8FBFD"/>
          </w:tcPr>
          <w:p>
            <w:pPr>
              <w:pStyle w:val="BodyText"/>
              <w:spacing w:after="0"/>
            </w:pPr>
            <w:r>
              <w:rPr>
                <w:sz w:val="15"/>
              </w:rPr>
              <w:t>Final HIGH; exact count appears; wording avoids blame.</w:t>
            </w:r>
          </w:p>
        </w:tc>
      </w:tr>
      <w:tr>
        <w:tc>
          <w:tcPr>
            <w:tcW w:type="dxa" w:w="648"/>
            <w:tcMar>
              <w:top w:w="90" w:type="dxa"/>
              <w:start w:w="90" w:type="dxa"/>
              <w:bottom w:w="90" w:type="dxa"/>
              <w:end w:w="90" w:type="dxa"/>
            </w:tcMar>
            <w:vAlign w:val="top"/>
          </w:tcPr>
          <w:p>
            <w:pPr>
              <w:pStyle w:val="BodyText"/>
              <w:spacing w:after="0"/>
            </w:pPr>
            <w:r>
              <w:rPr>
                <w:sz w:val="15"/>
              </w:rPr>
              <w:t>13</w:t>
            </w:r>
          </w:p>
        </w:tc>
        <w:tc>
          <w:tcPr>
            <w:tcW w:type="dxa" w:w="3024"/>
            <w:tcMar>
              <w:top w:w="90" w:type="dxa"/>
              <w:start w:w="90" w:type="dxa"/>
              <w:bottom w:w="90" w:type="dxa"/>
              <w:end w:w="90" w:type="dxa"/>
            </w:tcMar>
            <w:vAlign w:val="top"/>
          </w:tcPr>
          <w:p>
            <w:pPr>
              <w:pStyle w:val="BodyText"/>
              <w:spacing w:after="0"/>
            </w:pPr>
            <w:r>
              <w:rPr>
                <w:sz w:val="15"/>
              </w:rPr>
              <w:t>Breech presentation</w:t>
            </w:r>
          </w:p>
        </w:tc>
        <w:tc>
          <w:tcPr>
            <w:tcW w:type="dxa" w:w="5760"/>
            <w:tcMar>
              <w:top w:w="90" w:type="dxa"/>
              <w:start w:w="90" w:type="dxa"/>
              <w:bottom w:w="90" w:type="dxa"/>
              <w:end w:w="90" w:type="dxa"/>
            </w:tcMar>
            <w:vAlign w:val="top"/>
          </w:tcPr>
          <w:p>
            <w:pPr>
              <w:pStyle w:val="BodyText"/>
              <w:spacing w:after="0"/>
            </w:pPr>
            <w:r>
              <w:rPr>
                <w:sz w:val="15"/>
              </w:rPr>
              <w:t>Final HIGH; ultrasound source and presentation are correct.</w:t>
            </w:r>
          </w:p>
        </w:tc>
      </w:tr>
      <w:tr>
        <w:tc>
          <w:tcPr>
            <w:tcW w:type="dxa" w:w="648"/>
            <w:tcMar>
              <w:top w:w="90" w:type="dxa"/>
              <w:start w:w="90" w:type="dxa"/>
              <w:bottom w:w="90" w:type="dxa"/>
              <w:end w:w="90" w:type="dxa"/>
            </w:tcMar>
            <w:vAlign w:val="top"/>
            <w:shd w:fill="F8FBFD"/>
          </w:tcPr>
          <w:p>
            <w:pPr>
              <w:pStyle w:val="BodyText"/>
              <w:spacing w:after="0"/>
            </w:pPr>
            <w:r>
              <w:rPr>
                <w:sz w:val="15"/>
              </w:rPr>
              <w:t>14</w:t>
            </w:r>
          </w:p>
        </w:tc>
        <w:tc>
          <w:tcPr>
            <w:tcW w:type="dxa" w:w="3024"/>
            <w:tcMar>
              <w:top w:w="90" w:type="dxa"/>
              <w:start w:w="90" w:type="dxa"/>
              <w:bottom w:w="90" w:type="dxa"/>
              <w:end w:w="90" w:type="dxa"/>
            </w:tcMar>
            <w:vAlign w:val="top"/>
            <w:shd w:fill="F8FBFD"/>
          </w:tcPr>
          <w:p>
            <w:pPr>
              <w:pStyle w:val="BodyText"/>
              <w:spacing w:after="0"/>
            </w:pPr>
            <w:r>
              <w:rPr>
                <w:sz w:val="15"/>
              </w:rPr>
              <w:t>Transverse presentation</w:t>
            </w:r>
          </w:p>
        </w:tc>
        <w:tc>
          <w:tcPr>
            <w:tcW w:type="dxa" w:w="5760"/>
            <w:tcMar>
              <w:top w:w="90" w:type="dxa"/>
              <w:start w:w="90" w:type="dxa"/>
              <w:bottom w:w="90" w:type="dxa"/>
              <w:end w:w="90" w:type="dxa"/>
            </w:tcMar>
            <w:vAlign w:val="top"/>
            <w:shd w:fill="F8FBFD"/>
          </w:tcPr>
          <w:p>
            <w:pPr>
              <w:pStyle w:val="BodyText"/>
              <w:spacing w:after="0"/>
            </w:pPr>
            <w:r>
              <w:rPr>
                <w:sz w:val="15"/>
              </w:rPr>
              <w:t>Final HIGH; transverse reason is not mislabeled breech.</w:t>
            </w:r>
          </w:p>
        </w:tc>
      </w:tr>
      <w:tr>
        <w:tc>
          <w:tcPr>
            <w:tcW w:type="dxa" w:w="648"/>
            <w:tcMar>
              <w:top w:w="90" w:type="dxa"/>
              <w:start w:w="90" w:type="dxa"/>
              <w:bottom w:w="90" w:type="dxa"/>
              <w:end w:w="90" w:type="dxa"/>
            </w:tcMar>
            <w:vAlign w:val="top"/>
          </w:tcPr>
          <w:p>
            <w:pPr>
              <w:pStyle w:val="BodyText"/>
              <w:spacing w:after="0"/>
            </w:pPr>
            <w:r>
              <w:rPr>
                <w:sz w:val="15"/>
              </w:rPr>
              <w:t>15</w:t>
            </w:r>
          </w:p>
        </w:tc>
        <w:tc>
          <w:tcPr>
            <w:tcW w:type="dxa" w:w="3024"/>
            <w:tcMar>
              <w:top w:w="90" w:type="dxa"/>
              <w:start w:w="90" w:type="dxa"/>
              <w:bottom w:w="90" w:type="dxa"/>
              <w:end w:w="90" w:type="dxa"/>
            </w:tcMar>
            <w:vAlign w:val="top"/>
          </w:tcPr>
          <w:p>
            <w:pPr>
              <w:pStyle w:val="BodyText"/>
              <w:spacing w:after="0"/>
            </w:pPr>
            <w:r>
              <w:rPr>
                <w:sz w:val="15"/>
              </w:rPr>
              <w:t>Oblique presentation</w:t>
            </w:r>
          </w:p>
        </w:tc>
        <w:tc>
          <w:tcPr>
            <w:tcW w:type="dxa" w:w="5760"/>
            <w:tcMar>
              <w:top w:w="90" w:type="dxa"/>
              <w:start w:w="90" w:type="dxa"/>
              <w:bottom w:w="90" w:type="dxa"/>
              <w:end w:w="90" w:type="dxa"/>
            </w:tcMar>
            <w:vAlign w:val="top"/>
          </w:tcPr>
          <w:p>
            <w:pPr>
              <w:pStyle w:val="BodyText"/>
              <w:spacing w:after="0"/>
            </w:pPr>
            <w:r>
              <w:rPr>
                <w:sz w:val="15"/>
              </w:rPr>
              <w:t>Final HIGH; oblique reason is distinct and correctly named.</w:t>
            </w:r>
          </w:p>
        </w:tc>
      </w:tr>
      <w:tr>
        <w:tc>
          <w:tcPr>
            <w:tcW w:type="dxa" w:w="648"/>
            <w:tcMar>
              <w:top w:w="90" w:type="dxa"/>
              <w:start w:w="90" w:type="dxa"/>
              <w:bottom w:w="90" w:type="dxa"/>
              <w:end w:w="90" w:type="dxa"/>
            </w:tcMar>
            <w:vAlign w:val="top"/>
            <w:shd w:fill="F8FBFD"/>
          </w:tcPr>
          <w:p>
            <w:pPr>
              <w:pStyle w:val="BodyText"/>
              <w:spacing w:after="0"/>
            </w:pPr>
            <w:r>
              <w:rPr>
                <w:sz w:val="15"/>
              </w:rPr>
              <w:t>16</w:t>
            </w:r>
          </w:p>
        </w:tc>
        <w:tc>
          <w:tcPr>
            <w:tcW w:type="dxa" w:w="3024"/>
            <w:tcMar>
              <w:top w:w="90" w:type="dxa"/>
              <w:start w:w="90" w:type="dxa"/>
              <w:bottom w:w="90" w:type="dxa"/>
              <w:end w:w="90" w:type="dxa"/>
            </w:tcMar>
            <w:vAlign w:val="top"/>
            <w:shd w:fill="F8FBFD"/>
          </w:tcPr>
          <w:p>
            <w:pPr>
              <w:pStyle w:val="BodyText"/>
              <w:spacing w:after="0"/>
            </w:pPr>
            <w:r>
              <w:rPr>
                <w:sz w:val="15"/>
              </w:rPr>
              <w:t>Low amniotic fluid</w:t>
            </w:r>
          </w:p>
        </w:tc>
        <w:tc>
          <w:tcPr>
            <w:tcW w:type="dxa" w:w="5760"/>
            <w:tcMar>
              <w:top w:w="90" w:type="dxa"/>
              <w:start w:w="90" w:type="dxa"/>
              <w:bottom w:w="90" w:type="dxa"/>
              <w:end w:w="90" w:type="dxa"/>
            </w:tcMar>
            <w:vAlign w:val="top"/>
            <w:shd w:fill="F8FBFD"/>
          </w:tcPr>
          <w:p>
            <w:pPr>
              <w:pStyle w:val="BodyText"/>
              <w:spacing w:after="0"/>
            </w:pPr>
            <w:r>
              <w:rPr>
                <w:sz w:val="15"/>
              </w:rPr>
              <w:t>Final HIGH; low-fluid finding displayed with appropriate non-diagnostic wording.</w:t>
            </w:r>
          </w:p>
        </w:tc>
      </w:tr>
      <w:tr>
        <w:tc>
          <w:tcPr>
            <w:tcW w:type="dxa" w:w="648"/>
            <w:tcMar>
              <w:top w:w="90" w:type="dxa"/>
              <w:start w:w="90" w:type="dxa"/>
              <w:bottom w:w="90" w:type="dxa"/>
              <w:end w:w="90" w:type="dxa"/>
            </w:tcMar>
            <w:vAlign w:val="top"/>
          </w:tcPr>
          <w:p>
            <w:pPr>
              <w:pStyle w:val="BodyText"/>
              <w:spacing w:after="0"/>
            </w:pPr>
            <w:r>
              <w:rPr>
                <w:sz w:val="15"/>
              </w:rPr>
              <w:t>17</w:t>
            </w:r>
          </w:p>
        </w:tc>
        <w:tc>
          <w:tcPr>
            <w:tcW w:type="dxa" w:w="3024"/>
            <w:tcMar>
              <w:top w:w="90" w:type="dxa"/>
              <w:start w:w="90" w:type="dxa"/>
              <w:bottom w:w="90" w:type="dxa"/>
              <w:end w:w="90" w:type="dxa"/>
            </w:tcMar>
            <w:vAlign w:val="top"/>
          </w:tcPr>
          <w:p>
            <w:pPr>
              <w:pStyle w:val="BodyText"/>
              <w:spacing w:after="0"/>
            </w:pPr>
            <w:r>
              <w:rPr>
                <w:sz w:val="15"/>
              </w:rPr>
              <w:t>High amniotic fluid</w:t>
            </w:r>
          </w:p>
        </w:tc>
        <w:tc>
          <w:tcPr>
            <w:tcW w:type="dxa" w:w="5760"/>
            <w:tcMar>
              <w:top w:w="90" w:type="dxa"/>
              <w:start w:w="90" w:type="dxa"/>
              <w:bottom w:w="90" w:type="dxa"/>
              <w:end w:w="90" w:type="dxa"/>
            </w:tcMar>
            <w:vAlign w:val="top"/>
          </w:tcPr>
          <w:p>
            <w:pPr>
              <w:pStyle w:val="BodyText"/>
              <w:spacing w:after="0"/>
            </w:pPr>
            <w:r>
              <w:rPr>
                <w:sz w:val="15"/>
              </w:rPr>
              <w:t>Final HIGH; high-fluid finding is not inverted.</w:t>
            </w:r>
          </w:p>
        </w:tc>
      </w:tr>
      <w:tr>
        <w:tc>
          <w:tcPr>
            <w:tcW w:type="dxa" w:w="648"/>
            <w:tcMar>
              <w:top w:w="90" w:type="dxa"/>
              <w:start w:w="90" w:type="dxa"/>
              <w:bottom w:w="90" w:type="dxa"/>
              <w:end w:w="90" w:type="dxa"/>
            </w:tcMar>
            <w:vAlign w:val="top"/>
            <w:shd w:fill="F8FBFD"/>
          </w:tcPr>
          <w:p>
            <w:pPr>
              <w:pStyle w:val="BodyText"/>
              <w:spacing w:after="0"/>
            </w:pPr>
            <w:r>
              <w:rPr>
                <w:sz w:val="15"/>
              </w:rPr>
              <w:t>18</w:t>
            </w:r>
          </w:p>
        </w:tc>
        <w:tc>
          <w:tcPr>
            <w:tcW w:type="dxa" w:w="3024"/>
            <w:tcMar>
              <w:top w:w="90" w:type="dxa"/>
              <w:start w:w="90" w:type="dxa"/>
              <w:bottom w:w="90" w:type="dxa"/>
              <w:end w:w="90" w:type="dxa"/>
            </w:tcMar>
            <w:vAlign w:val="top"/>
            <w:shd w:fill="F8FBFD"/>
          </w:tcPr>
          <w:p>
            <w:pPr>
              <w:pStyle w:val="BodyText"/>
              <w:spacing w:after="0"/>
            </w:pPr>
            <w:r>
              <w:rPr>
                <w:sz w:val="15"/>
              </w:rPr>
              <w:t>Weak fetal heartbeat</w:t>
            </w:r>
          </w:p>
        </w:tc>
        <w:tc>
          <w:tcPr>
            <w:tcW w:type="dxa" w:w="5760"/>
            <w:tcMar>
              <w:top w:w="90" w:type="dxa"/>
              <w:start w:w="90" w:type="dxa"/>
              <w:bottom w:w="90" w:type="dxa"/>
              <w:end w:w="90" w:type="dxa"/>
            </w:tcMar>
            <w:vAlign w:val="top"/>
            <w:shd w:fill="F8FBFD"/>
          </w:tcPr>
          <w:p>
            <w:pPr>
              <w:pStyle w:val="BodyText"/>
              <w:spacing w:after="0"/>
            </w:pPr>
            <w:r>
              <w:rPr>
                <w:sz w:val="15"/>
              </w:rPr>
              <w:t>Final HIGH; finding and recommended professional review are visible.</w:t>
            </w:r>
          </w:p>
        </w:tc>
      </w:tr>
      <w:tr>
        <w:tc>
          <w:tcPr>
            <w:tcW w:type="dxa" w:w="648"/>
            <w:tcMar>
              <w:top w:w="90" w:type="dxa"/>
              <w:start w:w="90" w:type="dxa"/>
              <w:bottom w:w="90" w:type="dxa"/>
              <w:end w:w="90" w:type="dxa"/>
            </w:tcMar>
            <w:vAlign w:val="top"/>
          </w:tcPr>
          <w:p>
            <w:pPr>
              <w:pStyle w:val="BodyText"/>
              <w:spacing w:after="0"/>
            </w:pPr>
            <w:r>
              <w:rPr>
                <w:sz w:val="15"/>
              </w:rPr>
              <w:t>19</w:t>
            </w:r>
          </w:p>
        </w:tc>
        <w:tc>
          <w:tcPr>
            <w:tcW w:type="dxa" w:w="3024"/>
            <w:tcMar>
              <w:top w:w="90" w:type="dxa"/>
              <w:start w:w="90" w:type="dxa"/>
              <w:bottom w:w="90" w:type="dxa"/>
              <w:end w:w="90" w:type="dxa"/>
            </w:tcMar>
            <w:vAlign w:val="top"/>
          </w:tcPr>
          <w:p>
            <w:pPr>
              <w:pStyle w:val="BodyText"/>
              <w:spacing w:after="0"/>
            </w:pPr>
            <w:r>
              <w:rPr>
                <w:sz w:val="15"/>
              </w:rPr>
              <w:t>Abnormal fetal heartbeat</w:t>
            </w:r>
          </w:p>
        </w:tc>
        <w:tc>
          <w:tcPr>
            <w:tcW w:type="dxa" w:w="5760"/>
            <w:tcMar>
              <w:top w:w="90" w:type="dxa"/>
              <w:start w:w="90" w:type="dxa"/>
              <w:bottom w:w="90" w:type="dxa"/>
              <w:end w:w="90" w:type="dxa"/>
            </w:tcMar>
            <w:vAlign w:val="top"/>
          </w:tcPr>
          <w:p>
            <w:pPr>
              <w:pStyle w:val="BodyText"/>
              <w:spacing w:after="0"/>
            </w:pPr>
            <w:r>
              <w:rPr>
                <w:sz w:val="15"/>
              </w:rPr>
              <w:t>Final HIGH; exact structured finding is used.</w:t>
            </w:r>
          </w:p>
        </w:tc>
      </w:tr>
      <w:tr>
        <w:tc>
          <w:tcPr>
            <w:tcW w:type="dxa" w:w="648"/>
            <w:tcMar>
              <w:top w:w="90" w:type="dxa"/>
              <w:start w:w="90" w:type="dxa"/>
              <w:bottom w:w="90" w:type="dxa"/>
              <w:end w:w="90" w:type="dxa"/>
            </w:tcMar>
            <w:vAlign w:val="top"/>
            <w:shd w:fill="F8FBFD"/>
          </w:tcPr>
          <w:p>
            <w:pPr>
              <w:pStyle w:val="BodyText"/>
              <w:spacing w:after="0"/>
            </w:pPr>
            <w:r>
              <w:rPr>
                <w:sz w:val="15"/>
              </w:rPr>
              <w:t>20</w:t>
            </w:r>
          </w:p>
        </w:tc>
        <w:tc>
          <w:tcPr>
            <w:tcW w:type="dxa" w:w="3024"/>
            <w:tcMar>
              <w:top w:w="90" w:type="dxa"/>
              <w:start w:w="90" w:type="dxa"/>
              <w:bottom w:w="90" w:type="dxa"/>
              <w:end w:w="90" w:type="dxa"/>
            </w:tcMar>
            <w:vAlign w:val="top"/>
            <w:shd w:fill="F8FBFD"/>
          </w:tcPr>
          <w:p>
            <w:pPr>
              <w:pStyle w:val="BodyText"/>
              <w:spacing w:after="0"/>
            </w:pPr>
            <w:r>
              <w:rPr>
                <w:sz w:val="15"/>
              </w:rPr>
              <w:t>Absent fetal heartbeat</w:t>
            </w:r>
          </w:p>
        </w:tc>
        <w:tc>
          <w:tcPr>
            <w:tcW w:type="dxa" w:w="5760"/>
            <w:tcMar>
              <w:top w:w="90" w:type="dxa"/>
              <w:start w:w="90" w:type="dxa"/>
              <w:bottom w:w="90" w:type="dxa"/>
              <w:end w:w="90" w:type="dxa"/>
            </w:tcMar>
            <w:vAlign w:val="top"/>
            <w:shd w:fill="F8FBFD"/>
          </w:tcPr>
          <w:p>
            <w:pPr>
              <w:pStyle w:val="BodyText"/>
              <w:spacing w:after="0"/>
            </w:pPr>
            <w:r>
              <w:rPr>
                <w:sz w:val="15"/>
              </w:rPr>
              <w:t>Final HIGH; urgent/safety wording follows approved clinic protocol and is prioritized.</w:t>
            </w:r>
          </w:p>
        </w:tc>
      </w:tr>
      <w:tr>
        <w:tc>
          <w:tcPr>
            <w:tcW w:type="dxa" w:w="648"/>
            <w:tcMar>
              <w:top w:w="90" w:type="dxa"/>
              <w:start w:w="90" w:type="dxa"/>
              <w:bottom w:w="90" w:type="dxa"/>
              <w:end w:w="90" w:type="dxa"/>
            </w:tcMar>
            <w:vAlign w:val="top"/>
          </w:tcPr>
          <w:p>
            <w:pPr>
              <w:pStyle w:val="BodyText"/>
              <w:spacing w:after="0"/>
            </w:pPr>
            <w:r>
              <w:rPr>
                <w:sz w:val="15"/>
              </w:rPr>
              <w:t>21</w:t>
            </w:r>
          </w:p>
        </w:tc>
        <w:tc>
          <w:tcPr>
            <w:tcW w:type="dxa" w:w="3024"/>
            <w:tcMar>
              <w:top w:w="90" w:type="dxa"/>
              <w:start w:w="90" w:type="dxa"/>
              <w:bottom w:w="90" w:type="dxa"/>
              <w:end w:w="90" w:type="dxa"/>
            </w:tcMar>
            <w:vAlign w:val="top"/>
          </w:tcPr>
          <w:p>
            <w:pPr>
              <w:pStyle w:val="BodyText"/>
              <w:spacing w:after="0"/>
            </w:pPr>
            <w:r>
              <w:rPr>
                <w:sz w:val="15"/>
              </w:rPr>
              <w:t>No deterministic factors, valid ML HIGH</w:t>
            </w:r>
          </w:p>
        </w:tc>
        <w:tc>
          <w:tcPr>
            <w:tcW w:type="dxa" w:w="5760"/>
            <w:tcMar>
              <w:top w:w="90" w:type="dxa"/>
              <w:start w:w="90" w:type="dxa"/>
              <w:bottom w:w="90" w:type="dxa"/>
              <w:end w:w="90" w:type="dxa"/>
            </w:tcMar>
            <w:vAlign w:val="top"/>
          </w:tcPr>
          <w:p>
            <w:pPr>
              <w:pStyle w:val="BodyText"/>
              <w:spacing w:after="0"/>
            </w:pPr>
            <w:r>
              <w:rPr>
                <w:sz w:val="15"/>
              </w:rPr>
              <w:t>Final HIGH; model contribution clearly identified as supporting prediction, not a causal or diagnostic explanation.</w:t>
            </w:r>
          </w:p>
        </w:tc>
      </w:tr>
      <w:tr>
        <w:tc>
          <w:tcPr>
            <w:tcW w:type="dxa" w:w="648"/>
            <w:tcMar>
              <w:top w:w="90" w:type="dxa"/>
              <w:start w:w="90" w:type="dxa"/>
              <w:bottom w:w="90" w:type="dxa"/>
              <w:end w:w="90" w:type="dxa"/>
            </w:tcMar>
            <w:vAlign w:val="top"/>
            <w:shd w:fill="F8FBFD"/>
          </w:tcPr>
          <w:p>
            <w:pPr>
              <w:pStyle w:val="BodyText"/>
              <w:spacing w:after="0"/>
            </w:pPr>
            <w:r>
              <w:rPr>
                <w:sz w:val="15"/>
              </w:rPr>
              <w:t>22</w:t>
            </w:r>
          </w:p>
        </w:tc>
        <w:tc>
          <w:tcPr>
            <w:tcW w:type="dxa" w:w="3024"/>
            <w:tcMar>
              <w:top w:w="90" w:type="dxa"/>
              <w:start w:w="90" w:type="dxa"/>
              <w:bottom w:w="90" w:type="dxa"/>
              <w:end w:w="90" w:type="dxa"/>
            </w:tcMar>
            <w:vAlign w:val="top"/>
            <w:shd w:fill="F8FBFD"/>
          </w:tcPr>
          <w:p>
            <w:pPr>
              <w:pStyle w:val="BodyText"/>
              <w:spacing w:after="0"/>
            </w:pPr>
            <w:r>
              <w:rPr>
                <w:sz w:val="15"/>
              </w:rPr>
              <w:t>No deterministic factors, valid ML LOW</w:t>
            </w:r>
          </w:p>
        </w:tc>
        <w:tc>
          <w:tcPr>
            <w:tcW w:type="dxa" w:w="5760"/>
            <w:tcMar>
              <w:top w:w="90" w:type="dxa"/>
              <w:start w:w="90" w:type="dxa"/>
              <w:bottom w:w="90" w:type="dxa"/>
              <w:end w:w="90" w:type="dxa"/>
            </w:tcMar>
            <w:vAlign w:val="top"/>
            <w:shd w:fill="F8FBFD"/>
          </w:tcPr>
          <w:p>
            <w:pPr>
              <w:pStyle w:val="BodyText"/>
              <w:spacing w:after="0"/>
            </w:pPr>
            <w:r>
              <w:rPr>
                <w:sz w:val="15"/>
              </w:rPr>
              <w:t>Final LOW; explanation states no configured HIGH factor was identified and continued prenatal care remains necessary.</w:t>
            </w:r>
          </w:p>
        </w:tc>
      </w:tr>
      <w:tr>
        <w:tc>
          <w:tcPr>
            <w:tcW w:type="dxa" w:w="648"/>
            <w:tcMar>
              <w:top w:w="90" w:type="dxa"/>
              <w:start w:w="90" w:type="dxa"/>
              <w:bottom w:w="90" w:type="dxa"/>
              <w:end w:w="90" w:type="dxa"/>
            </w:tcMar>
            <w:vAlign w:val="top"/>
          </w:tcPr>
          <w:p>
            <w:pPr>
              <w:pStyle w:val="BodyText"/>
              <w:spacing w:after="0"/>
            </w:pPr>
            <w:r>
              <w:rPr>
                <w:sz w:val="15"/>
              </w:rPr>
              <w:t>23</w:t>
            </w:r>
          </w:p>
        </w:tc>
        <w:tc>
          <w:tcPr>
            <w:tcW w:type="dxa" w:w="3024"/>
            <w:tcMar>
              <w:top w:w="90" w:type="dxa"/>
              <w:start w:w="90" w:type="dxa"/>
              <w:bottom w:w="90" w:type="dxa"/>
              <w:end w:w="90" w:type="dxa"/>
            </w:tcMar>
            <w:vAlign w:val="top"/>
          </w:tcPr>
          <w:p>
            <w:pPr>
              <w:pStyle w:val="BodyText"/>
              <w:spacing w:after="0"/>
            </w:pPr>
            <w:r>
              <w:rPr>
                <w:sz w:val="15"/>
              </w:rPr>
              <w:t>Rule HIGH plus ML HIGH</w:t>
            </w:r>
          </w:p>
        </w:tc>
        <w:tc>
          <w:tcPr>
            <w:tcW w:type="dxa" w:w="5760"/>
            <w:tcMar>
              <w:top w:w="90" w:type="dxa"/>
              <w:start w:w="90" w:type="dxa"/>
              <w:bottom w:w="90" w:type="dxa"/>
              <w:end w:w="90" w:type="dxa"/>
            </w:tcMar>
            <w:vAlign w:val="top"/>
          </w:tcPr>
          <w:p>
            <w:pPr>
              <w:pStyle w:val="BodyText"/>
              <w:spacing w:after="0"/>
            </w:pPr>
            <w:r>
              <w:rPr>
                <w:sz w:val="15"/>
              </w:rPr>
              <w:t>Final HIGH; deterministic reason and model contribution both shown without duplicate claims.</w:t>
            </w:r>
          </w:p>
        </w:tc>
      </w:tr>
      <w:tr>
        <w:tc>
          <w:tcPr>
            <w:tcW w:type="dxa" w:w="648"/>
            <w:tcMar>
              <w:top w:w="90" w:type="dxa"/>
              <w:start w:w="90" w:type="dxa"/>
              <w:bottom w:w="90" w:type="dxa"/>
              <w:end w:w="90" w:type="dxa"/>
            </w:tcMar>
            <w:vAlign w:val="top"/>
            <w:shd w:fill="F8FBFD"/>
          </w:tcPr>
          <w:p>
            <w:pPr>
              <w:pStyle w:val="BodyText"/>
              <w:spacing w:after="0"/>
            </w:pPr>
            <w:r>
              <w:rPr>
                <w:sz w:val="15"/>
              </w:rPr>
              <w:t>24</w:t>
            </w:r>
          </w:p>
        </w:tc>
        <w:tc>
          <w:tcPr>
            <w:tcW w:type="dxa" w:w="3024"/>
            <w:tcMar>
              <w:top w:w="90" w:type="dxa"/>
              <w:start w:w="90" w:type="dxa"/>
              <w:bottom w:w="90" w:type="dxa"/>
              <w:end w:w="90" w:type="dxa"/>
            </w:tcMar>
            <w:vAlign w:val="top"/>
            <w:shd w:fill="F8FBFD"/>
          </w:tcPr>
          <w:p>
            <w:pPr>
              <w:pStyle w:val="BodyText"/>
              <w:spacing w:after="0"/>
            </w:pPr>
            <w:r>
              <w:rPr>
                <w:sz w:val="15"/>
              </w:rPr>
              <w:t>Rule HIGH plus ML LOW</w:t>
            </w:r>
          </w:p>
        </w:tc>
        <w:tc>
          <w:tcPr>
            <w:tcW w:type="dxa" w:w="5760"/>
            <w:tcMar>
              <w:top w:w="90" w:type="dxa"/>
              <w:start w:w="90" w:type="dxa"/>
              <w:bottom w:w="90" w:type="dxa"/>
              <w:end w:w="90" w:type="dxa"/>
            </w:tcMar>
            <w:vAlign w:val="top"/>
            <w:shd w:fill="F8FBFD"/>
          </w:tcPr>
          <w:p>
            <w:pPr>
              <w:pStyle w:val="BodyText"/>
              <w:spacing w:after="0"/>
            </w:pPr>
            <w:r>
              <w:rPr>
                <w:sz w:val="15"/>
              </w:rPr>
              <w:t>Final HIGH; rule override is explicit to clinician; patient message remains simple and action-focused.</w:t>
            </w:r>
          </w:p>
        </w:tc>
      </w:tr>
      <w:tr>
        <w:tc>
          <w:tcPr>
            <w:tcW w:type="dxa" w:w="648"/>
            <w:tcMar>
              <w:top w:w="90" w:type="dxa"/>
              <w:start w:w="90" w:type="dxa"/>
              <w:bottom w:w="90" w:type="dxa"/>
              <w:end w:w="90" w:type="dxa"/>
            </w:tcMar>
            <w:vAlign w:val="top"/>
          </w:tcPr>
          <w:p>
            <w:pPr>
              <w:pStyle w:val="BodyText"/>
              <w:spacing w:after="0"/>
            </w:pPr>
            <w:r>
              <w:rPr>
                <w:sz w:val="15"/>
              </w:rPr>
              <w:t>25</w:t>
            </w:r>
          </w:p>
        </w:tc>
        <w:tc>
          <w:tcPr>
            <w:tcW w:type="dxa" w:w="3024"/>
            <w:tcMar>
              <w:top w:w="90" w:type="dxa"/>
              <w:start w:w="90" w:type="dxa"/>
              <w:bottom w:w="90" w:type="dxa"/>
              <w:end w:w="90" w:type="dxa"/>
            </w:tcMar>
            <w:vAlign w:val="top"/>
          </w:tcPr>
          <w:p>
            <w:pPr>
              <w:pStyle w:val="BodyText"/>
              <w:spacing w:after="0"/>
            </w:pPr>
            <w:r>
              <w:rPr>
                <w:sz w:val="15"/>
              </w:rPr>
              <w:t>Medical History missing</w:t>
            </w:r>
          </w:p>
        </w:tc>
        <w:tc>
          <w:tcPr>
            <w:tcW w:type="dxa" w:w="5760"/>
            <w:tcMar>
              <w:top w:w="90" w:type="dxa"/>
              <w:start w:w="90" w:type="dxa"/>
              <w:bottom w:w="90" w:type="dxa"/>
              <w:end w:w="90" w:type="dxa"/>
            </w:tcMar>
            <w:vAlign w:val="top"/>
          </w:tcPr>
          <w:p>
            <w:pPr>
              <w:pStyle w:val="BodyText"/>
              <w:spacing w:after="0"/>
            </w:pPr>
            <w:r>
              <w:rPr>
                <w:sz w:val="15"/>
              </w:rPr>
              <w:t>ASSESSMENT INCOMPLETE; Medical History named; no LOW language.</w:t>
            </w:r>
          </w:p>
        </w:tc>
      </w:tr>
      <w:tr>
        <w:tc>
          <w:tcPr>
            <w:tcW w:type="dxa" w:w="648"/>
            <w:tcMar>
              <w:top w:w="90" w:type="dxa"/>
              <w:start w:w="90" w:type="dxa"/>
              <w:bottom w:w="90" w:type="dxa"/>
              <w:end w:w="90" w:type="dxa"/>
            </w:tcMar>
            <w:vAlign w:val="top"/>
            <w:shd w:fill="F8FBFD"/>
          </w:tcPr>
          <w:p>
            <w:pPr>
              <w:pStyle w:val="BodyText"/>
              <w:spacing w:after="0"/>
            </w:pPr>
            <w:r>
              <w:rPr>
                <w:sz w:val="15"/>
              </w:rPr>
              <w:t>26</w:t>
            </w:r>
          </w:p>
        </w:tc>
        <w:tc>
          <w:tcPr>
            <w:tcW w:type="dxa" w:w="3024"/>
            <w:tcMar>
              <w:top w:w="90" w:type="dxa"/>
              <w:start w:w="90" w:type="dxa"/>
              <w:bottom w:w="90" w:type="dxa"/>
              <w:end w:w="90" w:type="dxa"/>
            </w:tcMar>
            <w:vAlign w:val="top"/>
            <w:shd w:fill="F8FBFD"/>
          </w:tcPr>
          <w:p>
            <w:pPr>
              <w:pStyle w:val="BodyText"/>
              <w:spacing w:after="0"/>
            </w:pPr>
            <w:r>
              <w:rPr>
                <w:sz w:val="15"/>
              </w:rPr>
              <w:t>Ultrasound missing</w:t>
            </w:r>
          </w:p>
        </w:tc>
        <w:tc>
          <w:tcPr>
            <w:tcW w:type="dxa" w:w="5760"/>
            <w:tcMar>
              <w:top w:w="90" w:type="dxa"/>
              <w:start w:w="90" w:type="dxa"/>
              <w:bottom w:w="90" w:type="dxa"/>
              <w:end w:w="90" w:type="dxa"/>
            </w:tcMar>
            <w:vAlign w:val="top"/>
            <w:shd w:fill="F8FBFD"/>
          </w:tcPr>
          <w:p>
            <w:pPr>
              <w:pStyle w:val="BodyText"/>
              <w:spacing w:after="0"/>
            </w:pPr>
            <w:r>
              <w:rPr>
                <w:sz w:val="15"/>
              </w:rPr>
              <w:t>ASSESSMENT INCOMPLETE; Ultrasound named; navigation target correct.</w:t>
            </w:r>
          </w:p>
        </w:tc>
      </w:tr>
      <w:tr>
        <w:tc>
          <w:tcPr>
            <w:tcW w:type="dxa" w:w="648"/>
            <w:tcMar>
              <w:top w:w="90" w:type="dxa"/>
              <w:start w:w="90" w:type="dxa"/>
              <w:bottom w:w="90" w:type="dxa"/>
              <w:end w:w="90" w:type="dxa"/>
            </w:tcMar>
            <w:vAlign w:val="top"/>
          </w:tcPr>
          <w:p>
            <w:pPr>
              <w:pStyle w:val="BodyText"/>
              <w:spacing w:after="0"/>
            </w:pPr>
            <w:r>
              <w:rPr>
                <w:sz w:val="15"/>
              </w:rPr>
              <w:t>27</w:t>
            </w:r>
          </w:p>
        </w:tc>
        <w:tc>
          <w:tcPr>
            <w:tcW w:type="dxa" w:w="3024"/>
            <w:tcMar>
              <w:top w:w="90" w:type="dxa"/>
              <w:start w:w="90" w:type="dxa"/>
              <w:bottom w:w="90" w:type="dxa"/>
              <w:end w:w="90" w:type="dxa"/>
            </w:tcMar>
            <w:vAlign w:val="top"/>
          </w:tcPr>
          <w:p>
            <w:pPr>
              <w:pStyle w:val="BodyText"/>
              <w:spacing w:after="0"/>
            </w:pPr>
            <w:r>
              <w:rPr>
                <w:sz w:val="15"/>
              </w:rPr>
              <w:t>Birth Plan missing</w:t>
            </w:r>
          </w:p>
        </w:tc>
        <w:tc>
          <w:tcPr>
            <w:tcW w:type="dxa" w:w="5760"/>
            <w:tcMar>
              <w:top w:w="90" w:type="dxa"/>
              <w:start w:w="90" w:type="dxa"/>
              <w:bottom w:w="90" w:type="dxa"/>
              <w:end w:w="90" w:type="dxa"/>
            </w:tcMar>
            <w:vAlign w:val="top"/>
          </w:tcPr>
          <w:p>
            <w:pPr>
              <w:pStyle w:val="BodyText"/>
              <w:spacing w:after="0"/>
            </w:pPr>
            <w:r>
              <w:rPr>
                <w:sz w:val="15"/>
              </w:rPr>
              <w:t>ASSESSMENT INCOMPLETE; Birth Plan named; no unrelated record listed.</w:t>
            </w:r>
          </w:p>
        </w:tc>
      </w:tr>
      <w:tr>
        <w:tc>
          <w:tcPr>
            <w:tcW w:type="dxa" w:w="648"/>
            <w:tcMar>
              <w:top w:w="90" w:type="dxa"/>
              <w:start w:w="90" w:type="dxa"/>
              <w:bottom w:w="90" w:type="dxa"/>
              <w:end w:w="90" w:type="dxa"/>
            </w:tcMar>
            <w:vAlign w:val="top"/>
            <w:shd w:fill="F8FBFD"/>
          </w:tcPr>
          <w:p>
            <w:pPr>
              <w:pStyle w:val="BodyText"/>
              <w:spacing w:after="0"/>
            </w:pPr>
            <w:r>
              <w:rPr>
                <w:sz w:val="15"/>
              </w:rPr>
              <w:t>28</w:t>
            </w:r>
          </w:p>
        </w:tc>
        <w:tc>
          <w:tcPr>
            <w:tcW w:type="dxa" w:w="3024"/>
            <w:tcMar>
              <w:top w:w="90" w:type="dxa"/>
              <w:start w:w="90" w:type="dxa"/>
              <w:bottom w:w="90" w:type="dxa"/>
              <w:end w:w="90" w:type="dxa"/>
            </w:tcMar>
            <w:vAlign w:val="top"/>
            <w:shd w:fill="F8FBFD"/>
          </w:tcPr>
          <w:p>
            <w:pPr>
              <w:pStyle w:val="BodyText"/>
              <w:spacing w:after="0"/>
            </w:pPr>
            <w:r>
              <w:rPr>
                <w:sz w:val="15"/>
              </w:rPr>
              <w:t>All three required records missing</w:t>
            </w:r>
          </w:p>
        </w:tc>
        <w:tc>
          <w:tcPr>
            <w:tcW w:type="dxa" w:w="5760"/>
            <w:tcMar>
              <w:top w:w="90" w:type="dxa"/>
              <w:start w:w="90" w:type="dxa"/>
              <w:bottom w:w="90" w:type="dxa"/>
              <w:end w:w="90" w:type="dxa"/>
            </w:tcMar>
            <w:vAlign w:val="top"/>
            <w:shd w:fill="F8FBFD"/>
          </w:tcPr>
          <w:p>
            <w:pPr>
              <w:pStyle w:val="BodyText"/>
              <w:spacing w:after="0"/>
            </w:pPr>
            <w:r>
              <w:rPr>
                <w:sz w:val="15"/>
              </w:rPr>
              <w:t>ASSESSMENT INCOMPLETE; all missing requirements listed once in consistent order.</w:t>
            </w:r>
          </w:p>
        </w:tc>
      </w:tr>
      <w:tr>
        <w:tc>
          <w:tcPr>
            <w:tcW w:type="dxa" w:w="648"/>
            <w:tcMar>
              <w:top w:w="90" w:type="dxa"/>
              <w:start w:w="90" w:type="dxa"/>
              <w:bottom w:w="90" w:type="dxa"/>
              <w:end w:w="90" w:type="dxa"/>
            </w:tcMar>
            <w:vAlign w:val="top"/>
          </w:tcPr>
          <w:p>
            <w:pPr>
              <w:pStyle w:val="BodyText"/>
              <w:spacing w:after="0"/>
            </w:pPr>
            <w:r>
              <w:rPr>
                <w:sz w:val="15"/>
              </w:rPr>
              <w:t>29</w:t>
            </w:r>
          </w:p>
        </w:tc>
        <w:tc>
          <w:tcPr>
            <w:tcW w:type="dxa" w:w="3024"/>
            <w:tcMar>
              <w:top w:w="90" w:type="dxa"/>
              <w:start w:w="90" w:type="dxa"/>
              <w:bottom w:w="90" w:type="dxa"/>
              <w:end w:w="90" w:type="dxa"/>
            </w:tcMar>
            <w:vAlign w:val="top"/>
          </w:tcPr>
          <w:p>
            <w:pPr>
              <w:pStyle w:val="BodyText"/>
              <w:spacing w:after="0"/>
            </w:pPr>
            <w:r>
              <w:rPr>
                <w:sz w:val="15"/>
              </w:rPr>
              <w:t>ML output malformed</w:t>
            </w:r>
          </w:p>
        </w:tc>
        <w:tc>
          <w:tcPr>
            <w:tcW w:type="dxa" w:w="5760"/>
            <w:tcMar>
              <w:top w:w="90" w:type="dxa"/>
              <w:start w:w="90" w:type="dxa"/>
              <w:bottom w:w="90" w:type="dxa"/>
              <w:end w:w="90" w:type="dxa"/>
            </w:tcMar>
            <w:vAlign w:val="top"/>
          </w:tcPr>
          <w:p>
            <w:pPr>
              <w:pStyle w:val="BodyText"/>
              <w:spacing w:after="0"/>
            </w:pPr>
            <w:r>
              <w:rPr>
                <w:sz w:val="15"/>
              </w:rPr>
              <w:t>Invalid output rejected; controlled incomplete/failure explanation; raw error hidden from patient.</w:t>
            </w:r>
          </w:p>
        </w:tc>
      </w:tr>
      <w:tr>
        <w:tc>
          <w:tcPr>
            <w:tcW w:type="dxa" w:w="648"/>
            <w:tcMar>
              <w:top w:w="90" w:type="dxa"/>
              <w:start w:w="90" w:type="dxa"/>
              <w:bottom w:w="90" w:type="dxa"/>
              <w:end w:w="90" w:type="dxa"/>
            </w:tcMar>
            <w:vAlign w:val="top"/>
            <w:shd w:fill="F8FBFD"/>
          </w:tcPr>
          <w:p>
            <w:pPr>
              <w:pStyle w:val="BodyText"/>
              <w:spacing w:after="0"/>
            </w:pPr>
            <w:r>
              <w:rPr>
                <w:sz w:val="15"/>
              </w:rPr>
              <w:t>30</w:t>
            </w:r>
          </w:p>
        </w:tc>
        <w:tc>
          <w:tcPr>
            <w:tcW w:type="dxa" w:w="3024"/>
            <w:tcMar>
              <w:top w:w="90" w:type="dxa"/>
              <w:start w:w="90" w:type="dxa"/>
              <w:bottom w:w="90" w:type="dxa"/>
              <w:end w:w="90" w:type="dxa"/>
            </w:tcMar>
            <w:vAlign w:val="top"/>
            <w:shd w:fill="F8FBFD"/>
          </w:tcPr>
          <w:p>
            <w:pPr>
              <w:pStyle w:val="BodyText"/>
              <w:spacing w:after="0"/>
            </w:pPr>
            <w:r>
              <w:rPr>
                <w:sz w:val="15"/>
              </w:rPr>
              <w:t>Python timeout</w:t>
            </w:r>
          </w:p>
        </w:tc>
        <w:tc>
          <w:tcPr>
            <w:tcW w:type="dxa" w:w="5760"/>
            <w:tcMar>
              <w:top w:w="90" w:type="dxa"/>
              <w:start w:w="90" w:type="dxa"/>
              <w:bottom w:w="90" w:type="dxa"/>
              <w:end w:w="90" w:type="dxa"/>
            </w:tcMar>
            <w:vAlign w:val="top"/>
            <w:shd w:fill="F8FBFD"/>
          </w:tcPr>
          <w:p>
            <w:pPr>
              <w:pStyle w:val="BodyText"/>
              <w:spacing w:after="0"/>
            </w:pPr>
            <w:r>
              <w:rPr>
                <w:sz w:val="15"/>
              </w:rPr>
              <w:t>No stale result reused; technical event logged; user receives safe controlled message.</w:t>
            </w:r>
          </w:p>
        </w:tc>
      </w:tr>
      <w:tr>
        <w:tc>
          <w:tcPr>
            <w:tcW w:type="dxa" w:w="648"/>
            <w:tcMar>
              <w:top w:w="90" w:type="dxa"/>
              <w:start w:w="90" w:type="dxa"/>
              <w:bottom w:w="90" w:type="dxa"/>
              <w:end w:w="90" w:type="dxa"/>
            </w:tcMar>
            <w:vAlign w:val="top"/>
          </w:tcPr>
          <w:p>
            <w:pPr>
              <w:pStyle w:val="BodyText"/>
              <w:spacing w:after="0"/>
            </w:pPr>
            <w:r>
              <w:rPr>
                <w:sz w:val="15"/>
              </w:rPr>
              <w:t>31</w:t>
            </w:r>
          </w:p>
        </w:tc>
        <w:tc>
          <w:tcPr>
            <w:tcW w:type="dxa" w:w="3024"/>
            <w:tcMar>
              <w:top w:w="90" w:type="dxa"/>
              <w:start w:w="90" w:type="dxa"/>
              <w:bottom w:w="90" w:type="dxa"/>
              <w:end w:w="90" w:type="dxa"/>
            </w:tcMar>
            <w:vAlign w:val="top"/>
          </w:tcPr>
          <w:p>
            <w:pPr>
              <w:pStyle w:val="BodyText"/>
              <w:spacing w:after="0"/>
            </w:pPr>
            <w:r>
              <w:rPr>
                <w:sz w:val="15"/>
              </w:rPr>
              <w:t>Source record edited after assessment</w:t>
            </w:r>
          </w:p>
        </w:tc>
        <w:tc>
          <w:tcPr>
            <w:tcW w:type="dxa" w:w="5760"/>
            <w:tcMar>
              <w:top w:w="90" w:type="dxa"/>
              <w:start w:w="90" w:type="dxa"/>
              <w:bottom w:w="90" w:type="dxa"/>
              <w:end w:w="90" w:type="dxa"/>
            </w:tcMar>
            <w:vAlign w:val="top"/>
          </w:tcPr>
          <w:p>
            <w:pPr>
              <w:pStyle w:val="BodyText"/>
              <w:spacing w:after="0"/>
            </w:pPr>
            <w:r>
              <w:rPr>
                <w:sz w:val="15"/>
              </w:rPr>
              <w:t>Existing explanation marked stale or recalculated; old evidence not presented as current.</w:t>
            </w:r>
          </w:p>
        </w:tc>
      </w:tr>
      <w:tr>
        <w:tc>
          <w:tcPr>
            <w:tcW w:type="dxa" w:w="648"/>
            <w:tcMar>
              <w:top w:w="90" w:type="dxa"/>
              <w:start w:w="90" w:type="dxa"/>
              <w:bottom w:w="90" w:type="dxa"/>
              <w:end w:w="90" w:type="dxa"/>
            </w:tcMar>
            <w:vAlign w:val="top"/>
            <w:shd w:fill="F8FBFD"/>
          </w:tcPr>
          <w:p>
            <w:pPr>
              <w:pStyle w:val="BodyText"/>
              <w:spacing w:after="0"/>
            </w:pPr>
            <w:r>
              <w:rPr>
                <w:sz w:val="15"/>
              </w:rPr>
              <w:t>32</w:t>
            </w:r>
          </w:p>
        </w:tc>
        <w:tc>
          <w:tcPr>
            <w:tcW w:type="dxa" w:w="3024"/>
            <w:tcMar>
              <w:top w:w="90" w:type="dxa"/>
              <w:start w:w="90" w:type="dxa"/>
              <w:bottom w:w="90" w:type="dxa"/>
              <w:end w:w="90" w:type="dxa"/>
            </w:tcMar>
            <w:vAlign w:val="top"/>
            <w:shd w:fill="F8FBFD"/>
          </w:tcPr>
          <w:p>
            <w:pPr>
              <w:pStyle w:val="BodyText"/>
              <w:spacing w:after="0"/>
            </w:pPr>
            <w:r>
              <w:rPr>
                <w:sz w:val="15"/>
              </w:rPr>
              <w:t>Printed referral compared with web view</w:t>
            </w:r>
          </w:p>
        </w:tc>
        <w:tc>
          <w:tcPr>
            <w:tcW w:type="dxa" w:w="5760"/>
            <w:tcMar>
              <w:top w:w="90" w:type="dxa"/>
              <w:start w:w="90" w:type="dxa"/>
              <w:bottom w:w="90" w:type="dxa"/>
              <w:end w:w="90" w:type="dxa"/>
            </w:tcMar>
            <w:vAlign w:val="top"/>
            <w:shd w:fill="F8FBFD"/>
          </w:tcPr>
          <w:p>
            <w:pPr>
              <w:pStyle w:val="BodyText"/>
              <w:spacing w:after="0"/>
            </w:pPr>
            <w:r>
              <w:rPr>
                <w:sz w:val="15"/>
              </w:rPr>
              <w:t>Status and required reasons match the same explanation ID; no clipped content.</w:t>
            </w:r>
          </w:p>
        </w:tc>
      </w:tr>
      <w:tr>
        <w:tc>
          <w:tcPr>
            <w:tcW w:type="dxa" w:w="648"/>
            <w:tcMar>
              <w:top w:w="90" w:type="dxa"/>
              <w:start w:w="90" w:type="dxa"/>
              <w:bottom w:w="90" w:type="dxa"/>
              <w:end w:w="90" w:type="dxa"/>
            </w:tcMar>
            <w:vAlign w:val="top"/>
          </w:tcPr>
          <w:p>
            <w:pPr>
              <w:pStyle w:val="BodyText"/>
              <w:spacing w:after="0"/>
            </w:pPr>
            <w:r>
              <w:rPr>
                <w:sz w:val="15"/>
              </w:rPr>
              <w:t>33</w:t>
            </w:r>
          </w:p>
        </w:tc>
        <w:tc>
          <w:tcPr>
            <w:tcW w:type="dxa" w:w="3024"/>
            <w:tcMar>
              <w:top w:w="90" w:type="dxa"/>
              <w:start w:w="90" w:type="dxa"/>
              <w:bottom w:w="90" w:type="dxa"/>
              <w:end w:w="90" w:type="dxa"/>
            </w:tcMar>
            <w:vAlign w:val="top"/>
          </w:tcPr>
          <w:p>
            <w:pPr>
              <w:pStyle w:val="BodyText"/>
              <w:spacing w:after="0"/>
            </w:pPr>
            <w:r>
              <w:rPr>
                <w:sz w:val="15"/>
              </w:rPr>
              <w:t>Administrator opens HIGH record</w:t>
            </w:r>
          </w:p>
        </w:tc>
        <w:tc>
          <w:tcPr>
            <w:tcW w:type="dxa" w:w="5760"/>
            <w:tcMar>
              <w:top w:w="90" w:type="dxa"/>
              <w:start w:w="90" w:type="dxa"/>
              <w:bottom w:w="90" w:type="dxa"/>
              <w:end w:w="90" w:type="dxa"/>
            </w:tcMar>
            <w:vAlign w:val="top"/>
          </w:tcPr>
          <w:p>
            <w:pPr>
              <w:pStyle w:val="BodyText"/>
              <w:spacing w:after="0"/>
            </w:pPr>
            <w:r>
              <w:rPr>
                <w:sz w:val="15"/>
              </w:rPr>
              <w:t>Workflow state visible; detailed clinical evidence withheld unless role authorizes it.</w:t>
            </w:r>
          </w:p>
        </w:tc>
      </w:tr>
      <w:tr>
        <w:tc>
          <w:tcPr>
            <w:tcW w:type="dxa" w:w="648"/>
            <w:tcMar>
              <w:top w:w="90" w:type="dxa"/>
              <w:start w:w="90" w:type="dxa"/>
              <w:bottom w:w="90" w:type="dxa"/>
              <w:end w:w="90" w:type="dxa"/>
            </w:tcMar>
            <w:vAlign w:val="top"/>
            <w:shd w:fill="F8FBFD"/>
          </w:tcPr>
          <w:p>
            <w:pPr>
              <w:pStyle w:val="BodyText"/>
              <w:spacing w:after="0"/>
            </w:pPr>
            <w:r>
              <w:rPr>
                <w:sz w:val="15"/>
              </w:rPr>
              <w:t>34</w:t>
            </w:r>
          </w:p>
        </w:tc>
        <w:tc>
          <w:tcPr>
            <w:tcW w:type="dxa" w:w="3024"/>
            <w:tcMar>
              <w:top w:w="90" w:type="dxa"/>
              <w:start w:w="90" w:type="dxa"/>
              <w:bottom w:w="90" w:type="dxa"/>
              <w:end w:w="90" w:type="dxa"/>
            </w:tcMar>
            <w:vAlign w:val="top"/>
            <w:shd w:fill="F8FBFD"/>
          </w:tcPr>
          <w:p>
            <w:pPr>
              <w:pStyle w:val="BodyText"/>
              <w:spacing w:after="0"/>
            </w:pPr>
            <w:r>
              <w:rPr>
                <w:sz w:val="15"/>
              </w:rPr>
              <w:t>Unauthorized patient-detail request</w:t>
            </w:r>
          </w:p>
        </w:tc>
        <w:tc>
          <w:tcPr>
            <w:tcW w:type="dxa" w:w="5760"/>
            <w:tcMar>
              <w:top w:w="90" w:type="dxa"/>
              <w:start w:w="90" w:type="dxa"/>
              <w:bottom w:w="90" w:type="dxa"/>
              <w:end w:w="90" w:type="dxa"/>
            </w:tcMar>
            <w:vAlign w:val="top"/>
            <w:shd w:fill="F8FBFD"/>
          </w:tcPr>
          <w:p>
            <w:pPr>
              <w:pStyle w:val="BodyText"/>
              <w:spacing w:after="0"/>
            </w:pPr>
            <w:r>
              <w:rPr>
                <w:sz w:val="15"/>
              </w:rPr>
              <w:t>Projection denied before generation; access event recorded.</w:t>
            </w:r>
          </w:p>
        </w:tc>
      </w:tr>
      <w:tr>
        <w:tc>
          <w:tcPr>
            <w:tcW w:type="dxa" w:w="648"/>
            <w:tcMar>
              <w:top w:w="90" w:type="dxa"/>
              <w:start w:w="90" w:type="dxa"/>
              <w:bottom w:w="90" w:type="dxa"/>
              <w:end w:w="90" w:type="dxa"/>
            </w:tcMar>
            <w:vAlign w:val="top"/>
          </w:tcPr>
          <w:p>
            <w:pPr>
              <w:pStyle w:val="BodyText"/>
              <w:spacing w:after="0"/>
            </w:pPr>
            <w:r>
              <w:rPr>
                <w:sz w:val="15"/>
              </w:rPr>
              <w:t>35</w:t>
            </w:r>
          </w:p>
        </w:tc>
        <w:tc>
          <w:tcPr>
            <w:tcW w:type="dxa" w:w="3024"/>
            <w:tcMar>
              <w:top w:w="90" w:type="dxa"/>
              <w:start w:w="90" w:type="dxa"/>
              <w:bottom w:w="90" w:type="dxa"/>
              <w:end w:w="90" w:type="dxa"/>
            </w:tcMar>
            <w:vAlign w:val="top"/>
          </w:tcPr>
          <w:p>
            <w:pPr>
              <w:pStyle w:val="BodyText"/>
              <w:spacing w:after="0"/>
            </w:pPr>
            <w:r>
              <w:rPr>
                <w:sz w:val="15"/>
              </w:rPr>
              <w:t>Audit reconstruction sample</w:t>
            </w:r>
          </w:p>
        </w:tc>
        <w:tc>
          <w:tcPr>
            <w:tcW w:type="dxa" w:w="5760"/>
            <w:tcMar>
              <w:top w:w="90" w:type="dxa"/>
              <w:start w:w="90" w:type="dxa"/>
              <w:bottom w:w="90" w:type="dxa"/>
              <w:end w:w="90" w:type="dxa"/>
            </w:tcMar>
            <w:vAlign w:val="top"/>
          </w:tcPr>
          <w:p>
            <w:pPr>
              <w:pStyle w:val="BodyText"/>
              <w:spacing w:after="0"/>
            </w:pPr>
            <w:r>
              <w:rPr>
                <w:sz w:val="15"/>
              </w:rPr>
              <w:t>Source records, versions, reasons, final status, and rendered digest reproduce the stored explanation.</w:t>
            </w:r>
          </w:p>
        </w:tc>
      </w:tr>
    </w:tbl>
    <w:p>
      <w:pPr>
        <w:spacing w:after="0"/>
      </w:pPr>
    </w:p>
    <w:p>
      <w:pPr>
        <w:pStyle w:val="Heading1"/>
        <w:keepNext/>
      </w:pPr>
      <w:r>
        <w:t>12. Acceptance Criteria and Release Gates</w:t>
      </w:r>
    </w:p>
    <w:p>
      <w:pPr>
        <w:pStyle w:val="Heading2"/>
        <w:keepNext/>
      </w:pPr>
      <w:r>
        <w:t>12.1 Mandatory release criteria</w:t>
      </w:r>
    </w:p>
    <w:p>
      <w:pPr>
        <w:pStyle w:val="ListBullet"/>
      </w:pPr>
      <w:r>
        <w:t>All critical decision and explanation unit tests pass.</w:t>
      </w:r>
    </w:p>
    <w:p>
      <w:pPr>
        <w:pStyle w:val="ListBullet"/>
      </w:pPr>
      <w:r>
        <w:t>All 35 baseline scenarios pass, with no unresolved safety-critical defect.</w:t>
      </w:r>
    </w:p>
    <w:p>
      <w:pPr>
        <w:pStyle w:val="ListBullet"/>
      </w:pPr>
      <w:r>
        <w:t>Reason precision and required-reason recall are 100% for tested production templates.</w:t>
      </w:r>
    </w:p>
    <w:p>
      <w:pPr>
        <w:pStyle w:val="ListBullet"/>
      </w:pPr>
      <w:r>
        <w:t>Every HIGH midwife/referral explanation contains at least one valid patient-specific basis or a valid ML HIGH contribution when no rule is present.</w:t>
      </w:r>
    </w:p>
    <w:p>
      <w:pPr>
        <w:pStyle w:val="ListBullet"/>
      </w:pPr>
      <w:r>
        <w:t>Every LOW explanation satisfies completeness, valid ML LOW, and absence of deterministic HIGH factors.</w:t>
      </w:r>
    </w:p>
    <w:p>
      <w:pPr>
        <w:pStyle w:val="ListBullet"/>
      </w:pPr>
      <w:r>
        <w:t>Every ASSESSMENT INCOMPLETE explanation names the correct missing requirement or invalid dependency.</w:t>
      </w:r>
    </w:p>
    <w:p>
      <w:pPr>
        <w:pStyle w:val="ListBullet"/>
      </w:pPr>
      <w:r>
        <w:t>No patient template contains a diagnosis claim, unsupported certainty, raw technical error, model internals, or unauthorized sensitive detail.</w:t>
      </w:r>
    </w:p>
    <w:p>
      <w:pPr>
        <w:pStyle w:val="ListBullet"/>
      </w:pPr>
      <w:r>
        <w:t>Web, print, referral, and audit artifacts agree for the same assessment ID.</w:t>
      </w:r>
    </w:p>
    <w:p>
      <w:pPr>
        <w:pStyle w:val="ListBullet"/>
      </w:pPr>
      <w:r>
        <w:t>Clinical reviewer approves safety-critical wording and prioritization.</w:t>
      </w:r>
    </w:p>
    <w:p>
      <w:pPr>
        <w:pStyle w:val="ListBullet"/>
      </w:pPr>
      <w:r>
        <w:t>Known limitations and evaluation sample constraints are documented.</w:t>
      </w:r>
    </w:p>
    <w:p>
      <w:pPr>
        <w:pStyle w:val="Heading2"/>
        <w:keepNext/>
      </w:pPr>
      <w:r>
        <w:t>12.2 Defect severity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6"/>
              </w:rPr>
              <w:t>Severity</w:t>
            </w:r>
          </w:p>
        </w:tc>
        <w:tc>
          <w:tcPr>
            <w:tcW w:type="dxa" w:w="4896"/>
            <w:shd w:fill="1F4E79"/>
            <w:tcMar>
              <w:top w:w="90" w:type="dxa"/>
              <w:start w:w="90" w:type="dxa"/>
              <w:bottom w:w="90" w:type="dxa"/>
              <w:end w:w="90" w:type="dxa"/>
            </w:tcMar>
            <w:vAlign w:val="center"/>
          </w:tcPr>
          <w:p>
            <w:pPr>
              <w:jc w:val="center"/>
            </w:pPr>
            <w:r>
              <w:rPr>
                <w:b/>
                <w:color w:val="FFFFFF"/>
                <w:sz w:val="16"/>
              </w:rPr>
              <w:t>Examples</w:t>
            </w:r>
          </w:p>
        </w:tc>
        <w:tc>
          <w:tcPr>
            <w:tcW w:type="dxa" w:w="2952"/>
            <w:shd w:fill="1F4E79"/>
            <w:tcMar>
              <w:top w:w="90" w:type="dxa"/>
              <w:start w:w="90" w:type="dxa"/>
              <w:bottom w:w="90" w:type="dxa"/>
              <w:end w:w="90" w:type="dxa"/>
            </w:tcMar>
            <w:vAlign w:val="center"/>
          </w:tcPr>
          <w:p>
            <w:pPr>
              <w:jc w:val="center"/>
            </w:pPr>
            <w:r>
              <w:rPr>
                <w:b/>
                <w:color w:val="FFFFFF"/>
                <w:sz w:val="16"/>
              </w:rPr>
              <w:t>Release decision</w:t>
            </w:r>
          </w:p>
        </w:tc>
      </w:tr>
      <w:tr>
        <w:tc>
          <w:tcPr>
            <w:tcW w:type="dxa" w:w="1800"/>
            <w:tcMar>
              <w:top w:w="90" w:type="dxa"/>
              <w:start w:w="90" w:type="dxa"/>
              <w:bottom w:w="90" w:type="dxa"/>
              <w:end w:w="90" w:type="dxa"/>
            </w:tcMar>
            <w:vAlign w:val="top"/>
          </w:tcPr>
          <w:p>
            <w:pPr>
              <w:pStyle w:val="BodyText"/>
              <w:spacing w:after="0"/>
            </w:pPr>
            <w:r>
              <w:rPr>
                <w:sz w:val="16"/>
              </w:rPr>
              <w:t>Critical</w:t>
            </w:r>
          </w:p>
        </w:tc>
        <w:tc>
          <w:tcPr>
            <w:tcW w:type="dxa" w:w="4896"/>
            <w:tcMar>
              <w:top w:w="90" w:type="dxa"/>
              <w:start w:w="90" w:type="dxa"/>
              <w:bottom w:w="90" w:type="dxa"/>
              <w:end w:w="90" w:type="dxa"/>
            </w:tcMar>
            <w:vAlign w:val="top"/>
          </w:tcPr>
          <w:p>
            <w:pPr>
              <w:pStyle w:val="BodyText"/>
              <w:spacing w:after="0"/>
            </w:pPr>
            <w:r>
              <w:rPr>
                <w:sz w:val="16"/>
              </w:rPr>
              <w:t>False LOW; missing urgent reason; wrong patient evidence; contradictory recommendation; unauthorized disclosure.</w:t>
            </w:r>
          </w:p>
        </w:tc>
        <w:tc>
          <w:tcPr>
            <w:tcW w:type="dxa" w:w="2952"/>
            <w:tcMar>
              <w:top w:w="90" w:type="dxa"/>
              <w:start w:w="90" w:type="dxa"/>
              <w:bottom w:w="90" w:type="dxa"/>
              <w:end w:w="90" w:type="dxa"/>
            </w:tcMar>
            <w:vAlign w:val="top"/>
          </w:tcPr>
          <w:p>
            <w:pPr>
              <w:pStyle w:val="BodyText"/>
              <w:spacing w:after="0"/>
            </w:pPr>
            <w:r>
              <w:rPr>
                <w:sz w:val="16"/>
              </w:rPr>
              <w:t>Block release immediately.</w:t>
            </w:r>
          </w:p>
        </w:tc>
      </w:tr>
      <w:tr>
        <w:tc>
          <w:tcPr>
            <w:tcW w:type="dxa" w:w="1800"/>
            <w:tcMar>
              <w:top w:w="90" w:type="dxa"/>
              <w:start w:w="90" w:type="dxa"/>
              <w:bottom w:w="90" w:type="dxa"/>
              <w:end w:w="90" w:type="dxa"/>
            </w:tcMar>
            <w:vAlign w:val="top"/>
            <w:shd w:fill="F8FBFD"/>
          </w:tcPr>
          <w:p>
            <w:pPr>
              <w:pStyle w:val="BodyText"/>
              <w:spacing w:after="0"/>
            </w:pPr>
            <w:r>
              <w:rPr>
                <w:sz w:val="16"/>
              </w:rPr>
              <w:t>High</w:t>
            </w:r>
          </w:p>
        </w:tc>
        <w:tc>
          <w:tcPr>
            <w:tcW w:type="dxa" w:w="4896"/>
            <w:tcMar>
              <w:top w:w="90" w:type="dxa"/>
              <w:start w:w="90" w:type="dxa"/>
              <w:bottom w:w="90" w:type="dxa"/>
              <w:end w:w="90" w:type="dxa"/>
            </w:tcMar>
            <w:vAlign w:val="top"/>
            <w:shd w:fill="F8FBFD"/>
          </w:tcPr>
          <w:p>
            <w:pPr>
              <w:pStyle w:val="BodyText"/>
              <w:spacing w:after="0"/>
            </w:pPr>
            <w:r>
              <w:rPr>
                <w:sz w:val="16"/>
              </w:rPr>
              <w:t>Missing non-urgent HIGH reason; incorrect missing-record navigation; stale explanation shown as current; audit reconstruction failure.</w:t>
            </w:r>
          </w:p>
        </w:tc>
        <w:tc>
          <w:tcPr>
            <w:tcW w:type="dxa" w:w="2952"/>
            <w:tcMar>
              <w:top w:w="90" w:type="dxa"/>
              <w:start w:w="90" w:type="dxa"/>
              <w:bottom w:w="90" w:type="dxa"/>
              <w:end w:w="90" w:type="dxa"/>
            </w:tcMar>
            <w:vAlign w:val="top"/>
            <w:shd w:fill="F8FBFD"/>
          </w:tcPr>
          <w:p>
            <w:pPr>
              <w:pStyle w:val="BodyText"/>
              <w:spacing w:after="0"/>
            </w:pPr>
            <w:r>
              <w:rPr>
                <w:sz w:val="16"/>
              </w:rPr>
              <w:t>Block release until corrected or formally risk-accepted by governance.</w:t>
            </w:r>
          </w:p>
        </w:tc>
      </w:tr>
      <w:tr>
        <w:tc>
          <w:tcPr>
            <w:tcW w:type="dxa" w:w="1800"/>
            <w:tcMar>
              <w:top w:w="90" w:type="dxa"/>
              <w:start w:w="90" w:type="dxa"/>
              <w:bottom w:w="90" w:type="dxa"/>
              <w:end w:w="90" w:type="dxa"/>
            </w:tcMar>
            <w:vAlign w:val="top"/>
          </w:tcPr>
          <w:p>
            <w:pPr>
              <w:pStyle w:val="BodyText"/>
              <w:spacing w:after="0"/>
            </w:pPr>
            <w:r>
              <w:rPr>
                <w:sz w:val="16"/>
              </w:rPr>
              <w:t>Medium</w:t>
            </w:r>
          </w:p>
        </w:tc>
        <w:tc>
          <w:tcPr>
            <w:tcW w:type="dxa" w:w="4896"/>
            <w:tcMar>
              <w:top w:w="90" w:type="dxa"/>
              <w:start w:w="90" w:type="dxa"/>
              <w:bottom w:w="90" w:type="dxa"/>
              <w:end w:w="90" w:type="dxa"/>
            </w:tcMar>
            <w:vAlign w:val="top"/>
          </w:tcPr>
          <w:p>
            <w:pPr>
              <w:pStyle w:val="BodyText"/>
              <w:spacing w:after="0"/>
            </w:pPr>
            <w:r>
              <w:rPr>
                <w:sz w:val="16"/>
              </w:rPr>
              <w:t>Poor ordering, unclear wording, mobile overflow that does not hide safety information, duplicate non-critical text.</w:t>
            </w:r>
          </w:p>
        </w:tc>
        <w:tc>
          <w:tcPr>
            <w:tcW w:type="dxa" w:w="2952"/>
            <w:tcMar>
              <w:top w:w="90" w:type="dxa"/>
              <w:start w:w="90" w:type="dxa"/>
              <w:bottom w:w="90" w:type="dxa"/>
              <w:end w:w="90" w:type="dxa"/>
            </w:tcMar>
            <w:vAlign w:val="top"/>
          </w:tcPr>
          <w:p>
            <w:pPr>
              <w:pStyle w:val="BodyText"/>
              <w:spacing w:after="0"/>
            </w:pPr>
            <w:r>
              <w:rPr>
                <w:sz w:val="16"/>
              </w:rPr>
              <w:t>Correct before release where feasible; document and schedule.</w:t>
            </w:r>
          </w:p>
        </w:tc>
      </w:tr>
      <w:tr>
        <w:tc>
          <w:tcPr>
            <w:tcW w:type="dxa" w:w="1800"/>
            <w:tcMar>
              <w:top w:w="90" w:type="dxa"/>
              <w:start w:w="90" w:type="dxa"/>
              <w:bottom w:w="90" w:type="dxa"/>
              <w:end w:w="90" w:type="dxa"/>
            </w:tcMar>
            <w:vAlign w:val="top"/>
            <w:shd w:fill="F8FBFD"/>
          </w:tcPr>
          <w:p>
            <w:pPr>
              <w:pStyle w:val="BodyText"/>
              <w:spacing w:after="0"/>
            </w:pPr>
            <w:r>
              <w:rPr>
                <w:sz w:val="16"/>
              </w:rPr>
              <w:t>Low</w:t>
            </w:r>
          </w:p>
        </w:tc>
        <w:tc>
          <w:tcPr>
            <w:tcW w:type="dxa" w:w="4896"/>
            <w:tcMar>
              <w:top w:w="90" w:type="dxa"/>
              <w:start w:w="90" w:type="dxa"/>
              <w:bottom w:w="90" w:type="dxa"/>
              <w:end w:w="90" w:type="dxa"/>
            </w:tcMar>
            <w:vAlign w:val="top"/>
            <w:shd w:fill="F8FBFD"/>
          </w:tcPr>
          <w:p>
            <w:pPr>
              <w:pStyle w:val="BodyText"/>
              <w:spacing w:after="0"/>
            </w:pPr>
            <w:r>
              <w:rPr>
                <w:sz w:val="16"/>
              </w:rPr>
              <w:t>Cosmetic spacing, non-safety terminology preference, minor metadata presentation issue.</w:t>
            </w:r>
          </w:p>
        </w:tc>
        <w:tc>
          <w:tcPr>
            <w:tcW w:type="dxa" w:w="2952"/>
            <w:tcMar>
              <w:top w:w="90" w:type="dxa"/>
              <w:start w:w="90" w:type="dxa"/>
              <w:bottom w:w="90" w:type="dxa"/>
              <w:end w:w="90" w:type="dxa"/>
            </w:tcMar>
            <w:vAlign w:val="top"/>
            <w:shd w:fill="F8FBFD"/>
          </w:tcPr>
          <w:p>
            <w:pPr>
              <w:pStyle w:val="BodyText"/>
              <w:spacing w:after="0"/>
            </w:pPr>
            <w:r>
              <w:rPr>
                <w:sz w:val="16"/>
              </w:rPr>
              <w:t>May release with tracked issue if no usability/accessibility impact.</w:t>
            </w:r>
          </w:p>
        </w:tc>
      </w:tr>
    </w:tbl>
    <w:p>
      <w:pPr>
        <w:spacing w:after="0"/>
      </w:pPr>
    </w:p>
    <w:p>
      <w:pPr>
        <w:pStyle w:val="Heading1"/>
        <w:keepNext/>
      </w:pPr>
      <w:r>
        <w:t>13. Monitoring and Post-Deployment Evaluation</w:t>
      </w:r>
    </w:p>
    <w:p>
      <w:pPr>
        <w:pStyle w:val="Heading2"/>
        <w:keepNext/>
      </w:pPr>
      <w:r>
        <w:t>13.1 Operational indicators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6"/>
              </w:rPr>
              <w:t>Indicator</w:t>
            </w:r>
          </w:p>
        </w:tc>
        <w:tc>
          <w:tcPr>
            <w:tcW w:type="dxa" w:w="4032"/>
            <w:shd w:fill="1F4E79"/>
            <w:tcMar>
              <w:top w:w="90" w:type="dxa"/>
              <w:start w:w="90" w:type="dxa"/>
              <w:bottom w:w="90" w:type="dxa"/>
              <w:end w:w="90" w:type="dxa"/>
            </w:tcMar>
            <w:vAlign w:val="center"/>
          </w:tcPr>
          <w:p>
            <w:pPr>
              <w:jc w:val="center"/>
            </w:pPr>
            <w:r>
              <w:rPr>
                <w:b/>
                <w:color w:val="FFFFFF"/>
                <w:sz w:val="16"/>
              </w:rPr>
              <w:t>Purpose</w:t>
            </w:r>
          </w:p>
        </w:tc>
        <w:tc>
          <w:tcPr>
            <w:tcW w:type="dxa" w:w="3024"/>
            <w:shd w:fill="1F4E79"/>
            <w:tcMar>
              <w:top w:w="90" w:type="dxa"/>
              <w:start w:w="90" w:type="dxa"/>
              <w:bottom w:w="90" w:type="dxa"/>
              <w:end w:w="90" w:type="dxa"/>
            </w:tcMar>
            <w:vAlign w:val="center"/>
          </w:tcPr>
          <w:p>
            <w:pPr>
              <w:jc w:val="center"/>
            </w:pPr>
            <w:r>
              <w:rPr>
                <w:b/>
                <w:color w:val="FFFFFF"/>
                <w:sz w:val="16"/>
              </w:rPr>
              <w:t>Trigger for review</w:t>
            </w:r>
          </w:p>
        </w:tc>
      </w:tr>
      <w:tr>
        <w:tc>
          <w:tcPr>
            <w:tcW w:type="dxa" w:w="2592"/>
            <w:tcMar>
              <w:top w:w="90" w:type="dxa"/>
              <w:start w:w="90" w:type="dxa"/>
              <w:bottom w:w="90" w:type="dxa"/>
              <w:end w:w="90" w:type="dxa"/>
            </w:tcMar>
            <w:vAlign w:val="top"/>
          </w:tcPr>
          <w:p>
            <w:pPr>
              <w:pStyle w:val="BodyText"/>
              <w:spacing w:after="0"/>
            </w:pPr>
            <w:r>
              <w:rPr>
                <w:sz w:val="16"/>
              </w:rPr>
              <w:t>Explanation generation failure rate</w:t>
            </w:r>
          </w:p>
        </w:tc>
        <w:tc>
          <w:tcPr>
            <w:tcW w:type="dxa" w:w="4032"/>
            <w:tcMar>
              <w:top w:w="90" w:type="dxa"/>
              <w:start w:w="90" w:type="dxa"/>
              <w:bottom w:w="90" w:type="dxa"/>
              <w:end w:w="90" w:type="dxa"/>
            </w:tcMar>
            <w:vAlign w:val="top"/>
          </w:tcPr>
          <w:p>
            <w:pPr>
              <w:pStyle w:val="BodyText"/>
              <w:spacing w:after="0"/>
            </w:pPr>
            <w:r>
              <w:rPr>
                <w:sz w:val="16"/>
              </w:rPr>
              <w:t>Detect service, template, or data-contract problems.</w:t>
            </w:r>
          </w:p>
        </w:tc>
        <w:tc>
          <w:tcPr>
            <w:tcW w:type="dxa" w:w="3024"/>
            <w:tcMar>
              <w:top w:w="90" w:type="dxa"/>
              <w:start w:w="90" w:type="dxa"/>
              <w:bottom w:w="90" w:type="dxa"/>
              <w:end w:w="90" w:type="dxa"/>
            </w:tcMar>
            <w:vAlign w:val="top"/>
          </w:tcPr>
          <w:p>
            <w:pPr>
              <w:pStyle w:val="BodyText"/>
              <w:spacing w:after="0"/>
            </w:pPr>
            <w:r>
              <w:rPr>
                <w:sz w:val="16"/>
              </w:rPr>
              <w:t>Any safety-critical failure; repeated non-critical failures above agreed baseline.</w:t>
            </w:r>
          </w:p>
        </w:tc>
      </w:tr>
      <w:tr>
        <w:tc>
          <w:tcPr>
            <w:tcW w:type="dxa" w:w="2592"/>
            <w:tcMar>
              <w:top w:w="90" w:type="dxa"/>
              <w:start w:w="90" w:type="dxa"/>
              <w:bottom w:w="90" w:type="dxa"/>
              <w:end w:w="90" w:type="dxa"/>
            </w:tcMar>
            <w:vAlign w:val="top"/>
            <w:shd w:fill="F8FBFD"/>
          </w:tcPr>
          <w:p>
            <w:pPr>
              <w:pStyle w:val="BodyText"/>
              <w:spacing w:after="0"/>
            </w:pPr>
            <w:r>
              <w:rPr>
                <w:sz w:val="16"/>
              </w:rPr>
              <w:t>Incomplete-assessment rate by missing record</w:t>
            </w:r>
          </w:p>
        </w:tc>
        <w:tc>
          <w:tcPr>
            <w:tcW w:type="dxa" w:w="4032"/>
            <w:tcMar>
              <w:top w:w="90" w:type="dxa"/>
              <w:start w:w="90" w:type="dxa"/>
              <w:bottom w:w="90" w:type="dxa"/>
              <w:end w:w="90" w:type="dxa"/>
            </w:tcMar>
            <w:vAlign w:val="top"/>
            <w:shd w:fill="F8FBFD"/>
          </w:tcPr>
          <w:p>
            <w:pPr>
              <w:pStyle w:val="BodyText"/>
              <w:spacing w:after="0"/>
            </w:pPr>
            <w:r>
              <w:rPr>
                <w:sz w:val="16"/>
              </w:rPr>
              <w:t>Identify workflow or data-entry barriers.</w:t>
            </w:r>
          </w:p>
        </w:tc>
        <w:tc>
          <w:tcPr>
            <w:tcW w:type="dxa" w:w="3024"/>
            <w:tcMar>
              <w:top w:w="90" w:type="dxa"/>
              <w:start w:w="90" w:type="dxa"/>
              <w:bottom w:w="90" w:type="dxa"/>
              <w:end w:w="90" w:type="dxa"/>
            </w:tcMar>
            <w:vAlign w:val="top"/>
            <w:shd w:fill="F8FBFD"/>
          </w:tcPr>
          <w:p>
            <w:pPr>
              <w:pStyle w:val="BodyText"/>
              <w:spacing w:after="0"/>
            </w:pPr>
            <w:r>
              <w:rPr>
                <w:sz w:val="16"/>
              </w:rPr>
              <w:t>Unexpected increase or concentration in one record type.</w:t>
            </w:r>
          </w:p>
        </w:tc>
      </w:tr>
      <w:tr>
        <w:tc>
          <w:tcPr>
            <w:tcW w:type="dxa" w:w="2592"/>
            <w:tcMar>
              <w:top w:w="90" w:type="dxa"/>
              <w:start w:w="90" w:type="dxa"/>
              <w:bottom w:w="90" w:type="dxa"/>
              <w:end w:w="90" w:type="dxa"/>
            </w:tcMar>
            <w:vAlign w:val="top"/>
          </w:tcPr>
          <w:p>
            <w:pPr>
              <w:pStyle w:val="BodyText"/>
              <w:spacing w:after="0"/>
            </w:pPr>
            <w:r>
              <w:rPr>
                <w:sz w:val="16"/>
              </w:rPr>
              <w:t>Rule/ML disagreement frequency</w:t>
            </w:r>
          </w:p>
        </w:tc>
        <w:tc>
          <w:tcPr>
            <w:tcW w:type="dxa" w:w="4032"/>
            <w:tcMar>
              <w:top w:w="90" w:type="dxa"/>
              <w:start w:w="90" w:type="dxa"/>
              <w:bottom w:w="90" w:type="dxa"/>
              <w:end w:w="90" w:type="dxa"/>
            </w:tcMar>
            <w:vAlign w:val="top"/>
          </w:tcPr>
          <w:p>
            <w:pPr>
              <w:pStyle w:val="BodyText"/>
              <w:spacing w:after="0"/>
            </w:pPr>
            <w:r>
              <w:rPr>
                <w:sz w:val="16"/>
              </w:rPr>
              <w:t>Observe hybrid behavior and possible data/model drift.</w:t>
            </w:r>
          </w:p>
        </w:tc>
        <w:tc>
          <w:tcPr>
            <w:tcW w:type="dxa" w:w="3024"/>
            <w:tcMar>
              <w:top w:w="90" w:type="dxa"/>
              <w:start w:w="90" w:type="dxa"/>
              <w:bottom w:w="90" w:type="dxa"/>
              <w:end w:w="90" w:type="dxa"/>
            </w:tcMar>
            <w:vAlign w:val="top"/>
          </w:tcPr>
          <w:p>
            <w:pPr>
              <w:pStyle w:val="BodyText"/>
              <w:spacing w:after="0"/>
            </w:pPr>
            <w:r>
              <w:rPr>
                <w:sz w:val="16"/>
              </w:rPr>
              <w:t>Material change from validated baseline.</w:t>
            </w:r>
          </w:p>
        </w:tc>
      </w:tr>
      <w:tr>
        <w:tc>
          <w:tcPr>
            <w:tcW w:type="dxa" w:w="2592"/>
            <w:tcMar>
              <w:top w:w="90" w:type="dxa"/>
              <w:start w:w="90" w:type="dxa"/>
              <w:bottom w:w="90" w:type="dxa"/>
              <w:end w:w="90" w:type="dxa"/>
            </w:tcMar>
            <w:vAlign w:val="top"/>
            <w:shd w:fill="F8FBFD"/>
          </w:tcPr>
          <w:p>
            <w:pPr>
              <w:pStyle w:val="BodyText"/>
              <w:spacing w:after="0"/>
            </w:pPr>
            <w:r>
              <w:rPr>
                <w:sz w:val="16"/>
              </w:rPr>
              <w:t>Stale explanation incidents</w:t>
            </w:r>
          </w:p>
        </w:tc>
        <w:tc>
          <w:tcPr>
            <w:tcW w:type="dxa" w:w="4032"/>
            <w:tcMar>
              <w:top w:w="90" w:type="dxa"/>
              <w:start w:w="90" w:type="dxa"/>
              <w:bottom w:w="90" w:type="dxa"/>
              <w:end w:w="90" w:type="dxa"/>
            </w:tcMar>
            <w:vAlign w:val="top"/>
            <w:shd w:fill="F8FBFD"/>
          </w:tcPr>
          <w:p>
            <w:pPr>
              <w:pStyle w:val="BodyText"/>
              <w:spacing w:after="0"/>
            </w:pPr>
            <w:r>
              <w:rPr>
                <w:sz w:val="16"/>
              </w:rPr>
              <w:t>Detect missed recalculation paths.</w:t>
            </w:r>
          </w:p>
        </w:tc>
        <w:tc>
          <w:tcPr>
            <w:tcW w:type="dxa" w:w="3024"/>
            <w:tcMar>
              <w:top w:w="90" w:type="dxa"/>
              <w:start w:w="90" w:type="dxa"/>
              <w:bottom w:w="90" w:type="dxa"/>
              <w:end w:w="90" w:type="dxa"/>
            </w:tcMar>
            <w:vAlign w:val="top"/>
            <w:shd w:fill="F8FBFD"/>
          </w:tcPr>
          <w:p>
            <w:pPr>
              <w:pStyle w:val="BodyText"/>
              <w:spacing w:after="0"/>
            </w:pPr>
            <w:r>
              <w:rPr>
                <w:sz w:val="16"/>
              </w:rPr>
              <w:t>Any clinical use of stale output.</w:t>
            </w:r>
          </w:p>
        </w:tc>
      </w:tr>
      <w:tr>
        <w:tc>
          <w:tcPr>
            <w:tcW w:type="dxa" w:w="2592"/>
            <w:tcMar>
              <w:top w:w="90" w:type="dxa"/>
              <w:start w:w="90" w:type="dxa"/>
              <w:bottom w:w="90" w:type="dxa"/>
              <w:end w:w="90" w:type="dxa"/>
            </w:tcMar>
            <w:vAlign w:val="top"/>
          </w:tcPr>
          <w:p>
            <w:pPr>
              <w:pStyle w:val="BodyText"/>
              <w:spacing w:after="0"/>
            </w:pPr>
            <w:r>
              <w:rPr>
                <w:sz w:val="16"/>
              </w:rPr>
              <w:t>User correction/override notes</w:t>
            </w:r>
          </w:p>
        </w:tc>
        <w:tc>
          <w:tcPr>
            <w:tcW w:type="dxa" w:w="4032"/>
            <w:tcMar>
              <w:top w:w="90" w:type="dxa"/>
              <w:start w:w="90" w:type="dxa"/>
              <w:bottom w:w="90" w:type="dxa"/>
              <w:end w:w="90" w:type="dxa"/>
            </w:tcMar>
            <w:vAlign w:val="top"/>
          </w:tcPr>
          <w:p>
            <w:pPr>
              <w:pStyle w:val="BodyText"/>
              <w:spacing w:after="0"/>
            </w:pPr>
            <w:r>
              <w:rPr>
                <w:sz w:val="16"/>
              </w:rPr>
              <w:t>Learn where explanations are confusing or clinically unhelpful.</w:t>
            </w:r>
          </w:p>
        </w:tc>
        <w:tc>
          <w:tcPr>
            <w:tcW w:type="dxa" w:w="3024"/>
            <w:tcMar>
              <w:top w:w="90" w:type="dxa"/>
              <w:start w:w="90" w:type="dxa"/>
              <w:bottom w:w="90" w:type="dxa"/>
              <w:end w:w="90" w:type="dxa"/>
            </w:tcMar>
            <w:vAlign w:val="top"/>
          </w:tcPr>
          <w:p>
            <w:pPr>
              <w:pStyle w:val="BodyText"/>
              <w:spacing w:after="0"/>
            </w:pPr>
            <w:r>
              <w:rPr>
                <w:sz w:val="16"/>
              </w:rPr>
              <w:t>Recurring theme or safety concern.</w:t>
            </w:r>
          </w:p>
        </w:tc>
      </w:tr>
      <w:tr>
        <w:tc>
          <w:tcPr>
            <w:tcW w:type="dxa" w:w="2592"/>
            <w:tcMar>
              <w:top w:w="90" w:type="dxa"/>
              <w:start w:w="90" w:type="dxa"/>
              <w:bottom w:w="90" w:type="dxa"/>
              <w:end w:w="90" w:type="dxa"/>
            </w:tcMar>
            <w:vAlign w:val="top"/>
            <w:shd w:fill="F8FBFD"/>
          </w:tcPr>
          <w:p>
            <w:pPr>
              <w:pStyle w:val="BodyText"/>
              <w:spacing w:after="0"/>
            </w:pPr>
            <w:r>
              <w:rPr>
                <w:sz w:val="16"/>
              </w:rPr>
              <w:t>Referral explanation defects</w:t>
            </w:r>
          </w:p>
        </w:tc>
        <w:tc>
          <w:tcPr>
            <w:tcW w:type="dxa" w:w="4032"/>
            <w:tcMar>
              <w:top w:w="90" w:type="dxa"/>
              <w:start w:w="90" w:type="dxa"/>
              <w:bottom w:w="90" w:type="dxa"/>
              <w:end w:w="90" w:type="dxa"/>
            </w:tcMar>
            <w:vAlign w:val="top"/>
            <w:shd w:fill="F8FBFD"/>
          </w:tcPr>
          <w:p>
            <w:pPr>
              <w:pStyle w:val="BodyText"/>
              <w:spacing w:after="0"/>
            </w:pPr>
            <w:r>
              <w:rPr>
                <w:sz w:val="16"/>
              </w:rPr>
              <w:t>Protect continuity of care and printed output quality.</w:t>
            </w:r>
          </w:p>
        </w:tc>
        <w:tc>
          <w:tcPr>
            <w:tcW w:type="dxa" w:w="3024"/>
            <w:tcMar>
              <w:top w:w="90" w:type="dxa"/>
              <w:start w:w="90" w:type="dxa"/>
              <w:bottom w:w="90" w:type="dxa"/>
              <w:end w:w="90" w:type="dxa"/>
            </w:tcMar>
            <w:vAlign w:val="top"/>
            <w:shd w:fill="F8FBFD"/>
          </w:tcPr>
          <w:p>
            <w:pPr>
              <w:pStyle w:val="BodyText"/>
              <w:spacing w:after="0"/>
            </w:pPr>
            <w:r>
              <w:rPr>
                <w:sz w:val="16"/>
              </w:rPr>
              <w:t>Any missing basis or cross-channel contradiction.</w:t>
            </w:r>
          </w:p>
        </w:tc>
      </w:tr>
      <w:tr>
        <w:tc>
          <w:tcPr>
            <w:tcW w:type="dxa" w:w="2592"/>
            <w:tcMar>
              <w:top w:w="90" w:type="dxa"/>
              <w:start w:w="90" w:type="dxa"/>
              <w:bottom w:w="90" w:type="dxa"/>
              <w:end w:w="90" w:type="dxa"/>
            </w:tcMar>
            <w:vAlign w:val="top"/>
          </w:tcPr>
          <w:p>
            <w:pPr>
              <w:pStyle w:val="BodyText"/>
              <w:spacing w:after="0"/>
            </w:pPr>
            <w:r>
              <w:rPr>
                <w:sz w:val="16"/>
              </w:rPr>
              <w:t>Template version distribution</w:t>
            </w:r>
          </w:p>
        </w:tc>
        <w:tc>
          <w:tcPr>
            <w:tcW w:type="dxa" w:w="4032"/>
            <w:tcMar>
              <w:top w:w="90" w:type="dxa"/>
              <w:start w:w="90" w:type="dxa"/>
              <w:bottom w:w="90" w:type="dxa"/>
              <w:end w:w="90" w:type="dxa"/>
            </w:tcMar>
            <w:vAlign w:val="top"/>
          </w:tcPr>
          <w:p>
            <w:pPr>
              <w:pStyle w:val="BodyText"/>
              <w:spacing w:after="0"/>
            </w:pPr>
            <w:r>
              <w:rPr>
                <w:sz w:val="16"/>
              </w:rPr>
              <w:t>Detect old templates still in use.</w:t>
            </w:r>
          </w:p>
        </w:tc>
        <w:tc>
          <w:tcPr>
            <w:tcW w:type="dxa" w:w="3024"/>
            <w:tcMar>
              <w:top w:w="90" w:type="dxa"/>
              <w:start w:w="90" w:type="dxa"/>
              <w:bottom w:w="90" w:type="dxa"/>
              <w:end w:w="90" w:type="dxa"/>
            </w:tcMar>
            <w:vAlign w:val="top"/>
          </w:tcPr>
          <w:p>
            <w:pPr>
              <w:pStyle w:val="BodyText"/>
              <w:spacing w:after="0"/>
            </w:pPr>
            <w:r>
              <w:rPr>
                <w:sz w:val="16"/>
              </w:rPr>
              <w:t>Unapproved or expired version observed.</w:t>
            </w:r>
          </w:p>
        </w:tc>
      </w:tr>
      <w:tr>
        <w:tc>
          <w:tcPr>
            <w:tcW w:type="dxa" w:w="2592"/>
            <w:tcMar>
              <w:top w:w="90" w:type="dxa"/>
              <w:start w:w="90" w:type="dxa"/>
              <w:bottom w:w="90" w:type="dxa"/>
              <w:end w:w="90" w:type="dxa"/>
            </w:tcMar>
            <w:vAlign w:val="top"/>
            <w:shd w:fill="F8FBFD"/>
          </w:tcPr>
          <w:p>
            <w:pPr>
              <w:pStyle w:val="BodyText"/>
              <w:spacing w:after="0"/>
            </w:pPr>
            <w:r>
              <w:rPr>
                <w:sz w:val="16"/>
              </w:rPr>
              <w:t>Unauthorized access attempts</w:t>
            </w:r>
          </w:p>
        </w:tc>
        <w:tc>
          <w:tcPr>
            <w:tcW w:type="dxa" w:w="4032"/>
            <w:tcMar>
              <w:top w:w="90" w:type="dxa"/>
              <w:start w:w="90" w:type="dxa"/>
              <w:bottom w:w="90" w:type="dxa"/>
              <w:end w:w="90" w:type="dxa"/>
            </w:tcMar>
            <w:vAlign w:val="top"/>
            <w:shd w:fill="F8FBFD"/>
          </w:tcPr>
          <w:p>
            <w:pPr>
              <w:pStyle w:val="BodyText"/>
              <w:spacing w:after="0"/>
            </w:pPr>
            <w:r>
              <w:rPr>
                <w:sz w:val="16"/>
              </w:rPr>
              <w:t>Assess privacy and role-control effectiveness.</w:t>
            </w:r>
          </w:p>
        </w:tc>
        <w:tc>
          <w:tcPr>
            <w:tcW w:type="dxa" w:w="3024"/>
            <w:tcMar>
              <w:top w:w="90" w:type="dxa"/>
              <w:start w:w="90" w:type="dxa"/>
              <w:bottom w:w="90" w:type="dxa"/>
              <w:end w:w="90" w:type="dxa"/>
            </w:tcMar>
            <w:vAlign w:val="top"/>
            <w:shd w:fill="F8FBFD"/>
          </w:tcPr>
          <w:p>
            <w:pPr>
              <w:pStyle w:val="BodyText"/>
              <w:spacing w:after="0"/>
            </w:pPr>
            <w:r>
              <w:rPr>
                <w:sz w:val="16"/>
              </w:rPr>
              <w:t>Pattern, successful exposure, or policy threshold exceeded.</w:t>
            </w:r>
          </w:p>
        </w:tc>
      </w:tr>
    </w:tbl>
    <w:p>
      <w:pPr>
        <w:spacing w:after="0"/>
      </w:pPr>
    </w:p>
    <w:p>
      <w:pPr>
        <w:pStyle w:val="Heading2"/>
        <w:keepNext/>
      </w:pPr>
      <w:r>
        <w:t>13.2 Explanation drift</w:t>
      </w:r>
    </w:p>
    <w:p>
      <w:pPr>
        <w:pStyle w:val="BodyText"/>
      </w:pPr>
      <w:r>
        <w:t>Explanation drift occurs when wording, displayed evidence, prioritization, or user interpretation changes over time even if the final classifier behavior appears stable. Causes include template edits, new UI components, renamed fields, changed normalization, new languages, different model versions, or workflow shortcuts. Monitoring must therefore compare explanation artifacts and user outcomes across versions, not only model accuracy.</w:t>
      </w:r>
    </w:p>
    <w:p>
      <w:pPr>
        <w:pStyle w:val="Heading2"/>
        <w:keepNext/>
      </w:pPr>
      <w:r>
        <w:t>13.3 Feedback loop</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Observe issue or metric change</w:t>
            </w:r>
            <w:r>
              <w:br/>
            </w:r>
            <w:r>
              <w:rPr>
                <w:rFonts w:ascii="Consolas" w:hAnsi="Consolas"/>
                <w:sz w:val="16"/>
              </w:rPr>
              <w:t xml:space="preserve">   ↓</w:t>
            </w:r>
            <w:r>
              <w:br/>
            </w:r>
            <w:r>
              <w:rPr>
                <w:rFonts w:ascii="Consolas" w:hAnsi="Consolas"/>
                <w:sz w:val="16"/>
              </w:rPr>
              <w:t>Triage safety and scope</w:t>
            </w:r>
            <w:r>
              <w:br/>
            </w:r>
            <w:r>
              <w:rPr>
                <w:rFonts w:ascii="Consolas" w:hAnsi="Consolas"/>
                <w:sz w:val="16"/>
              </w:rPr>
              <w:t xml:space="preserve">   ↓</w:t>
            </w:r>
            <w:r>
              <w:br/>
            </w:r>
            <w:r>
              <w:rPr>
                <w:rFonts w:ascii="Consolas" w:hAnsi="Consolas"/>
                <w:sz w:val="16"/>
              </w:rPr>
              <w:t>Reproduce with controlled test case</w:t>
            </w:r>
            <w:r>
              <w:br/>
            </w:r>
            <w:r>
              <w:rPr>
                <w:rFonts w:ascii="Consolas" w:hAnsi="Consolas"/>
                <w:sz w:val="16"/>
              </w:rPr>
              <w:t xml:space="preserve">   ↓</w:t>
            </w:r>
            <w:r>
              <w:br/>
            </w:r>
            <w:r>
              <w:rPr>
                <w:rFonts w:ascii="Consolas" w:hAnsi="Consolas"/>
                <w:sz w:val="16"/>
              </w:rPr>
              <w:t>Identify rule / model / data / template / UI cause</w:t>
            </w:r>
            <w:r>
              <w:br/>
            </w:r>
            <w:r>
              <w:rPr>
                <w:rFonts w:ascii="Consolas" w:hAnsi="Consolas"/>
                <w:sz w:val="16"/>
              </w:rPr>
              <w:t xml:space="preserve">   ↓</w:t>
            </w:r>
            <w:r>
              <w:br/>
            </w:r>
            <w:r>
              <w:rPr>
                <w:rFonts w:ascii="Consolas" w:hAnsi="Consolas"/>
                <w:sz w:val="16"/>
              </w:rPr>
              <w:t>Clinical and technical review</w:t>
            </w:r>
            <w:r>
              <w:br/>
            </w:r>
            <w:r>
              <w:rPr>
                <w:rFonts w:ascii="Consolas" w:hAnsi="Consolas"/>
                <w:sz w:val="16"/>
              </w:rPr>
              <w:t xml:space="preserve">   ↓</w:t>
            </w:r>
            <w:r>
              <w:br/>
            </w:r>
            <w:r>
              <w:rPr>
                <w:rFonts w:ascii="Consolas" w:hAnsi="Consolas"/>
                <w:sz w:val="16"/>
              </w:rPr>
              <w:t>Versioned correction + regression tests</w:t>
            </w:r>
            <w:r>
              <w:br/>
            </w:r>
            <w:r>
              <w:rPr>
                <w:rFonts w:ascii="Consolas" w:hAnsi="Consolas"/>
                <w:sz w:val="16"/>
              </w:rPr>
              <w:t xml:space="preserve">   ↓</w:t>
            </w:r>
            <w:r>
              <w:br/>
            </w:r>
            <w:r>
              <w:rPr>
                <w:rFonts w:ascii="Consolas" w:hAnsi="Consolas"/>
                <w:sz w:val="16"/>
              </w:rPr>
              <w:t>Deploy, monitor, and document closure</w:t>
            </w:r>
          </w:p>
        </w:tc>
      </w:tr>
    </w:tbl>
    <w:p>
      <w:pPr>
        <w:spacing w:after="0"/>
      </w:pPr>
    </w:p>
    <w:p>
      <w:pPr>
        <w:pStyle w:val="Heading1"/>
        <w:keepNext/>
      </w:pPr>
      <w:r>
        <w:t>14. Evaluation Data Governance and Ethics</w:t>
      </w:r>
    </w:p>
    <w:p>
      <w:pPr>
        <w:pStyle w:val="ListBullet"/>
      </w:pPr>
      <w:r>
        <w:t>Use synthetic or de-identified cases for routine testing, demonstrations, and screenshots.</w:t>
      </w:r>
    </w:p>
    <w:p>
      <w:pPr>
        <w:pStyle w:val="ListBullet"/>
      </w:pPr>
      <w:r>
        <w:t>Use real patient data only under appropriate authorization, purpose limitation, privacy safeguards, and adviser/institutional requirements.</w:t>
      </w:r>
    </w:p>
    <w:p>
      <w:pPr>
        <w:pStyle w:val="ListBullet"/>
      </w:pPr>
      <w:r>
        <w:t>Recruit user-evaluation participants voluntarily and explain that the prototype is not being used to provide clinical care during the study.</w:t>
      </w:r>
    </w:p>
    <w:p>
      <w:pPr>
        <w:pStyle w:val="ListBullet"/>
      </w:pPr>
      <w:r>
        <w:t>Do not expose sensitive histories in group testing or presentation materials.</w:t>
      </w:r>
    </w:p>
    <w:p>
      <w:pPr>
        <w:pStyle w:val="ListBullet"/>
      </w:pPr>
      <w:r>
        <w:t>Report participant characteristics and exclusions sufficiently to interpret limitations without re-identifying individuals.</w:t>
      </w:r>
    </w:p>
    <w:p>
      <w:pPr>
        <w:pStyle w:val="ListBullet"/>
      </w:pPr>
      <w:r>
        <w:t>Store consent, recordings, notes, and evaluation results with access controls and retention limits.</w:t>
      </w:r>
    </w:p>
    <w:p>
      <w:pPr>
        <w:pStyle w:val="ListBullet"/>
      </w:pPr>
      <w:r>
        <w:t>Avoid claiming broad patient comprehension from a small convenience sample.</w:t>
      </w:r>
    </w:p>
    <w:p>
      <w:pPr>
        <w:pStyle w:val="ListBullet"/>
      </w:pPr>
      <w:r>
        <w:t>Record adverse or unsafe findings and stop testing a version that creates a credible risk of harmful misunderstanding.</w:t>
      </w:r>
    </w:p>
    <w:p>
      <w:pPr>
        <w:pStyle w:val="Heading1"/>
        <w:keepNext/>
      </w:pPr>
      <w:r>
        <w:t>15. Laravel and Python Test Implementation Blueprint</w:t>
      </w:r>
    </w:p>
    <w:p>
      <w:pPr>
        <w:pStyle w:val="Heading2"/>
        <w:keepNext/>
      </w:pPr>
      <w:r>
        <w:t>15.1 Suggested automated test layers</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tests/Unit/Explainability/</w:t>
            </w:r>
            <w:r>
              <w:br/>
            </w:r>
            <w:r>
              <w:rPr>
                <w:rFonts w:ascii="Consolas" w:hAnsi="Consolas"/>
                <w:sz w:val="16"/>
              </w:rPr>
              <w:t xml:space="preserve">  RuleReasonFactoryTest.php</w:t>
            </w:r>
            <w:r>
              <w:br/>
            </w:r>
            <w:r>
              <w:rPr>
                <w:rFonts w:ascii="Consolas" w:hAnsi="Consolas"/>
                <w:sz w:val="16"/>
              </w:rPr>
              <w:t xml:space="preserve">  ExplanationBundleValidatorTest.php</w:t>
            </w:r>
            <w:r>
              <w:br/>
            </w:r>
            <w:r>
              <w:rPr>
                <w:rFonts w:ascii="Consolas" w:hAnsi="Consolas"/>
                <w:sz w:val="16"/>
              </w:rPr>
              <w:t xml:space="preserve">  AudienceProjectionValidatorTest.php</w:t>
            </w:r>
            <w:r>
              <w:br/>
            </w:r>
            <w:r>
              <w:rPr>
                <w:rFonts w:ascii="Consolas" w:hAnsi="Consolas"/>
                <w:sz w:val="16"/>
              </w:rPr>
              <w:t xml:space="preserve">  RecommendationConsistencyTest.php</w:t>
            </w:r>
            <w:r>
              <w:br/>
            </w:r>
            <w:r>
              <w:rPr>
                <w:rFonts w:ascii="Consolas" w:hAnsi="Consolas"/>
                <w:sz w:val="16"/>
              </w:rPr>
            </w:r>
            <w:r>
              <w:br/>
            </w:r>
            <w:r>
              <w:rPr>
                <w:rFonts w:ascii="Consolas" w:hAnsi="Consolas"/>
                <w:sz w:val="16"/>
              </w:rPr>
              <w:t>tests/Feature/Explainability/</w:t>
            </w:r>
            <w:r>
              <w:br/>
            </w:r>
            <w:r>
              <w:rPr>
                <w:rFonts w:ascii="Consolas" w:hAnsi="Consolas"/>
                <w:sz w:val="16"/>
              </w:rPr>
              <w:t xml:space="preserve">  RiskAssessmentExplanationTest.php</w:t>
            </w:r>
            <w:r>
              <w:br/>
            </w:r>
            <w:r>
              <w:rPr>
                <w:rFonts w:ascii="Consolas" w:hAnsi="Consolas"/>
                <w:sz w:val="16"/>
              </w:rPr>
              <w:t xml:space="preserve">  MissingRecordsExplanationTest.php</w:t>
            </w:r>
            <w:r>
              <w:br/>
            </w:r>
            <w:r>
              <w:rPr>
                <w:rFonts w:ascii="Consolas" w:hAnsi="Consolas"/>
                <w:sz w:val="16"/>
              </w:rPr>
              <w:t xml:space="preserve">  ReferralExplanationParityTest.php</w:t>
            </w:r>
            <w:r>
              <w:br/>
            </w:r>
            <w:r>
              <w:rPr>
                <w:rFonts w:ascii="Consolas" w:hAnsi="Consolas"/>
                <w:sz w:val="16"/>
              </w:rPr>
              <w:t xml:space="preserve">  DeliveredPatientReadOnlyExplanationTest.php</w:t>
            </w:r>
            <w:r>
              <w:br/>
            </w:r>
            <w:r>
              <w:rPr>
                <w:rFonts w:ascii="Consolas" w:hAnsi="Consolas"/>
                <w:sz w:val="16"/>
              </w:rPr>
              <w:t xml:space="preserve">  AuthorizationAndPrivacyTest.php</w:t>
            </w:r>
            <w:r>
              <w:br/>
            </w:r>
            <w:r>
              <w:rPr>
                <w:rFonts w:ascii="Consolas" w:hAnsi="Consolas"/>
                <w:sz w:val="16"/>
              </w:rPr>
            </w:r>
            <w:r>
              <w:br/>
            </w:r>
            <w:r>
              <w:rPr>
                <w:rFonts w:ascii="Consolas" w:hAnsi="Consolas"/>
                <w:sz w:val="16"/>
              </w:rPr>
              <w:t>python/tests/</w:t>
            </w:r>
            <w:r>
              <w:br/>
            </w:r>
            <w:r>
              <w:rPr>
                <w:rFonts w:ascii="Consolas" w:hAnsi="Consolas"/>
                <w:sz w:val="16"/>
              </w:rPr>
              <w:t xml:space="preserve">  test_prediction_contract.py</w:t>
            </w:r>
            <w:r>
              <w:br/>
            </w:r>
            <w:r>
              <w:rPr>
                <w:rFonts w:ascii="Consolas" w:hAnsi="Consolas"/>
                <w:sz w:val="16"/>
              </w:rPr>
              <w:t xml:space="preserve">  test_model_output_validation.py</w:t>
            </w:r>
            <w:r>
              <w:br/>
            </w:r>
            <w:r>
              <w:rPr>
                <w:rFonts w:ascii="Consolas" w:hAnsi="Consolas"/>
                <w:sz w:val="16"/>
              </w:rPr>
              <w:t xml:space="preserve">  test_feature_schema.py</w:t>
            </w:r>
          </w:p>
        </w:tc>
      </w:tr>
    </w:tbl>
    <w:p>
      <w:pPr>
        <w:spacing w:after="0"/>
      </w:pPr>
    </w:p>
    <w:p>
      <w:pPr>
        <w:pStyle w:val="Heading2"/>
        <w:keepNext/>
      </w:pPr>
      <w:r>
        <w:t>15.2 Example assertion pattern</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$result = $service-&gt;assess($patient, $visit);</w:t>
            </w:r>
            <w:r>
              <w:br/>
            </w:r>
            <w:r>
              <w:rPr>
                <w:rFonts w:ascii="Consolas" w:hAnsi="Consolas"/>
                <w:sz w:val="16"/>
              </w:rPr>
            </w:r>
            <w:r>
              <w:br/>
            </w:r>
            <w:r>
              <w:rPr>
                <w:rFonts w:ascii="Consolas" w:hAnsi="Consolas"/>
                <w:sz w:val="16"/>
              </w:rPr>
              <w:t>$this-&gt;assertSame('HIGH', $result-&gt;status);</w:t>
            </w:r>
            <w:r>
              <w:br/>
            </w:r>
            <w:r>
              <w:rPr>
                <w:rFonts w:ascii="Consolas" w:hAnsi="Consolas"/>
                <w:sz w:val="16"/>
              </w:rPr>
              <w:t>$this-&gt;assertContains('BP_HIGH', $result-&gt;reasonCodes());</w:t>
            </w:r>
            <w:r>
              <w:br/>
            </w:r>
            <w:r>
              <w:rPr>
                <w:rFonts w:ascii="Consolas" w:hAnsi="Consolas"/>
                <w:sz w:val="16"/>
              </w:rPr>
              <w:t>$this-&gt;assertSame('150/95 mmHg', $result-&gt;evidence('BP_HIGH')-&gt;displayValue);</w:t>
            </w:r>
            <w:r>
              <w:br/>
            </w:r>
            <w:r>
              <w:rPr>
                <w:rFonts w:ascii="Consolas" w:hAnsi="Consolas"/>
                <w:sz w:val="16"/>
              </w:rPr>
              <w:t>$this-&gt;assertSame($result-&gt;id, $referralProjection-&gt;explanationId);</w:t>
            </w:r>
            <w:r>
              <w:br/>
            </w:r>
            <w:r>
              <w:rPr>
                <w:rFonts w:ascii="Consolas" w:hAnsi="Consolas"/>
                <w:sz w:val="16"/>
              </w:rPr>
              <w:t>$this-&gt;assertStringNotContainsString('diagnosed', $patientProjection-&gt;text);</w:t>
            </w:r>
          </w:p>
        </w:tc>
      </w:tr>
    </w:tbl>
    <w:p>
      <w:pPr>
        <w:spacing w:after="0"/>
      </w:pPr>
    </w:p>
    <w:p>
      <w:pPr>
        <w:pStyle w:val="Heading2"/>
        <w:keepNext/>
      </w:pPr>
      <w:r>
        <w:t>15.3 Golden-master caution</w:t>
      </w:r>
    </w:p>
    <w:p>
      <w:pPr>
        <w:pStyle w:val="BodyText"/>
      </w:pPr>
      <w:r>
        <w:t>Snapshot or golden-master tests can detect unintended wording changes, but they must not be the only tests. A snapshot may approve a consistently wrong explanation. Structural assertions must verify reason codes, source values, status, action, limitations, authorization, and versions before comparing rendered text.</w:t>
      </w:r>
    </w:p>
    <w:p>
      <w:pPr>
        <w:pStyle w:val="Heading1"/>
        <w:keepNext/>
      </w:pPr>
      <w:r>
        <w:t>16. Evaluation Report Template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6"/>
              </w:rPr>
              <w:t>Section</w:t>
            </w:r>
          </w:p>
        </w:tc>
        <w:tc>
          <w:tcPr>
            <w:tcW w:type="dxa" w:w="7128"/>
            <w:shd w:fill="1F4E79"/>
            <w:tcMar>
              <w:top w:w="90" w:type="dxa"/>
              <w:start w:w="90" w:type="dxa"/>
              <w:bottom w:w="90" w:type="dxa"/>
              <w:end w:w="90" w:type="dxa"/>
            </w:tcMar>
            <w:vAlign w:val="center"/>
          </w:tcPr>
          <w:p>
            <w:pPr>
              <w:jc w:val="center"/>
            </w:pPr>
            <w:r>
              <w:rPr>
                <w:b/>
                <w:color w:val="FFFFFF"/>
                <w:sz w:val="16"/>
              </w:rPr>
              <w:t>Required content</w:t>
            </w:r>
          </w:p>
        </w:tc>
      </w:tr>
      <w:tr>
        <w:tc>
          <w:tcPr>
            <w:tcW w:type="dxa" w:w="2232"/>
            <w:tcMar>
              <w:top w:w="90" w:type="dxa"/>
              <w:start w:w="90" w:type="dxa"/>
              <w:bottom w:w="90" w:type="dxa"/>
              <w:end w:w="90" w:type="dxa"/>
            </w:tcMar>
            <w:vAlign w:val="top"/>
          </w:tcPr>
          <w:p>
            <w:pPr>
              <w:pStyle w:val="BodyText"/>
              <w:spacing w:after="0"/>
            </w:pPr>
            <w:r>
              <w:rPr>
                <w:sz w:val="16"/>
              </w:rPr>
              <w:t>Scope</w:t>
            </w:r>
          </w:p>
        </w:tc>
        <w:tc>
          <w:tcPr>
            <w:tcW w:type="dxa" w:w="7128"/>
            <w:tcMar>
              <w:top w:w="90" w:type="dxa"/>
              <w:start w:w="90" w:type="dxa"/>
              <w:bottom w:w="90" w:type="dxa"/>
              <w:end w:w="90" w:type="dxa"/>
            </w:tcMar>
            <w:vAlign w:val="top"/>
          </w:tcPr>
          <w:p>
            <w:pPr>
              <w:pStyle w:val="BodyText"/>
              <w:spacing w:after="0"/>
            </w:pPr>
            <w:r>
              <w:rPr>
                <w:sz w:val="16"/>
              </w:rPr>
              <w:t>System version, rule/model/template versions, audience projections, channels, and exclusions.</w:t>
            </w:r>
          </w:p>
        </w:tc>
      </w:tr>
      <w:tr>
        <w:tc>
          <w:tcPr>
            <w:tcW w:type="dxa" w:w="2232"/>
            <w:tcMar>
              <w:top w:w="90" w:type="dxa"/>
              <w:start w:w="90" w:type="dxa"/>
              <w:bottom w:w="90" w:type="dxa"/>
              <w:end w:w="90" w:type="dxa"/>
            </w:tcMar>
            <w:vAlign w:val="top"/>
            <w:shd w:fill="F8FBFD"/>
          </w:tcPr>
          <w:p>
            <w:pPr>
              <w:pStyle w:val="BodyText"/>
              <w:spacing w:after="0"/>
            </w:pPr>
            <w:r>
              <w:rPr>
                <w:sz w:val="16"/>
              </w:rPr>
              <w:t>Methods</w:t>
            </w:r>
          </w:p>
        </w:tc>
        <w:tc>
          <w:tcPr>
            <w:tcW w:type="dxa" w:w="7128"/>
            <w:tcMar>
              <w:top w:w="90" w:type="dxa"/>
              <w:start w:w="90" w:type="dxa"/>
              <w:bottom w:w="90" w:type="dxa"/>
              <w:end w:w="90" w:type="dxa"/>
            </w:tcMar>
            <w:vAlign w:val="top"/>
            <w:shd w:fill="F8FBFD"/>
          </w:tcPr>
          <w:p>
            <w:pPr>
              <w:pStyle w:val="BodyText"/>
              <w:spacing w:after="0"/>
            </w:pPr>
            <w:r>
              <w:rPr>
                <w:sz w:val="16"/>
              </w:rPr>
              <w:t>Automated tests, scenarios, reviewers, participant tasks, instruments, and analysis.</w:t>
            </w:r>
          </w:p>
        </w:tc>
      </w:tr>
      <w:tr>
        <w:tc>
          <w:tcPr>
            <w:tcW w:type="dxa" w:w="2232"/>
            <w:tcMar>
              <w:top w:w="90" w:type="dxa"/>
              <w:start w:w="90" w:type="dxa"/>
              <w:bottom w:w="90" w:type="dxa"/>
              <w:end w:w="90" w:type="dxa"/>
            </w:tcMar>
            <w:vAlign w:val="top"/>
          </w:tcPr>
          <w:p>
            <w:pPr>
              <w:pStyle w:val="BodyText"/>
              <w:spacing w:after="0"/>
            </w:pPr>
            <w:r>
              <w:rPr>
                <w:sz w:val="16"/>
              </w:rPr>
              <w:t>Test data</w:t>
            </w:r>
          </w:p>
        </w:tc>
        <w:tc>
          <w:tcPr>
            <w:tcW w:type="dxa" w:w="7128"/>
            <w:tcMar>
              <w:top w:w="90" w:type="dxa"/>
              <w:start w:w="90" w:type="dxa"/>
              <w:bottom w:w="90" w:type="dxa"/>
              <w:end w:w="90" w:type="dxa"/>
            </w:tcMar>
            <w:vAlign w:val="top"/>
          </w:tcPr>
          <w:p>
            <w:pPr>
              <w:pStyle w:val="BodyText"/>
              <w:spacing w:after="0"/>
            </w:pPr>
            <w:r>
              <w:rPr>
                <w:sz w:val="16"/>
              </w:rPr>
              <w:t>Synthetic/de-identified case design, boundary values, and representativeness limitations.</w:t>
            </w:r>
          </w:p>
        </w:tc>
      </w:tr>
      <w:tr>
        <w:tc>
          <w:tcPr>
            <w:tcW w:type="dxa" w:w="2232"/>
            <w:tcMar>
              <w:top w:w="90" w:type="dxa"/>
              <w:start w:w="90" w:type="dxa"/>
              <w:bottom w:w="90" w:type="dxa"/>
              <w:end w:w="90" w:type="dxa"/>
            </w:tcMar>
            <w:vAlign w:val="top"/>
            <w:shd w:fill="F8FBFD"/>
          </w:tcPr>
          <w:p>
            <w:pPr>
              <w:pStyle w:val="BodyText"/>
              <w:spacing w:after="0"/>
            </w:pPr>
            <w:r>
              <w:rPr>
                <w:sz w:val="16"/>
              </w:rPr>
              <w:t>Results</w:t>
            </w:r>
          </w:p>
        </w:tc>
        <w:tc>
          <w:tcPr>
            <w:tcW w:type="dxa" w:w="7128"/>
            <w:tcMar>
              <w:top w:w="90" w:type="dxa"/>
              <w:start w:w="90" w:type="dxa"/>
              <w:bottom w:w="90" w:type="dxa"/>
              <w:end w:w="90" w:type="dxa"/>
            </w:tcMar>
            <w:vAlign w:val="top"/>
            <w:shd w:fill="F8FBFD"/>
          </w:tcPr>
          <w:p>
            <w:pPr>
              <w:pStyle w:val="BodyText"/>
              <w:spacing w:after="0"/>
            </w:pPr>
            <w:r>
              <w:rPr>
                <w:sz w:val="16"/>
              </w:rPr>
              <w:t>Pass rates, comprehension, task success, critical errors, qualitative themes, and screenshots where approved.</w:t>
            </w:r>
          </w:p>
        </w:tc>
      </w:tr>
      <w:tr>
        <w:tc>
          <w:tcPr>
            <w:tcW w:type="dxa" w:w="2232"/>
            <w:tcMar>
              <w:top w:w="90" w:type="dxa"/>
              <w:start w:w="90" w:type="dxa"/>
              <w:bottom w:w="90" w:type="dxa"/>
              <w:end w:w="90" w:type="dxa"/>
            </w:tcMar>
            <w:vAlign w:val="top"/>
          </w:tcPr>
          <w:p>
            <w:pPr>
              <w:pStyle w:val="BodyText"/>
              <w:spacing w:after="0"/>
            </w:pPr>
            <w:r>
              <w:rPr>
                <w:sz w:val="16"/>
              </w:rPr>
              <w:t>Defects</w:t>
            </w:r>
          </w:p>
        </w:tc>
        <w:tc>
          <w:tcPr>
            <w:tcW w:type="dxa" w:w="7128"/>
            <w:tcMar>
              <w:top w:w="90" w:type="dxa"/>
              <w:start w:w="90" w:type="dxa"/>
              <w:bottom w:w="90" w:type="dxa"/>
              <w:end w:w="90" w:type="dxa"/>
            </w:tcMar>
            <w:vAlign w:val="top"/>
          </w:tcPr>
          <w:p>
            <w:pPr>
              <w:pStyle w:val="BodyText"/>
              <w:spacing w:after="0"/>
            </w:pPr>
            <w:r>
              <w:rPr>
                <w:sz w:val="16"/>
              </w:rPr>
              <w:t>Severity, root cause, affected versions, corrective action, and regression evidence.</w:t>
            </w:r>
          </w:p>
        </w:tc>
      </w:tr>
      <w:tr>
        <w:tc>
          <w:tcPr>
            <w:tcW w:type="dxa" w:w="2232"/>
            <w:tcMar>
              <w:top w:w="90" w:type="dxa"/>
              <w:start w:w="90" w:type="dxa"/>
              <w:bottom w:w="90" w:type="dxa"/>
              <w:end w:w="90" w:type="dxa"/>
            </w:tcMar>
            <w:vAlign w:val="top"/>
            <w:shd w:fill="F8FBFD"/>
          </w:tcPr>
          <w:p>
            <w:pPr>
              <w:pStyle w:val="BodyText"/>
              <w:spacing w:after="0"/>
            </w:pPr>
            <w:r>
              <w:rPr>
                <w:sz w:val="16"/>
              </w:rPr>
              <w:t>Limitations</w:t>
            </w:r>
          </w:p>
        </w:tc>
        <w:tc>
          <w:tcPr>
            <w:tcW w:type="dxa" w:w="7128"/>
            <w:tcMar>
              <w:top w:w="90" w:type="dxa"/>
              <w:start w:w="90" w:type="dxa"/>
              <w:bottom w:w="90" w:type="dxa"/>
              <w:end w:w="90" w:type="dxa"/>
            </w:tcMar>
            <w:vAlign w:val="top"/>
            <w:shd w:fill="F8FBFD"/>
          </w:tcPr>
          <w:p>
            <w:pPr>
              <w:pStyle w:val="BodyText"/>
              <w:spacing w:after="0"/>
            </w:pPr>
            <w:r>
              <w:rPr>
                <w:sz w:val="16"/>
              </w:rPr>
              <w:t>Sample size, reviewer availability, absence of clinical outcome study, local context, and remaining uncertainty.</w:t>
            </w:r>
          </w:p>
        </w:tc>
      </w:tr>
      <w:tr>
        <w:tc>
          <w:tcPr>
            <w:tcW w:type="dxa" w:w="2232"/>
            <w:tcMar>
              <w:top w:w="90" w:type="dxa"/>
              <w:start w:w="90" w:type="dxa"/>
              <w:bottom w:w="90" w:type="dxa"/>
              <w:end w:w="90" w:type="dxa"/>
            </w:tcMar>
            <w:vAlign w:val="top"/>
          </w:tcPr>
          <w:p>
            <w:pPr>
              <w:pStyle w:val="BodyText"/>
              <w:spacing w:after="0"/>
            </w:pPr>
            <w:r>
              <w:rPr>
                <w:sz w:val="16"/>
              </w:rPr>
              <w:t>Release decision</w:t>
            </w:r>
          </w:p>
        </w:tc>
        <w:tc>
          <w:tcPr>
            <w:tcW w:type="dxa" w:w="7128"/>
            <w:tcMar>
              <w:top w:w="90" w:type="dxa"/>
              <w:start w:w="90" w:type="dxa"/>
              <w:bottom w:w="90" w:type="dxa"/>
              <w:end w:w="90" w:type="dxa"/>
            </w:tcMar>
            <w:vAlign w:val="top"/>
          </w:tcPr>
          <w:p>
            <w:pPr>
              <w:pStyle w:val="BodyText"/>
              <w:spacing w:after="0"/>
            </w:pPr>
            <w:r>
              <w:rPr>
                <w:sz w:val="16"/>
              </w:rPr>
              <w:t>Approved, conditionally approved, or blocked; named responsible reviewers and date.</w:t>
            </w:r>
          </w:p>
        </w:tc>
      </w:tr>
      <w:tr>
        <w:tc>
          <w:tcPr>
            <w:tcW w:type="dxa" w:w="2232"/>
            <w:tcMar>
              <w:top w:w="90" w:type="dxa"/>
              <w:start w:w="90" w:type="dxa"/>
              <w:bottom w:w="90" w:type="dxa"/>
              <w:end w:w="90" w:type="dxa"/>
            </w:tcMar>
            <w:vAlign w:val="top"/>
            <w:shd w:fill="F8FBFD"/>
          </w:tcPr>
          <w:p>
            <w:pPr>
              <w:pStyle w:val="BodyText"/>
              <w:spacing w:after="0"/>
            </w:pPr>
            <w:r>
              <w:rPr>
                <w:sz w:val="16"/>
              </w:rPr>
              <w:t>Next review</w:t>
            </w:r>
          </w:p>
        </w:tc>
        <w:tc>
          <w:tcPr>
            <w:tcW w:type="dxa" w:w="7128"/>
            <w:tcMar>
              <w:top w:w="90" w:type="dxa"/>
              <w:start w:w="90" w:type="dxa"/>
              <w:bottom w:w="90" w:type="dxa"/>
              <w:end w:w="90" w:type="dxa"/>
            </w:tcMar>
            <w:vAlign w:val="top"/>
            <w:shd w:fill="F8FBFD"/>
          </w:tcPr>
          <w:p>
            <w:pPr>
              <w:pStyle w:val="BodyText"/>
              <w:spacing w:after="0"/>
            </w:pPr>
            <w:r>
              <w:rPr>
                <w:sz w:val="16"/>
              </w:rPr>
              <w:t>Trigger or scheduled review after data, model, rule, template, or workflow change.</w:t>
            </w:r>
          </w:p>
        </w:tc>
      </w:tr>
    </w:tbl>
    <w:p>
      <w:pPr>
        <w:spacing w:after="0"/>
      </w:pPr>
    </w:p>
    <w:p>
      <w:pPr>
        <w:pStyle w:val="Heading1"/>
        <w:keepNext/>
      </w:pPr>
      <w:r>
        <w:t>17. Governance Responsibilities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736"/>
            <w:shd w:fill="1F4E79"/>
            <w:tcMar>
              <w:top w:w="90" w:type="dxa"/>
              <w:start w:w="90" w:type="dxa"/>
              <w:bottom w:w="90" w:type="dxa"/>
              <w:end w:w="90" w:type="dxa"/>
            </w:tcMar>
            <w:vAlign w:val="center"/>
          </w:tcPr>
          <w:p>
            <w:pPr>
              <w:jc w:val="center"/>
            </w:pPr>
            <w:r>
              <w:rPr>
                <w:b/>
                <w:color w:val="FFFFFF"/>
                <w:sz w:val="16"/>
              </w:rPr>
              <w:t>Role</w:t>
            </w:r>
          </w:p>
        </w:tc>
        <w:tc>
          <w:tcPr>
            <w:tcW w:type="dxa" w:w="6624"/>
            <w:shd w:fill="1F4E79"/>
            <w:tcMar>
              <w:top w:w="90" w:type="dxa"/>
              <w:start w:w="90" w:type="dxa"/>
              <w:bottom w:w="90" w:type="dxa"/>
              <w:end w:w="90" w:type="dxa"/>
            </w:tcMar>
            <w:vAlign w:val="center"/>
          </w:tcPr>
          <w:p>
            <w:pPr>
              <w:jc w:val="center"/>
            </w:pPr>
            <w:r>
              <w:rPr>
                <w:b/>
                <w:color w:val="FFFFFF"/>
                <w:sz w:val="16"/>
              </w:rPr>
              <w:t>Responsibilities</w:t>
            </w:r>
          </w:p>
        </w:tc>
      </w:tr>
      <w:tr>
        <w:tc>
          <w:tcPr>
            <w:tcW w:type="dxa" w:w="2736"/>
            <w:tcMar>
              <w:top w:w="90" w:type="dxa"/>
              <w:start w:w="90" w:type="dxa"/>
              <w:bottom w:w="90" w:type="dxa"/>
              <w:end w:w="90" w:type="dxa"/>
            </w:tcMar>
            <w:vAlign w:val="top"/>
          </w:tcPr>
          <w:p>
            <w:pPr>
              <w:pStyle w:val="BodyText"/>
              <w:spacing w:after="0"/>
            </w:pPr>
            <w:r>
              <w:rPr>
                <w:sz w:val="16"/>
              </w:rPr>
              <w:t>Clinical content owner</w:t>
            </w:r>
          </w:p>
        </w:tc>
        <w:tc>
          <w:tcPr>
            <w:tcW w:type="dxa" w:w="6624"/>
            <w:tcMar>
              <w:top w:w="90" w:type="dxa"/>
              <w:start w:w="90" w:type="dxa"/>
              <w:bottom w:w="90" w:type="dxa"/>
              <w:end w:w="90" w:type="dxa"/>
            </w:tcMar>
            <w:vAlign w:val="top"/>
          </w:tcPr>
          <w:p>
            <w:pPr>
              <w:pStyle w:val="BodyText"/>
              <w:spacing w:after="0"/>
            </w:pPr>
            <w:r>
              <w:rPr>
                <w:sz w:val="16"/>
              </w:rPr>
              <w:t>Approves rule explanations, urgency, referral language, limitations, and patient communication.</w:t>
            </w:r>
          </w:p>
        </w:tc>
      </w:tr>
      <w:tr>
        <w:tc>
          <w:tcPr>
            <w:tcW w:type="dxa" w:w="2736"/>
            <w:tcMar>
              <w:top w:w="90" w:type="dxa"/>
              <w:start w:w="90" w:type="dxa"/>
              <w:bottom w:w="90" w:type="dxa"/>
              <w:end w:w="90" w:type="dxa"/>
            </w:tcMar>
            <w:vAlign w:val="top"/>
            <w:shd w:fill="F8FBFD"/>
          </w:tcPr>
          <w:p>
            <w:pPr>
              <w:pStyle w:val="BodyText"/>
              <w:spacing w:after="0"/>
            </w:pPr>
            <w:r>
              <w:rPr>
                <w:sz w:val="16"/>
              </w:rPr>
              <w:t>Technical owner</w:t>
            </w:r>
          </w:p>
        </w:tc>
        <w:tc>
          <w:tcPr>
            <w:tcW w:type="dxa" w:w="6624"/>
            <w:tcMar>
              <w:top w:w="90" w:type="dxa"/>
              <w:start w:w="90" w:type="dxa"/>
              <w:bottom w:w="90" w:type="dxa"/>
              <w:end w:w="90" w:type="dxa"/>
            </w:tcMar>
            <w:vAlign w:val="top"/>
            <w:shd w:fill="F8FBFD"/>
          </w:tcPr>
          <w:p>
            <w:pPr>
              <w:pStyle w:val="BodyText"/>
              <w:spacing w:after="0"/>
            </w:pPr>
            <w:r>
              <w:rPr>
                <w:sz w:val="16"/>
              </w:rPr>
              <w:t>Maintains tests, contracts, traceability, monitoring, and reproducible builds.</w:t>
            </w:r>
          </w:p>
        </w:tc>
      </w:tr>
      <w:tr>
        <w:tc>
          <w:tcPr>
            <w:tcW w:type="dxa" w:w="2736"/>
            <w:tcMar>
              <w:top w:w="90" w:type="dxa"/>
              <w:start w:w="90" w:type="dxa"/>
              <w:bottom w:w="90" w:type="dxa"/>
              <w:end w:w="90" w:type="dxa"/>
            </w:tcMar>
            <w:vAlign w:val="top"/>
          </w:tcPr>
          <w:p>
            <w:pPr>
              <w:pStyle w:val="BodyText"/>
              <w:spacing w:after="0"/>
            </w:pPr>
            <w:r>
              <w:rPr>
                <w:sz w:val="16"/>
              </w:rPr>
              <w:t>Quality evaluator</w:t>
            </w:r>
          </w:p>
        </w:tc>
        <w:tc>
          <w:tcPr>
            <w:tcW w:type="dxa" w:w="6624"/>
            <w:tcMar>
              <w:top w:w="90" w:type="dxa"/>
              <w:start w:w="90" w:type="dxa"/>
              <w:bottom w:w="90" w:type="dxa"/>
              <w:end w:w="90" w:type="dxa"/>
            </w:tcMar>
            <w:vAlign w:val="top"/>
          </w:tcPr>
          <w:p>
            <w:pPr>
              <w:pStyle w:val="BodyText"/>
              <w:spacing w:after="0"/>
            </w:pPr>
            <w:r>
              <w:rPr>
                <w:sz w:val="16"/>
              </w:rPr>
              <w:t>Plans scenarios, records evidence, manages defects, and confirms regression closure.</w:t>
            </w:r>
          </w:p>
        </w:tc>
      </w:tr>
      <w:tr>
        <w:tc>
          <w:tcPr>
            <w:tcW w:type="dxa" w:w="2736"/>
            <w:tcMar>
              <w:top w:w="90" w:type="dxa"/>
              <w:start w:w="90" w:type="dxa"/>
              <w:bottom w:w="90" w:type="dxa"/>
              <w:end w:w="90" w:type="dxa"/>
            </w:tcMar>
            <w:vAlign w:val="top"/>
            <w:shd w:fill="F8FBFD"/>
          </w:tcPr>
          <w:p>
            <w:pPr>
              <w:pStyle w:val="BodyText"/>
              <w:spacing w:after="0"/>
            </w:pPr>
            <w:r>
              <w:rPr>
                <w:sz w:val="16"/>
              </w:rPr>
              <w:t>Privacy/security owner</w:t>
            </w:r>
          </w:p>
        </w:tc>
        <w:tc>
          <w:tcPr>
            <w:tcW w:type="dxa" w:w="6624"/>
            <w:tcMar>
              <w:top w:w="90" w:type="dxa"/>
              <w:start w:w="90" w:type="dxa"/>
              <w:bottom w:w="90" w:type="dxa"/>
              <w:end w:w="90" w:type="dxa"/>
            </w:tcMar>
            <w:vAlign w:val="top"/>
            <w:shd w:fill="F8FBFD"/>
          </w:tcPr>
          <w:p>
            <w:pPr>
              <w:pStyle w:val="BodyText"/>
              <w:spacing w:after="0"/>
            </w:pPr>
            <w:r>
              <w:rPr>
                <w:sz w:val="16"/>
              </w:rPr>
              <w:t>Reviews role projections, logs, exports, notifications, and test-data handling.</w:t>
            </w:r>
          </w:p>
        </w:tc>
      </w:tr>
      <w:tr>
        <w:tc>
          <w:tcPr>
            <w:tcW w:type="dxa" w:w="2736"/>
            <w:tcMar>
              <w:top w:w="90" w:type="dxa"/>
              <w:start w:w="90" w:type="dxa"/>
              <w:bottom w:w="90" w:type="dxa"/>
              <w:end w:w="90" w:type="dxa"/>
            </w:tcMar>
            <w:vAlign w:val="top"/>
          </w:tcPr>
          <w:p>
            <w:pPr>
              <w:pStyle w:val="BodyText"/>
              <w:spacing w:after="0"/>
            </w:pPr>
            <w:r>
              <w:rPr>
                <w:sz w:val="16"/>
              </w:rPr>
              <w:t>Project adviser/panel</w:t>
            </w:r>
          </w:p>
        </w:tc>
        <w:tc>
          <w:tcPr>
            <w:tcW w:type="dxa" w:w="6624"/>
            <w:tcMar>
              <w:top w:w="90" w:type="dxa"/>
              <w:start w:w="90" w:type="dxa"/>
              <w:bottom w:w="90" w:type="dxa"/>
              <w:end w:w="90" w:type="dxa"/>
            </w:tcMar>
            <w:vAlign w:val="top"/>
          </w:tcPr>
          <w:p>
            <w:pPr>
              <w:pStyle w:val="BodyText"/>
              <w:spacing w:after="0"/>
            </w:pPr>
            <w:r>
              <w:rPr>
                <w:sz w:val="16"/>
              </w:rPr>
              <w:t>Reviews methodological appropriateness, limitations, and whether conclusions match evidence.</w:t>
            </w:r>
          </w:p>
        </w:tc>
      </w:tr>
      <w:tr>
        <w:tc>
          <w:tcPr>
            <w:tcW w:type="dxa" w:w="2736"/>
            <w:tcMar>
              <w:top w:w="90" w:type="dxa"/>
              <w:start w:w="90" w:type="dxa"/>
              <w:bottom w:w="90" w:type="dxa"/>
              <w:end w:w="90" w:type="dxa"/>
            </w:tcMar>
            <w:vAlign w:val="top"/>
            <w:shd w:fill="F8FBFD"/>
          </w:tcPr>
          <w:p>
            <w:pPr>
              <w:pStyle w:val="BodyText"/>
              <w:spacing w:after="0"/>
            </w:pPr>
            <w:r>
              <w:rPr>
                <w:sz w:val="16"/>
              </w:rPr>
              <w:t>Clinic leadership</w:t>
            </w:r>
          </w:p>
        </w:tc>
        <w:tc>
          <w:tcPr>
            <w:tcW w:type="dxa" w:w="6624"/>
            <w:tcMar>
              <w:top w:w="90" w:type="dxa"/>
              <w:start w:w="90" w:type="dxa"/>
              <w:bottom w:w="90" w:type="dxa"/>
              <w:end w:w="90" w:type="dxa"/>
            </w:tcMar>
            <w:vAlign w:val="top"/>
            <w:shd w:fill="F8FBFD"/>
          </w:tcPr>
          <w:p>
            <w:pPr>
              <w:pStyle w:val="BodyText"/>
              <w:spacing w:after="0"/>
            </w:pPr>
            <w:r>
              <w:rPr>
                <w:sz w:val="16"/>
              </w:rPr>
              <w:t>Determines local workflow acceptance, training, escalation, and suspension conditions.</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9C6500"/>
              </w:rPr>
              <w:t>Change-control rule</w:t>
            </w:r>
            <w:r>
              <w:br/>
              <w:t>Any change to a rule, model feature contract, recommendation, explanation template, localization, audience authorization, or referral output must trigger impact analysis and the relevant subset of regression, clinical, usability, privacy, and audit tests.</w:t>
            </w:r>
          </w:p>
        </w:tc>
      </w:tr>
    </w:tbl>
    <w:p>
      <w:pPr>
        <w:spacing w:after="0"/>
      </w:pPr>
    </w:p>
    <w:p>
      <w:pPr>
        <w:pStyle w:val="Heading1"/>
        <w:keepNext/>
      </w:pPr>
      <w:r>
        <w:t>18. Implementation Roadmap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72"/>
            <w:shd w:fill="1F4E79"/>
            <w:tcMar>
              <w:top w:w="90" w:type="dxa"/>
              <w:start w:w="90" w:type="dxa"/>
              <w:bottom w:w="90" w:type="dxa"/>
              <w:end w:w="90" w:type="dxa"/>
            </w:tcMar>
            <w:vAlign w:val="center"/>
          </w:tcPr>
          <w:p>
            <w:pPr>
              <w:jc w:val="center"/>
            </w:pPr>
            <w:r>
              <w:rPr>
                <w:b/>
                <w:color w:val="FFFFFF"/>
                <w:sz w:val="16"/>
              </w:rPr>
              <w:t>Phase</w:t>
            </w:r>
          </w:p>
        </w:tc>
        <w:tc>
          <w:tcPr>
            <w:tcW w:type="dxa" w:w="4320"/>
            <w:shd w:fill="1F4E79"/>
            <w:tcMar>
              <w:top w:w="90" w:type="dxa"/>
              <w:start w:w="90" w:type="dxa"/>
              <w:bottom w:w="90" w:type="dxa"/>
              <w:end w:w="90" w:type="dxa"/>
            </w:tcMar>
            <w:vAlign w:val="center"/>
          </w:tcPr>
          <w:p>
            <w:pPr>
              <w:jc w:val="center"/>
            </w:pPr>
            <w:r>
              <w:rPr>
                <w:b/>
                <w:color w:val="FFFFFF"/>
                <w:sz w:val="16"/>
              </w:rPr>
              <w:t>Deliverable</w:t>
            </w:r>
          </w:p>
        </w:tc>
        <w:tc>
          <w:tcPr>
            <w:tcW w:type="dxa" w:w="3168"/>
            <w:shd w:fill="1F4E79"/>
            <w:tcMar>
              <w:top w:w="90" w:type="dxa"/>
              <w:start w:w="90" w:type="dxa"/>
              <w:bottom w:w="90" w:type="dxa"/>
              <w:end w:w="90" w:type="dxa"/>
            </w:tcMar>
            <w:vAlign w:val="center"/>
          </w:tcPr>
          <w:p>
            <w:pPr>
              <w:jc w:val="center"/>
            </w:pPr>
            <w:r>
              <w:rPr>
                <w:b/>
                <w:color w:val="FFFFFF"/>
                <w:sz w:val="16"/>
              </w:rPr>
              <w:t>Exit condition</w:t>
            </w:r>
          </w:p>
        </w:tc>
      </w:tr>
      <w:tr>
        <w:tc>
          <w:tcPr>
            <w:tcW w:type="dxa" w:w="1872"/>
            <w:tcMar>
              <w:top w:w="90" w:type="dxa"/>
              <w:start w:w="90" w:type="dxa"/>
              <w:bottom w:w="90" w:type="dxa"/>
              <w:end w:w="90" w:type="dxa"/>
            </w:tcMar>
            <w:vAlign w:val="top"/>
          </w:tcPr>
          <w:p>
            <w:pPr>
              <w:pStyle w:val="BodyText"/>
              <w:spacing w:after="0"/>
            </w:pPr>
            <w:r>
              <w:rPr>
                <w:sz w:val="16"/>
              </w:rPr>
              <w:t>1. Baseline contract</w:t>
            </w:r>
          </w:p>
        </w:tc>
        <w:tc>
          <w:tcPr>
            <w:tcW w:type="dxa" w:w="4320"/>
            <w:tcMar>
              <w:top w:w="90" w:type="dxa"/>
              <w:start w:w="90" w:type="dxa"/>
              <w:bottom w:w="90" w:type="dxa"/>
              <w:end w:w="90" w:type="dxa"/>
            </w:tcMar>
            <w:vAlign w:val="top"/>
          </w:tcPr>
          <w:p>
            <w:pPr>
              <w:pStyle w:val="BodyText"/>
              <w:spacing w:after="0"/>
            </w:pPr>
            <w:r>
              <w:rPr>
                <w:sz w:val="16"/>
              </w:rPr>
              <w:t>Approved quality dimensions, reason inventory, audience requirements, and defect severity.</w:t>
            </w:r>
          </w:p>
        </w:tc>
        <w:tc>
          <w:tcPr>
            <w:tcW w:type="dxa" w:w="3168"/>
            <w:tcMar>
              <w:top w:w="90" w:type="dxa"/>
              <w:start w:w="90" w:type="dxa"/>
              <w:bottom w:w="90" w:type="dxa"/>
              <w:end w:w="90" w:type="dxa"/>
            </w:tcMar>
            <w:vAlign w:val="top"/>
          </w:tcPr>
          <w:p>
            <w:pPr>
              <w:pStyle w:val="BodyText"/>
              <w:spacing w:after="0"/>
            </w:pPr>
            <w:r>
              <w:rPr>
                <w:sz w:val="16"/>
              </w:rPr>
              <w:t>Stakeholders agree on what constitutes a safe explanation.</w:t>
            </w:r>
          </w:p>
        </w:tc>
      </w:tr>
      <w:tr>
        <w:tc>
          <w:tcPr>
            <w:tcW w:type="dxa" w:w="1872"/>
            <w:tcMar>
              <w:top w:w="90" w:type="dxa"/>
              <w:start w:w="90" w:type="dxa"/>
              <w:bottom w:w="90" w:type="dxa"/>
              <w:end w:w="90" w:type="dxa"/>
            </w:tcMar>
            <w:vAlign w:val="top"/>
            <w:shd w:fill="F8FBFD"/>
          </w:tcPr>
          <w:p>
            <w:pPr>
              <w:pStyle w:val="BodyText"/>
              <w:spacing w:after="0"/>
            </w:pPr>
            <w:r>
              <w:rPr>
                <w:sz w:val="16"/>
              </w:rPr>
              <w:t>2. Automated validators</w:t>
            </w:r>
          </w:p>
        </w:tc>
        <w:tc>
          <w:tcPr>
            <w:tcW w:type="dxa" w:w="4320"/>
            <w:tcMar>
              <w:top w:w="90" w:type="dxa"/>
              <w:start w:w="90" w:type="dxa"/>
              <w:bottom w:w="90" w:type="dxa"/>
              <w:end w:w="90" w:type="dxa"/>
            </w:tcMar>
            <w:vAlign w:val="top"/>
            <w:shd w:fill="F8FBFD"/>
          </w:tcPr>
          <w:p>
            <w:pPr>
              <w:pStyle w:val="BodyText"/>
              <w:spacing w:after="0"/>
            </w:pPr>
            <w:r>
              <w:rPr>
                <w:sz w:val="16"/>
              </w:rPr>
              <w:t>Canonical and audience projection validation services.</w:t>
            </w:r>
          </w:p>
        </w:tc>
        <w:tc>
          <w:tcPr>
            <w:tcW w:type="dxa" w:w="3168"/>
            <w:tcMar>
              <w:top w:w="90" w:type="dxa"/>
              <w:start w:w="90" w:type="dxa"/>
              <w:bottom w:w="90" w:type="dxa"/>
              <w:end w:w="90" w:type="dxa"/>
            </w:tcMar>
            <w:vAlign w:val="top"/>
            <w:shd w:fill="F8FBFD"/>
          </w:tcPr>
          <w:p>
            <w:pPr>
              <w:pStyle w:val="BodyText"/>
              <w:spacing w:after="0"/>
            </w:pPr>
            <w:r>
              <w:rPr>
                <w:sz w:val="16"/>
              </w:rPr>
              <w:t>Invalid bundles cannot silently render.</w:t>
            </w:r>
          </w:p>
        </w:tc>
      </w:tr>
      <w:tr>
        <w:tc>
          <w:tcPr>
            <w:tcW w:type="dxa" w:w="1872"/>
            <w:tcMar>
              <w:top w:w="90" w:type="dxa"/>
              <w:start w:w="90" w:type="dxa"/>
              <w:bottom w:w="90" w:type="dxa"/>
              <w:end w:w="90" w:type="dxa"/>
            </w:tcMar>
            <w:vAlign w:val="top"/>
          </w:tcPr>
          <w:p>
            <w:pPr>
              <w:pStyle w:val="BodyText"/>
              <w:spacing w:after="0"/>
            </w:pPr>
            <w:r>
              <w:rPr>
                <w:sz w:val="16"/>
              </w:rPr>
              <w:t>3. Regression suite</w:t>
            </w:r>
          </w:p>
        </w:tc>
        <w:tc>
          <w:tcPr>
            <w:tcW w:type="dxa" w:w="4320"/>
            <w:tcMar>
              <w:top w:w="90" w:type="dxa"/>
              <w:start w:w="90" w:type="dxa"/>
              <w:bottom w:w="90" w:type="dxa"/>
              <w:end w:w="90" w:type="dxa"/>
            </w:tcMar>
            <w:vAlign w:val="top"/>
          </w:tcPr>
          <w:p>
            <w:pPr>
              <w:pStyle w:val="BodyText"/>
              <w:spacing w:after="0"/>
            </w:pPr>
            <w:r>
              <w:rPr>
                <w:sz w:val="16"/>
              </w:rPr>
              <w:t>Boundary, combination, missing-data, disagreement, and failure tests.</w:t>
            </w:r>
          </w:p>
        </w:tc>
        <w:tc>
          <w:tcPr>
            <w:tcW w:type="dxa" w:w="3168"/>
            <w:tcMar>
              <w:top w:w="90" w:type="dxa"/>
              <w:start w:w="90" w:type="dxa"/>
              <w:bottom w:w="90" w:type="dxa"/>
              <w:end w:w="90" w:type="dxa"/>
            </w:tcMar>
            <w:vAlign w:val="top"/>
          </w:tcPr>
          <w:p>
            <w:pPr>
              <w:pStyle w:val="BodyText"/>
              <w:spacing w:after="0"/>
            </w:pPr>
            <w:r>
              <w:rPr>
                <w:sz w:val="16"/>
              </w:rPr>
              <w:t>Baseline scenarios pass.</w:t>
            </w:r>
          </w:p>
        </w:tc>
      </w:tr>
      <w:tr>
        <w:tc>
          <w:tcPr>
            <w:tcW w:type="dxa" w:w="1872"/>
            <w:tcMar>
              <w:top w:w="90" w:type="dxa"/>
              <w:start w:w="90" w:type="dxa"/>
              <w:bottom w:w="90" w:type="dxa"/>
              <w:end w:w="90" w:type="dxa"/>
            </w:tcMar>
            <w:vAlign w:val="top"/>
            <w:shd w:fill="F8FBFD"/>
          </w:tcPr>
          <w:p>
            <w:pPr>
              <w:pStyle w:val="BodyText"/>
              <w:spacing w:after="0"/>
            </w:pPr>
            <w:r>
              <w:rPr>
                <w:sz w:val="16"/>
              </w:rPr>
              <w:t>4. Channel parity</w:t>
            </w:r>
          </w:p>
        </w:tc>
        <w:tc>
          <w:tcPr>
            <w:tcW w:type="dxa" w:w="4320"/>
            <w:tcMar>
              <w:top w:w="90" w:type="dxa"/>
              <w:start w:w="90" w:type="dxa"/>
              <w:bottom w:w="90" w:type="dxa"/>
              <w:end w:w="90" w:type="dxa"/>
            </w:tcMar>
            <w:vAlign w:val="top"/>
            <w:shd w:fill="F8FBFD"/>
          </w:tcPr>
          <w:p>
            <w:pPr>
              <w:pStyle w:val="BodyText"/>
              <w:spacing w:after="0"/>
            </w:pPr>
            <w:r>
              <w:rPr>
                <w:sz w:val="16"/>
              </w:rPr>
              <w:t>Web, mobile, print, referral, notification, and audit comparisons.</w:t>
            </w:r>
          </w:p>
        </w:tc>
        <w:tc>
          <w:tcPr>
            <w:tcW w:type="dxa" w:w="3168"/>
            <w:tcMar>
              <w:top w:w="90" w:type="dxa"/>
              <w:start w:w="90" w:type="dxa"/>
              <w:bottom w:w="90" w:type="dxa"/>
              <w:end w:w="90" w:type="dxa"/>
            </w:tcMar>
            <w:vAlign w:val="top"/>
            <w:shd w:fill="F8FBFD"/>
          </w:tcPr>
          <w:p>
            <w:pPr>
              <w:pStyle w:val="BodyText"/>
              <w:spacing w:after="0"/>
            </w:pPr>
            <w:r>
              <w:rPr>
                <w:sz w:val="16"/>
              </w:rPr>
              <w:t>Same explanation ID and required content across channels.</w:t>
            </w:r>
          </w:p>
        </w:tc>
      </w:tr>
      <w:tr>
        <w:tc>
          <w:tcPr>
            <w:tcW w:type="dxa" w:w="1872"/>
            <w:tcMar>
              <w:top w:w="90" w:type="dxa"/>
              <w:start w:w="90" w:type="dxa"/>
              <w:bottom w:w="90" w:type="dxa"/>
              <w:end w:w="90" w:type="dxa"/>
            </w:tcMar>
            <w:vAlign w:val="top"/>
          </w:tcPr>
          <w:p>
            <w:pPr>
              <w:pStyle w:val="BodyText"/>
              <w:spacing w:after="0"/>
            </w:pPr>
            <w:r>
              <w:rPr>
                <w:sz w:val="16"/>
              </w:rPr>
              <w:t>5. Clinical review</w:t>
            </w:r>
          </w:p>
        </w:tc>
        <w:tc>
          <w:tcPr>
            <w:tcW w:type="dxa" w:w="4320"/>
            <w:tcMar>
              <w:top w:w="90" w:type="dxa"/>
              <w:start w:w="90" w:type="dxa"/>
              <w:bottom w:w="90" w:type="dxa"/>
              <w:end w:w="90" w:type="dxa"/>
            </w:tcMar>
            <w:vAlign w:val="top"/>
          </w:tcPr>
          <w:p>
            <w:pPr>
              <w:pStyle w:val="BodyText"/>
              <w:spacing w:after="0"/>
            </w:pPr>
            <w:r>
              <w:rPr>
                <w:sz w:val="16"/>
              </w:rPr>
              <w:t>Structured review of all safety-critical templates and scenarios.</w:t>
            </w:r>
          </w:p>
        </w:tc>
        <w:tc>
          <w:tcPr>
            <w:tcW w:type="dxa" w:w="3168"/>
            <w:tcMar>
              <w:top w:w="90" w:type="dxa"/>
              <w:start w:w="90" w:type="dxa"/>
              <w:bottom w:w="90" w:type="dxa"/>
              <w:end w:w="90" w:type="dxa"/>
            </w:tcMar>
            <w:vAlign w:val="top"/>
          </w:tcPr>
          <w:p>
            <w:pPr>
              <w:pStyle w:val="BodyText"/>
              <w:spacing w:after="0"/>
            </w:pPr>
            <w:r>
              <w:rPr>
                <w:sz w:val="16"/>
              </w:rPr>
              <w:t>No unresolved critical/high clinical wording defect.</w:t>
            </w:r>
          </w:p>
        </w:tc>
      </w:tr>
      <w:tr>
        <w:tc>
          <w:tcPr>
            <w:tcW w:type="dxa" w:w="1872"/>
            <w:tcMar>
              <w:top w:w="90" w:type="dxa"/>
              <w:start w:w="90" w:type="dxa"/>
              <w:bottom w:w="90" w:type="dxa"/>
              <w:end w:w="90" w:type="dxa"/>
            </w:tcMar>
            <w:vAlign w:val="top"/>
            <w:shd w:fill="F8FBFD"/>
          </w:tcPr>
          <w:p>
            <w:pPr>
              <w:pStyle w:val="BodyText"/>
              <w:spacing w:after="0"/>
            </w:pPr>
            <w:r>
              <w:rPr>
                <w:sz w:val="16"/>
              </w:rPr>
              <w:t>6. User evaluation</w:t>
            </w:r>
          </w:p>
        </w:tc>
        <w:tc>
          <w:tcPr>
            <w:tcW w:type="dxa" w:w="4320"/>
            <w:tcMar>
              <w:top w:w="90" w:type="dxa"/>
              <w:start w:w="90" w:type="dxa"/>
              <w:bottom w:w="90" w:type="dxa"/>
              <w:end w:w="90" w:type="dxa"/>
            </w:tcMar>
            <w:vAlign w:val="top"/>
            <w:shd w:fill="F8FBFD"/>
          </w:tcPr>
          <w:p>
            <w:pPr>
              <w:pStyle w:val="BodyText"/>
              <w:spacing w:after="0"/>
            </w:pPr>
            <w:r>
              <w:rPr>
                <w:sz w:val="16"/>
              </w:rPr>
              <w:t>Midwife, administrator, and patient-representative comprehension and task testing.</w:t>
            </w:r>
          </w:p>
        </w:tc>
        <w:tc>
          <w:tcPr>
            <w:tcW w:type="dxa" w:w="3168"/>
            <w:tcMar>
              <w:top w:w="90" w:type="dxa"/>
              <w:start w:w="90" w:type="dxa"/>
              <w:bottom w:w="90" w:type="dxa"/>
              <w:end w:w="90" w:type="dxa"/>
            </w:tcMar>
            <w:vAlign w:val="top"/>
            <w:shd w:fill="F8FBFD"/>
          </w:tcPr>
          <w:p>
            <w:pPr>
              <w:pStyle w:val="BodyText"/>
              <w:spacing w:after="0"/>
            </w:pPr>
            <w:r>
              <w:rPr>
                <w:sz w:val="16"/>
              </w:rPr>
              <w:t>Pilot criteria met or revision cycle completed.</w:t>
            </w:r>
          </w:p>
        </w:tc>
      </w:tr>
      <w:tr>
        <w:tc>
          <w:tcPr>
            <w:tcW w:type="dxa" w:w="1872"/>
            <w:tcMar>
              <w:top w:w="90" w:type="dxa"/>
              <w:start w:w="90" w:type="dxa"/>
              <w:bottom w:w="90" w:type="dxa"/>
              <w:end w:w="90" w:type="dxa"/>
            </w:tcMar>
            <w:vAlign w:val="top"/>
          </w:tcPr>
          <w:p>
            <w:pPr>
              <w:pStyle w:val="BodyText"/>
              <w:spacing w:after="0"/>
            </w:pPr>
            <w:r>
              <w:rPr>
                <w:sz w:val="16"/>
              </w:rPr>
              <w:t>7. Monitoring</w:t>
            </w:r>
          </w:p>
        </w:tc>
        <w:tc>
          <w:tcPr>
            <w:tcW w:type="dxa" w:w="4320"/>
            <w:tcMar>
              <w:top w:w="90" w:type="dxa"/>
              <w:start w:w="90" w:type="dxa"/>
              <w:bottom w:w="90" w:type="dxa"/>
              <w:end w:w="90" w:type="dxa"/>
            </w:tcMar>
            <w:vAlign w:val="top"/>
          </w:tcPr>
          <w:p>
            <w:pPr>
              <w:pStyle w:val="BodyText"/>
              <w:spacing w:after="0"/>
            </w:pPr>
            <w:r>
              <w:rPr>
                <w:sz w:val="16"/>
              </w:rPr>
              <w:t>Quality dashboard, incident categories, stale detection, version tracking.</w:t>
            </w:r>
          </w:p>
        </w:tc>
        <w:tc>
          <w:tcPr>
            <w:tcW w:type="dxa" w:w="3168"/>
            <w:tcMar>
              <w:top w:w="90" w:type="dxa"/>
              <w:start w:w="90" w:type="dxa"/>
              <w:bottom w:w="90" w:type="dxa"/>
              <w:end w:w="90" w:type="dxa"/>
            </w:tcMar>
            <w:vAlign w:val="top"/>
          </w:tcPr>
          <w:p>
            <w:pPr>
              <w:pStyle w:val="BodyText"/>
              <w:spacing w:after="0"/>
            </w:pPr>
            <w:r>
              <w:rPr>
                <w:sz w:val="16"/>
              </w:rPr>
              <w:t>Operational signals and owners established.</w:t>
            </w:r>
          </w:p>
        </w:tc>
      </w:tr>
      <w:tr>
        <w:tc>
          <w:tcPr>
            <w:tcW w:type="dxa" w:w="1872"/>
            <w:tcMar>
              <w:top w:w="90" w:type="dxa"/>
              <w:start w:w="90" w:type="dxa"/>
              <w:bottom w:w="90" w:type="dxa"/>
              <w:end w:w="90" w:type="dxa"/>
            </w:tcMar>
            <w:vAlign w:val="top"/>
            <w:shd w:fill="F8FBFD"/>
          </w:tcPr>
          <w:p>
            <w:pPr>
              <w:pStyle w:val="BodyText"/>
              <w:spacing w:after="0"/>
            </w:pPr>
            <w:r>
              <w:rPr>
                <w:sz w:val="16"/>
              </w:rPr>
              <w:t>8. Governance handoff</w:t>
            </w:r>
          </w:p>
        </w:tc>
        <w:tc>
          <w:tcPr>
            <w:tcW w:type="dxa" w:w="4320"/>
            <w:tcMar>
              <w:top w:w="90" w:type="dxa"/>
              <w:start w:w="90" w:type="dxa"/>
              <w:bottom w:w="90" w:type="dxa"/>
              <w:end w:w="90" w:type="dxa"/>
            </w:tcMar>
            <w:vAlign w:val="top"/>
            <w:shd w:fill="F8FBFD"/>
          </w:tcPr>
          <w:p>
            <w:pPr>
              <w:pStyle w:val="BodyText"/>
              <w:spacing w:after="0"/>
            </w:pPr>
            <w:r>
              <w:rPr>
                <w:sz w:val="16"/>
              </w:rPr>
              <w:t>Evaluation report, known limitations, release decision, and next-review triggers.</w:t>
            </w:r>
          </w:p>
        </w:tc>
        <w:tc>
          <w:tcPr>
            <w:tcW w:type="dxa" w:w="3168"/>
            <w:tcMar>
              <w:top w:w="90" w:type="dxa"/>
              <w:start w:w="90" w:type="dxa"/>
              <w:bottom w:w="90" w:type="dxa"/>
              <w:end w:w="90" w:type="dxa"/>
            </w:tcMar>
            <w:vAlign w:val="top"/>
            <w:shd w:fill="F8FBFD"/>
          </w:tcPr>
          <w:p>
            <w:pPr>
              <w:pStyle w:val="BodyText"/>
              <w:spacing w:after="0"/>
            </w:pPr>
            <w:r>
              <w:rPr>
                <w:sz w:val="16"/>
              </w:rPr>
              <w:t>Controlled deployment or documented non-deployment decision.</w:t>
            </w:r>
          </w:p>
        </w:tc>
      </w:tr>
    </w:tbl>
    <w:p>
      <w:pPr>
        <w:spacing w:after="0"/>
      </w:pPr>
    </w:p>
    <w:p>
      <w:pPr>
        <w:pStyle w:val="Heading1"/>
        <w:keepNext/>
      </w:pPr>
      <w:r>
        <w:t>19. Panel-Defense Questions and Suggested Answers</w:t>
      </w:r>
    </w:p>
    <w:p>
      <w:pPr>
        <w:pStyle w:val="Heading2"/>
        <w:keepNext/>
      </w:pPr>
      <w:r>
        <w:t>How is explanation quality different from model accuracy?</w:t>
      </w:r>
    </w:p>
    <w:p>
      <w:pPr>
        <w:pStyle w:val="BodyText"/>
      </w:pPr>
      <w:r>
        <w:t>Model accuracy evaluates prediction performance against labels. Explanation quality evaluates whether the system truthfully and usefully communicates the actual basis, limitations, and action for an individual result. One can be good while the other is poor.</w:t>
      </w:r>
    </w:p>
    <w:p>
      <w:pPr>
        <w:pStyle w:val="Heading2"/>
        <w:keepNext/>
      </w:pPr>
      <w:r>
        <w:t>Can the prediction be correct while the explanation is wrong?</w:t>
      </w:r>
    </w:p>
    <w:p>
      <w:pPr>
        <w:pStyle w:val="BodyText"/>
      </w:pPr>
      <w:r>
        <w:t>Yes. The class may be HIGH, but the interface could display the wrong reason, value, patient, threshold, or recommendation. That is why explanation fidelity and traceability are tested separately.</w:t>
      </w:r>
    </w:p>
    <w:p>
      <w:pPr>
        <w:pStyle w:val="Heading2"/>
        <w:keepNext/>
      </w:pPr>
      <w:r>
        <w:t>How do you know patients understand the explanation?</w:t>
      </w:r>
    </w:p>
    <w:p>
      <w:pPr>
        <w:pStyle w:val="BodyText"/>
      </w:pPr>
      <w:r>
        <w:t>We do not infer understanding from readability alone. The design uses direct comprehension and action questions, observation, and revision based on recurring misunderstanding. Any pilot result is reported with sample limitations.</w:t>
      </w:r>
    </w:p>
    <w:p>
      <w:pPr>
        <w:pStyle w:val="Heading2"/>
        <w:keepNext/>
      </w:pPr>
      <w:r>
        <w:t>Why require 100% reason recall for HIGH?</w:t>
      </w:r>
    </w:p>
    <w:p>
      <w:pPr>
        <w:pStyle w:val="BodyText"/>
      </w:pPr>
      <w:r>
        <w:t>Omitting a triggered safety-relevant reason can mislead the midwife or receiving facility and weaken independent review. Aggregate averages are not sufficient for a safety-critical explanation contract.</w:t>
      </w:r>
    </w:p>
    <w:p>
      <w:pPr>
        <w:pStyle w:val="Heading2"/>
        <w:keepNext/>
      </w:pPr>
      <w:r>
        <w:t>What if the ML says LOW but a rule says HIGH?</w:t>
      </w:r>
    </w:p>
    <w:p>
      <w:pPr>
        <w:pStyle w:val="BodyText"/>
      </w:pPr>
      <w:r>
        <w:t>The deterministic rule overrides ML. The clinician explanation preserves the disagreement for transparency, while the final action remains HIGH. The patient receives a clear action-focused explanation without confusing technical conflict.</w:t>
      </w:r>
    </w:p>
    <w:p>
      <w:pPr>
        <w:pStyle w:val="Heading2"/>
        <w:keepNext/>
      </w:pPr>
      <w:r>
        <w:t>What happens when the model fails?</w:t>
      </w:r>
    </w:p>
    <w:p>
      <w:pPr>
        <w:pStyle w:val="BodyText"/>
      </w:pPr>
      <w:r>
        <w:t>Invalid, unavailable, malformed, or timed-out output is never converted into LOW. The system follows the approved safe incomplete/failure behavior, records the technical event, and avoids exposing raw errors to patients.</w:t>
      </w:r>
    </w:p>
    <w:p>
      <w:pPr>
        <w:pStyle w:val="Heading2"/>
        <w:keepNext/>
      </w:pPr>
      <w:r>
        <w:t>How will you prevent explanation drift?</w:t>
      </w:r>
    </w:p>
    <w:p>
      <w:pPr>
        <w:pStyle w:val="BodyText"/>
      </w:pPr>
      <w:r>
        <w:t>Every template, rule, model, and feature contract is versioned. Regression tests, channel-parity checks, stale detection, monitoring, and user feedback are repeated after relevant changes.</w:t>
      </w:r>
    </w:p>
    <w:p>
      <w:pPr>
        <w:pStyle w:val="Heading2"/>
        <w:keepNext/>
      </w:pPr>
      <w:r>
        <w:t>Does this prove clinical effectiveness?</w:t>
      </w:r>
    </w:p>
    <w:p>
      <w:pPr>
        <w:pStyle w:val="BodyText"/>
      </w:pPr>
      <w:r>
        <w:t>No. It demonstrates engineering conformance, usability, and explainability quality within the tested prototype context. Clinical outcome effectiveness requires an appropriately designed clinical study and broader validation.</w:t>
      </w:r>
    </w:p>
    <w:p>
      <w:pPr>
        <w:pStyle w:val="Heading2"/>
        <w:keepNext/>
      </w:pPr>
      <w:r>
        <w:t>Why include human review if automated tests pass?</w:t>
      </w:r>
    </w:p>
    <w:p>
      <w:pPr>
        <w:pStyle w:val="BodyText"/>
      </w:pPr>
      <w:r>
        <w:t>Automated tests can verify structure and exact mappings, but they cannot fully judge clinical relevance, understandable wording, cultural meaning, workload, or user interpretation. Both are necessary.</w:t>
      </w:r>
    </w:p>
    <w:p>
      <w:pPr>
        <w:pStyle w:val="Heading2"/>
        <w:keepNext/>
      </w:pPr>
      <w:r>
        <w:t>What is the most serious explainability defect?</w:t>
      </w:r>
    </w:p>
    <w:p>
      <w:pPr>
        <w:pStyle w:val="BodyText"/>
      </w:pPr>
      <w:r>
        <w:t>A defect that changes or conceals the safety meaning: false LOW, missing urgent evidence, wrong patient-specific reason, contradictory action, or an explanation that causes users to rely on the system without independent review.</w:t>
      </w:r>
    </w:p>
    <w:p>
      <w:pPr>
        <w:pStyle w:val="Heading1"/>
        <w:keepNext/>
      </w:pPr>
      <w:r>
        <w:t>20. Consolidated Explainability Quality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1152"/>
            <w:shd w:fill="1F4E79"/>
            <w:tcMar>
              <w:top w:w="90" w:type="dxa"/>
              <w:start w:w="90" w:type="dxa"/>
              <w:bottom w:w="90" w:type="dxa"/>
              <w:end w:w="90" w:type="dxa"/>
            </w:tcMar>
            <w:vAlign w:val="center"/>
          </w:tcPr>
          <w:p>
            <w:pPr>
              <w:jc w:val="center"/>
            </w:pPr>
            <w:r>
              <w:rPr>
                <w:b/>
                <w:color w:val="FFFFFF"/>
                <w:sz w:val="16"/>
              </w:rPr>
              <w:t>ID</w:t>
            </w:r>
          </w:p>
        </w:tc>
        <w:tc>
          <w:tcPr>
            <w:tcW w:type="dxa" w:w="8208"/>
            <w:shd w:fill="1F4E79"/>
            <w:tcMar>
              <w:top w:w="90" w:type="dxa"/>
              <w:start w:w="90" w:type="dxa"/>
              <w:bottom w:w="90" w:type="dxa"/>
              <w:end w:w="90" w:type="dxa"/>
            </w:tcMar>
            <w:vAlign w:val="center"/>
          </w:tcPr>
          <w:p>
            <w:pPr>
              <w:jc w:val="center"/>
            </w:pPr>
            <w:r>
              <w:rPr>
                <w:b/>
                <w:color w:val="FFFFFF"/>
                <w:sz w:val="16"/>
              </w:rPr>
              <w:t>Requirement</w:t>
            </w:r>
          </w:p>
        </w:tc>
      </w:tr>
      <w:tr>
        <w:tc>
          <w:tcPr>
            <w:tcW w:type="dxa" w:w="1152"/>
            <w:tcMar>
              <w:top w:w="90" w:type="dxa"/>
              <w:start w:w="90" w:type="dxa"/>
              <w:bottom w:w="90" w:type="dxa"/>
              <w:end w:w="90" w:type="dxa"/>
            </w:tcMar>
            <w:vAlign w:val="top"/>
          </w:tcPr>
          <w:p>
            <w:pPr>
              <w:pStyle w:val="BodyText"/>
              <w:spacing w:after="0"/>
            </w:pPr>
            <w:r>
              <w:rPr>
                <w:sz w:val="16"/>
              </w:rPr>
              <w:t>EQR-01</w:t>
            </w:r>
          </w:p>
        </w:tc>
        <w:tc>
          <w:tcPr>
            <w:tcW w:type="dxa" w:w="8208"/>
            <w:tcMar>
              <w:top w:w="90" w:type="dxa"/>
              <w:start w:w="90" w:type="dxa"/>
              <w:bottom w:w="90" w:type="dxa"/>
              <w:end w:w="90" w:type="dxa"/>
            </w:tcMar>
            <w:vAlign w:val="top"/>
          </w:tcPr>
          <w:p>
            <w:pPr>
              <w:pStyle w:val="BodyText"/>
              <w:spacing w:after="0"/>
            </w:pPr>
            <w:r>
              <w:rPr>
                <w:sz w:val="16"/>
              </w:rPr>
              <w:t>The explanation layer shall be evaluated independently from model performance.</w:t>
            </w:r>
          </w:p>
        </w:tc>
      </w:tr>
      <w:tr>
        <w:tc>
          <w:tcPr>
            <w:tcW w:type="dxa" w:w="1152"/>
            <w:tcMar>
              <w:top w:w="90" w:type="dxa"/>
              <w:start w:w="90" w:type="dxa"/>
              <w:bottom w:w="90" w:type="dxa"/>
              <w:end w:w="90" w:type="dxa"/>
            </w:tcMar>
            <w:vAlign w:val="top"/>
            <w:shd w:fill="F8FBFD"/>
          </w:tcPr>
          <w:p>
            <w:pPr>
              <w:pStyle w:val="BodyText"/>
              <w:spacing w:after="0"/>
            </w:pPr>
            <w:r>
              <w:rPr>
                <w:sz w:val="16"/>
              </w:rPr>
              <w:t>EQR-02</w:t>
            </w:r>
          </w:p>
        </w:tc>
        <w:tc>
          <w:tcPr>
            <w:tcW w:type="dxa" w:w="8208"/>
            <w:tcMar>
              <w:top w:w="90" w:type="dxa"/>
              <w:start w:w="90" w:type="dxa"/>
              <w:bottom w:w="90" w:type="dxa"/>
              <w:end w:w="90" w:type="dxa"/>
            </w:tcMar>
            <w:vAlign w:val="top"/>
            <w:shd w:fill="F8FBFD"/>
          </w:tcPr>
          <w:p>
            <w:pPr>
              <w:pStyle w:val="BodyText"/>
              <w:spacing w:after="0"/>
            </w:pPr>
            <w:r>
              <w:rPr>
                <w:sz w:val="16"/>
              </w:rPr>
              <w:t>Every displayed reason shall map to actual decision evidence from the same assessment.</w:t>
            </w:r>
          </w:p>
        </w:tc>
      </w:tr>
      <w:tr>
        <w:tc>
          <w:tcPr>
            <w:tcW w:type="dxa" w:w="1152"/>
            <w:tcMar>
              <w:top w:w="90" w:type="dxa"/>
              <w:start w:w="90" w:type="dxa"/>
              <w:bottom w:w="90" w:type="dxa"/>
              <w:end w:w="90" w:type="dxa"/>
            </w:tcMar>
            <w:vAlign w:val="top"/>
          </w:tcPr>
          <w:p>
            <w:pPr>
              <w:pStyle w:val="BodyText"/>
              <w:spacing w:after="0"/>
            </w:pPr>
            <w:r>
              <w:rPr>
                <w:sz w:val="16"/>
              </w:rPr>
              <w:t>EQR-03</w:t>
            </w:r>
          </w:p>
        </w:tc>
        <w:tc>
          <w:tcPr>
            <w:tcW w:type="dxa" w:w="8208"/>
            <w:tcMar>
              <w:top w:w="90" w:type="dxa"/>
              <w:start w:w="90" w:type="dxa"/>
              <w:bottom w:w="90" w:type="dxa"/>
              <w:end w:w="90" w:type="dxa"/>
            </w:tcMar>
            <w:vAlign w:val="top"/>
          </w:tcPr>
          <w:p>
            <w:pPr>
              <w:pStyle w:val="BodyText"/>
              <w:spacing w:after="0"/>
            </w:pPr>
            <w:r>
              <w:rPr>
                <w:sz w:val="16"/>
              </w:rPr>
              <w:t>All safety-relevant triggered reasons shall appear in clinician and referral projections.</w:t>
            </w:r>
          </w:p>
        </w:tc>
      </w:tr>
      <w:tr>
        <w:tc>
          <w:tcPr>
            <w:tcW w:type="dxa" w:w="1152"/>
            <w:tcMar>
              <w:top w:w="90" w:type="dxa"/>
              <w:start w:w="90" w:type="dxa"/>
              <w:bottom w:w="90" w:type="dxa"/>
              <w:end w:w="90" w:type="dxa"/>
            </w:tcMar>
            <w:vAlign w:val="top"/>
            <w:shd w:fill="F8FBFD"/>
          </w:tcPr>
          <w:p>
            <w:pPr>
              <w:pStyle w:val="BodyText"/>
              <w:spacing w:after="0"/>
            </w:pPr>
            <w:r>
              <w:rPr>
                <w:sz w:val="16"/>
              </w:rPr>
              <w:t>EQR-04</w:t>
            </w:r>
          </w:p>
        </w:tc>
        <w:tc>
          <w:tcPr>
            <w:tcW w:type="dxa" w:w="8208"/>
            <w:tcMar>
              <w:top w:w="90" w:type="dxa"/>
              <w:start w:w="90" w:type="dxa"/>
              <w:bottom w:w="90" w:type="dxa"/>
              <w:end w:w="90" w:type="dxa"/>
            </w:tcMar>
            <w:vAlign w:val="top"/>
            <w:shd w:fill="F8FBFD"/>
          </w:tcPr>
          <w:p>
            <w:pPr>
              <w:pStyle w:val="BodyText"/>
              <w:spacing w:after="0"/>
            </w:pPr>
            <w:r>
              <w:rPr>
                <w:sz w:val="16"/>
              </w:rPr>
              <w:t>No explanation shall include an unsupported reason, diagnosis, causal claim, or certainty statement.</w:t>
            </w:r>
          </w:p>
        </w:tc>
      </w:tr>
      <w:tr>
        <w:tc>
          <w:tcPr>
            <w:tcW w:type="dxa" w:w="1152"/>
            <w:tcMar>
              <w:top w:w="90" w:type="dxa"/>
              <w:start w:w="90" w:type="dxa"/>
              <w:bottom w:w="90" w:type="dxa"/>
              <w:end w:w="90" w:type="dxa"/>
            </w:tcMar>
            <w:vAlign w:val="top"/>
          </w:tcPr>
          <w:p>
            <w:pPr>
              <w:pStyle w:val="BodyText"/>
              <w:spacing w:after="0"/>
            </w:pPr>
            <w:r>
              <w:rPr>
                <w:sz w:val="16"/>
              </w:rPr>
              <w:t>EQR-05</w:t>
            </w:r>
          </w:p>
        </w:tc>
        <w:tc>
          <w:tcPr>
            <w:tcW w:type="dxa" w:w="8208"/>
            <w:tcMar>
              <w:top w:w="90" w:type="dxa"/>
              <w:start w:w="90" w:type="dxa"/>
              <w:bottom w:w="90" w:type="dxa"/>
              <w:end w:w="90" w:type="dxa"/>
            </w:tcMar>
            <w:vAlign w:val="top"/>
          </w:tcPr>
          <w:p>
            <w:pPr>
              <w:pStyle w:val="BodyText"/>
              <w:spacing w:after="0"/>
            </w:pPr>
            <w:r>
              <w:rPr>
                <w:sz w:val="16"/>
              </w:rPr>
              <w:t>The final status, recommendation, limitations, and reasons shall be mutually consistent.</w:t>
            </w:r>
          </w:p>
        </w:tc>
      </w:tr>
      <w:tr>
        <w:tc>
          <w:tcPr>
            <w:tcW w:type="dxa" w:w="1152"/>
            <w:tcMar>
              <w:top w:w="90" w:type="dxa"/>
              <w:start w:w="90" w:type="dxa"/>
              <w:bottom w:w="90" w:type="dxa"/>
              <w:end w:w="90" w:type="dxa"/>
            </w:tcMar>
            <w:vAlign w:val="top"/>
            <w:shd w:fill="F8FBFD"/>
          </w:tcPr>
          <w:p>
            <w:pPr>
              <w:pStyle w:val="BodyText"/>
              <w:spacing w:after="0"/>
            </w:pPr>
            <w:r>
              <w:rPr>
                <w:sz w:val="16"/>
              </w:rPr>
              <w:t>EQR-06</w:t>
            </w:r>
          </w:p>
        </w:tc>
        <w:tc>
          <w:tcPr>
            <w:tcW w:type="dxa" w:w="8208"/>
            <w:tcMar>
              <w:top w:w="90" w:type="dxa"/>
              <w:start w:w="90" w:type="dxa"/>
              <w:bottom w:w="90" w:type="dxa"/>
              <w:end w:w="90" w:type="dxa"/>
            </w:tcMar>
            <w:vAlign w:val="top"/>
            <w:shd w:fill="F8FBFD"/>
          </w:tcPr>
          <w:p>
            <w:pPr>
              <w:pStyle w:val="BodyText"/>
              <w:spacing w:after="0"/>
            </w:pPr>
            <w:r>
              <w:rPr>
                <w:sz w:val="16"/>
              </w:rPr>
              <w:t>LOW shall never be displayed unless completeness, valid ML LOW, and absence of deterministic HIGH factors are verified.</w:t>
            </w:r>
          </w:p>
        </w:tc>
      </w:tr>
      <w:tr>
        <w:tc>
          <w:tcPr>
            <w:tcW w:type="dxa" w:w="1152"/>
            <w:tcMar>
              <w:top w:w="90" w:type="dxa"/>
              <w:start w:w="90" w:type="dxa"/>
              <w:bottom w:w="90" w:type="dxa"/>
              <w:end w:w="90" w:type="dxa"/>
            </w:tcMar>
            <w:vAlign w:val="top"/>
          </w:tcPr>
          <w:p>
            <w:pPr>
              <w:pStyle w:val="BodyText"/>
              <w:spacing w:after="0"/>
            </w:pPr>
            <w:r>
              <w:rPr>
                <w:sz w:val="16"/>
              </w:rPr>
              <w:t>EQR-07</w:t>
            </w:r>
          </w:p>
        </w:tc>
        <w:tc>
          <w:tcPr>
            <w:tcW w:type="dxa" w:w="8208"/>
            <w:tcMar>
              <w:top w:w="90" w:type="dxa"/>
              <w:start w:w="90" w:type="dxa"/>
              <w:bottom w:w="90" w:type="dxa"/>
              <w:end w:w="90" w:type="dxa"/>
            </w:tcMar>
            <w:vAlign w:val="top"/>
          </w:tcPr>
          <w:p>
            <w:pPr>
              <w:pStyle w:val="BodyText"/>
              <w:spacing w:after="0"/>
            </w:pPr>
            <w:r>
              <w:rPr>
                <w:sz w:val="16"/>
              </w:rPr>
              <w:t>ASSESSMENT INCOMPLETE shall identify the correct missing or invalid dependency and shall not imply low risk.</w:t>
            </w:r>
          </w:p>
        </w:tc>
      </w:tr>
      <w:tr>
        <w:tc>
          <w:tcPr>
            <w:tcW w:type="dxa" w:w="1152"/>
            <w:tcMar>
              <w:top w:w="90" w:type="dxa"/>
              <w:start w:w="90" w:type="dxa"/>
              <w:bottom w:w="90" w:type="dxa"/>
              <w:end w:w="90" w:type="dxa"/>
            </w:tcMar>
            <w:vAlign w:val="top"/>
            <w:shd w:fill="F8FBFD"/>
          </w:tcPr>
          <w:p>
            <w:pPr>
              <w:pStyle w:val="BodyText"/>
              <w:spacing w:after="0"/>
            </w:pPr>
            <w:r>
              <w:rPr>
                <w:sz w:val="16"/>
              </w:rPr>
              <w:t>EQR-08</w:t>
            </w:r>
          </w:p>
        </w:tc>
        <w:tc>
          <w:tcPr>
            <w:tcW w:type="dxa" w:w="8208"/>
            <w:tcMar>
              <w:top w:w="90" w:type="dxa"/>
              <w:start w:w="90" w:type="dxa"/>
              <w:bottom w:w="90" w:type="dxa"/>
              <w:end w:w="90" w:type="dxa"/>
            </w:tcMar>
            <w:vAlign w:val="top"/>
            <w:shd w:fill="F8FBFD"/>
          </w:tcPr>
          <w:p>
            <w:pPr>
              <w:pStyle w:val="BodyText"/>
              <w:spacing w:after="0"/>
            </w:pPr>
            <w:r>
              <w:rPr>
                <w:sz w:val="16"/>
              </w:rPr>
              <w:t>Rule/ML disagreement shall be handled according to the deterministic override policy and disclosed appropriately to clinicians.</w:t>
            </w:r>
          </w:p>
        </w:tc>
      </w:tr>
      <w:tr>
        <w:tc>
          <w:tcPr>
            <w:tcW w:type="dxa" w:w="1152"/>
            <w:tcMar>
              <w:top w:w="90" w:type="dxa"/>
              <w:start w:w="90" w:type="dxa"/>
              <w:bottom w:w="90" w:type="dxa"/>
              <w:end w:w="90" w:type="dxa"/>
            </w:tcMar>
            <w:vAlign w:val="top"/>
          </w:tcPr>
          <w:p>
            <w:pPr>
              <w:pStyle w:val="BodyText"/>
              <w:spacing w:after="0"/>
            </w:pPr>
            <w:r>
              <w:rPr>
                <w:sz w:val="16"/>
              </w:rPr>
              <w:t>EQR-09</w:t>
            </w:r>
          </w:p>
        </w:tc>
        <w:tc>
          <w:tcPr>
            <w:tcW w:type="dxa" w:w="8208"/>
            <w:tcMar>
              <w:top w:w="90" w:type="dxa"/>
              <w:start w:w="90" w:type="dxa"/>
              <w:bottom w:w="90" w:type="dxa"/>
              <w:end w:w="90" w:type="dxa"/>
            </w:tcMar>
            <w:vAlign w:val="top"/>
          </w:tcPr>
          <w:p>
            <w:pPr>
              <w:pStyle w:val="BodyText"/>
              <w:spacing w:after="0"/>
            </w:pPr>
            <w:r>
              <w:rPr>
                <w:sz w:val="16"/>
              </w:rPr>
              <w:t>Patient-facing explanations shall be evaluated through direct comprehension and action tasks, not readability alone.</w:t>
            </w:r>
          </w:p>
        </w:tc>
      </w:tr>
      <w:tr>
        <w:tc>
          <w:tcPr>
            <w:tcW w:type="dxa" w:w="1152"/>
            <w:tcMar>
              <w:top w:w="90" w:type="dxa"/>
              <w:start w:w="90" w:type="dxa"/>
              <w:bottom w:w="90" w:type="dxa"/>
              <w:end w:w="90" w:type="dxa"/>
            </w:tcMar>
            <w:vAlign w:val="top"/>
            <w:shd w:fill="F8FBFD"/>
          </w:tcPr>
          <w:p>
            <w:pPr>
              <w:pStyle w:val="BodyText"/>
              <w:spacing w:after="0"/>
            </w:pPr>
            <w:r>
              <w:rPr>
                <w:sz w:val="16"/>
              </w:rPr>
              <w:t>EQR-10</w:t>
            </w:r>
          </w:p>
        </w:tc>
        <w:tc>
          <w:tcPr>
            <w:tcW w:type="dxa" w:w="8208"/>
            <w:tcMar>
              <w:top w:w="90" w:type="dxa"/>
              <w:start w:w="90" w:type="dxa"/>
              <w:bottom w:w="90" w:type="dxa"/>
              <w:end w:w="90" w:type="dxa"/>
            </w:tcMar>
            <w:vAlign w:val="top"/>
            <w:shd w:fill="F8FBFD"/>
          </w:tcPr>
          <w:p>
            <w:pPr>
              <w:pStyle w:val="BodyText"/>
              <w:spacing w:after="0"/>
            </w:pPr>
            <w:r>
              <w:rPr>
                <w:sz w:val="16"/>
              </w:rPr>
              <w:t>Each audience projection shall satisfy required-content, prohibited-content, privacy, and authorization rules.</w:t>
            </w:r>
          </w:p>
        </w:tc>
      </w:tr>
      <w:tr>
        <w:tc>
          <w:tcPr>
            <w:tcW w:type="dxa" w:w="1152"/>
            <w:tcMar>
              <w:top w:w="90" w:type="dxa"/>
              <w:start w:w="90" w:type="dxa"/>
              <w:bottom w:w="90" w:type="dxa"/>
              <w:end w:w="90" w:type="dxa"/>
            </w:tcMar>
            <w:vAlign w:val="top"/>
          </w:tcPr>
          <w:p>
            <w:pPr>
              <w:pStyle w:val="BodyText"/>
              <w:spacing w:after="0"/>
            </w:pPr>
            <w:r>
              <w:rPr>
                <w:sz w:val="16"/>
              </w:rPr>
              <w:t>EQR-11</w:t>
            </w:r>
          </w:p>
        </w:tc>
        <w:tc>
          <w:tcPr>
            <w:tcW w:type="dxa" w:w="8208"/>
            <w:tcMar>
              <w:top w:w="90" w:type="dxa"/>
              <w:start w:w="90" w:type="dxa"/>
              <w:bottom w:w="90" w:type="dxa"/>
              <w:end w:w="90" w:type="dxa"/>
            </w:tcMar>
            <w:vAlign w:val="top"/>
          </w:tcPr>
          <w:p>
            <w:pPr>
              <w:pStyle w:val="BodyText"/>
              <w:spacing w:after="0"/>
            </w:pPr>
            <w:r>
              <w:rPr>
                <w:sz w:val="16"/>
              </w:rPr>
              <w:t>Web, print, referral, notification, and audit outputs shall derive from the same canonical explanation.</w:t>
            </w:r>
          </w:p>
        </w:tc>
      </w:tr>
      <w:tr>
        <w:tc>
          <w:tcPr>
            <w:tcW w:type="dxa" w:w="1152"/>
            <w:tcMar>
              <w:top w:w="90" w:type="dxa"/>
              <w:start w:w="90" w:type="dxa"/>
              <w:bottom w:w="90" w:type="dxa"/>
              <w:end w:w="90" w:type="dxa"/>
            </w:tcMar>
            <w:vAlign w:val="top"/>
            <w:shd w:fill="F8FBFD"/>
          </w:tcPr>
          <w:p>
            <w:pPr>
              <w:pStyle w:val="BodyText"/>
              <w:spacing w:after="0"/>
            </w:pPr>
            <w:r>
              <w:rPr>
                <w:sz w:val="16"/>
              </w:rPr>
              <w:t>EQR-12</w:t>
            </w:r>
          </w:p>
        </w:tc>
        <w:tc>
          <w:tcPr>
            <w:tcW w:type="dxa" w:w="8208"/>
            <w:tcMar>
              <w:top w:w="90" w:type="dxa"/>
              <w:start w:w="90" w:type="dxa"/>
              <w:bottom w:w="90" w:type="dxa"/>
              <w:end w:w="90" w:type="dxa"/>
            </w:tcMar>
            <w:vAlign w:val="top"/>
            <w:shd w:fill="F8FBFD"/>
          </w:tcPr>
          <w:p>
            <w:pPr>
              <w:pStyle w:val="BodyText"/>
              <w:spacing w:after="0"/>
            </w:pPr>
            <w:r>
              <w:rPr>
                <w:sz w:val="16"/>
              </w:rPr>
              <w:t>Explanations shall include sufficient provenance for reconstruction using source records and versions.</w:t>
            </w:r>
          </w:p>
        </w:tc>
      </w:tr>
      <w:tr>
        <w:tc>
          <w:tcPr>
            <w:tcW w:type="dxa" w:w="1152"/>
            <w:tcMar>
              <w:top w:w="90" w:type="dxa"/>
              <w:start w:w="90" w:type="dxa"/>
              <w:bottom w:w="90" w:type="dxa"/>
              <w:end w:w="90" w:type="dxa"/>
            </w:tcMar>
            <w:vAlign w:val="top"/>
          </w:tcPr>
          <w:p>
            <w:pPr>
              <w:pStyle w:val="BodyText"/>
              <w:spacing w:after="0"/>
            </w:pPr>
            <w:r>
              <w:rPr>
                <w:sz w:val="16"/>
              </w:rPr>
              <w:t>EQR-13</w:t>
            </w:r>
          </w:p>
        </w:tc>
        <w:tc>
          <w:tcPr>
            <w:tcW w:type="dxa" w:w="8208"/>
            <w:tcMar>
              <w:top w:w="90" w:type="dxa"/>
              <w:start w:w="90" w:type="dxa"/>
              <w:bottom w:w="90" w:type="dxa"/>
              <w:end w:w="90" w:type="dxa"/>
            </w:tcMar>
            <w:vAlign w:val="top"/>
          </w:tcPr>
          <w:p>
            <w:pPr>
              <w:pStyle w:val="BodyText"/>
              <w:spacing w:after="0"/>
            </w:pPr>
            <w:r>
              <w:rPr>
                <w:sz w:val="16"/>
              </w:rPr>
              <w:t>Stale explanations shall be recalculated or clearly blocked before clinical use.</w:t>
            </w:r>
          </w:p>
        </w:tc>
      </w:tr>
      <w:tr>
        <w:tc>
          <w:tcPr>
            <w:tcW w:type="dxa" w:w="1152"/>
            <w:tcMar>
              <w:top w:w="90" w:type="dxa"/>
              <w:start w:w="90" w:type="dxa"/>
              <w:bottom w:w="90" w:type="dxa"/>
              <w:end w:w="90" w:type="dxa"/>
            </w:tcMar>
            <w:vAlign w:val="top"/>
            <w:shd w:fill="F8FBFD"/>
          </w:tcPr>
          <w:p>
            <w:pPr>
              <w:pStyle w:val="BodyText"/>
              <w:spacing w:after="0"/>
            </w:pPr>
            <w:r>
              <w:rPr>
                <w:sz w:val="16"/>
              </w:rPr>
              <w:t>EQR-14</w:t>
            </w:r>
          </w:p>
        </w:tc>
        <w:tc>
          <w:tcPr>
            <w:tcW w:type="dxa" w:w="8208"/>
            <w:tcMar>
              <w:top w:w="90" w:type="dxa"/>
              <w:start w:w="90" w:type="dxa"/>
              <w:bottom w:w="90" w:type="dxa"/>
              <w:end w:w="90" w:type="dxa"/>
            </w:tcMar>
            <w:vAlign w:val="top"/>
            <w:shd w:fill="F8FBFD"/>
          </w:tcPr>
          <w:p>
            <w:pPr>
              <w:pStyle w:val="BodyText"/>
              <w:spacing w:after="0"/>
            </w:pPr>
            <w:r>
              <w:rPr>
                <w:sz w:val="16"/>
              </w:rPr>
              <w:t>Invalid ML output, timeout, missing template, and persistence errors shall fail safely.</w:t>
            </w:r>
          </w:p>
        </w:tc>
      </w:tr>
      <w:tr>
        <w:tc>
          <w:tcPr>
            <w:tcW w:type="dxa" w:w="1152"/>
            <w:tcMar>
              <w:top w:w="90" w:type="dxa"/>
              <w:start w:w="90" w:type="dxa"/>
              <w:bottom w:w="90" w:type="dxa"/>
              <w:end w:w="90" w:type="dxa"/>
            </w:tcMar>
            <w:vAlign w:val="top"/>
          </w:tcPr>
          <w:p>
            <w:pPr>
              <w:pStyle w:val="BodyText"/>
              <w:spacing w:after="0"/>
            </w:pPr>
            <w:r>
              <w:rPr>
                <w:sz w:val="16"/>
              </w:rPr>
              <w:t>EQR-15</w:t>
            </w:r>
          </w:p>
        </w:tc>
        <w:tc>
          <w:tcPr>
            <w:tcW w:type="dxa" w:w="8208"/>
            <w:tcMar>
              <w:top w:w="90" w:type="dxa"/>
              <w:start w:w="90" w:type="dxa"/>
              <w:bottom w:w="90" w:type="dxa"/>
              <w:end w:w="90" w:type="dxa"/>
            </w:tcMar>
            <w:vAlign w:val="top"/>
          </w:tcPr>
          <w:p>
            <w:pPr>
              <w:pStyle w:val="BodyText"/>
              <w:spacing w:after="0"/>
            </w:pPr>
            <w:r>
              <w:rPr>
                <w:sz w:val="16"/>
              </w:rPr>
              <w:t>All safety-critical boundary and failure scenarios shall be included in regression testing.</w:t>
            </w:r>
          </w:p>
        </w:tc>
      </w:tr>
      <w:tr>
        <w:tc>
          <w:tcPr>
            <w:tcW w:type="dxa" w:w="1152"/>
            <w:tcMar>
              <w:top w:w="90" w:type="dxa"/>
              <w:start w:w="90" w:type="dxa"/>
              <w:bottom w:w="90" w:type="dxa"/>
              <w:end w:w="90" w:type="dxa"/>
            </w:tcMar>
            <w:vAlign w:val="top"/>
            <w:shd w:fill="F8FBFD"/>
          </w:tcPr>
          <w:p>
            <w:pPr>
              <w:pStyle w:val="BodyText"/>
              <w:spacing w:after="0"/>
            </w:pPr>
            <w:r>
              <w:rPr>
                <w:sz w:val="16"/>
              </w:rPr>
              <w:t>EQR-16</w:t>
            </w:r>
          </w:p>
        </w:tc>
        <w:tc>
          <w:tcPr>
            <w:tcW w:type="dxa" w:w="8208"/>
            <w:tcMar>
              <w:top w:w="90" w:type="dxa"/>
              <w:start w:w="90" w:type="dxa"/>
              <w:bottom w:w="90" w:type="dxa"/>
              <w:end w:w="90" w:type="dxa"/>
            </w:tcMar>
            <w:vAlign w:val="top"/>
            <w:shd w:fill="F8FBFD"/>
          </w:tcPr>
          <w:p>
            <w:pPr>
              <w:pStyle w:val="BodyText"/>
              <w:spacing w:after="0"/>
            </w:pPr>
            <w:r>
              <w:rPr>
                <w:sz w:val="16"/>
              </w:rPr>
              <w:t>Clinical wording and prioritization shall receive qualified review before release.</w:t>
            </w:r>
          </w:p>
        </w:tc>
      </w:tr>
      <w:tr>
        <w:tc>
          <w:tcPr>
            <w:tcW w:type="dxa" w:w="1152"/>
            <w:tcMar>
              <w:top w:w="90" w:type="dxa"/>
              <w:start w:w="90" w:type="dxa"/>
              <w:bottom w:w="90" w:type="dxa"/>
              <w:end w:w="90" w:type="dxa"/>
            </w:tcMar>
            <w:vAlign w:val="top"/>
          </w:tcPr>
          <w:p>
            <w:pPr>
              <w:pStyle w:val="BodyText"/>
              <w:spacing w:after="0"/>
            </w:pPr>
            <w:r>
              <w:rPr>
                <w:sz w:val="16"/>
              </w:rPr>
              <w:t>EQR-17</w:t>
            </w:r>
          </w:p>
        </w:tc>
        <w:tc>
          <w:tcPr>
            <w:tcW w:type="dxa" w:w="8208"/>
            <w:tcMar>
              <w:top w:w="90" w:type="dxa"/>
              <w:start w:w="90" w:type="dxa"/>
              <w:bottom w:w="90" w:type="dxa"/>
              <w:end w:w="90" w:type="dxa"/>
            </w:tcMar>
            <w:vAlign w:val="top"/>
          </w:tcPr>
          <w:p>
            <w:pPr>
              <w:pStyle w:val="BodyText"/>
              <w:spacing w:after="0"/>
            </w:pPr>
            <w:r>
              <w:rPr>
                <w:sz w:val="16"/>
              </w:rPr>
              <w:t>Evaluation data and participants shall be protected through consent, access control, de-identification, and purpose limitation.</w:t>
            </w:r>
          </w:p>
        </w:tc>
      </w:tr>
      <w:tr>
        <w:tc>
          <w:tcPr>
            <w:tcW w:type="dxa" w:w="1152"/>
            <w:tcMar>
              <w:top w:w="90" w:type="dxa"/>
              <w:start w:w="90" w:type="dxa"/>
              <w:bottom w:w="90" w:type="dxa"/>
              <w:end w:w="90" w:type="dxa"/>
            </w:tcMar>
            <w:vAlign w:val="top"/>
            <w:shd w:fill="F8FBFD"/>
          </w:tcPr>
          <w:p>
            <w:pPr>
              <w:pStyle w:val="BodyText"/>
              <w:spacing w:after="0"/>
            </w:pPr>
            <w:r>
              <w:rPr>
                <w:sz w:val="16"/>
              </w:rPr>
              <w:t>EQR-18</w:t>
            </w:r>
          </w:p>
        </w:tc>
        <w:tc>
          <w:tcPr>
            <w:tcW w:type="dxa" w:w="8208"/>
            <w:tcMar>
              <w:top w:w="90" w:type="dxa"/>
              <w:start w:w="90" w:type="dxa"/>
              <w:bottom w:w="90" w:type="dxa"/>
              <w:end w:w="90" w:type="dxa"/>
            </w:tcMar>
            <w:vAlign w:val="top"/>
            <w:shd w:fill="F8FBFD"/>
          </w:tcPr>
          <w:p>
            <w:pPr>
              <w:pStyle w:val="BodyText"/>
              <w:spacing w:after="0"/>
            </w:pPr>
            <w:r>
              <w:rPr>
                <w:sz w:val="16"/>
              </w:rPr>
              <w:t>Critical and high explainability defects shall block release unless resolved through documented governance.</w:t>
            </w:r>
          </w:p>
        </w:tc>
      </w:tr>
      <w:tr>
        <w:tc>
          <w:tcPr>
            <w:tcW w:type="dxa" w:w="1152"/>
            <w:tcMar>
              <w:top w:w="90" w:type="dxa"/>
              <w:start w:w="90" w:type="dxa"/>
              <w:bottom w:w="90" w:type="dxa"/>
              <w:end w:w="90" w:type="dxa"/>
            </w:tcMar>
            <w:vAlign w:val="top"/>
          </w:tcPr>
          <w:p>
            <w:pPr>
              <w:pStyle w:val="BodyText"/>
              <w:spacing w:after="0"/>
            </w:pPr>
            <w:r>
              <w:rPr>
                <w:sz w:val="16"/>
              </w:rPr>
              <w:t>EQR-19</w:t>
            </w:r>
          </w:p>
        </w:tc>
        <w:tc>
          <w:tcPr>
            <w:tcW w:type="dxa" w:w="8208"/>
            <w:tcMar>
              <w:top w:w="90" w:type="dxa"/>
              <w:start w:w="90" w:type="dxa"/>
              <w:bottom w:w="90" w:type="dxa"/>
              <w:end w:w="90" w:type="dxa"/>
            </w:tcMar>
            <w:vAlign w:val="top"/>
          </w:tcPr>
          <w:p>
            <w:pPr>
              <w:pStyle w:val="BodyText"/>
              <w:spacing w:after="0"/>
            </w:pPr>
            <w:r>
              <w:rPr>
                <w:sz w:val="16"/>
              </w:rPr>
              <w:t>Operational monitoring shall track generation failures, stale outputs, disagreement, template versions, and user-reported problems.</w:t>
            </w:r>
          </w:p>
        </w:tc>
      </w:tr>
      <w:tr>
        <w:tc>
          <w:tcPr>
            <w:tcW w:type="dxa" w:w="1152"/>
            <w:tcMar>
              <w:top w:w="90" w:type="dxa"/>
              <w:start w:w="90" w:type="dxa"/>
              <w:bottom w:w="90" w:type="dxa"/>
              <w:end w:w="90" w:type="dxa"/>
            </w:tcMar>
            <w:vAlign w:val="top"/>
            <w:shd w:fill="F8FBFD"/>
          </w:tcPr>
          <w:p>
            <w:pPr>
              <w:pStyle w:val="BodyText"/>
              <w:spacing w:after="0"/>
            </w:pPr>
            <w:r>
              <w:rPr>
                <w:sz w:val="16"/>
              </w:rPr>
              <w:t>EQR-20</w:t>
            </w:r>
          </w:p>
        </w:tc>
        <w:tc>
          <w:tcPr>
            <w:tcW w:type="dxa" w:w="8208"/>
            <w:tcMar>
              <w:top w:w="90" w:type="dxa"/>
              <w:start w:w="90" w:type="dxa"/>
              <w:bottom w:w="90" w:type="dxa"/>
              <w:end w:w="90" w:type="dxa"/>
            </w:tcMar>
            <w:vAlign w:val="top"/>
            <w:shd w:fill="F8FBFD"/>
          </w:tcPr>
          <w:p>
            <w:pPr>
              <w:pStyle w:val="BodyText"/>
              <w:spacing w:after="0"/>
            </w:pPr>
            <w:r>
              <w:rPr>
                <w:sz w:val="16"/>
              </w:rPr>
              <w:t>Any material change shall trigger documented impact analysis and appropriate re-evaluation.</w:t>
            </w:r>
          </w:p>
        </w:tc>
      </w:tr>
    </w:tbl>
    <w:p>
      <w:pPr>
        <w:spacing w:after="0"/>
      </w:pPr>
    </w:p>
    <w:p>
      <w:pPr>
        <w:pStyle w:val="Heading1"/>
        <w:keepNext/>
      </w:pPr>
      <w:r>
        <w:t>21. Limitations and Research Boundaries</w:t>
      </w:r>
    </w:p>
    <w:p>
      <w:pPr>
        <w:pStyle w:val="ListBullet"/>
      </w:pPr>
      <w:r>
        <w:t>The framework is an engineering and prototype evaluation specification; it is not evidence of regulatory approval.</w:t>
      </w:r>
    </w:p>
    <w:p>
      <w:pPr>
        <w:pStyle w:val="ListBullet"/>
      </w:pPr>
      <w:r>
        <w:t>International guidance must be adapted to Philippine law, institutional policy, local clinical governance, and actual clinic resources.</w:t>
      </w:r>
    </w:p>
    <w:p>
      <w:pPr>
        <w:pStyle w:val="ListBullet"/>
      </w:pPr>
      <w:r>
        <w:t>A small convenience sample cannot establish comprehension for all patients, languages, literacy levels, or cultural contexts.</w:t>
      </w:r>
    </w:p>
    <w:p>
      <w:pPr>
        <w:pStyle w:val="ListBullet"/>
      </w:pPr>
      <w:r>
        <w:t>The current Random Forest explanation is limited by the implemented output contract; patient-specific feature attribution is not claimed unless separately implemented and validated.</w:t>
      </w:r>
    </w:p>
    <w:p>
      <w:pPr>
        <w:pStyle w:val="ListBullet"/>
      </w:pPr>
      <w:r>
        <w:t>The configured deterministic rules require continued clinical evidence review and local applicability assessment.</w:t>
      </w:r>
    </w:p>
    <w:p>
      <w:pPr>
        <w:pStyle w:val="ListBullet"/>
      </w:pPr>
      <w:r>
        <w:t>No explainability metric can guarantee correct human judgment; training, workflow design, and professional oversight remain essential.</w:t>
      </w:r>
    </w:p>
    <w:p>
      <w:pPr>
        <w:pStyle w:val="ListBullet"/>
      </w:pPr>
      <w:r>
        <w:t>Clinical outcome impact, referral appropriateness, and safety in real-world use require prospective evaluation beyond document and software conformance testing.</w:t>
      </w:r>
    </w:p>
    <w:p>
      <w:pPr>
        <w:pStyle w:val="Heading1"/>
        <w:keepNext/>
      </w:pPr>
      <w:r>
        <w:t>22. Conclusion and Transition to Part 7</w:t>
      </w:r>
    </w:p>
    <w:p>
      <w:pPr>
        <w:pStyle w:val="BodyText"/>
      </w:pPr>
      <w:r>
        <w:t>Part 6 converts explainability from a design intention into a verifiable quality property. It establishes that an explanation is acceptable only when it is faithful to the decision, complete for its audience, consistent across channels, understandable and actionable for users, transparent about limitations, traceable to source evidence and versions, and robust under failure. The combined use of automated tests, clinical review, comprehension evaluation, audit reconstruction, and operational monitoring prevents prediction metrics from becoming a substitute for trustworthy communication.</w:t>
      </w:r>
    </w:p>
    <w:p>
      <w:pPr>
        <w:pStyle w:val="BodyText"/>
      </w:pPr>
      <w:r>
        <w:t>Part 7 will build on this evaluation foundation by defining Explainability Governance and Lifecycle Management: ownership, approval authority, version control, change impact analysis, incident response, periodic review, model and rule updates, template governance, localization control, retention, deprecation, and continuous improvement across the lifetime of the maternity CDSS.</w:t>
      </w:r>
    </w:p>
    <w:p>
      <w:pPr>
        <w:pStyle w:val="Heading1"/>
        <w:keepNext/>
      </w:pPr>
      <w:r>
        <w:t>References</w:t>
      </w:r>
    </w:p>
    <w:p>
      <w:pPr>
        <w:pStyle w:val="BodyText"/>
      </w:pPr>
      <w:r>
        <w:rPr>
          <w:b/>
        </w:rPr>
        <w:t xml:space="preserve">World Health Organization. </w:t>
      </w:r>
      <w:r>
        <w:t>Ethics and governance of artificial intelligence for health. WHO guidance. 2021. https://www.who.int/publications/i/item/9789240029200</w:t>
      </w:r>
    </w:p>
    <w:p>
      <w:pPr>
        <w:pStyle w:val="BodyText"/>
      </w:pPr>
      <w:r>
        <w:rPr>
          <w:b/>
        </w:rPr>
        <w:t xml:space="preserve">National Institute of Standards and Technology. </w:t>
      </w:r>
      <w:r>
        <w:t>Four Principles of Explainable Artificial Intelligence. NISTIR 8312. 2021. https://doi.org/10.6028/NIST.IR.8312</w:t>
      </w:r>
    </w:p>
    <w:p>
      <w:pPr>
        <w:pStyle w:val="BodyText"/>
      </w:pPr>
      <w:r>
        <w:rPr>
          <w:b/>
        </w:rPr>
        <w:t xml:space="preserve">National Institute of Standards and Technology. </w:t>
      </w:r>
      <w:r>
        <w:t>Artificial Intelligence Risk Management Framework (AI RMF 1.0) and AI RMF Playbook. 2023. https://www.nist.gov/itl/ai-risk-management-framework</w:t>
      </w:r>
    </w:p>
    <w:p>
      <w:pPr>
        <w:pStyle w:val="BodyText"/>
      </w:pPr>
      <w:r>
        <w:rPr>
          <w:b/>
        </w:rPr>
        <w:t xml:space="preserve">National Institute of Standards and Technology. </w:t>
      </w:r>
      <w:r>
        <w:t>AI Test, Evaluation, Validation and Verification (TEVV). https://www.nist.gov/ai-test-evaluation-validation-and-verification-tevv</w:t>
      </w:r>
    </w:p>
    <w:p>
      <w:pPr>
        <w:pStyle w:val="BodyText"/>
      </w:pPr>
      <w:r>
        <w:rPr>
          <w:b/>
        </w:rPr>
        <w:t xml:space="preserve">U.S. Food and Drug Administration. </w:t>
      </w:r>
      <w:r>
        <w:t>Clinical Decision Support Software: Guidance for Industry and FDA Staff. Final guidance, January 2026. https://www.fda.gov/regulatory-information/search-fda-guidance-documents/clinical-decision-support-software</w:t>
      </w:r>
    </w:p>
    <w:p>
      <w:pPr>
        <w:pStyle w:val="BodyText"/>
      </w:pPr>
      <w:r>
        <w:rPr>
          <w:b/>
        </w:rPr>
        <w:t xml:space="preserve">Agency for Healthcare Research and Quality. </w:t>
      </w:r>
      <w:r>
        <w:t>Health Literacy Universal Precautions Toolkit, 3rd Edition. 2024; reviewed 2025. https://www.ahrq.gov/health-literacy/improve/precautions/index.html</w:t>
      </w:r>
    </w:p>
    <w:p>
      <w:pPr>
        <w:pStyle w:val="BodyText"/>
      </w:pPr>
      <w:r>
        <w:rPr>
          <w:b/>
        </w:rPr>
        <w:t xml:space="preserve">Centers for Disease Control and Prevention. </w:t>
      </w:r>
      <w:r>
        <w:t>Plain Language Materials and Resources: Plain Language Checklist. Updated July 21, 2025. https://www.cdc.gov/health-literacy/php/develop-materials/plain-language.html</w:t>
      </w:r>
    </w:p>
    <w:p>
      <w:pPr>
        <w:pStyle w:val="BodyText"/>
      </w:pPr>
      <w:r>
        <w:rPr>
          <w:b/>
        </w:rPr>
        <w:t xml:space="preserve">Project clinical knowledge base and architecture documents. </w:t>
      </w:r>
      <w:r>
        <w:t>Documents 1-6 and Document 7 Parts 1-5, including the approved deterministic risk factors, hybrid override logic, completeness requirements, recommendation wording, ExplanationBundle architecture, and audience projections.</w:t>
      </w:r>
    </w:p>
    <w:sectPr w:rsidR="00FC693F" w:rsidRPr="0006063C" w:rsidSect="00034616">
      <w:headerReference w:type="default" r:id="rId9"/>
      <w:footerReference w:type="default" r:id="rId10"/>
      <w:headerReference w:type="first" r:id="rId11"/>
      <w:headerReference w:type="even" r:id="rId12"/>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5959"/>
        <w:sz w:val="16"/>
      </w:rPr>
      <w:t>Explainability Quality Evaluation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DOCUMENT 7 | EXPLAINABILITY FRAMEWORK | PART 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6 - Explainability Quality Evaluation</dc:title>
  <dc:subject>Evaluation framework for explanation fidelity, completeness, consistency, usability, traceability, robustness, and governance in the maternity CDSS</dc:subject>
  <dc:creator>Capstone Project Team</dc:creator>
  <cp:keywords>CDSS, explainability, evaluation, quality, maternity, Laravel, Random Forest, clinical decision support</cp:keywords>
  <dc:description>Prepared as a system-specific capstone architecture specification.</dc:description>
  <cp:lastModifiedBy/>
  <cp:revision>1</cp:revision>
  <dcterms:created xsi:type="dcterms:W3CDTF">2013-12-23T23:15:00Z</dcterms:created>
  <dcterms:modified xsi:type="dcterms:W3CDTF">2013-12-23T23:15:00Z</dcterms:modified>
  <cp:category/>
</cp:coreProperties>
</file>