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b/>
          <w:color w:val="595959"/>
          <w:sz w:val="26"/>
        </w:rPr>
        <w:t>DOCUMENT 7</w:t>
      </w:r>
    </w:p>
    <w:p>
      <w:pPr>
        <w:jc w:val="center"/>
      </w:pPr>
      <w:r>
        <w:rPr>
          <w:rFonts w:ascii="Aptos Display" w:hAnsi="Aptos Display"/>
          <w:b/>
          <w:color w:val="1F4E79"/>
          <w:sz w:val="52"/>
        </w:rPr>
        <w:t>Explainability Framework</w:t>
      </w:r>
    </w:p>
    <w:p>
      <w:pPr>
        <w:spacing w:before="200"/>
        <w:jc w:val="center"/>
      </w:pPr>
      <w:r>
        <w:rPr>
          <w:b/>
          <w:color w:val="2F75B5"/>
          <w:sz w:val="26"/>
        </w:rPr>
        <w:t>PART 7</w:t>
      </w:r>
    </w:p>
    <w:p>
      <w:pPr>
        <w:jc w:val="center"/>
      </w:pPr>
      <w:r>
        <w:rPr>
          <w:rFonts w:ascii="Aptos Display" w:hAnsi="Aptos Display"/>
          <w:b/>
          <w:color w:val="595959"/>
          <w:sz w:val="38"/>
        </w:rPr>
        <w:t>Explainability Governance and Lifecycle</w:t>
      </w:r>
    </w:p>
    <w:p>
      <w:pPr>
        <w:spacing w:before="160"/>
        <w:jc w:val="center"/>
      </w:pPr>
      <w:r>
        <w:rPr>
          <w:color w:val="595959"/>
          <w:sz w:val="22"/>
        </w:rPr>
        <w:t>Ownership, Change Control, Versioning, Approval, Monitoring,</w:t>
        <w:br/>
        <w:t>Incident Response, Retirement, and Continuous Improvement</w:t>
      </w:r>
    </w:p>
    <w:p/>
    <w:p/>
    <w:p/>
    <w:p>
      <w:pPr>
        <w:jc w:val="center"/>
      </w:pPr>
      <w:r>
        <w:rPr>
          <w:b/>
          <w:color w:val="1F4E79"/>
          <w:sz w:val="22"/>
        </w:rPr>
        <w:t>Capstone Project</w:t>
      </w:r>
    </w:p>
    <w:p>
      <w:pPr>
        <w:jc w:val="center"/>
      </w:pPr>
      <w:r>
        <w:rPr>
          <w:sz w:val="24"/>
        </w:rPr>
        <w:t>Development of an Explainable Clinical Decision Support System (CDSS)</w:t>
        <w:br/>
        <w:t>for a Web-Based Maternity Management System in a Philippine Lying-in Clinic</w:t>
      </w:r>
    </w:p>
    <w:p/>
    <w:p/>
    <w:p/>
    <w:p>
      <w:pPr>
        <w:jc w:val="center"/>
      </w:pPr>
      <w:r>
        <w:rPr>
          <w:i/>
          <w:color w:val="595959"/>
          <w:sz w:val="18"/>
        </w:rPr>
        <w:t>System-specific governance and lifecycle specification | July 2026</w:t>
      </w:r>
    </w:p>
    <w:p>
      <w:r>
        <w:br w:type="page"/>
      </w:r>
    </w:p>
    <w:p>
      <w:pPr>
        <w:pStyle w:val="Heading1"/>
        <w:keepNext/>
      </w:pPr>
      <w:r>
        <w:t>Executive Summary</w:t>
      </w:r>
    </w:p>
    <w:p>
      <w:pPr>
        <w:pStyle w:val="BodyText"/>
      </w:pPr>
      <w:r>
        <w:t>Part 7 defines how the maternity Clinical Decision Support System governs, maintains, changes, monitors, and eventually retires its explainability capability. Explainability is not treated as a one-time interface feature. It is a controlled clinical-safety asset whose rules, model references, explanation templates, audience projections, recommendations, audit records, and supporting evidence must remain coherent throughout the system lifecycle.</w:t>
      </w:r>
    </w:p>
    <w:p>
      <w:pPr>
        <w:pStyle w:val="BodyText"/>
      </w:pPr>
      <w:r>
        <w:t>The governance framework assigns clear ownership to clinical, technical, operational, privacy, and research roles. It establishes change categories, approval authorities, version identifiers, compatibility rules, release gates, rollback procedures, incident classifications, monitoring duties, and documentation requirements. These controls are proportional to the capstone setting: the system supports a lying-in clinic with a midwife-led workflow, does not replace professional judgment, and must safely refer patients whose findings exceed the clinic’s capacity.</w:t>
      </w:r>
    </w:p>
    <w:p>
      <w:pPr>
        <w:pStyle w:val="BodyText"/>
      </w:pPr>
      <w:r>
        <w:t>The framework follows the lifecycle logic of governing, mapping, measuring, and managing AI risk. It also reflects World Health Organization guidance that health AI should preserve human autonomy, promote safety, remain transparent and accountable, and be continuously assessed during real use. The governance design additionally recognizes Philippine privacy obligations for sensitive health information, including access control, confidentiality, security monitoring, vulnerability management, and incident response.</w:t>
      </w:r>
    </w:p>
    <w:p>
      <w:pPr>
        <w:pStyle w:val="BodyText"/>
      </w:pPr>
      <w:r>
        <w:t>A central principle is that no single developer may silently alter a clinical threshold, model contract, patient-facing explanation, or referral recommendation. Every material change must have a stated purpose, owner, impact assessment, test evidence, approval record, version increment, deployment plan, and rollback path. Historical assessments remain reproducible through immutable snapshots and provenance metadata even after rules, models, or templates change.</w:t>
      </w:r>
    </w:p>
    <w:tbl>
      <w:tblPr>
        <w:tblStyle w:val="TableGrid"/>
        <w:tblW w:type="auto" w:w="0"/>
        <w:jc w:val="center"/>
        <w:tblLook w:firstColumn="1" w:firstRow="1" w:lastColumn="0" w:lastRow="0" w:noHBand="0" w:noVBand="1" w:val="04A0"/>
      </w:tblPr>
      <w:tblGrid>
        <w:gridCol w:w="10080"/>
      </w:tblGrid>
      <w:tr>
        <w:tc>
          <w:tcPr>
            <w:tcW w:type="dxa" w:w="10080"/>
            <w:shd w:fill="D9EAF7"/>
            <w:tcMar>
              <w:top w:w="140" w:type="dxa"/>
              <w:start w:w="160" w:type="dxa"/>
              <w:bottom w:w="140" w:type="dxa"/>
              <w:end w:w="160" w:type="dxa"/>
            </w:tcMar>
          </w:tcPr>
          <w:p>
            <w:r>
              <w:rPr>
                <w:b/>
                <w:color w:val="1F4E79"/>
              </w:rPr>
              <w:t>Core governance rule</w:t>
            </w:r>
            <w:r>
              <w:br/>
              <w:t>The explanation shown to a user must always be traceable to an approved combination of source data, decision logic, model version, explanation template, audience profile, and recommendation policy. Unapproved or untraceable combinations must not be released for clinical use.</w:t>
            </w:r>
          </w:p>
        </w:tc>
      </w:tr>
    </w:tbl>
    <w:p>
      <w:pPr>
        <w:spacing w:after="0"/>
      </w:pPr>
    </w:p>
    <w:p>
      <w:pPr>
        <w:pStyle w:val="Heading1"/>
        <w:keepNext/>
      </w:pPr>
      <w:r>
        <w:t>1. Purpose, Scope, and Governance Position</w:t>
      </w:r>
    </w:p>
    <w:p>
      <w:pPr>
        <w:pStyle w:val="Heading2"/>
        <w:keepNext/>
      </w:pPr>
      <w:r>
        <w:t>1.1 Purpose</w:t>
      </w:r>
    </w:p>
    <w:p>
      <w:pPr>
        <w:pStyle w:val="BodyText"/>
      </w:pPr>
      <w:r>
        <w:t>The purpose of explainability governance is to ensure that explanation behavior remains safe, accurate, authorized, reviewable, and maintainable before deployment, during routine use, after updates, and at retirement. Governance converts the explainability architecture from a set of technical components into an accountable organizational process.</w:t>
      </w:r>
    </w:p>
    <w:p>
      <w:pPr>
        <w:pStyle w:val="Heading2"/>
        <w:keepNext/>
      </w:pPr>
      <w:r>
        <w:t>1.2 Relationship to Parts 1-6</w:t>
      </w:r>
    </w:p>
    <w:p>
      <w:pPr>
        <w:pStyle w:val="BodyText"/>
      </w:pPr>
      <w:r>
        <w:t>Parts 1-6 specify why explanations are required, how they are structured, how deterministic and machine-learning contributions are expressed, how explanations are adapted to different users, and how explanation quality is evaluated. Part 7 controls how those specifications are owned and changed over time. It does not add new clinical rules. It defines who may propose, review, approve, deploy, monitor, suspend, or retire them.</w:t>
      </w:r>
    </w:p>
    <w:p>
      <w:pPr>
        <w:pStyle w:val="Heading2"/>
        <w:keepNext/>
      </w:pPr>
      <w:r>
        <w:t>1.3 In scope</w:t>
      </w:r>
    </w:p>
    <w:p>
      <w:pPr>
        <w:pStyle w:val="ListBullet"/>
      </w:pPr>
      <w:r>
        <w:t>Governance roles and decision rights for clinical, technical, operational, privacy, and academic stakeholders.</w:t>
      </w:r>
    </w:p>
    <w:p>
      <w:pPr>
        <w:pStyle w:val="ListBullet"/>
      </w:pPr>
      <w:r>
        <w:t>Controlled lifecycle for rules, Random Forest artifacts, preprocessing contracts, templates, recommendations, audience projections, and audit schemas.</w:t>
      </w:r>
    </w:p>
    <w:p>
      <w:pPr>
        <w:pStyle w:val="ListBullet"/>
      </w:pPr>
      <w:r>
        <w:t>Change classification, impact assessment, approval, testing, release, rollback, and retirement.</w:t>
      </w:r>
    </w:p>
    <w:p>
      <w:pPr>
        <w:pStyle w:val="ListBullet"/>
      </w:pPr>
      <w:r>
        <w:t>Versioning and compatibility management across Laravel and Python components.</w:t>
      </w:r>
    </w:p>
    <w:p>
      <w:pPr>
        <w:pStyle w:val="ListBullet"/>
      </w:pPr>
      <w:r>
        <w:t>Monitoring, explanation drift detection, incident response, corrective action, and post-implementation review.</w:t>
      </w:r>
    </w:p>
    <w:p>
      <w:pPr>
        <w:pStyle w:val="ListBullet"/>
      </w:pPr>
      <w:r>
        <w:t>Data protection, access control, retention, confidentiality, and minimum-necessary disclosure.</w:t>
      </w:r>
    </w:p>
    <w:p>
      <w:pPr>
        <w:pStyle w:val="ListBullet"/>
      </w:pPr>
      <w:r>
        <w:t>Training, competency, documentation, and governance evidence for defense and future maintenance.</w:t>
      </w:r>
    </w:p>
    <w:p>
      <w:pPr>
        <w:pStyle w:val="Heading2"/>
        <w:keepNext/>
      </w:pPr>
      <w:r>
        <w:t>1.4 Out of scope</w:t>
      </w:r>
    </w:p>
    <w:p>
      <w:pPr>
        <w:pStyle w:val="ListBullet"/>
      </w:pPr>
      <w:r>
        <w:t>Replacing licensed clinical governance, regulatory authorization, or institutional ethics review.</w:t>
      </w:r>
    </w:p>
    <w:p>
      <w:pPr>
        <w:pStyle w:val="ListBullet"/>
      </w:pPr>
      <w:r>
        <w:t>Claiming that the prototype is independently certified as a medical device.</w:t>
      </w:r>
    </w:p>
    <w:p>
      <w:pPr>
        <w:pStyle w:val="ListBullet"/>
      </w:pPr>
      <w:r>
        <w:t>Allowing autonomous diagnosis, treatment, or emergency management.</w:t>
      </w:r>
    </w:p>
    <w:p>
      <w:pPr>
        <w:pStyle w:val="ListBullet"/>
      </w:pPr>
      <w:r>
        <w:t>Continuous online learning or automatic modification of clinical thresholds without human approval.</w:t>
      </w:r>
    </w:p>
    <w:p>
      <w:pPr>
        <w:pStyle w:val="ListBullet"/>
      </w:pPr>
      <w:r>
        <w:t>Use of real patient records for model retraining without lawful authority, ethical approval, and a documented data-governance process.</w:t>
      </w:r>
    </w:p>
    <w:p>
      <w:pPr>
        <w:pStyle w:val="Heading1"/>
        <w:keepNext/>
      </w:pPr>
      <w:r>
        <w:t>2. Governance Principles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2448"/>
            <w:shd w:fill="1F4E79"/>
            <w:tcMar>
              <w:top w:w="90" w:type="dxa"/>
              <w:start w:w="90" w:type="dxa"/>
              <w:bottom w:w="90" w:type="dxa"/>
              <w:end w:w="90" w:type="dxa"/>
            </w:tcMar>
            <w:vAlign w:val="center"/>
          </w:tcPr>
          <w:p>
            <w:pPr>
              <w:jc w:val="center"/>
            </w:pPr>
            <w:r>
              <w:rPr>
                <w:b/>
                <w:color w:val="FFFFFF"/>
                <w:sz w:val="16"/>
              </w:rPr>
              <w:t>Principle</w:t>
            </w:r>
          </w:p>
        </w:tc>
        <w:tc>
          <w:tcPr>
            <w:tcW w:type="dxa" w:w="6912"/>
            <w:shd w:fill="1F4E79"/>
            <w:tcMar>
              <w:top w:w="90" w:type="dxa"/>
              <w:start w:w="90" w:type="dxa"/>
              <w:bottom w:w="90" w:type="dxa"/>
              <w:end w:w="90" w:type="dxa"/>
            </w:tcMar>
            <w:vAlign w:val="center"/>
          </w:tcPr>
          <w:p>
            <w:pPr>
              <w:jc w:val="center"/>
            </w:pPr>
            <w:r>
              <w:rPr>
                <w:b/>
                <w:color w:val="FFFFFF"/>
                <w:sz w:val="16"/>
              </w:rPr>
              <w:t>Operational meaning for the maternity CDSS</w:t>
            </w:r>
          </w:p>
        </w:tc>
      </w:tr>
      <w:tr>
        <w:tc>
          <w:tcPr>
            <w:tcW w:type="dxa" w:w="2448"/>
            <w:tcMar>
              <w:top w:w="90" w:type="dxa"/>
              <w:start w:w="90" w:type="dxa"/>
              <w:bottom w:w="90" w:type="dxa"/>
              <w:end w:w="90" w:type="dxa"/>
            </w:tcMar>
            <w:vAlign w:val="top"/>
          </w:tcPr>
          <w:p>
            <w:pPr>
              <w:pStyle w:val="BodyText"/>
              <w:spacing w:after="0"/>
            </w:pPr>
            <w:r>
              <w:rPr>
                <w:sz w:val="16"/>
              </w:rPr>
              <w:t>Human authority</w:t>
            </w:r>
          </w:p>
        </w:tc>
        <w:tc>
          <w:tcPr>
            <w:tcW w:type="dxa" w:w="6912"/>
            <w:tcMar>
              <w:top w:w="90" w:type="dxa"/>
              <w:start w:w="90" w:type="dxa"/>
              <w:bottom w:w="90" w:type="dxa"/>
              <w:end w:w="90" w:type="dxa"/>
            </w:tcMar>
            <w:vAlign w:val="top"/>
          </w:tcPr>
          <w:p>
            <w:pPr>
              <w:pStyle w:val="BodyText"/>
              <w:spacing w:after="0"/>
            </w:pPr>
            <w:r>
              <w:rPr>
                <w:sz w:val="16"/>
              </w:rPr>
              <w:t>The midwife or responsible healthcare professional retains authority. The CDSS provides supporting information, not an autonomous clinical order.</w:t>
            </w:r>
          </w:p>
        </w:tc>
      </w:tr>
      <w:tr>
        <w:tc>
          <w:tcPr>
            <w:tcW w:type="dxa" w:w="2448"/>
            <w:tcMar>
              <w:top w:w="90" w:type="dxa"/>
              <w:start w:w="90" w:type="dxa"/>
              <w:bottom w:w="90" w:type="dxa"/>
              <w:end w:w="90" w:type="dxa"/>
            </w:tcMar>
            <w:vAlign w:val="top"/>
            <w:shd w:fill="F8FBFD"/>
          </w:tcPr>
          <w:p>
            <w:pPr>
              <w:pStyle w:val="BodyText"/>
              <w:spacing w:after="0"/>
            </w:pPr>
            <w:r>
              <w:rPr>
                <w:sz w:val="16"/>
              </w:rPr>
              <w:t>Safety before convenience</w:t>
            </w:r>
          </w:p>
        </w:tc>
        <w:tc>
          <w:tcPr>
            <w:tcW w:type="dxa" w:w="6912"/>
            <w:tcMar>
              <w:top w:w="90" w:type="dxa"/>
              <w:start w:w="90" w:type="dxa"/>
              <w:bottom w:w="90" w:type="dxa"/>
              <w:end w:w="90" w:type="dxa"/>
            </w:tcMar>
            <w:vAlign w:val="top"/>
            <w:shd w:fill="F8FBFD"/>
          </w:tcPr>
          <w:p>
            <w:pPr>
              <w:pStyle w:val="BodyText"/>
              <w:spacing w:after="0"/>
            </w:pPr>
            <w:r>
              <w:rPr>
                <w:sz w:val="16"/>
              </w:rPr>
              <w:t>A change that improves speed or appearance cannot bypass completeness, explanation, referral, or audit safeguards.</w:t>
            </w:r>
          </w:p>
        </w:tc>
      </w:tr>
      <w:tr>
        <w:tc>
          <w:tcPr>
            <w:tcW w:type="dxa" w:w="2448"/>
            <w:tcMar>
              <w:top w:w="90" w:type="dxa"/>
              <w:start w:w="90" w:type="dxa"/>
              <w:bottom w:w="90" w:type="dxa"/>
              <w:end w:w="90" w:type="dxa"/>
            </w:tcMar>
            <w:vAlign w:val="top"/>
          </w:tcPr>
          <w:p>
            <w:pPr>
              <w:pStyle w:val="BodyText"/>
              <w:spacing w:after="0"/>
            </w:pPr>
            <w:r>
              <w:rPr>
                <w:sz w:val="16"/>
              </w:rPr>
              <w:t>Clinical accountability</w:t>
            </w:r>
          </w:p>
        </w:tc>
        <w:tc>
          <w:tcPr>
            <w:tcW w:type="dxa" w:w="6912"/>
            <w:tcMar>
              <w:top w:w="90" w:type="dxa"/>
              <w:start w:w="90" w:type="dxa"/>
              <w:bottom w:w="90" w:type="dxa"/>
              <w:end w:w="90" w:type="dxa"/>
            </w:tcMar>
            <w:vAlign w:val="top"/>
          </w:tcPr>
          <w:p>
            <w:pPr>
              <w:pStyle w:val="BodyText"/>
              <w:spacing w:after="0"/>
            </w:pPr>
            <w:r>
              <w:rPr>
                <w:sz w:val="16"/>
              </w:rPr>
              <w:t>Clinical thresholds, urgency wording, and referral recommendations require designated clinical review.</w:t>
            </w:r>
          </w:p>
        </w:tc>
      </w:tr>
      <w:tr>
        <w:tc>
          <w:tcPr>
            <w:tcW w:type="dxa" w:w="2448"/>
            <w:tcMar>
              <w:top w:w="90" w:type="dxa"/>
              <w:start w:w="90" w:type="dxa"/>
              <w:bottom w:w="90" w:type="dxa"/>
              <w:end w:w="90" w:type="dxa"/>
            </w:tcMar>
            <w:vAlign w:val="top"/>
            <w:shd w:fill="F8FBFD"/>
          </w:tcPr>
          <w:p>
            <w:pPr>
              <w:pStyle w:val="BodyText"/>
              <w:spacing w:after="0"/>
            </w:pPr>
            <w:r>
              <w:rPr>
                <w:sz w:val="16"/>
              </w:rPr>
              <w:t>Technical accountability</w:t>
            </w:r>
          </w:p>
        </w:tc>
        <w:tc>
          <w:tcPr>
            <w:tcW w:type="dxa" w:w="6912"/>
            <w:tcMar>
              <w:top w:w="90" w:type="dxa"/>
              <w:start w:w="90" w:type="dxa"/>
              <w:bottom w:w="90" w:type="dxa"/>
              <w:end w:w="90" w:type="dxa"/>
            </w:tcMar>
            <w:vAlign w:val="top"/>
            <w:shd w:fill="F8FBFD"/>
          </w:tcPr>
          <w:p>
            <w:pPr>
              <w:pStyle w:val="BodyText"/>
              <w:spacing w:after="0"/>
            </w:pPr>
            <w:r>
              <w:rPr>
                <w:sz w:val="16"/>
              </w:rPr>
              <w:t>Code, model calls, data transformations, templates, and audit persistence require named technical ownership.</w:t>
            </w:r>
          </w:p>
        </w:tc>
      </w:tr>
      <w:tr>
        <w:tc>
          <w:tcPr>
            <w:tcW w:type="dxa" w:w="2448"/>
            <w:tcMar>
              <w:top w:w="90" w:type="dxa"/>
              <w:start w:w="90" w:type="dxa"/>
              <w:bottom w:w="90" w:type="dxa"/>
              <w:end w:w="90" w:type="dxa"/>
            </w:tcMar>
            <w:vAlign w:val="top"/>
          </w:tcPr>
          <w:p>
            <w:pPr>
              <w:pStyle w:val="BodyText"/>
              <w:spacing w:after="0"/>
            </w:pPr>
            <w:r>
              <w:rPr>
                <w:sz w:val="16"/>
              </w:rPr>
              <w:t>Transparency</w:t>
            </w:r>
          </w:p>
        </w:tc>
        <w:tc>
          <w:tcPr>
            <w:tcW w:type="dxa" w:w="6912"/>
            <w:tcMar>
              <w:top w:w="90" w:type="dxa"/>
              <w:start w:w="90" w:type="dxa"/>
              <w:bottom w:w="90" w:type="dxa"/>
              <w:end w:w="90" w:type="dxa"/>
            </w:tcMar>
            <w:vAlign w:val="top"/>
          </w:tcPr>
          <w:p>
            <w:pPr>
              <w:pStyle w:val="BodyText"/>
              <w:spacing w:after="0"/>
            </w:pPr>
            <w:r>
              <w:rPr>
                <w:sz w:val="16"/>
              </w:rPr>
              <w:t>Material decisions, assumptions, limitations, versions, approvals, incidents, and unresolved risks are documented.</w:t>
            </w:r>
          </w:p>
        </w:tc>
      </w:tr>
      <w:tr>
        <w:tc>
          <w:tcPr>
            <w:tcW w:type="dxa" w:w="2448"/>
            <w:tcMar>
              <w:top w:w="90" w:type="dxa"/>
              <w:start w:w="90" w:type="dxa"/>
              <w:bottom w:w="90" w:type="dxa"/>
              <w:end w:w="90" w:type="dxa"/>
            </w:tcMar>
            <w:vAlign w:val="top"/>
            <w:shd w:fill="F8FBFD"/>
          </w:tcPr>
          <w:p>
            <w:pPr>
              <w:pStyle w:val="BodyText"/>
              <w:spacing w:after="0"/>
            </w:pPr>
            <w:r>
              <w:rPr>
                <w:sz w:val="16"/>
              </w:rPr>
              <w:t>Traceability</w:t>
            </w:r>
          </w:p>
        </w:tc>
        <w:tc>
          <w:tcPr>
            <w:tcW w:type="dxa" w:w="6912"/>
            <w:tcMar>
              <w:top w:w="90" w:type="dxa"/>
              <w:start w:w="90" w:type="dxa"/>
              <w:bottom w:w="90" w:type="dxa"/>
              <w:end w:w="90" w:type="dxa"/>
            </w:tcMar>
            <w:vAlign w:val="top"/>
            <w:shd w:fill="F8FBFD"/>
          </w:tcPr>
          <w:p>
            <w:pPr>
              <w:pStyle w:val="BodyText"/>
              <w:spacing w:after="0"/>
            </w:pPr>
            <w:r>
              <w:rPr>
                <w:sz w:val="16"/>
              </w:rPr>
              <w:t>Every assessment can be reconstructed from approved source data and versioned components.</w:t>
            </w:r>
          </w:p>
        </w:tc>
      </w:tr>
      <w:tr>
        <w:tc>
          <w:tcPr>
            <w:tcW w:type="dxa" w:w="2448"/>
            <w:tcMar>
              <w:top w:w="90" w:type="dxa"/>
              <w:start w:w="90" w:type="dxa"/>
              <w:bottom w:w="90" w:type="dxa"/>
              <w:end w:w="90" w:type="dxa"/>
            </w:tcMar>
            <w:vAlign w:val="top"/>
          </w:tcPr>
          <w:p>
            <w:pPr>
              <w:pStyle w:val="BodyText"/>
              <w:spacing w:after="0"/>
            </w:pPr>
            <w:r>
              <w:rPr>
                <w:sz w:val="16"/>
              </w:rPr>
              <w:t>Proportionality</w:t>
            </w:r>
          </w:p>
        </w:tc>
        <w:tc>
          <w:tcPr>
            <w:tcW w:type="dxa" w:w="6912"/>
            <w:tcMar>
              <w:top w:w="90" w:type="dxa"/>
              <w:start w:w="90" w:type="dxa"/>
              <w:bottom w:w="90" w:type="dxa"/>
              <w:end w:w="90" w:type="dxa"/>
            </w:tcMar>
            <w:vAlign w:val="top"/>
          </w:tcPr>
          <w:p>
            <w:pPr>
              <w:pStyle w:val="BodyText"/>
              <w:spacing w:after="0"/>
            </w:pPr>
            <w:r>
              <w:rPr>
                <w:sz w:val="16"/>
              </w:rPr>
              <w:t>Controls reflect the risk of the change. Wording punctuation does not require the same review as a blood-pressure threshold change.</w:t>
            </w:r>
          </w:p>
        </w:tc>
      </w:tr>
      <w:tr>
        <w:tc>
          <w:tcPr>
            <w:tcW w:type="dxa" w:w="2448"/>
            <w:tcMar>
              <w:top w:w="90" w:type="dxa"/>
              <w:start w:w="90" w:type="dxa"/>
              <w:bottom w:w="90" w:type="dxa"/>
              <w:end w:w="90" w:type="dxa"/>
            </w:tcMar>
            <w:vAlign w:val="top"/>
            <w:shd w:fill="F8FBFD"/>
          </w:tcPr>
          <w:p>
            <w:pPr>
              <w:pStyle w:val="BodyText"/>
              <w:spacing w:after="0"/>
            </w:pPr>
            <w:r>
              <w:rPr>
                <w:sz w:val="16"/>
              </w:rPr>
              <w:t>Privacy and confidentiality</w:t>
            </w:r>
          </w:p>
        </w:tc>
        <w:tc>
          <w:tcPr>
            <w:tcW w:type="dxa" w:w="6912"/>
            <w:tcMar>
              <w:top w:w="90" w:type="dxa"/>
              <w:start w:w="90" w:type="dxa"/>
              <w:bottom w:w="90" w:type="dxa"/>
              <w:end w:w="90" w:type="dxa"/>
            </w:tcMar>
            <w:vAlign w:val="top"/>
            <w:shd w:fill="F8FBFD"/>
          </w:tcPr>
          <w:p>
            <w:pPr>
              <w:pStyle w:val="BodyText"/>
              <w:spacing w:after="0"/>
            </w:pPr>
            <w:r>
              <w:rPr>
                <w:sz w:val="16"/>
              </w:rPr>
              <w:t>Sensitive health data is limited to authorized purposes, audiences, and retention periods.</w:t>
            </w:r>
          </w:p>
        </w:tc>
      </w:tr>
      <w:tr>
        <w:tc>
          <w:tcPr>
            <w:tcW w:type="dxa" w:w="2448"/>
            <w:tcMar>
              <w:top w:w="90" w:type="dxa"/>
              <w:start w:w="90" w:type="dxa"/>
              <w:bottom w:w="90" w:type="dxa"/>
              <w:end w:w="90" w:type="dxa"/>
            </w:tcMar>
            <w:vAlign w:val="top"/>
          </w:tcPr>
          <w:p>
            <w:pPr>
              <w:pStyle w:val="BodyText"/>
              <w:spacing w:after="0"/>
            </w:pPr>
            <w:r>
              <w:rPr>
                <w:sz w:val="16"/>
              </w:rPr>
              <w:t>Equity and inclusion</w:t>
            </w:r>
          </w:p>
        </w:tc>
        <w:tc>
          <w:tcPr>
            <w:tcW w:type="dxa" w:w="6912"/>
            <w:tcMar>
              <w:top w:w="90" w:type="dxa"/>
              <w:start w:w="90" w:type="dxa"/>
              <w:bottom w:w="90" w:type="dxa"/>
              <w:end w:w="90" w:type="dxa"/>
            </w:tcMar>
            <w:vAlign w:val="top"/>
          </w:tcPr>
          <w:p>
            <w:pPr>
              <w:pStyle w:val="BodyText"/>
              <w:spacing w:after="0"/>
            </w:pPr>
            <w:r>
              <w:rPr>
                <w:sz w:val="16"/>
              </w:rPr>
              <w:t>Monitoring considers whether explanation wording or model behavior disadvantages particular patient groups.</w:t>
            </w:r>
          </w:p>
        </w:tc>
      </w:tr>
      <w:tr>
        <w:tc>
          <w:tcPr>
            <w:tcW w:type="dxa" w:w="2448"/>
            <w:tcMar>
              <w:top w:w="90" w:type="dxa"/>
              <w:start w:w="90" w:type="dxa"/>
              <w:bottom w:w="90" w:type="dxa"/>
              <w:end w:w="90" w:type="dxa"/>
            </w:tcMar>
            <w:vAlign w:val="top"/>
            <w:shd w:fill="F8FBFD"/>
          </w:tcPr>
          <w:p>
            <w:pPr>
              <w:pStyle w:val="BodyText"/>
              <w:spacing w:after="0"/>
            </w:pPr>
            <w:r>
              <w:rPr>
                <w:sz w:val="16"/>
              </w:rPr>
              <w:t>Responsiveness and sustainability</w:t>
            </w:r>
          </w:p>
        </w:tc>
        <w:tc>
          <w:tcPr>
            <w:tcW w:type="dxa" w:w="6912"/>
            <w:tcMar>
              <w:top w:w="90" w:type="dxa"/>
              <w:start w:w="90" w:type="dxa"/>
              <w:bottom w:w="90" w:type="dxa"/>
              <w:end w:w="90" w:type="dxa"/>
            </w:tcMar>
            <w:vAlign w:val="top"/>
            <w:shd w:fill="F8FBFD"/>
          </w:tcPr>
          <w:p>
            <w:pPr>
              <w:pStyle w:val="BodyText"/>
              <w:spacing w:after="0"/>
            </w:pPr>
            <w:r>
              <w:rPr>
                <w:sz w:val="16"/>
              </w:rPr>
              <w:t>The system is reviewed during actual use, updated when justified, and retired when it can no longer be supported safely.</w:t>
            </w:r>
          </w:p>
        </w:tc>
      </w:tr>
    </w:tbl>
    <w:p>
      <w:pPr>
        <w:spacing w:after="0"/>
      </w:pPr>
    </w:p>
    <w:p>
      <w:pPr>
        <w:pStyle w:val="BodyText"/>
      </w:pPr>
      <w:r>
        <w:t>These principles align with WHO health-AI guidance emphasizing autonomy, well-being, safety, transparency, explainability, responsibility, accountability, inclusiveness, equity, responsiveness, and sustainability. They also align with the NIST AI Risk Management Framework, where governance is cross-cutting and risk management continues throughout the AI lifecycle.</w:t>
      </w:r>
    </w:p>
    <w:p>
      <w:pPr>
        <w:pStyle w:val="Heading1"/>
        <w:keepNext/>
      </w:pPr>
      <w:r>
        <w:t>3. Governance Structure and Decision Rights</w:t>
      </w:r>
    </w:p>
    <w:p>
      <w:pPr>
        <w:pStyle w:val="Heading2"/>
        <w:keepNext/>
      </w:pPr>
      <w:r>
        <w:t>3.1 Required roles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2376"/>
            <w:shd w:fill="1F4E79"/>
            <w:tcMar>
              <w:top w:w="90" w:type="dxa"/>
              <w:start w:w="90" w:type="dxa"/>
              <w:bottom w:w="90" w:type="dxa"/>
              <w:end w:w="90" w:type="dxa"/>
            </w:tcMar>
            <w:vAlign w:val="center"/>
          </w:tcPr>
          <w:p>
            <w:pPr>
              <w:jc w:val="center"/>
            </w:pPr>
            <w:r>
              <w:rPr>
                <w:b/>
                <w:color w:val="FFFFFF"/>
                <w:sz w:val="15"/>
              </w:rPr>
              <w:t>Role</w:t>
            </w:r>
          </w:p>
        </w:tc>
        <w:tc>
          <w:tcPr>
            <w:tcW w:type="dxa" w:w="4104"/>
            <w:shd w:fill="1F4E79"/>
            <w:tcMar>
              <w:top w:w="90" w:type="dxa"/>
              <w:start w:w="90" w:type="dxa"/>
              <w:bottom w:w="90" w:type="dxa"/>
              <w:end w:w="90" w:type="dxa"/>
            </w:tcMar>
            <w:vAlign w:val="center"/>
          </w:tcPr>
          <w:p>
            <w:pPr>
              <w:jc w:val="center"/>
            </w:pPr>
            <w:r>
              <w:rPr>
                <w:b/>
                <w:color w:val="FFFFFF"/>
                <w:sz w:val="15"/>
              </w:rPr>
              <w:t>Core responsibilities</w:t>
            </w:r>
          </w:p>
        </w:tc>
        <w:tc>
          <w:tcPr>
            <w:tcW w:type="dxa" w:w="2880"/>
            <w:shd w:fill="1F4E79"/>
            <w:tcMar>
              <w:top w:w="90" w:type="dxa"/>
              <w:start w:w="90" w:type="dxa"/>
              <w:bottom w:w="90" w:type="dxa"/>
              <w:end w:w="90" w:type="dxa"/>
            </w:tcMar>
            <w:vAlign w:val="center"/>
          </w:tcPr>
          <w:p>
            <w:pPr>
              <w:jc w:val="center"/>
            </w:pPr>
            <w:r>
              <w:rPr>
                <w:b/>
                <w:color w:val="FFFFFF"/>
                <w:sz w:val="15"/>
              </w:rPr>
              <w:t>Authority limits</w:t>
            </w:r>
          </w:p>
        </w:tc>
      </w:tr>
      <w:tr>
        <w:tc>
          <w:tcPr>
            <w:tcW w:type="dxa" w:w="2376"/>
            <w:tcMar>
              <w:top w:w="90" w:type="dxa"/>
              <w:start w:w="90" w:type="dxa"/>
              <w:bottom w:w="90" w:type="dxa"/>
              <w:end w:w="90" w:type="dxa"/>
            </w:tcMar>
            <w:vAlign w:val="top"/>
          </w:tcPr>
          <w:p>
            <w:pPr>
              <w:pStyle w:val="BodyText"/>
              <w:spacing w:after="0"/>
            </w:pPr>
            <w:r>
              <w:rPr>
                <w:sz w:val="15"/>
              </w:rPr>
              <w:t>Clinical Governance Lead</w:t>
            </w:r>
          </w:p>
        </w:tc>
        <w:tc>
          <w:tcPr>
            <w:tcW w:type="dxa" w:w="4104"/>
            <w:tcMar>
              <w:top w:w="90" w:type="dxa"/>
              <w:start w:w="90" w:type="dxa"/>
              <w:bottom w:w="90" w:type="dxa"/>
              <w:end w:w="90" w:type="dxa"/>
            </w:tcMar>
            <w:vAlign w:val="top"/>
          </w:tcPr>
          <w:p>
            <w:pPr>
              <w:pStyle w:val="BodyText"/>
              <w:spacing w:after="0"/>
            </w:pPr>
            <w:r>
              <w:rPr>
                <w:sz w:val="15"/>
              </w:rPr>
              <w:t>Reviews clinical meaning, thresholds, urgency, recommendations, patient safety, and referral appropriateness.</w:t>
            </w:r>
          </w:p>
        </w:tc>
        <w:tc>
          <w:tcPr>
            <w:tcW w:type="dxa" w:w="2880"/>
            <w:tcMar>
              <w:top w:w="90" w:type="dxa"/>
              <w:start w:w="90" w:type="dxa"/>
              <w:bottom w:w="90" w:type="dxa"/>
              <w:end w:w="90" w:type="dxa"/>
            </w:tcMar>
            <w:vAlign w:val="top"/>
          </w:tcPr>
          <w:p>
            <w:pPr>
              <w:pStyle w:val="BodyText"/>
              <w:spacing w:after="0"/>
            </w:pPr>
            <w:r>
              <w:rPr>
                <w:sz w:val="15"/>
              </w:rPr>
              <w:t>Does not directly deploy code or modify production data.</w:t>
            </w:r>
          </w:p>
        </w:tc>
      </w:tr>
      <w:tr>
        <w:tc>
          <w:tcPr>
            <w:tcW w:type="dxa" w:w="2376"/>
            <w:tcMar>
              <w:top w:w="90" w:type="dxa"/>
              <w:start w:w="90" w:type="dxa"/>
              <w:bottom w:w="90" w:type="dxa"/>
              <w:end w:w="90" w:type="dxa"/>
            </w:tcMar>
            <w:vAlign w:val="top"/>
            <w:shd w:fill="F8FBFD"/>
          </w:tcPr>
          <w:p>
            <w:pPr>
              <w:pStyle w:val="BodyText"/>
              <w:spacing w:after="0"/>
            </w:pPr>
            <w:r>
              <w:rPr>
                <w:sz w:val="15"/>
              </w:rPr>
              <w:t>Technical Lead / System Maintainer</w:t>
            </w:r>
          </w:p>
        </w:tc>
        <w:tc>
          <w:tcPr>
            <w:tcW w:type="dxa" w:w="4104"/>
            <w:tcMar>
              <w:top w:w="90" w:type="dxa"/>
              <w:start w:w="90" w:type="dxa"/>
              <w:bottom w:w="90" w:type="dxa"/>
              <w:end w:w="90" w:type="dxa"/>
            </w:tcMar>
            <w:vAlign w:val="top"/>
            <w:shd w:fill="F8FBFD"/>
          </w:tcPr>
          <w:p>
            <w:pPr>
              <w:pStyle w:val="BodyText"/>
              <w:spacing w:after="0"/>
            </w:pPr>
            <w:r>
              <w:rPr>
                <w:sz w:val="15"/>
              </w:rPr>
              <w:t>Owns Laravel services, Python integration, database migrations, tests, deployment, rollback, and technical documentation.</w:t>
            </w:r>
          </w:p>
        </w:tc>
        <w:tc>
          <w:tcPr>
            <w:tcW w:type="dxa" w:w="2880"/>
            <w:tcMar>
              <w:top w:w="90" w:type="dxa"/>
              <w:start w:w="90" w:type="dxa"/>
              <w:bottom w:w="90" w:type="dxa"/>
              <w:end w:w="90" w:type="dxa"/>
            </w:tcMar>
            <w:vAlign w:val="top"/>
            <w:shd w:fill="F8FBFD"/>
          </w:tcPr>
          <w:p>
            <w:pPr>
              <w:pStyle w:val="BodyText"/>
              <w:spacing w:after="0"/>
            </w:pPr>
            <w:r>
              <w:rPr>
                <w:sz w:val="15"/>
              </w:rPr>
              <w:t>Cannot independently redefine clinical policy.</w:t>
            </w:r>
          </w:p>
        </w:tc>
      </w:tr>
      <w:tr>
        <w:tc>
          <w:tcPr>
            <w:tcW w:type="dxa" w:w="2376"/>
            <w:tcMar>
              <w:top w:w="90" w:type="dxa"/>
              <w:start w:w="90" w:type="dxa"/>
              <w:bottom w:w="90" w:type="dxa"/>
              <w:end w:w="90" w:type="dxa"/>
            </w:tcMar>
            <w:vAlign w:val="top"/>
          </w:tcPr>
          <w:p>
            <w:pPr>
              <w:pStyle w:val="BodyText"/>
              <w:spacing w:after="0"/>
            </w:pPr>
            <w:r>
              <w:rPr>
                <w:sz w:val="15"/>
              </w:rPr>
              <w:t>Model Custodian</w:t>
            </w:r>
          </w:p>
        </w:tc>
        <w:tc>
          <w:tcPr>
            <w:tcW w:type="dxa" w:w="4104"/>
            <w:tcMar>
              <w:top w:w="90" w:type="dxa"/>
              <w:start w:w="90" w:type="dxa"/>
              <w:bottom w:w="90" w:type="dxa"/>
              <w:end w:w="90" w:type="dxa"/>
            </w:tcMar>
            <w:vAlign w:val="top"/>
          </w:tcPr>
          <w:p>
            <w:pPr>
              <w:pStyle w:val="BodyText"/>
              <w:spacing w:after="0"/>
            </w:pPr>
            <w:r>
              <w:rPr>
                <w:sz w:val="15"/>
              </w:rPr>
              <w:t>Maintains model artifact, feature schema, preprocessing contract, training provenance, validation evidence, and hash.</w:t>
            </w:r>
          </w:p>
        </w:tc>
        <w:tc>
          <w:tcPr>
            <w:tcW w:type="dxa" w:w="2880"/>
            <w:tcMar>
              <w:top w:w="90" w:type="dxa"/>
              <w:start w:w="90" w:type="dxa"/>
              <w:bottom w:w="90" w:type="dxa"/>
              <w:end w:w="90" w:type="dxa"/>
            </w:tcMar>
            <w:vAlign w:val="top"/>
          </w:tcPr>
          <w:p>
            <w:pPr>
              <w:pStyle w:val="BodyText"/>
              <w:spacing w:after="0"/>
            </w:pPr>
            <w:r>
              <w:rPr>
                <w:sz w:val="15"/>
              </w:rPr>
              <w:t>Cannot release a model without clinical and technical approval.</w:t>
            </w:r>
          </w:p>
        </w:tc>
      </w:tr>
      <w:tr>
        <w:tc>
          <w:tcPr>
            <w:tcW w:type="dxa" w:w="2376"/>
            <w:tcMar>
              <w:top w:w="90" w:type="dxa"/>
              <w:start w:w="90" w:type="dxa"/>
              <w:bottom w:w="90" w:type="dxa"/>
              <w:end w:w="90" w:type="dxa"/>
            </w:tcMar>
            <w:vAlign w:val="top"/>
            <w:shd w:fill="F8FBFD"/>
          </w:tcPr>
          <w:p>
            <w:pPr>
              <w:pStyle w:val="BodyText"/>
              <w:spacing w:after="0"/>
            </w:pPr>
            <w:r>
              <w:rPr>
                <w:sz w:val="15"/>
              </w:rPr>
              <w:t>Explanation Content Owner</w:t>
            </w:r>
          </w:p>
        </w:tc>
        <w:tc>
          <w:tcPr>
            <w:tcW w:type="dxa" w:w="4104"/>
            <w:tcMar>
              <w:top w:w="90" w:type="dxa"/>
              <w:start w:w="90" w:type="dxa"/>
              <w:bottom w:w="90" w:type="dxa"/>
              <w:end w:w="90" w:type="dxa"/>
            </w:tcMar>
            <w:vAlign w:val="top"/>
            <w:shd w:fill="F8FBFD"/>
          </w:tcPr>
          <w:p>
            <w:pPr>
              <w:pStyle w:val="BodyText"/>
              <w:spacing w:after="0"/>
            </w:pPr>
            <w:r>
              <w:rPr>
                <w:sz w:val="15"/>
              </w:rPr>
              <w:t>Maintains reason codes, approved wording, audience templates, localization, and communication standards.</w:t>
            </w:r>
          </w:p>
        </w:tc>
        <w:tc>
          <w:tcPr>
            <w:tcW w:type="dxa" w:w="2880"/>
            <w:tcMar>
              <w:top w:w="90" w:type="dxa"/>
              <w:start w:w="90" w:type="dxa"/>
              <w:bottom w:w="90" w:type="dxa"/>
              <w:end w:w="90" w:type="dxa"/>
            </w:tcMar>
            <w:vAlign w:val="top"/>
            <w:shd w:fill="F8FBFD"/>
          </w:tcPr>
          <w:p>
            <w:pPr>
              <w:pStyle w:val="BodyText"/>
              <w:spacing w:after="0"/>
            </w:pPr>
            <w:r>
              <w:rPr>
                <w:sz w:val="15"/>
              </w:rPr>
              <w:t>Cannot alter rule logic through wording.</w:t>
            </w:r>
          </w:p>
        </w:tc>
      </w:tr>
      <w:tr>
        <w:tc>
          <w:tcPr>
            <w:tcW w:type="dxa" w:w="2376"/>
            <w:tcMar>
              <w:top w:w="90" w:type="dxa"/>
              <w:start w:w="90" w:type="dxa"/>
              <w:bottom w:w="90" w:type="dxa"/>
              <w:end w:w="90" w:type="dxa"/>
            </w:tcMar>
            <w:vAlign w:val="top"/>
          </w:tcPr>
          <w:p>
            <w:pPr>
              <w:pStyle w:val="BodyText"/>
              <w:spacing w:after="0"/>
            </w:pPr>
            <w:r>
              <w:rPr>
                <w:sz w:val="15"/>
              </w:rPr>
              <w:t>Clinic Operations Owner</w:t>
            </w:r>
          </w:p>
        </w:tc>
        <w:tc>
          <w:tcPr>
            <w:tcW w:type="dxa" w:w="4104"/>
            <w:tcMar>
              <w:top w:w="90" w:type="dxa"/>
              <w:start w:w="90" w:type="dxa"/>
              <w:bottom w:w="90" w:type="dxa"/>
              <w:end w:w="90" w:type="dxa"/>
            </w:tcMar>
            <w:vAlign w:val="top"/>
          </w:tcPr>
          <w:p>
            <w:pPr>
              <w:pStyle w:val="BodyText"/>
              <w:spacing w:after="0"/>
            </w:pPr>
            <w:r>
              <w:rPr>
                <w:sz w:val="15"/>
              </w:rPr>
              <w:t>Confirms workflow fit, staff readiness, escalation paths, downtime procedures, and training completion.</w:t>
            </w:r>
          </w:p>
        </w:tc>
        <w:tc>
          <w:tcPr>
            <w:tcW w:type="dxa" w:w="2880"/>
            <w:tcMar>
              <w:top w:w="90" w:type="dxa"/>
              <w:start w:w="90" w:type="dxa"/>
              <w:bottom w:w="90" w:type="dxa"/>
              <w:end w:w="90" w:type="dxa"/>
            </w:tcMar>
            <w:vAlign w:val="top"/>
          </w:tcPr>
          <w:p>
            <w:pPr>
              <w:pStyle w:val="BodyText"/>
              <w:spacing w:after="0"/>
            </w:pPr>
            <w:r>
              <w:rPr>
                <w:sz w:val="15"/>
              </w:rPr>
              <w:t>Cannot waive safety-critical release blockers.</w:t>
            </w:r>
          </w:p>
        </w:tc>
      </w:tr>
      <w:tr>
        <w:tc>
          <w:tcPr>
            <w:tcW w:type="dxa" w:w="2376"/>
            <w:tcMar>
              <w:top w:w="90" w:type="dxa"/>
              <w:start w:w="90" w:type="dxa"/>
              <w:bottom w:w="90" w:type="dxa"/>
              <w:end w:w="90" w:type="dxa"/>
            </w:tcMar>
            <w:vAlign w:val="top"/>
            <w:shd w:fill="F8FBFD"/>
          </w:tcPr>
          <w:p>
            <w:pPr>
              <w:pStyle w:val="BodyText"/>
              <w:spacing w:after="0"/>
            </w:pPr>
            <w:r>
              <w:rPr>
                <w:sz w:val="15"/>
              </w:rPr>
              <w:t>Privacy / Data Protection Reviewer</w:t>
            </w:r>
          </w:p>
        </w:tc>
        <w:tc>
          <w:tcPr>
            <w:tcW w:type="dxa" w:w="4104"/>
            <w:tcMar>
              <w:top w:w="90" w:type="dxa"/>
              <w:start w:w="90" w:type="dxa"/>
              <w:bottom w:w="90" w:type="dxa"/>
              <w:end w:w="90" w:type="dxa"/>
            </w:tcMar>
            <w:vAlign w:val="top"/>
            <w:shd w:fill="F8FBFD"/>
          </w:tcPr>
          <w:p>
            <w:pPr>
              <w:pStyle w:val="BodyText"/>
              <w:spacing w:after="0"/>
            </w:pPr>
            <w:r>
              <w:rPr>
                <w:sz w:val="15"/>
              </w:rPr>
              <w:t>Reviews access, disclosure, retention, logging, incident handling, and lawful processing.</w:t>
            </w:r>
          </w:p>
        </w:tc>
        <w:tc>
          <w:tcPr>
            <w:tcW w:type="dxa" w:w="2880"/>
            <w:tcMar>
              <w:top w:w="90" w:type="dxa"/>
              <w:start w:w="90" w:type="dxa"/>
              <w:bottom w:w="90" w:type="dxa"/>
              <w:end w:w="90" w:type="dxa"/>
            </w:tcMar>
            <w:vAlign w:val="top"/>
            <w:shd w:fill="F8FBFD"/>
          </w:tcPr>
          <w:p>
            <w:pPr>
              <w:pStyle w:val="BodyText"/>
              <w:spacing w:after="0"/>
            </w:pPr>
            <w:r>
              <w:rPr>
                <w:sz w:val="15"/>
              </w:rPr>
              <w:t>Does not approve clinical validity.</w:t>
            </w:r>
          </w:p>
        </w:tc>
      </w:tr>
      <w:tr>
        <w:tc>
          <w:tcPr>
            <w:tcW w:type="dxa" w:w="2376"/>
            <w:tcMar>
              <w:top w:w="90" w:type="dxa"/>
              <w:start w:w="90" w:type="dxa"/>
              <w:bottom w:w="90" w:type="dxa"/>
              <w:end w:w="90" w:type="dxa"/>
            </w:tcMar>
            <w:vAlign w:val="top"/>
          </w:tcPr>
          <w:p>
            <w:pPr>
              <w:pStyle w:val="BodyText"/>
              <w:spacing w:after="0"/>
            </w:pPr>
            <w:r>
              <w:rPr>
                <w:sz w:val="15"/>
              </w:rPr>
              <w:t>Quality and Test Owner</w:t>
            </w:r>
          </w:p>
        </w:tc>
        <w:tc>
          <w:tcPr>
            <w:tcW w:type="dxa" w:w="4104"/>
            <w:tcMar>
              <w:top w:w="90" w:type="dxa"/>
              <w:start w:w="90" w:type="dxa"/>
              <w:bottom w:w="90" w:type="dxa"/>
              <w:end w:w="90" w:type="dxa"/>
            </w:tcMar>
            <w:vAlign w:val="top"/>
          </w:tcPr>
          <w:p>
            <w:pPr>
              <w:pStyle w:val="BodyText"/>
              <w:spacing w:after="0"/>
            </w:pPr>
            <w:r>
              <w:rPr>
                <w:sz w:val="15"/>
              </w:rPr>
              <w:t>Maintains verification matrix, release evidence, defect records, and post-release review.</w:t>
            </w:r>
          </w:p>
        </w:tc>
        <w:tc>
          <w:tcPr>
            <w:tcW w:type="dxa" w:w="2880"/>
            <w:tcMar>
              <w:top w:w="90" w:type="dxa"/>
              <w:start w:w="90" w:type="dxa"/>
              <w:bottom w:w="90" w:type="dxa"/>
              <w:end w:w="90" w:type="dxa"/>
            </w:tcMar>
            <w:vAlign w:val="top"/>
          </w:tcPr>
          <w:p>
            <w:pPr>
              <w:pStyle w:val="BodyText"/>
              <w:spacing w:after="0"/>
            </w:pPr>
            <w:r>
              <w:rPr>
                <w:sz w:val="15"/>
              </w:rPr>
              <w:t>Must be able to reject incomplete evidence.</w:t>
            </w:r>
          </w:p>
        </w:tc>
      </w:tr>
      <w:tr>
        <w:tc>
          <w:tcPr>
            <w:tcW w:type="dxa" w:w="2376"/>
            <w:tcMar>
              <w:top w:w="90" w:type="dxa"/>
              <w:start w:w="90" w:type="dxa"/>
              <w:bottom w:w="90" w:type="dxa"/>
              <w:end w:w="90" w:type="dxa"/>
            </w:tcMar>
            <w:vAlign w:val="top"/>
            <w:shd w:fill="F8FBFD"/>
          </w:tcPr>
          <w:p>
            <w:pPr>
              <w:pStyle w:val="BodyText"/>
              <w:spacing w:after="0"/>
            </w:pPr>
            <w:r>
              <w:rPr>
                <w:sz w:val="15"/>
              </w:rPr>
              <w:t>Academic / Research Adviser</w:t>
            </w:r>
          </w:p>
        </w:tc>
        <w:tc>
          <w:tcPr>
            <w:tcW w:type="dxa" w:w="4104"/>
            <w:tcMar>
              <w:top w:w="90" w:type="dxa"/>
              <w:start w:w="90" w:type="dxa"/>
              <w:bottom w:w="90" w:type="dxa"/>
              <w:end w:w="90" w:type="dxa"/>
            </w:tcMar>
            <w:vAlign w:val="top"/>
            <w:shd w:fill="F8FBFD"/>
          </w:tcPr>
          <w:p>
            <w:pPr>
              <w:pStyle w:val="BodyText"/>
              <w:spacing w:after="0"/>
            </w:pPr>
            <w:r>
              <w:rPr>
                <w:sz w:val="15"/>
              </w:rPr>
              <w:t>Reviews research claims, methods, limitations, and ethical reporting.</w:t>
            </w:r>
          </w:p>
        </w:tc>
        <w:tc>
          <w:tcPr>
            <w:tcW w:type="dxa" w:w="2880"/>
            <w:tcMar>
              <w:top w:w="90" w:type="dxa"/>
              <w:start w:w="90" w:type="dxa"/>
              <w:bottom w:w="90" w:type="dxa"/>
              <w:end w:w="90" w:type="dxa"/>
            </w:tcMar>
            <w:vAlign w:val="top"/>
            <w:shd w:fill="F8FBFD"/>
          </w:tcPr>
          <w:p>
            <w:pPr>
              <w:pStyle w:val="BodyText"/>
              <w:spacing w:after="0"/>
            </w:pPr>
            <w:r>
              <w:rPr>
                <w:sz w:val="15"/>
              </w:rPr>
              <w:t>Does not substitute for clinical authorization.</w:t>
            </w:r>
          </w:p>
        </w:tc>
      </w:tr>
      <w:tr>
        <w:tc>
          <w:tcPr>
            <w:tcW w:type="dxa" w:w="2376"/>
            <w:tcMar>
              <w:top w:w="90" w:type="dxa"/>
              <w:start w:w="90" w:type="dxa"/>
              <w:bottom w:w="90" w:type="dxa"/>
              <w:end w:w="90" w:type="dxa"/>
            </w:tcMar>
            <w:vAlign w:val="top"/>
          </w:tcPr>
          <w:p>
            <w:pPr>
              <w:pStyle w:val="BodyText"/>
              <w:spacing w:after="0"/>
            </w:pPr>
            <w:r>
              <w:rPr>
                <w:sz w:val="15"/>
              </w:rPr>
              <w:t>Authorized Midwife User</w:t>
            </w:r>
          </w:p>
        </w:tc>
        <w:tc>
          <w:tcPr>
            <w:tcW w:type="dxa" w:w="4104"/>
            <w:tcMar>
              <w:top w:w="90" w:type="dxa"/>
              <w:start w:w="90" w:type="dxa"/>
              <w:bottom w:w="90" w:type="dxa"/>
              <w:end w:w="90" w:type="dxa"/>
            </w:tcMar>
            <w:vAlign w:val="top"/>
          </w:tcPr>
          <w:p>
            <w:pPr>
              <w:pStyle w:val="BodyText"/>
              <w:spacing w:after="0"/>
            </w:pPr>
            <w:r>
              <w:rPr>
                <w:sz w:val="15"/>
              </w:rPr>
              <w:t>Uses explanations, documents professional action, reports anomalies, and follows referral procedures.</w:t>
            </w:r>
          </w:p>
        </w:tc>
        <w:tc>
          <w:tcPr>
            <w:tcW w:type="dxa" w:w="2880"/>
            <w:tcMar>
              <w:top w:w="90" w:type="dxa"/>
              <w:start w:w="90" w:type="dxa"/>
              <w:bottom w:w="90" w:type="dxa"/>
              <w:end w:w="90" w:type="dxa"/>
            </w:tcMar>
            <w:vAlign w:val="top"/>
          </w:tcPr>
          <w:p>
            <w:pPr>
              <w:pStyle w:val="BodyText"/>
              <w:spacing w:after="0"/>
            </w:pPr>
            <w:r>
              <w:rPr>
                <w:sz w:val="15"/>
              </w:rPr>
              <w:t>Must not treat the output as a diagnosis or override urgent clinical judgment.</w:t>
            </w:r>
          </w:p>
        </w:tc>
      </w:tr>
    </w:tbl>
    <w:p>
      <w:pPr>
        <w:spacing w:after="0"/>
      </w:pPr>
    </w:p>
    <w:p>
      <w:pPr>
        <w:pStyle w:val="Heading2"/>
        <w:keepNext/>
      </w:pPr>
      <w:r>
        <w:t>3.2 Minimum viable governance for a small capstone team</w:t>
      </w:r>
    </w:p>
    <w:p>
      <w:pPr>
        <w:pStyle w:val="BodyText"/>
      </w:pPr>
      <w:r>
        <w:t>In a student capstone, one person may hold more than one technical role, but clinical approval and technical implementation should remain functionally separated. The person who changes code should not be the only person who confirms that the clinical meaning is correct. Where a licensed clinical adviser is unavailable, the limitation must be disclosed and the system must not claim clinical validation.</w:t>
      </w:r>
    </w:p>
    <w:p>
      <w:pPr>
        <w:pStyle w:val="Heading2"/>
        <w:keepNext/>
      </w:pPr>
      <w:r>
        <w:t>3.3 RACI-style responsibility matrix</w:t>
      </w:r>
    </w:p>
    <w:tbl>
      <w:tblPr>
        <w:tblStyle w:val="TableGrid"/>
        <w:tblW w:type="auto" w:w="0"/>
        <w:jc w:val="center"/>
        <w:tblLayout w:type="autofit"/>
        <w:tblLook w:firstColumn="1" w:firstRow="1" w:lastColumn="0" w:lastRow="0" w:noHBand="0" w:noVBand="1" w:val="04A0"/>
      </w:tblPr>
      <w:tblGrid>
        <w:gridCol w:w="1260"/>
        <w:gridCol w:w="1260"/>
        <w:gridCol w:w="1260"/>
        <w:gridCol w:w="1260"/>
        <w:gridCol w:w="1260"/>
        <w:gridCol w:w="1260"/>
        <w:gridCol w:w="1260"/>
        <w:gridCol w:w="1260"/>
      </w:tblGrid>
      <w:tr>
        <w:trPr>
          <w:tblHeader w:val="true"/>
        </w:trPr>
        <w:tc>
          <w:tcPr>
            <w:tcW w:type="dxa" w:w="2304"/>
            <w:shd w:fill="1F4E79"/>
            <w:tcMar>
              <w:top w:w="90" w:type="dxa"/>
              <w:start w:w="90" w:type="dxa"/>
              <w:bottom w:w="90" w:type="dxa"/>
              <w:end w:w="90" w:type="dxa"/>
            </w:tcMar>
            <w:vAlign w:val="center"/>
          </w:tcPr>
          <w:p>
            <w:pPr>
              <w:jc w:val="center"/>
            </w:pPr>
            <w:r>
              <w:rPr>
                <w:b/>
                <w:color w:val="FFFFFF"/>
                <w:sz w:val="14"/>
              </w:rPr>
              <w:t>Activity</w:t>
            </w:r>
          </w:p>
        </w:tc>
        <w:tc>
          <w:tcPr>
            <w:tcW w:type="dxa" w:w="1008"/>
            <w:shd w:fill="1F4E79"/>
            <w:tcMar>
              <w:top w:w="90" w:type="dxa"/>
              <w:start w:w="90" w:type="dxa"/>
              <w:bottom w:w="90" w:type="dxa"/>
              <w:end w:w="90" w:type="dxa"/>
            </w:tcMar>
            <w:vAlign w:val="center"/>
          </w:tcPr>
          <w:p>
            <w:pPr>
              <w:jc w:val="center"/>
            </w:pPr>
            <w:r>
              <w:rPr>
                <w:b/>
                <w:color w:val="FFFFFF"/>
                <w:sz w:val="14"/>
              </w:rPr>
              <w:t>Clinical</w:t>
            </w:r>
          </w:p>
        </w:tc>
        <w:tc>
          <w:tcPr>
            <w:tcW w:type="dxa" w:w="1080"/>
            <w:shd w:fill="1F4E79"/>
            <w:tcMar>
              <w:top w:w="90" w:type="dxa"/>
              <w:start w:w="90" w:type="dxa"/>
              <w:bottom w:w="90" w:type="dxa"/>
              <w:end w:w="90" w:type="dxa"/>
            </w:tcMar>
            <w:vAlign w:val="center"/>
          </w:tcPr>
          <w:p>
            <w:pPr>
              <w:jc w:val="center"/>
            </w:pPr>
            <w:r>
              <w:rPr>
                <w:b/>
                <w:color w:val="FFFFFF"/>
                <w:sz w:val="14"/>
              </w:rPr>
              <w:t>Technical</w:t>
            </w:r>
          </w:p>
        </w:tc>
        <w:tc>
          <w:tcPr>
            <w:tcW w:type="dxa" w:w="936"/>
            <w:shd w:fill="1F4E79"/>
            <w:tcMar>
              <w:top w:w="90" w:type="dxa"/>
              <w:start w:w="90" w:type="dxa"/>
              <w:bottom w:w="90" w:type="dxa"/>
              <w:end w:w="90" w:type="dxa"/>
            </w:tcMar>
            <w:vAlign w:val="center"/>
          </w:tcPr>
          <w:p>
            <w:pPr>
              <w:jc w:val="center"/>
            </w:pPr>
            <w:r>
              <w:rPr>
                <w:b/>
                <w:color w:val="FFFFFF"/>
                <w:sz w:val="14"/>
              </w:rPr>
              <w:t>Model</w:t>
            </w:r>
          </w:p>
        </w:tc>
        <w:tc>
          <w:tcPr>
            <w:tcW w:type="dxa" w:w="1080"/>
            <w:shd w:fill="1F4E79"/>
            <w:tcMar>
              <w:top w:w="90" w:type="dxa"/>
              <w:start w:w="90" w:type="dxa"/>
              <w:bottom w:w="90" w:type="dxa"/>
              <w:end w:w="90" w:type="dxa"/>
            </w:tcMar>
            <w:vAlign w:val="center"/>
          </w:tcPr>
          <w:p>
            <w:pPr>
              <w:jc w:val="center"/>
            </w:pPr>
            <w:r>
              <w:rPr>
                <w:b/>
                <w:color w:val="FFFFFF"/>
                <w:sz w:val="14"/>
              </w:rPr>
              <w:t>Content</w:t>
            </w:r>
          </w:p>
        </w:tc>
        <w:tc>
          <w:tcPr>
            <w:tcW w:type="dxa" w:w="1152"/>
            <w:shd w:fill="1F4E79"/>
            <w:tcMar>
              <w:top w:w="90" w:type="dxa"/>
              <w:start w:w="90" w:type="dxa"/>
              <w:bottom w:w="90" w:type="dxa"/>
              <w:end w:w="90" w:type="dxa"/>
            </w:tcMar>
            <w:vAlign w:val="center"/>
          </w:tcPr>
          <w:p>
            <w:pPr>
              <w:jc w:val="center"/>
            </w:pPr>
            <w:r>
              <w:rPr>
                <w:b/>
                <w:color w:val="FFFFFF"/>
                <w:sz w:val="14"/>
              </w:rPr>
              <w:t>Operations</w:t>
            </w:r>
          </w:p>
        </w:tc>
        <w:tc>
          <w:tcPr>
            <w:tcW w:type="dxa" w:w="1008"/>
            <w:shd w:fill="1F4E79"/>
            <w:tcMar>
              <w:top w:w="90" w:type="dxa"/>
              <w:start w:w="90" w:type="dxa"/>
              <w:bottom w:w="90" w:type="dxa"/>
              <w:end w:w="90" w:type="dxa"/>
            </w:tcMar>
            <w:vAlign w:val="center"/>
          </w:tcPr>
          <w:p>
            <w:pPr>
              <w:jc w:val="center"/>
            </w:pPr>
            <w:r>
              <w:rPr>
                <w:b/>
                <w:color w:val="FFFFFF"/>
                <w:sz w:val="14"/>
              </w:rPr>
              <w:t>Privacy</w:t>
            </w:r>
          </w:p>
        </w:tc>
        <w:tc>
          <w:tcPr>
            <w:tcW w:type="dxa" w:w="936"/>
            <w:shd w:fill="1F4E79"/>
            <w:tcMar>
              <w:top w:w="90" w:type="dxa"/>
              <w:start w:w="90" w:type="dxa"/>
              <w:bottom w:w="90" w:type="dxa"/>
              <w:end w:w="90" w:type="dxa"/>
            </w:tcMar>
            <w:vAlign w:val="center"/>
          </w:tcPr>
          <w:p>
            <w:pPr>
              <w:jc w:val="center"/>
            </w:pPr>
            <w:r>
              <w:rPr>
                <w:b/>
                <w:color w:val="FFFFFF"/>
                <w:sz w:val="14"/>
              </w:rPr>
              <w:t>Quality</w:t>
            </w:r>
          </w:p>
        </w:tc>
      </w:tr>
      <w:tr>
        <w:tc>
          <w:tcPr>
            <w:tcW w:type="dxa" w:w="2304"/>
            <w:tcMar>
              <w:top w:w="90" w:type="dxa"/>
              <w:start w:w="90" w:type="dxa"/>
              <w:bottom w:w="90" w:type="dxa"/>
              <w:end w:w="90" w:type="dxa"/>
            </w:tcMar>
            <w:vAlign w:val="top"/>
          </w:tcPr>
          <w:p>
            <w:pPr>
              <w:pStyle w:val="BodyText"/>
              <w:spacing w:after="0"/>
            </w:pPr>
            <w:r>
              <w:rPr>
                <w:sz w:val="14"/>
              </w:rPr>
              <w:t>Change clinical threshold</w:t>
            </w:r>
          </w:p>
        </w:tc>
        <w:tc>
          <w:tcPr>
            <w:tcW w:type="dxa" w:w="1008"/>
            <w:tcMar>
              <w:top w:w="90" w:type="dxa"/>
              <w:start w:w="90" w:type="dxa"/>
              <w:bottom w:w="90" w:type="dxa"/>
              <w:end w:w="90" w:type="dxa"/>
            </w:tcMar>
            <w:vAlign w:val="top"/>
          </w:tcPr>
          <w:p>
            <w:pPr>
              <w:pStyle w:val="BodyText"/>
              <w:spacing w:after="0"/>
            </w:pPr>
            <w:r>
              <w:rPr>
                <w:sz w:val="14"/>
              </w:rPr>
              <w:t>A</w:t>
            </w:r>
          </w:p>
        </w:tc>
        <w:tc>
          <w:tcPr>
            <w:tcW w:type="dxa" w:w="1080"/>
            <w:tcMar>
              <w:top w:w="90" w:type="dxa"/>
              <w:start w:w="90" w:type="dxa"/>
              <w:bottom w:w="90" w:type="dxa"/>
              <w:end w:w="90" w:type="dxa"/>
            </w:tcMar>
            <w:vAlign w:val="top"/>
          </w:tcPr>
          <w:p>
            <w:pPr>
              <w:pStyle w:val="BodyText"/>
              <w:spacing w:after="0"/>
            </w:pPr>
            <w:r>
              <w:rPr>
                <w:sz w:val="14"/>
              </w:rPr>
              <w:t>R/C</w:t>
            </w:r>
          </w:p>
        </w:tc>
        <w:tc>
          <w:tcPr>
            <w:tcW w:type="dxa" w:w="936"/>
            <w:tcMar>
              <w:top w:w="90" w:type="dxa"/>
              <w:start w:w="90" w:type="dxa"/>
              <w:bottom w:w="90" w:type="dxa"/>
              <w:end w:w="90" w:type="dxa"/>
            </w:tcMar>
            <w:vAlign w:val="top"/>
          </w:tcPr>
          <w:p>
            <w:pPr>
              <w:pStyle w:val="BodyText"/>
              <w:spacing w:after="0"/>
            </w:pPr>
            <w:r>
              <w:rPr>
                <w:sz w:val="14"/>
              </w:rPr>
              <w:t>C</w:t>
            </w:r>
          </w:p>
        </w:tc>
        <w:tc>
          <w:tcPr>
            <w:tcW w:type="dxa" w:w="1080"/>
            <w:tcMar>
              <w:top w:w="90" w:type="dxa"/>
              <w:start w:w="90" w:type="dxa"/>
              <w:bottom w:w="90" w:type="dxa"/>
              <w:end w:w="90" w:type="dxa"/>
            </w:tcMar>
            <w:vAlign w:val="top"/>
          </w:tcPr>
          <w:p>
            <w:pPr>
              <w:pStyle w:val="BodyText"/>
              <w:spacing w:after="0"/>
            </w:pPr>
            <w:r>
              <w:rPr>
                <w:sz w:val="14"/>
              </w:rPr>
              <w:t>C</w:t>
            </w:r>
          </w:p>
        </w:tc>
        <w:tc>
          <w:tcPr>
            <w:tcW w:type="dxa" w:w="1152"/>
            <w:tcMar>
              <w:top w:w="90" w:type="dxa"/>
              <w:start w:w="90" w:type="dxa"/>
              <w:bottom w:w="90" w:type="dxa"/>
              <w:end w:w="90" w:type="dxa"/>
            </w:tcMar>
            <w:vAlign w:val="top"/>
          </w:tcPr>
          <w:p>
            <w:pPr>
              <w:pStyle w:val="BodyText"/>
              <w:spacing w:after="0"/>
            </w:pPr>
            <w:r>
              <w:rPr>
                <w:sz w:val="14"/>
              </w:rPr>
              <w:t>C</w:t>
            </w:r>
          </w:p>
        </w:tc>
        <w:tc>
          <w:tcPr>
            <w:tcW w:type="dxa" w:w="1008"/>
            <w:tcMar>
              <w:top w:w="90" w:type="dxa"/>
              <w:start w:w="90" w:type="dxa"/>
              <w:bottom w:w="90" w:type="dxa"/>
              <w:end w:w="90" w:type="dxa"/>
            </w:tcMar>
            <w:vAlign w:val="top"/>
          </w:tcPr>
          <w:p>
            <w:pPr>
              <w:pStyle w:val="BodyText"/>
              <w:spacing w:after="0"/>
            </w:pPr>
            <w:r>
              <w:rPr>
                <w:sz w:val="14"/>
              </w:rPr>
              <w:t>C</w:t>
            </w:r>
          </w:p>
        </w:tc>
        <w:tc>
          <w:tcPr>
            <w:tcW w:type="dxa" w:w="936"/>
            <w:tcMar>
              <w:top w:w="90" w:type="dxa"/>
              <w:start w:w="90" w:type="dxa"/>
              <w:bottom w:w="90" w:type="dxa"/>
              <w:end w:w="90" w:type="dxa"/>
            </w:tcMar>
            <w:vAlign w:val="top"/>
          </w:tcPr>
          <w:p>
            <w:pPr>
              <w:pStyle w:val="BodyText"/>
              <w:spacing w:after="0"/>
            </w:pPr>
            <w:r>
              <w:rPr>
                <w:sz w:val="14"/>
              </w:rPr>
              <w:t>R</w:t>
            </w:r>
          </w:p>
        </w:tc>
      </w:tr>
      <w:tr>
        <w:tc>
          <w:tcPr>
            <w:tcW w:type="dxa" w:w="2304"/>
            <w:tcMar>
              <w:top w:w="90" w:type="dxa"/>
              <w:start w:w="90" w:type="dxa"/>
              <w:bottom w:w="90" w:type="dxa"/>
              <w:end w:w="90" w:type="dxa"/>
            </w:tcMar>
            <w:vAlign w:val="top"/>
            <w:shd w:fill="F8FBFD"/>
          </w:tcPr>
          <w:p>
            <w:pPr>
              <w:pStyle w:val="BodyText"/>
              <w:spacing w:after="0"/>
            </w:pPr>
            <w:r>
              <w:rPr>
                <w:sz w:val="14"/>
              </w:rPr>
              <w:t>Change ML artifact</w:t>
            </w:r>
          </w:p>
        </w:tc>
        <w:tc>
          <w:tcPr>
            <w:tcW w:type="dxa" w:w="1008"/>
            <w:tcMar>
              <w:top w:w="90" w:type="dxa"/>
              <w:start w:w="90" w:type="dxa"/>
              <w:bottom w:w="90" w:type="dxa"/>
              <w:end w:w="90" w:type="dxa"/>
            </w:tcMar>
            <w:vAlign w:val="top"/>
            <w:shd w:fill="F8FBFD"/>
          </w:tcPr>
          <w:p>
            <w:pPr>
              <w:pStyle w:val="BodyText"/>
              <w:spacing w:after="0"/>
            </w:pPr>
            <w:r>
              <w:rPr>
                <w:sz w:val="14"/>
              </w:rPr>
              <w:t>C</w:t>
            </w:r>
          </w:p>
        </w:tc>
        <w:tc>
          <w:tcPr>
            <w:tcW w:type="dxa" w:w="1080"/>
            <w:tcMar>
              <w:top w:w="90" w:type="dxa"/>
              <w:start w:w="90" w:type="dxa"/>
              <w:bottom w:w="90" w:type="dxa"/>
              <w:end w:w="90" w:type="dxa"/>
            </w:tcMar>
            <w:vAlign w:val="top"/>
            <w:shd w:fill="F8FBFD"/>
          </w:tcPr>
          <w:p>
            <w:pPr>
              <w:pStyle w:val="BodyText"/>
              <w:spacing w:after="0"/>
            </w:pPr>
            <w:r>
              <w:rPr>
                <w:sz w:val="14"/>
              </w:rPr>
              <w:t>R</w:t>
            </w:r>
          </w:p>
        </w:tc>
        <w:tc>
          <w:tcPr>
            <w:tcW w:type="dxa" w:w="936"/>
            <w:tcMar>
              <w:top w:w="90" w:type="dxa"/>
              <w:start w:w="90" w:type="dxa"/>
              <w:bottom w:w="90" w:type="dxa"/>
              <w:end w:w="90" w:type="dxa"/>
            </w:tcMar>
            <w:vAlign w:val="top"/>
            <w:shd w:fill="F8FBFD"/>
          </w:tcPr>
          <w:p>
            <w:pPr>
              <w:pStyle w:val="BodyText"/>
              <w:spacing w:after="0"/>
            </w:pPr>
            <w:r>
              <w:rPr>
                <w:sz w:val="14"/>
              </w:rPr>
              <w:t>A/R</w:t>
            </w:r>
          </w:p>
        </w:tc>
        <w:tc>
          <w:tcPr>
            <w:tcW w:type="dxa" w:w="1080"/>
            <w:tcMar>
              <w:top w:w="90" w:type="dxa"/>
              <w:start w:w="90" w:type="dxa"/>
              <w:bottom w:w="90" w:type="dxa"/>
              <w:end w:w="90" w:type="dxa"/>
            </w:tcMar>
            <w:vAlign w:val="top"/>
            <w:shd w:fill="F8FBFD"/>
          </w:tcPr>
          <w:p>
            <w:pPr>
              <w:pStyle w:val="BodyText"/>
              <w:spacing w:after="0"/>
            </w:pPr>
            <w:r>
              <w:rPr>
                <w:sz w:val="14"/>
              </w:rPr>
              <w:t>C</w:t>
            </w:r>
          </w:p>
        </w:tc>
        <w:tc>
          <w:tcPr>
            <w:tcW w:type="dxa" w:w="1152"/>
            <w:tcMar>
              <w:top w:w="90" w:type="dxa"/>
              <w:start w:w="90" w:type="dxa"/>
              <w:bottom w:w="90" w:type="dxa"/>
              <w:end w:w="90" w:type="dxa"/>
            </w:tcMar>
            <w:vAlign w:val="top"/>
            <w:shd w:fill="F8FBFD"/>
          </w:tcPr>
          <w:p>
            <w:pPr>
              <w:pStyle w:val="BodyText"/>
              <w:spacing w:after="0"/>
            </w:pPr>
            <w:r>
              <w:rPr>
                <w:sz w:val="14"/>
              </w:rPr>
              <w:t>C</w:t>
            </w:r>
          </w:p>
        </w:tc>
        <w:tc>
          <w:tcPr>
            <w:tcW w:type="dxa" w:w="1008"/>
            <w:tcMar>
              <w:top w:w="90" w:type="dxa"/>
              <w:start w:w="90" w:type="dxa"/>
              <w:bottom w:w="90" w:type="dxa"/>
              <w:end w:w="90" w:type="dxa"/>
            </w:tcMar>
            <w:vAlign w:val="top"/>
            <w:shd w:fill="F8FBFD"/>
          </w:tcPr>
          <w:p>
            <w:pPr>
              <w:pStyle w:val="BodyText"/>
              <w:spacing w:after="0"/>
            </w:pPr>
            <w:r>
              <w:rPr>
                <w:sz w:val="14"/>
              </w:rPr>
              <w:t>C</w:t>
            </w:r>
          </w:p>
        </w:tc>
        <w:tc>
          <w:tcPr>
            <w:tcW w:type="dxa" w:w="936"/>
            <w:tcMar>
              <w:top w:w="90" w:type="dxa"/>
              <w:start w:w="90" w:type="dxa"/>
              <w:bottom w:w="90" w:type="dxa"/>
              <w:end w:w="90" w:type="dxa"/>
            </w:tcMar>
            <w:vAlign w:val="top"/>
            <w:shd w:fill="F8FBFD"/>
          </w:tcPr>
          <w:p>
            <w:pPr>
              <w:pStyle w:val="BodyText"/>
              <w:spacing w:after="0"/>
            </w:pPr>
            <w:r>
              <w:rPr>
                <w:sz w:val="14"/>
              </w:rPr>
              <w:t>R</w:t>
            </w:r>
          </w:p>
        </w:tc>
      </w:tr>
      <w:tr>
        <w:tc>
          <w:tcPr>
            <w:tcW w:type="dxa" w:w="2304"/>
            <w:tcMar>
              <w:top w:w="90" w:type="dxa"/>
              <w:start w:w="90" w:type="dxa"/>
              <w:bottom w:w="90" w:type="dxa"/>
              <w:end w:w="90" w:type="dxa"/>
            </w:tcMar>
            <w:vAlign w:val="top"/>
          </w:tcPr>
          <w:p>
            <w:pPr>
              <w:pStyle w:val="BodyText"/>
              <w:spacing w:after="0"/>
            </w:pPr>
            <w:r>
              <w:rPr>
                <w:sz w:val="14"/>
              </w:rPr>
              <w:t>Change patient wording</w:t>
            </w:r>
          </w:p>
        </w:tc>
        <w:tc>
          <w:tcPr>
            <w:tcW w:type="dxa" w:w="1008"/>
            <w:tcMar>
              <w:top w:w="90" w:type="dxa"/>
              <w:start w:w="90" w:type="dxa"/>
              <w:bottom w:w="90" w:type="dxa"/>
              <w:end w:w="90" w:type="dxa"/>
            </w:tcMar>
            <w:vAlign w:val="top"/>
          </w:tcPr>
          <w:p>
            <w:pPr>
              <w:pStyle w:val="BodyText"/>
              <w:spacing w:after="0"/>
            </w:pPr>
            <w:r>
              <w:rPr>
                <w:sz w:val="14"/>
              </w:rPr>
              <w:t>A/C</w:t>
            </w:r>
          </w:p>
        </w:tc>
        <w:tc>
          <w:tcPr>
            <w:tcW w:type="dxa" w:w="1080"/>
            <w:tcMar>
              <w:top w:w="90" w:type="dxa"/>
              <w:start w:w="90" w:type="dxa"/>
              <w:bottom w:w="90" w:type="dxa"/>
              <w:end w:w="90" w:type="dxa"/>
            </w:tcMar>
            <w:vAlign w:val="top"/>
          </w:tcPr>
          <w:p>
            <w:pPr>
              <w:pStyle w:val="BodyText"/>
              <w:spacing w:after="0"/>
            </w:pPr>
            <w:r>
              <w:rPr>
                <w:sz w:val="14"/>
              </w:rPr>
              <w:t>R</w:t>
            </w:r>
          </w:p>
        </w:tc>
        <w:tc>
          <w:tcPr>
            <w:tcW w:type="dxa" w:w="936"/>
            <w:tcMar>
              <w:top w:w="90" w:type="dxa"/>
              <w:start w:w="90" w:type="dxa"/>
              <w:bottom w:w="90" w:type="dxa"/>
              <w:end w:w="90" w:type="dxa"/>
            </w:tcMar>
            <w:vAlign w:val="top"/>
          </w:tcPr>
          <w:p>
            <w:pPr>
              <w:pStyle w:val="BodyText"/>
              <w:spacing w:after="0"/>
            </w:pPr>
            <w:r>
              <w:rPr>
                <w:sz w:val="14"/>
              </w:rPr>
              <w:t>C</w:t>
            </w:r>
          </w:p>
        </w:tc>
        <w:tc>
          <w:tcPr>
            <w:tcW w:type="dxa" w:w="1080"/>
            <w:tcMar>
              <w:top w:w="90" w:type="dxa"/>
              <w:start w:w="90" w:type="dxa"/>
              <w:bottom w:w="90" w:type="dxa"/>
              <w:end w:w="90" w:type="dxa"/>
            </w:tcMar>
            <w:vAlign w:val="top"/>
          </w:tcPr>
          <w:p>
            <w:pPr>
              <w:pStyle w:val="BodyText"/>
              <w:spacing w:after="0"/>
            </w:pPr>
            <w:r>
              <w:rPr>
                <w:sz w:val="14"/>
              </w:rPr>
              <w:t>A/R</w:t>
            </w:r>
          </w:p>
        </w:tc>
        <w:tc>
          <w:tcPr>
            <w:tcW w:type="dxa" w:w="1152"/>
            <w:tcMar>
              <w:top w:w="90" w:type="dxa"/>
              <w:start w:w="90" w:type="dxa"/>
              <w:bottom w:w="90" w:type="dxa"/>
              <w:end w:w="90" w:type="dxa"/>
            </w:tcMar>
            <w:vAlign w:val="top"/>
          </w:tcPr>
          <w:p>
            <w:pPr>
              <w:pStyle w:val="BodyText"/>
              <w:spacing w:after="0"/>
            </w:pPr>
            <w:r>
              <w:rPr>
                <w:sz w:val="14"/>
              </w:rPr>
              <w:t>C</w:t>
            </w:r>
          </w:p>
        </w:tc>
        <w:tc>
          <w:tcPr>
            <w:tcW w:type="dxa" w:w="1008"/>
            <w:tcMar>
              <w:top w:w="90" w:type="dxa"/>
              <w:start w:w="90" w:type="dxa"/>
              <w:bottom w:w="90" w:type="dxa"/>
              <w:end w:w="90" w:type="dxa"/>
            </w:tcMar>
            <w:vAlign w:val="top"/>
          </w:tcPr>
          <w:p>
            <w:pPr>
              <w:pStyle w:val="BodyText"/>
              <w:spacing w:after="0"/>
            </w:pPr>
            <w:r>
              <w:rPr>
                <w:sz w:val="14"/>
              </w:rPr>
              <w:t>C</w:t>
            </w:r>
          </w:p>
        </w:tc>
        <w:tc>
          <w:tcPr>
            <w:tcW w:type="dxa" w:w="936"/>
            <w:tcMar>
              <w:top w:w="90" w:type="dxa"/>
              <w:start w:w="90" w:type="dxa"/>
              <w:bottom w:w="90" w:type="dxa"/>
              <w:end w:w="90" w:type="dxa"/>
            </w:tcMar>
            <w:vAlign w:val="top"/>
          </w:tcPr>
          <w:p>
            <w:pPr>
              <w:pStyle w:val="BodyText"/>
              <w:spacing w:after="0"/>
            </w:pPr>
            <w:r>
              <w:rPr>
                <w:sz w:val="14"/>
              </w:rPr>
              <w:t>R</w:t>
            </w:r>
          </w:p>
        </w:tc>
      </w:tr>
      <w:tr>
        <w:tc>
          <w:tcPr>
            <w:tcW w:type="dxa" w:w="2304"/>
            <w:tcMar>
              <w:top w:w="90" w:type="dxa"/>
              <w:start w:w="90" w:type="dxa"/>
              <w:bottom w:w="90" w:type="dxa"/>
              <w:end w:w="90" w:type="dxa"/>
            </w:tcMar>
            <w:vAlign w:val="top"/>
            <w:shd w:fill="F8FBFD"/>
          </w:tcPr>
          <w:p>
            <w:pPr>
              <w:pStyle w:val="BodyText"/>
              <w:spacing w:after="0"/>
            </w:pPr>
            <w:r>
              <w:rPr>
                <w:sz w:val="14"/>
              </w:rPr>
              <w:t>Deploy release</w:t>
            </w:r>
          </w:p>
        </w:tc>
        <w:tc>
          <w:tcPr>
            <w:tcW w:type="dxa" w:w="1008"/>
            <w:tcMar>
              <w:top w:w="90" w:type="dxa"/>
              <w:start w:w="90" w:type="dxa"/>
              <w:bottom w:w="90" w:type="dxa"/>
              <w:end w:w="90" w:type="dxa"/>
            </w:tcMar>
            <w:vAlign w:val="top"/>
            <w:shd w:fill="F8FBFD"/>
          </w:tcPr>
          <w:p>
            <w:pPr>
              <w:pStyle w:val="BodyText"/>
              <w:spacing w:after="0"/>
            </w:pPr>
            <w:r>
              <w:rPr>
                <w:sz w:val="14"/>
              </w:rPr>
              <w:t>C</w:t>
            </w:r>
          </w:p>
        </w:tc>
        <w:tc>
          <w:tcPr>
            <w:tcW w:type="dxa" w:w="1080"/>
            <w:tcMar>
              <w:top w:w="90" w:type="dxa"/>
              <w:start w:w="90" w:type="dxa"/>
              <w:bottom w:w="90" w:type="dxa"/>
              <w:end w:w="90" w:type="dxa"/>
            </w:tcMar>
            <w:vAlign w:val="top"/>
            <w:shd w:fill="F8FBFD"/>
          </w:tcPr>
          <w:p>
            <w:pPr>
              <w:pStyle w:val="BodyText"/>
              <w:spacing w:after="0"/>
            </w:pPr>
            <w:r>
              <w:rPr>
                <w:sz w:val="14"/>
              </w:rPr>
              <w:t>A/R</w:t>
            </w:r>
          </w:p>
        </w:tc>
        <w:tc>
          <w:tcPr>
            <w:tcW w:type="dxa" w:w="936"/>
            <w:tcMar>
              <w:top w:w="90" w:type="dxa"/>
              <w:start w:w="90" w:type="dxa"/>
              <w:bottom w:w="90" w:type="dxa"/>
              <w:end w:w="90" w:type="dxa"/>
            </w:tcMar>
            <w:vAlign w:val="top"/>
            <w:shd w:fill="F8FBFD"/>
          </w:tcPr>
          <w:p>
            <w:pPr>
              <w:pStyle w:val="BodyText"/>
              <w:spacing w:after="0"/>
            </w:pPr>
            <w:r>
              <w:rPr>
                <w:sz w:val="14"/>
              </w:rPr>
              <w:t>C</w:t>
            </w:r>
          </w:p>
        </w:tc>
        <w:tc>
          <w:tcPr>
            <w:tcW w:type="dxa" w:w="1080"/>
            <w:tcMar>
              <w:top w:w="90" w:type="dxa"/>
              <w:start w:w="90" w:type="dxa"/>
              <w:bottom w:w="90" w:type="dxa"/>
              <w:end w:w="90" w:type="dxa"/>
            </w:tcMar>
            <w:vAlign w:val="top"/>
            <w:shd w:fill="F8FBFD"/>
          </w:tcPr>
          <w:p>
            <w:pPr>
              <w:pStyle w:val="BodyText"/>
              <w:spacing w:after="0"/>
            </w:pPr>
            <w:r>
              <w:rPr>
                <w:sz w:val="14"/>
              </w:rPr>
              <w:t>C</w:t>
            </w:r>
          </w:p>
        </w:tc>
        <w:tc>
          <w:tcPr>
            <w:tcW w:type="dxa" w:w="1152"/>
            <w:tcMar>
              <w:top w:w="90" w:type="dxa"/>
              <w:start w:w="90" w:type="dxa"/>
              <w:bottom w:w="90" w:type="dxa"/>
              <w:end w:w="90" w:type="dxa"/>
            </w:tcMar>
            <w:vAlign w:val="top"/>
            <w:shd w:fill="F8FBFD"/>
          </w:tcPr>
          <w:p>
            <w:pPr>
              <w:pStyle w:val="BodyText"/>
              <w:spacing w:after="0"/>
            </w:pPr>
            <w:r>
              <w:rPr>
                <w:sz w:val="14"/>
              </w:rPr>
              <w:t>C</w:t>
            </w:r>
          </w:p>
        </w:tc>
        <w:tc>
          <w:tcPr>
            <w:tcW w:type="dxa" w:w="1008"/>
            <w:tcMar>
              <w:top w:w="90" w:type="dxa"/>
              <w:start w:w="90" w:type="dxa"/>
              <w:bottom w:w="90" w:type="dxa"/>
              <w:end w:w="90" w:type="dxa"/>
            </w:tcMar>
            <w:vAlign w:val="top"/>
            <w:shd w:fill="F8FBFD"/>
          </w:tcPr>
          <w:p>
            <w:pPr>
              <w:pStyle w:val="BodyText"/>
              <w:spacing w:after="0"/>
            </w:pPr>
            <w:r>
              <w:rPr>
                <w:sz w:val="14"/>
              </w:rPr>
              <w:t>C</w:t>
            </w:r>
          </w:p>
        </w:tc>
        <w:tc>
          <w:tcPr>
            <w:tcW w:type="dxa" w:w="936"/>
            <w:tcMar>
              <w:top w:w="90" w:type="dxa"/>
              <w:start w:w="90" w:type="dxa"/>
              <w:bottom w:w="90" w:type="dxa"/>
              <w:end w:w="90" w:type="dxa"/>
            </w:tcMar>
            <w:vAlign w:val="top"/>
            <w:shd w:fill="F8FBFD"/>
          </w:tcPr>
          <w:p>
            <w:pPr>
              <w:pStyle w:val="BodyText"/>
              <w:spacing w:after="0"/>
            </w:pPr>
            <w:r>
              <w:rPr>
                <w:sz w:val="14"/>
              </w:rPr>
              <w:t>R</w:t>
            </w:r>
          </w:p>
        </w:tc>
      </w:tr>
      <w:tr>
        <w:tc>
          <w:tcPr>
            <w:tcW w:type="dxa" w:w="2304"/>
            <w:tcMar>
              <w:top w:w="90" w:type="dxa"/>
              <w:start w:w="90" w:type="dxa"/>
              <w:bottom w:w="90" w:type="dxa"/>
              <w:end w:w="90" w:type="dxa"/>
            </w:tcMar>
            <w:vAlign w:val="top"/>
          </w:tcPr>
          <w:p>
            <w:pPr>
              <w:pStyle w:val="BodyText"/>
              <w:spacing w:after="0"/>
            </w:pPr>
            <w:r>
              <w:rPr>
                <w:sz w:val="14"/>
              </w:rPr>
              <w:t>Handle safety incident</w:t>
            </w:r>
          </w:p>
        </w:tc>
        <w:tc>
          <w:tcPr>
            <w:tcW w:type="dxa" w:w="1008"/>
            <w:tcMar>
              <w:top w:w="90" w:type="dxa"/>
              <w:start w:w="90" w:type="dxa"/>
              <w:bottom w:w="90" w:type="dxa"/>
              <w:end w:w="90" w:type="dxa"/>
            </w:tcMar>
            <w:vAlign w:val="top"/>
          </w:tcPr>
          <w:p>
            <w:pPr>
              <w:pStyle w:val="BodyText"/>
              <w:spacing w:after="0"/>
            </w:pPr>
            <w:r>
              <w:rPr>
                <w:sz w:val="14"/>
              </w:rPr>
              <w:t>A</w:t>
            </w:r>
          </w:p>
        </w:tc>
        <w:tc>
          <w:tcPr>
            <w:tcW w:type="dxa" w:w="1080"/>
            <w:tcMar>
              <w:top w:w="90" w:type="dxa"/>
              <w:start w:w="90" w:type="dxa"/>
              <w:bottom w:w="90" w:type="dxa"/>
              <w:end w:w="90" w:type="dxa"/>
            </w:tcMar>
            <w:vAlign w:val="top"/>
          </w:tcPr>
          <w:p>
            <w:pPr>
              <w:pStyle w:val="BodyText"/>
              <w:spacing w:after="0"/>
            </w:pPr>
            <w:r>
              <w:rPr>
                <w:sz w:val="14"/>
              </w:rPr>
              <w:t>R</w:t>
            </w:r>
          </w:p>
        </w:tc>
        <w:tc>
          <w:tcPr>
            <w:tcW w:type="dxa" w:w="936"/>
            <w:tcMar>
              <w:top w:w="90" w:type="dxa"/>
              <w:start w:w="90" w:type="dxa"/>
              <w:bottom w:w="90" w:type="dxa"/>
              <w:end w:w="90" w:type="dxa"/>
            </w:tcMar>
            <w:vAlign w:val="top"/>
          </w:tcPr>
          <w:p>
            <w:pPr>
              <w:pStyle w:val="BodyText"/>
              <w:spacing w:after="0"/>
            </w:pPr>
            <w:r>
              <w:rPr>
                <w:sz w:val="14"/>
              </w:rPr>
              <w:t>C</w:t>
            </w:r>
          </w:p>
        </w:tc>
        <w:tc>
          <w:tcPr>
            <w:tcW w:type="dxa" w:w="1080"/>
            <w:tcMar>
              <w:top w:w="90" w:type="dxa"/>
              <w:start w:w="90" w:type="dxa"/>
              <w:bottom w:w="90" w:type="dxa"/>
              <w:end w:w="90" w:type="dxa"/>
            </w:tcMar>
            <w:vAlign w:val="top"/>
          </w:tcPr>
          <w:p>
            <w:pPr>
              <w:pStyle w:val="BodyText"/>
              <w:spacing w:after="0"/>
            </w:pPr>
            <w:r>
              <w:rPr>
                <w:sz w:val="14"/>
              </w:rPr>
              <w:t>C</w:t>
            </w:r>
          </w:p>
        </w:tc>
        <w:tc>
          <w:tcPr>
            <w:tcW w:type="dxa" w:w="1152"/>
            <w:tcMar>
              <w:top w:w="90" w:type="dxa"/>
              <w:start w:w="90" w:type="dxa"/>
              <w:bottom w:w="90" w:type="dxa"/>
              <w:end w:w="90" w:type="dxa"/>
            </w:tcMar>
            <w:vAlign w:val="top"/>
          </w:tcPr>
          <w:p>
            <w:pPr>
              <w:pStyle w:val="BodyText"/>
              <w:spacing w:after="0"/>
            </w:pPr>
            <w:r>
              <w:rPr>
                <w:sz w:val="14"/>
              </w:rPr>
              <w:t>R</w:t>
            </w:r>
          </w:p>
        </w:tc>
        <w:tc>
          <w:tcPr>
            <w:tcW w:type="dxa" w:w="1008"/>
            <w:tcMar>
              <w:top w:w="90" w:type="dxa"/>
              <w:start w:w="90" w:type="dxa"/>
              <w:bottom w:w="90" w:type="dxa"/>
              <w:end w:w="90" w:type="dxa"/>
            </w:tcMar>
            <w:vAlign w:val="top"/>
          </w:tcPr>
          <w:p>
            <w:pPr>
              <w:pStyle w:val="BodyText"/>
              <w:spacing w:after="0"/>
            </w:pPr>
            <w:r>
              <w:rPr>
                <w:sz w:val="14"/>
              </w:rPr>
              <w:t>C</w:t>
            </w:r>
          </w:p>
        </w:tc>
        <w:tc>
          <w:tcPr>
            <w:tcW w:type="dxa" w:w="936"/>
            <w:tcMar>
              <w:top w:w="90" w:type="dxa"/>
              <w:start w:w="90" w:type="dxa"/>
              <w:bottom w:w="90" w:type="dxa"/>
              <w:end w:w="90" w:type="dxa"/>
            </w:tcMar>
            <w:vAlign w:val="top"/>
          </w:tcPr>
          <w:p>
            <w:pPr>
              <w:pStyle w:val="BodyText"/>
              <w:spacing w:after="0"/>
            </w:pPr>
            <w:r>
              <w:rPr>
                <w:sz w:val="14"/>
              </w:rPr>
              <w:t>R</w:t>
            </w:r>
          </w:p>
        </w:tc>
      </w:tr>
      <w:tr>
        <w:tc>
          <w:tcPr>
            <w:tcW w:type="dxa" w:w="2304"/>
            <w:tcMar>
              <w:top w:w="90" w:type="dxa"/>
              <w:start w:w="90" w:type="dxa"/>
              <w:bottom w:w="90" w:type="dxa"/>
              <w:end w:w="90" w:type="dxa"/>
            </w:tcMar>
            <w:vAlign w:val="top"/>
            <w:shd w:fill="F8FBFD"/>
          </w:tcPr>
          <w:p>
            <w:pPr>
              <w:pStyle w:val="BodyText"/>
              <w:spacing w:after="0"/>
            </w:pPr>
            <w:r>
              <w:rPr>
                <w:sz w:val="14"/>
              </w:rPr>
              <w:t>Handle privacy breach</w:t>
            </w:r>
          </w:p>
        </w:tc>
        <w:tc>
          <w:tcPr>
            <w:tcW w:type="dxa" w:w="1008"/>
            <w:tcMar>
              <w:top w:w="90" w:type="dxa"/>
              <w:start w:w="90" w:type="dxa"/>
              <w:bottom w:w="90" w:type="dxa"/>
              <w:end w:w="90" w:type="dxa"/>
            </w:tcMar>
            <w:vAlign w:val="top"/>
            <w:shd w:fill="F8FBFD"/>
          </w:tcPr>
          <w:p>
            <w:pPr>
              <w:pStyle w:val="BodyText"/>
              <w:spacing w:after="0"/>
            </w:pPr>
            <w:r>
              <w:rPr>
                <w:sz w:val="14"/>
              </w:rPr>
              <w:t>C</w:t>
            </w:r>
          </w:p>
        </w:tc>
        <w:tc>
          <w:tcPr>
            <w:tcW w:type="dxa" w:w="1080"/>
            <w:tcMar>
              <w:top w:w="90" w:type="dxa"/>
              <w:start w:w="90" w:type="dxa"/>
              <w:bottom w:w="90" w:type="dxa"/>
              <w:end w:w="90" w:type="dxa"/>
            </w:tcMar>
            <w:vAlign w:val="top"/>
            <w:shd w:fill="F8FBFD"/>
          </w:tcPr>
          <w:p>
            <w:pPr>
              <w:pStyle w:val="BodyText"/>
              <w:spacing w:after="0"/>
            </w:pPr>
            <w:r>
              <w:rPr>
                <w:sz w:val="14"/>
              </w:rPr>
              <w:t>R</w:t>
            </w:r>
          </w:p>
        </w:tc>
        <w:tc>
          <w:tcPr>
            <w:tcW w:type="dxa" w:w="936"/>
            <w:tcMar>
              <w:top w:w="90" w:type="dxa"/>
              <w:start w:w="90" w:type="dxa"/>
              <w:bottom w:w="90" w:type="dxa"/>
              <w:end w:w="90" w:type="dxa"/>
            </w:tcMar>
            <w:vAlign w:val="top"/>
            <w:shd w:fill="F8FBFD"/>
          </w:tcPr>
          <w:p>
            <w:pPr>
              <w:pStyle w:val="BodyText"/>
              <w:spacing w:after="0"/>
            </w:pPr>
            <w:r>
              <w:rPr>
                <w:sz w:val="14"/>
              </w:rPr>
              <w:t>C</w:t>
            </w:r>
          </w:p>
        </w:tc>
        <w:tc>
          <w:tcPr>
            <w:tcW w:type="dxa" w:w="1080"/>
            <w:tcMar>
              <w:top w:w="90" w:type="dxa"/>
              <w:start w:w="90" w:type="dxa"/>
              <w:bottom w:w="90" w:type="dxa"/>
              <w:end w:w="90" w:type="dxa"/>
            </w:tcMar>
            <w:vAlign w:val="top"/>
            <w:shd w:fill="F8FBFD"/>
          </w:tcPr>
          <w:p>
            <w:pPr>
              <w:pStyle w:val="BodyText"/>
              <w:spacing w:after="0"/>
            </w:pPr>
            <w:r>
              <w:rPr>
                <w:sz w:val="14"/>
              </w:rPr>
              <w:t>C</w:t>
            </w:r>
          </w:p>
        </w:tc>
        <w:tc>
          <w:tcPr>
            <w:tcW w:type="dxa" w:w="1152"/>
            <w:tcMar>
              <w:top w:w="90" w:type="dxa"/>
              <w:start w:w="90" w:type="dxa"/>
              <w:bottom w:w="90" w:type="dxa"/>
              <w:end w:w="90" w:type="dxa"/>
            </w:tcMar>
            <w:vAlign w:val="top"/>
            <w:shd w:fill="F8FBFD"/>
          </w:tcPr>
          <w:p>
            <w:pPr>
              <w:pStyle w:val="BodyText"/>
              <w:spacing w:after="0"/>
            </w:pPr>
            <w:r>
              <w:rPr>
                <w:sz w:val="14"/>
              </w:rPr>
              <w:t>R</w:t>
            </w:r>
          </w:p>
        </w:tc>
        <w:tc>
          <w:tcPr>
            <w:tcW w:type="dxa" w:w="1008"/>
            <w:tcMar>
              <w:top w:w="90" w:type="dxa"/>
              <w:start w:w="90" w:type="dxa"/>
              <w:bottom w:w="90" w:type="dxa"/>
              <w:end w:w="90" w:type="dxa"/>
            </w:tcMar>
            <w:vAlign w:val="top"/>
            <w:shd w:fill="F8FBFD"/>
          </w:tcPr>
          <w:p>
            <w:pPr>
              <w:pStyle w:val="BodyText"/>
              <w:spacing w:after="0"/>
            </w:pPr>
            <w:r>
              <w:rPr>
                <w:sz w:val="14"/>
              </w:rPr>
              <w:t>A/R</w:t>
            </w:r>
          </w:p>
        </w:tc>
        <w:tc>
          <w:tcPr>
            <w:tcW w:type="dxa" w:w="936"/>
            <w:tcMar>
              <w:top w:w="90" w:type="dxa"/>
              <w:start w:w="90" w:type="dxa"/>
              <w:bottom w:w="90" w:type="dxa"/>
              <w:end w:w="90" w:type="dxa"/>
            </w:tcMar>
            <w:vAlign w:val="top"/>
            <w:shd w:fill="F8FBFD"/>
          </w:tcPr>
          <w:p>
            <w:pPr>
              <w:pStyle w:val="BodyText"/>
              <w:spacing w:after="0"/>
            </w:pPr>
            <w:r>
              <w:rPr>
                <w:sz w:val="14"/>
              </w:rPr>
              <w:t>C</w:t>
            </w:r>
          </w:p>
        </w:tc>
      </w:tr>
      <w:tr>
        <w:tc>
          <w:tcPr>
            <w:tcW w:type="dxa" w:w="2304"/>
            <w:tcMar>
              <w:top w:w="90" w:type="dxa"/>
              <w:start w:w="90" w:type="dxa"/>
              <w:bottom w:w="90" w:type="dxa"/>
              <w:end w:w="90" w:type="dxa"/>
            </w:tcMar>
            <w:vAlign w:val="top"/>
          </w:tcPr>
          <w:p>
            <w:pPr>
              <w:pStyle w:val="BodyText"/>
              <w:spacing w:after="0"/>
            </w:pPr>
            <w:r>
              <w:rPr>
                <w:sz w:val="14"/>
              </w:rPr>
              <w:t>Retire component</w:t>
            </w:r>
          </w:p>
        </w:tc>
        <w:tc>
          <w:tcPr>
            <w:tcW w:type="dxa" w:w="1008"/>
            <w:tcMar>
              <w:top w:w="90" w:type="dxa"/>
              <w:start w:w="90" w:type="dxa"/>
              <w:bottom w:w="90" w:type="dxa"/>
              <w:end w:w="90" w:type="dxa"/>
            </w:tcMar>
            <w:vAlign w:val="top"/>
          </w:tcPr>
          <w:p>
            <w:pPr>
              <w:pStyle w:val="BodyText"/>
              <w:spacing w:after="0"/>
            </w:pPr>
            <w:r>
              <w:rPr>
                <w:sz w:val="14"/>
              </w:rPr>
              <w:t>A</w:t>
            </w:r>
          </w:p>
        </w:tc>
        <w:tc>
          <w:tcPr>
            <w:tcW w:type="dxa" w:w="1080"/>
            <w:tcMar>
              <w:top w:w="90" w:type="dxa"/>
              <w:start w:w="90" w:type="dxa"/>
              <w:bottom w:w="90" w:type="dxa"/>
              <w:end w:w="90" w:type="dxa"/>
            </w:tcMar>
            <w:vAlign w:val="top"/>
          </w:tcPr>
          <w:p>
            <w:pPr>
              <w:pStyle w:val="BodyText"/>
              <w:spacing w:after="0"/>
            </w:pPr>
            <w:r>
              <w:rPr>
                <w:sz w:val="14"/>
              </w:rPr>
              <w:t>R</w:t>
            </w:r>
          </w:p>
        </w:tc>
        <w:tc>
          <w:tcPr>
            <w:tcW w:type="dxa" w:w="936"/>
            <w:tcMar>
              <w:top w:w="90" w:type="dxa"/>
              <w:start w:w="90" w:type="dxa"/>
              <w:bottom w:w="90" w:type="dxa"/>
              <w:end w:w="90" w:type="dxa"/>
            </w:tcMar>
            <w:vAlign w:val="top"/>
          </w:tcPr>
          <w:p>
            <w:pPr>
              <w:pStyle w:val="BodyText"/>
              <w:spacing w:after="0"/>
            </w:pPr>
            <w:r>
              <w:rPr>
                <w:sz w:val="14"/>
              </w:rPr>
              <w:t>C</w:t>
            </w:r>
          </w:p>
        </w:tc>
        <w:tc>
          <w:tcPr>
            <w:tcW w:type="dxa" w:w="1080"/>
            <w:tcMar>
              <w:top w:w="90" w:type="dxa"/>
              <w:start w:w="90" w:type="dxa"/>
              <w:bottom w:w="90" w:type="dxa"/>
              <w:end w:w="90" w:type="dxa"/>
            </w:tcMar>
            <w:vAlign w:val="top"/>
          </w:tcPr>
          <w:p>
            <w:pPr>
              <w:pStyle w:val="BodyText"/>
              <w:spacing w:after="0"/>
            </w:pPr>
            <w:r>
              <w:rPr>
                <w:sz w:val="14"/>
              </w:rPr>
              <w:t>C</w:t>
            </w:r>
          </w:p>
        </w:tc>
        <w:tc>
          <w:tcPr>
            <w:tcW w:type="dxa" w:w="1152"/>
            <w:tcMar>
              <w:top w:w="90" w:type="dxa"/>
              <w:start w:w="90" w:type="dxa"/>
              <w:bottom w:w="90" w:type="dxa"/>
              <w:end w:w="90" w:type="dxa"/>
            </w:tcMar>
            <w:vAlign w:val="top"/>
          </w:tcPr>
          <w:p>
            <w:pPr>
              <w:pStyle w:val="BodyText"/>
              <w:spacing w:after="0"/>
            </w:pPr>
            <w:r>
              <w:rPr>
                <w:sz w:val="14"/>
              </w:rPr>
              <w:t>A</w:t>
            </w:r>
          </w:p>
        </w:tc>
        <w:tc>
          <w:tcPr>
            <w:tcW w:type="dxa" w:w="1008"/>
            <w:tcMar>
              <w:top w:w="90" w:type="dxa"/>
              <w:start w:w="90" w:type="dxa"/>
              <w:bottom w:w="90" w:type="dxa"/>
              <w:end w:w="90" w:type="dxa"/>
            </w:tcMar>
            <w:vAlign w:val="top"/>
          </w:tcPr>
          <w:p>
            <w:pPr>
              <w:pStyle w:val="BodyText"/>
              <w:spacing w:after="0"/>
            </w:pPr>
            <w:r>
              <w:rPr>
                <w:sz w:val="14"/>
              </w:rPr>
              <w:t>C</w:t>
            </w:r>
          </w:p>
        </w:tc>
        <w:tc>
          <w:tcPr>
            <w:tcW w:type="dxa" w:w="936"/>
            <w:tcMar>
              <w:top w:w="90" w:type="dxa"/>
              <w:start w:w="90" w:type="dxa"/>
              <w:bottom w:w="90" w:type="dxa"/>
              <w:end w:w="90" w:type="dxa"/>
            </w:tcMar>
            <w:vAlign w:val="top"/>
          </w:tcPr>
          <w:p>
            <w:pPr>
              <w:pStyle w:val="BodyText"/>
              <w:spacing w:after="0"/>
            </w:pPr>
            <w:r>
              <w:rPr>
                <w:sz w:val="14"/>
              </w:rPr>
              <w:t>R</w:t>
            </w:r>
          </w:p>
        </w:tc>
      </w:tr>
    </w:tbl>
    <w:p>
      <w:pPr>
        <w:spacing w:after="0"/>
      </w:pPr>
    </w:p>
    <w:p>
      <w:pPr>
        <w:pStyle w:val="BodyText"/>
      </w:pPr>
      <w:r>
        <w:t>A = accountable; R = responsible; C = consulted. The matrix may be adapted to actual personnel, but every high-impact activity must retain a named accountable owner.</w:t>
      </w:r>
    </w:p>
    <w:p>
      <w:pPr>
        <w:pStyle w:val="Heading1"/>
        <w:keepNext/>
      </w:pPr>
      <w:r>
        <w:t>4. Governed Explainability Assets</w:t>
      </w:r>
    </w:p>
    <w:p>
      <w:pPr>
        <w:pStyle w:val="Heading2"/>
        <w:keepNext/>
      </w:pPr>
      <w:r>
        <w:t>4.1 Asset register</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2232"/>
            <w:shd w:fill="1F4E79"/>
            <w:tcMar>
              <w:top w:w="90" w:type="dxa"/>
              <w:start w:w="90" w:type="dxa"/>
              <w:bottom w:w="90" w:type="dxa"/>
              <w:end w:w="90" w:type="dxa"/>
            </w:tcMar>
            <w:vAlign w:val="center"/>
          </w:tcPr>
          <w:p>
            <w:pPr>
              <w:jc w:val="center"/>
            </w:pPr>
            <w:r>
              <w:rPr>
                <w:b/>
                <w:color w:val="FFFFFF"/>
                <w:sz w:val="15"/>
              </w:rPr>
              <w:t>Asset</w:t>
            </w:r>
          </w:p>
        </w:tc>
        <w:tc>
          <w:tcPr>
            <w:tcW w:type="dxa" w:w="3312"/>
            <w:shd w:fill="1F4E79"/>
            <w:tcMar>
              <w:top w:w="90" w:type="dxa"/>
              <w:start w:w="90" w:type="dxa"/>
              <w:bottom w:w="90" w:type="dxa"/>
              <w:end w:w="90" w:type="dxa"/>
            </w:tcMar>
            <w:vAlign w:val="center"/>
          </w:tcPr>
          <w:p>
            <w:pPr>
              <w:jc w:val="center"/>
            </w:pPr>
            <w:r>
              <w:rPr>
                <w:b/>
                <w:color w:val="FFFFFF"/>
                <w:sz w:val="15"/>
              </w:rPr>
              <w:t>Examples</w:t>
            </w:r>
          </w:p>
        </w:tc>
        <w:tc>
          <w:tcPr>
            <w:tcW w:type="dxa" w:w="4392"/>
            <w:shd w:fill="1F4E79"/>
            <w:tcMar>
              <w:top w:w="90" w:type="dxa"/>
              <w:start w:w="90" w:type="dxa"/>
              <w:bottom w:w="90" w:type="dxa"/>
              <w:end w:w="90" w:type="dxa"/>
            </w:tcMar>
            <w:vAlign w:val="center"/>
          </w:tcPr>
          <w:p>
            <w:pPr>
              <w:jc w:val="center"/>
            </w:pPr>
            <w:r>
              <w:rPr>
                <w:b/>
                <w:color w:val="FFFFFF"/>
                <w:sz w:val="15"/>
              </w:rPr>
              <w:t>Required control</w:t>
            </w:r>
          </w:p>
        </w:tc>
      </w:tr>
      <w:tr>
        <w:tc>
          <w:tcPr>
            <w:tcW w:type="dxa" w:w="2232"/>
            <w:tcMar>
              <w:top w:w="90" w:type="dxa"/>
              <w:start w:w="90" w:type="dxa"/>
              <w:bottom w:w="90" w:type="dxa"/>
              <w:end w:w="90" w:type="dxa"/>
            </w:tcMar>
            <w:vAlign w:val="top"/>
          </w:tcPr>
          <w:p>
            <w:pPr>
              <w:pStyle w:val="BodyText"/>
              <w:spacing w:after="0"/>
            </w:pPr>
            <w:r>
              <w:rPr>
                <w:sz w:val="15"/>
              </w:rPr>
              <w:t>Clinical rule catalog</w:t>
            </w:r>
          </w:p>
        </w:tc>
        <w:tc>
          <w:tcPr>
            <w:tcW w:type="dxa" w:w="3312"/>
            <w:tcMar>
              <w:top w:w="90" w:type="dxa"/>
              <w:start w:w="90" w:type="dxa"/>
              <w:bottom w:w="90" w:type="dxa"/>
              <w:end w:w="90" w:type="dxa"/>
            </w:tcMar>
            <w:vAlign w:val="top"/>
          </w:tcPr>
          <w:p>
            <w:pPr>
              <w:pStyle w:val="BodyText"/>
              <w:spacing w:after="0"/>
            </w:pPr>
            <w:r>
              <w:rPr>
                <w:sz w:val="15"/>
              </w:rPr>
              <w:t>Age, blood pressure, diabetes, anemia, previous cesarean, miscarriage, presentation, fluid, fetal heartbeat.</w:t>
            </w:r>
          </w:p>
        </w:tc>
        <w:tc>
          <w:tcPr>
            <w:tcW w:type="dxa" w:w="4392"/>
            <w:tcMar>
              <w:top w:w="90" w:type="dxa"/>
              <w:start w:w="90" w:type="dxa"/>
              <w:bottom w:w="90" w:type="dxa"/>
              <w:end w:w="90" w:type="dxa"/>
            </w:tcMar>
            <w:vAlign w:val="top"/>
          </w:tcPr>
          <w:p>
            <w:pPr>
              <w:pStyle w:val="BodyText"/>
              <w:spacing w:after="0"/>
            </w:pPr>
            <w:r>
              <w:rPr>
                <w:sz w:val="15"/>
              </w:rPr>
              <w:t>Unique rule ID, configured condition, rationale, owner, effective date, test cases, and version.</w:t>
            </w:r>
          </w:p>
        </w:tc>
      </w:tr>
      <w:tr>
        <w:tc>
          <w:tcPr>
            <w:tcW w:type="dxa" w:w="2232"/>
            <w:tcMar>
              <w:top w:w="90" w:type="dxa"/>
              <w:start w:w="90" w:type="dxa"/>
              <w:bottom w:w="90" w:type="dxa"/>
              <w:end w:w="90" w:type="dxa"/>
            </w:tcMar>
            <w:vAlign w:val="top"/>
            <w:shd w:fill="F8FBFD"/>
          </w:tcPr>
          <w:p>
            <w:pPr>
              <w:pStyle w:val="BodyText"/>
              <w:spacing w:after="0"/>
            </w:pPr>
            <w:r>
              <w:rPr>
                <w:sz w:val="15"/>
              </w:rPr>
              <w:t>ML model artifact</w:t>
            </w:r>
          </w:p>
        </w:tc>
        <w:tc>
          <w:tcPr>
            <w:tcW w:type="dxa" w:w="3312"/>
            <w:tcMar>
              <w:top w:w="90" w:type="dxa"/>
              <w:start w:w="90" w:type="dxa"/>
              <w:bottom w:w="90" w:type="dxa"/>
              <w:end w:w="90" w:type="dxa"/>
            </w:tcMar>
            <w:vAlign w:val="top"/>
            <w:shd w:fill="F8FBFD"/>
          </w:tcPr>
          <w:p>
            <w:pPr>
              <w:pStyle w:val="BodyText"/>
              <w:spacing w:after="0"/>
            </w:pPr>
            <w:r>
              <w:rPr>
                <w:sz w:val="15"/>
              </w:rPr>
              <w:t>Random Forest serialized file.</w:t>
            </w:r>
          </w:p>
        </w:tc>
        <w:tc>
          <w:tcPr>
            <w:tcW w:type="dxa" w:w="4392"/>
            <w:tcMar>
              <w:top w:w="90" w:type="dxa"/>
              <w:start w:w="90" w:type="dxa"/>
              <w:bottom w:w="90" w:type="dxa"/>
              <w:end w:w="90" w:type="dxa"/>
            </w:tcMar>
            <w:vAlign w:val="top"/>
            <w:shd w:fill="F8FBFD"/>
          </w:tcPr>
          <w:p>
            <w:pPr>
              <w:pStyle w:val="BodyText"/>
              <w:spacing w:after="0"/>
            </w:pPr>
            <w:r>
              <w:rPr>
                <w:sz w:val="15"/>
              </w:rPr>
              <w:t>Model ID, hash, training dataset description, validation summary, feature list, preprocessing version, and deployment status.</w:t>
            </w:r>
          </w:p>
        </w:tc>
      </w:tr>
      <w:tr>
        <w:tc>
          <w:tcPr>
            <w:tcW w:type="dxa" w:w="2232"/>
            <w:tcMar>
              <w:top w:w="90" w:type="dxa"/>
              <w:start w:w="90" w:type="dxa"/>
              <w:bottom w:w="90" w:type="dxa"/>
              <w:end w:w="90" w:type="dxa"/>
            </w:tcMar>
            <w:vAlign w:val="top"/>
          </w:tcPr>
          <w:p>
            <w:pPr>
              <w:pStyle w:val="BodyText"/>
              <w:spacing w:after="0"/>
            </w:pPr>
            <w:r>
              <w:rPr>
                <w:sz w:val="15"/>
              </w:rPr>
              <w:t>Feature contract</w:t>
            </w:r>
          </w:p>
        </w:tc>
        <w:tc>
          <w:tcPr>
            <w:tcW w:type="dxa" w:w="3312"/>
            <w:tcMar>
              <w:top w:w="90" w:type="dxa"/>
              <w:start w:w="90" w:type="dxa"/>
              <w:bottom w:w="90" w:type="dxa"/>
              <w:end w:w="90" w:type="dxa"/>
            </w:tcMar>
            <w:vAlign w:val="top"/>
          </w:tcPr>
          <w:p>
            <w:pPr>
              <w:pStyle w:val="BodyText"/>
              <w:spacing w:after="0"/>
            </w:pPr>
            <w:r>
              <w:rPr>
                <w:sz w:val="15"/>
              </w:rPr>
              <w:t>Field names, types, missing-value handling, categorical mappings.</w:t>
            </w:r>
          </w:p>
        </w:tc>
        <w:tc>
          <w:tcPr>
            <w:tcW w:type="dxa" w:w="4392"/>
            <w:tcMar>
              <w:top w:w="90" w:type="dxa"/>
              <w:start w:w="90" w:type="dxa"/>
              <w:bottom w:w="90" w:type="dxa"/>
              <w:end w:w="90" w:type="dxa"/>
            </w:tcMar>
            <w:vAlign w:val="top"/>
          </w:tcPr>
          <w:p>
            <w:pPr>
              <w:pStyle w:val="BodyText"/>
              <w:spacing w:after="0"/>
            </w:pPr>
            <w:r>
              <w:rPr>
                <w:sz w:val="15"/>
              </w:rPr>
              <w:t>Schema version, compatibility tests, and rejection of unknown or missing required fields.</w:t>
            </w:r>
          </w:p>
        </w:tc>
      </w:tr>
      <w:tr>
        <w:tc>
          <w:tcPr>
            <w:tcW w:type="dxa" w:w="2232"/>
            <w:tcMar>
              <w:top w:w="90" w:type="dxa"/>
              <w:start w:w="90" w:type="dxa"/>
              <w:bottom w:w="90" w:type="dxa"/>
              <w:end w:w="90" w:type="dxa"/>
            </w:tcMar>
            <w:vAlign w:val="top"/>
            <w:shd w:fill="F8FBFD"/>
          </w:tcPr>
          <w:p>
            <w:pPr>
              <w:pStyle w:val="BodyText"/>
              <w:spacing w:after="0"/>
            </w:pPr>
            <w:r>
              <w:rPr>
                <w:sz w:val="15"/>
              </w:rPr>
              <w:t>Decision policy</w:t>
            </w:r>
          </w:p>
        </w:tc>
        <w:tc>
          <w:tcPr>
            <w:tcW w:type="dxa" w:w="3312"/>
            <w:tcMar>
              <w:top w:w="90" w:type="dxa"/>
              <w:start w:w="90" w:type="dxa"/>
              <w:bottom w:w="90" w:type="dxa"/>
              <w:end w:w="90" w:type="dxa"/>
            </w:tcMar>
            <w:vAlign w:val="top"/>
            <w:shd w:fill="F8FBFD"/>
          </w:tcPr>
          <w:p>
            <w:pPr>
              <w:pStyle w:val="BodyText"/>
              <w:spacing w:after="0"/>
            </w:pPr>
            <w:r>
              <w:rPr>
                <w:sz w:val="15"/>
              </w:rPr>
              <w:t>HIGH, LOW, ASSESSMENT INCOMPLETE and deterministic override rules.</w:t>
            </w:r>
          </w:p>
        </w:tc>
        <w:tc>
          <w:tcPr>
            <w:tcW w:type="dxa" w:w="4392"/>
            <w:tcMar>
              <w:top w:w="90" w:type="dxa"/>
              <w:start w:w="90" w:type="dxa"/>
              <w:bottom w:w="90" w:type="dxa"/>
              <w:end w:w="90" w:type="dxa"/>
            </w:tcMar>
            <w:vAlign w:val="top"/>
            <w:shd w:fill="F8FBFD"/>
          </w:tcPr>
          <w:p>
            <w:pPr>
              <w:pStyle w:val="BodyText"/>
              <w:spacing w:after="0"/>
            </w:pPr>
            <w:r>
              <w:rPr>
                <w:sz w:val="15"/>
              </w:rPr>
              <w:t>Policy version, approved state transition logic, and regression matrix.</w:t>
            </w:r>
          </w:p>
        </w:tc>
      </w:tr>
      <w:tr>
        <w:tc>
          <w:tcPr>
            <w:tcW w:type="dxa" w:w="2232"/>
            <w:tcMar>
              <w:top w:w="90" w:type="dxa"/>
              <w:start w:w="90" w:type="dxa"/>
              <w:bottom w:w="90" w:type="dxa"/>
              <w:end w:w="90" w:type="dxa"/>
            </w:tcMar>
            <w:vAlign w:val="top"/>
          </w:tcPr>
          <w:p>
            <w:pPr>
              <w:pStyle w:val="BodyText"/>
              <w:spacing w:after="0"/>
            </w:pPr>
            <w:r>
              <w:rPr>
                <w:sz w:val="15"/>
              </w:rPr>
              <w:t>Reason catalog</w:t>
            </w:r>
          </w:p>
        </w:tc>
        <w:tc>
          <w:tcPr>
            <w:tcW w:type="dxa" w:w="3312"/>
            <w:tcMar>
              <w:top w:w="90" w:type="dxa"/>
              <w:start w:w="90" w:type="dxa"/>
              <w:bottom w:w="90" w:type="dxa"/>
              <w:end w:w="90" w:type="dxa"/>
            </w:tcMar>
            <w:vAlign w:val="top"/>
          </w:tcPr>
          <w:p>
            <w:pPr>
              <w:pStyle w:val="BodyText"/>
              <w:spacing w:after="0"/>
            </w:pPr>
            <w:r>
              <w:rPr>
                <w:sz w:val="15"/>
              </w:rPr>
              <w:t>Stable reason codes and evidence mappings.</w:t>
            </w:r>
          </w:p>
        </w:tc>
        <w:tc>
          <w:tcPr>
            <w:tcW w:type="dxa" w:w="4392"/>
            <w:tcMar>
              <w:top w:w="90" w:type="dxa"/>
              <w:start w:w="90" w:type="dxa"/>
              <w:bottom w:w="90" w:type="dxa"/>
              <w:end w:w="90" w:type="dxa"/>
            </w:tcMar>
            <w:vAlign w:val="top"/>
          </w:tcPr>
          <w:p>
            <w:pPr>
              <w:pStyle w:val="BodyText"/>
              <w:spacing w:after="0"/>
            </w:pPr>
            <w:r>
              <w:rPr>
                <w:sz w:val="15"/>
              </w:rPr>
              <w:t>Reason version, source-field binding, severity, priority, and audience permissions.</w:t>
            </w:r>
          </w:p>
        </w:tc>
      </w:tr>
      <w:tr>
        <w:tc>
          <w:tcPr>
            <w:tcW w:type="dxa" w:w="2232"/>
            <w:tcMar>
              <w:top w:w="90" w:type="dxa"/>
              <w:start w:w="90" w:type="dxa"/>
              <w:bottom w:w="90" w:type="dxa"/>
              <w:end w:w="90" w:type="dxa"/>
            </w:tcMar>
            <w:vAlign w:val="top"/>
            <w:shd w:fill="F8FBFD"/>
          </w:tcPr>
          <w:p>
            <w:pPr>
              <w:pStyle w:val="BodyText"/>
              <w:spacing w:after="0"/>
            </w:pPr>
            <w:r>
              <w:rPr>
                <w:sz w:val="15"/>
              </w:rPr>
              <w:t>Explanation templates</w:t>
            </w:r>
          </w:p>
        </w:tc>
        <w:tc>
          <w:tcPr>
            <w:tcW w:type="dxa" w:w="3312"/>
            <w:tcMar>
              <w:top w:w="90" w:type="dxa"/>
              <w:start w:w="90" w:type="dxa"/>
              <w:bottom w:w="90" w:type="dxa"/>
              <w:end w:w="90" w:type="dxa"/>
            </w:tcMar>
            <w:vAlign w:val="top"/>
            <w:shd w:fill="F8FBFD"/>
          </w:tcPr>
          <w:p>
            <w:pPr>
              <w:pStyle w:val="BodyText"/>
              <w:spacing w:after="0"/>
            </w:pPr>
            <w:r>
              <w:rPr>
                <w:sz w:val="15"/>
              </w:rPr>
              <w:t>Midwife, patient, referral, administrator, developer, audit.</w:t>
            </w:r>
          </w:p>
        </w:tc>
        <w:tc>
          <w:tcPr>
            <w:tcW w:type="dxa" w:w="4392"/>
            <w:tcMar>
              <w:top w:w="90" w:type="dxa"/>
              <w:start w:w="90" w:type="dxa"/>
              <w:bottom w:w="90" w:type="dxa"/>
              <w:end w:w="90" w:type="dxa"/>
            </w:tcMar>
            <w:vAlign w:val="top"/>
            <w:shd w:fill="F8FBFD"/>
          </w:tcPr>
          <w:p>
            <w:pPr>
              <w:pStyle w:val="BodyText"/>
              <w:spacing w:after="0"/>
            </w:pPr>
            <w:r>
              <w:rPr>
                <w:sz w:val="15"/>
              </w:rPr>
              <w:t>Template ID, locale, reading level, owner, approval, and test snapshots.</w:t>
            </w:r>
          </w:p>
        </w:tc>
      </w:tr>
      <w:tr>
        <w:tc>
          <w:tcPr>
            <w:tcW w:type="dxa" w:w="2232"/>
            <w:tcMar>
              <w:top w:w="90" w:type="dxa"/>
              <w:start w:w="90" w:type="dxa"/>
              <w:bottom w:w="90" w:type="dxa"/>
              <w:end w:w="90" w:type="dxa"/>
            </w:tcMar>
            <w:vAlign w:val="top"/>
          </w:tcPr>
          <w:p>
            <w:pPr>
              <w:pStyle w:val="BodyText"/>
              <w:spacing w:after="0"/>
            </w:pPr>
            <w:r>
              <w:rPr>
                <w:sz w:val="15"/>
              </w:rPr>
              <w:t>Recommendation catalog</w:t>
            </w:r>
          </w:p>
        </w:tc>
        <w:tc>
          <w:tcPr>
            <w:tcW w:type="dxa" w:w="3312"/>
            <w:tcMar>
              <w:top w:w="90" w:type="dxa"/>
              <w:start w:w="90" w:type="dxa"/>
              <w:bottom w:w="90" w:type="dxa"/>
              <w:end w:w="90" w:type="dxa"/>
            </w:tcMar>
            <w:vAlign w:val="top"/>
          </w:tcPr>
          <w:p>
            <w:pPr>
              <w:pStyle w:val="BodyText"/>
              <w:spacing w:after="0"/>
            </w:pPr>
            <w:r>
              <w:rPr>
                <w:sz w:val="15"/>
              </w:rPr>
              <w:t>Continue care, complete records, urgent referral, standard referral, follow-up.</w:t>
            </w:r>
          </w:p>
        </w:tc>
        <w:tc>
          <w:tcPr>
            <w:tcW w:type="dxa" w:w="4392"/>
            <w:tcMar>
              <w:top w:w="90" w:type="dxa"/>
              <w:start w:w="90" w:type="dxa"/>
              <w:bottom w:w="90" w:type="dxa"/>
              <w:end w:w="90" w:type="dxa"/>
            </w:tcMar>
            <w:vAlign w:val="top"/>
          </w:tcPr>
          <w:p>
            <w:pPr>
              <w:pStyle w:val="BodyText"/>
              <w:spacing w:after="0"/>
            </w:pPr>
            <w:r>
              <w:rPr>
                <w:sz w:val="15"/>
              </w:rPr>
              <w:t>Action code, permitted statuses, contraindicated wording, escalation owner.</w:t>
            </w:r>
          </w:p>
        </w:tc>
      </w:tr>
      <w:tr>
        <w:tc>
          <w:tcPr>
            <w:tcW w:type="dxa" w:w="2232"/>
            <w:tcMar>
              <w:top w:w="90" w:type="dxa"/>
              <w:start w:w="90" w:type="dxa"/>
              <w:bottom w:w="90" w:type="dxa"/>
              <w:end w:w="90" w:type="dxa"/>
            </w:tcMar>
            <w:vAlign w:val="top"/>
            <w:shd w:fill="F8FBFD"/>
          </w:tcPr>
          <w:p>
            <w:pPr>
              <w:pStyle w:val="BodyText"/>
              <w:spacing w:after="0"/>
            </w:pPr>
            <w:r>
              <w:rPr>
                <w:sz w:val="15"/>
              </w:rPr>
              <w:t>Audit schema</w:t>
            </w:r>
          </w:p>
        </w:tc>
        <w:tc>
          <w:tcPr>
            <w:tcW w:type="dxa" w:w="3312"/>
            <w:tcMar>
              <w:top w:w="90" w:type="dxa"/>
              <w:start w:w="90" w:type="dxa"/>
              <w:bottom w:w="90" w:type="dxa"/>
              <w:end w:w="90" w:type="dxa"/>
            </w:tcMar>
            <w:vAlign w:val="top"/>
            <w:shd w:fill="F8FBFD"/>
          </w:tcPr>
          <w:p>
            <w:pPr>
              <w:pStyle w:val="BodyText"/>
              <w:spacing w:after="0"/>
            </w:pPr>
            <w:r>
              <w:rPr>
                <w:sz w:val="15"/>
              </w:rPr>
              <w:t>Assessment IDs, source references, versions, timestamps, actor, outcome.</w:t>
            </w:r>
          </w:p>
        </w:tc>
        <w:tc>
          <w:tcPr>
            <w:tcW w:type="dxa" w:w="4392"/>
            <w:tcMar>
              <w:top w:w="90" w:type="dxa"/>
              <w:start w:w="90" w:type="dxa"/>
              <w:bottom w:w="90" w:type="dxa"/>
              <w:end w:w="90" w:type="dxa"/>
            </w:tcMar>
            <w:vAlign w:val="top"/>
            <w:shd w:fill="F8FBFD"/>
          </w:tcPr>
          <w:p>
            <w:pPr>
              <w:pStyle w:val="BodyText"/>
              <w:spacing w:after="0"/>
            </w:pPr>
            <w:r>
              <w:rPr>
                <w:sz w:val="15"/>
              </w:rPr>
              <w:t>Schema migration control, immutability, access, retention, and reconstruction tests.</w:t>
            </w:r>
          </w:p>
        </w:tc>
      </w:tr>
      <w:tr>
        <w:tc>
          <w:tcPr>
            <w:tcW w:type="dxa" w:w="2232"/>
            <w:tcMar>
              <w:top w:w="90" w:type="dxa"/>
              <w:start w:w="90" w:type="dxa"/>
              <w:bottom w:w="90" w:type="dxa"/>
              <w:end w:w="90" w:type="dxa"/>
            </w:tcMar>
            <w:vAlign w:val="top"/>
          </w:tcPr>
          <w:p>
            <w:pPr>
              <w:pStyle w:val="BodyText"/>
              <w:spacing w:after="0"/>
            </w:pPr>
            <w:r>
              <w:rPr>
                <w:sz w:val="15"/>
              </w:rPr>
              <w:t>Monitoring definitions</w:t>
            </w:r>
          </w:p>
        </w:tc>
        <w:tc>
          <w:tcPr>
            <w:tcW w:type="dxa" w:w="3312"/>
            <w:tcMar>
              <w:top w:w="90" w:type="dxa"/>
              <w:start w:w="90" w:type="dxa"/>
              <w:bottom w:w="90" w:type="dxa"/>
              <w:end w:w="90" w:type="dxa"/>
            </w:tcMar>
            <w:vAlign w:val="top"/>
          </w:tcPr>
          <w:p>
            <w:pPr>
              <w:pStyle w:val="BodyText"/>
              <w:spacing w:after="0"/>
            </w:pPr>
            <w:r>
              <w:rPr>
                <w:sz w:val="15"/>
              </w:rPr>
              <w:t>Failure rates, stale explanations, disagreement, version mismatch, unauthorized access.</w:t>
            </w:r>
          </w:p>
        </w:tc>
        <w:tc>
          <w:tcPr>
            <w:tcW w:type="dxa" w:w="4392"/>
            <w:tcMar>
              <w:top w:w="90" w:type="dxa"/>
              <w:start w:w="90" w:type="dxa"/>
              <w:bottom w:w="90" w:type="dxa"/>
              <w:end w:w="90" w:type="dxa"/>
            </w:tcMar>
            <w:vAlign w:val="top"/>
          </w:tcPr>
          <w:p>
            <w:pPr>
              <w:pStyle w:val="BodyText"/>
              <w:spacing w:after="0"/>
            </w:pPr>
            <w:r>
              <w:rPr>
                <w:sz w:val="15"/>
              </w:rPr>
              <w:t>Metric owner, threshold, review frequency, and response action.</w:t>
            </w:r>
          </w:p>
        </w:tc>
      </w:tr>
    </w:tbl>
    <w:p>
      <w:pPr>
        <w:spacing w:after="0"/>
      </w:pPr>
    </w:p>
    <w:p>
      <w:pPr>
        <w:pStyle w:val="Heading2"/>
        <w:keepNext/>
      </w:pPr>
      <w:r>
        <w:t>4.2 Configuration as a governed asset</w:t>
      </w:r>
    </w:p>
    <w:p>
      <w:pPr>
        <w:pStyle w:val="BodyText"/>
      </w:pPr>
      <w:r>
        <w:t>Environment variables and configuration values that affect Python execution, timeout, model path, feature ordering, decision thresholds, or notification behavior are governed configuration, not ordinary deployment details. A silent change to PYTHON_PATH, model location, timeout, or feature mapping can change whether assessments are completed and must therefore be recorded and tested.</w:t>
      </w:r>
    </w:p>
    <w:p>
      <w:pPr>
        <w:pStyle w:val="Heading2"/>
        <w:keepNext/>
      </w:pPr>
      <w:r>
        <w:t>4.3 Historical immutability</w:t>
      </w:r>
    </w:p>
    <w:p>
      <w:pPr>
        <w:pStyle w:val="BodyText"/>
      </w:pPr>
      <w:r>
        <w:t>Historical assessment snapshots must not be rewritten merely because a rule, model, or explanation template is later improved. New versions apply prospectively unless an explicitly approved recalculation project is performed. The original result, explanation, versions, and timestamps remain available for audit.</w:t>
      </w:r>
    </w:p>
    <w:p>
      <w:pPr>
        <w:pStyle w:val="Heading1"/>
        <w:keepNext/>
      </w:pPr>
      <w:r>
        <w:t>5. Versioning and Compatibility Management</w:t>
      </w:r>
    </w:p>
    <w:p>
      <w:pPr>
        <w:pStyle w:val="Heading2"/>
        <w:keepNext/>
      </w:pPr>
      <w:r>
        <w:t>5.1 Version identifiers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2448"/>
            <w:shd w:fill="1F4E79"/>
            <w:tcMar>
              <w:top w:w="90" w:type="dxa"/>
              <w:start w:w="90" w:type="dxa"/>
              <w:bottom w:w="90" w:type="dxa"/>
              <w:end w:w="90" w:type="dxa"/>
            </w:tcMar>
            <w:vAlign w:val="center"/>
          </w:tcPr>
          <w:p>
            <w:pPr>
              <w:jc w:val="center"/>
            </w:pPr>
            <w:r>
              <w:rPr>
                <w:b/>
                <w:color w:val="FFFFFF"/>
                <w:sz w:val="16"/>
              </w:rPr>
              <w:t>Component</w:t>
            </w:r>
          </w:p>
        </w:tc>
        <w:tc>
          <w:tcPr>
            <w:tcW w:type="dxa" w:w="2952"/>
            <w:shd w:fill="1F4E79"/>
            <w:tcMar>
              <w:top w:w="90" w:type="dxa"/>
              <w:start w:w="90" w:type="dxa"/>
              <w:bottom w:w="90" w:type="dxa"/>
              <w:end w:w="90" w:type="dxa"/>
            </w:tcMar>
            <w:vAlign w:val="center"/>
          </w:tcPr>
          <w:p>
            <w:pPr>
              <w:jc w:val="center"/>
            </w:pPr>
            <w:r>
              <w:rPr>
                <w:b/>
                <w:color w:val="FFFFFF"/>
                <w:sz w:val="16"/>
              </w:rPr>
              <w:t>Suggested identifier</w:t>
            </w:r>
          </w:p>
        </w:tc>
        <w:tc>
          <w:tcPr>
            <w:tcW w:type="dxa" w:w="4536"/>
            <w:shd w:fill="1F4E79"/>
            <w:tcMar>
              <w:top w:w="90" w:type="dxa"/>
              <w:start w:w="90" w:type="dxa"/>
              <w:bottom w:w="90" w:type="dxa"/>
              <w:end w:w="90" w:type="dxa"/>
            </w:tcMar>
            <w:vAlign w:val="center"/>
          </w:tcPr>
          <w:p>
            <w:pPr>
              <w:jc w:val="center"/>
            </w:pPr>
            <w:r>
              <w:rPr>
                <w:b/>
                <w:color w:val="FFFFFF"/>
                <w:sz w:val="16"/>
              </w:rPr>
              <w:t>Increment rule</w:t>
            </w:r>
          </w:p>
        </w:tc>
      </w:tr>
      <w:tr>
        <w:tc>
          <w:tcPr>
            <w:tcW w:type="dxa" w:w="2448"/>
            <w:tcMar>
              <w:top w:w="90" w:type="dxa"/>
              <w:start w:w="90" w:type="dxa"/>
              <w:bottom w:w="90" w:type="dxa"/>
              <w:end w:w="90" w:type="dxa"/>
            </w:tcMar>
            <w:vAlign w:val="top"/>
          </w:tcPr>
          <w:p>
            <w:pPr>
              <w:pStyle w:val="BodyText"/>
              <w:spacing w:after="0"/>
            </w:pPr>
            <w:r>
              <w:rPr>
                <w:sz w:val="16"/>
              </w:rPr>
              <w:t>Decision policy</w:t>
            </w:r>
          </w:p>
        </w:tc>
        <w:tc>
          <w:tcPr>
            <w:tcW w:type="dxa" w:w="2952"/>
            <w:tcMar>
              <w:top w:w="90" w:type="dxa"/>
              <w:start w:w="90" w:type="dxa"/>
              <w:bottom w:w="90" w:type="dxa"/>
              <w:end w:w="90" w:type="dxa"/>
            </w:tcMar>
            <w:vAlign w:val="top"/>
          </w:tcPr>
          <w:p>
            <w:pPr>
              <w:pStyle w:val="BodyText"/>
              <w:spacing w:after="0"/>
            </w:pPr>
            <w:r>
              <w:rPr>
                <w:sz w:val="16"/>
              </w:rPr>
              <w:t>decision-policy 1.0.0</w:t>
            </w:r>
          </w:p>
        </w:tc>
        <w:tc>
          <w:tcPr>
            <w:tcW w:type="dxa" w:w="4536"/>
            <w:tcMar>
              <w:top w:w="90" w:type="dxa"/>
              <w:start w:w="90" w:type="dxa"/>
              <w:bottom w:w="90" w:type="dxa"/>
              <w:end w:w="90" w:type="dxa"/>
            </w:tcMar>
            <w:vAlign w:val="top"/>
          </w:tcPr>
          <w:p>
            <w:pPr>
              <w:pStyle w:val="BodyText"/>
              <w:spacing w:after="0"/>
            </w:pPr>
            <w:r>
              <w:rPr>
                <w:sz w:val="16"/>
              </w:rPr>
              <w:t>Major for state/override changes; minor for compatible logic additions; patch for non-behavioral correction.</w:t>
            </w:r>
          </w:p>
        </w:tc>
      </w:tr>
      <w:tr>
        <w:tc>
          <w:tcPr>
            <w:tcW w:type="dxa" w:w="2448"/>
            <w:tcMar>
              <w:top w:w="90" w:type="dxa"/>
              <w:start w:w="90" w:type="dxa"/>
              <w:bottom w:w="90" w:type="dxa"/>
              <w:end w:w="90" w:type="dxa"/>
            </w:tcMar>
            <w:vAlign w:val="top"/>
            <w:shd w:fill="F8FBFD"/>
          </w:tcPr>
          <w:p>
            <w:pPr>
              <w:pStyle w:val="BodyText"/>
              <w:spacing w:after="0"/>
            </w:pPr>
            <w:r>
              <w:rPr>
                <w:sz w:val="16"/>
              </w:rPr>
              <w:t>Rule catalog</w:t>
            </w:r>
          </w:p>
        </w:tc>
        <w:tc>
          <w:tcPr>
            <w:tcW w:type="dxa" w:w="2952"/>
            <w:tcMar>
              <w:top w:w="90" w:type="dxa"/>
              <w:start w:w="90" w:type="dxa"/>
              <w:bottom w:w="90" w:type="dxa"/>
              <w:end w:w="90" w:type="dxa"/>
            </w:tcMar>
            <w:vAlign w:val="top"/>
            <w:shd w:fill="F8FBFD"/>
          </w:tcPr>
          <w:p>
            <w:pPr>
              <w:pStyle w:val="BodyText"/>
              <w:spacing w:after="0"/>
            </w:pPr>
            <w:r>
              <w:rPr>
                <w:sz w:val="16"/>
              </w:rPr>
              <w:t>rules 1.0.0</w:t>
            </w:r>
          </w:p>
        </w:tc>
        <w:tc>
          <w:tcPr>
            <w:tcW w:type="dxa" w:w="4536"/>
            <w:tcMar>
              <w:top w:w="90" w:type="dxa"/>
              <w:start w:w="90" w:type="dxa"/>
              <w:bottom w:w="90" w:type="dxa"/>
              <w:end w:w="90" w:type="dxa"/>
            </w:tcMar>
            <w:vAlign w:val="top"/>
            <w:shd w:fill="F8FBFD"/>
          </w:tcPr>
          <w:p>
            <w:pPr>
              <w:pStyle w:val="BodyText"/>
              <w:spacing w:after="0"/>
            </w:pPr>
            <w:r>
              <w:rPr>
                <w:sz w:val="16"/>
              </w:rPr>
              <w:t>Major for changed threshold or meaning; minor for new rule; patch for metadata correction.</w:t>
            </w:r>
          </w:p>
        </w:tc>
      </w:tr>
      <w:tr>
        <w:tc>
          <w:tcPr>
            <w:tcW w:type="dxa" w:w="2448"/>
            <w:tcMar>
              <w:top w:w="90" w:type="dxa"/>
              <w:start w:w="90" w:type="dxa"/>
              <w:bottom w:w="90" w:type="dxa"/>
              <w:end w:w="90" w:type="dxa"/>
            </w:tcMar>
            <w:vAlign w:val="top"/>
          </w:tcPr>
          <w:p>
            <w:pPr>
              <w:pStyle w:val="BodyText"/>
              <w:spacing w:after="0"/>
            </w:pPr>
            <w:r>
              <w:rPr>
                <w:sz w:val="16"/>
              </w:rPr>
              <w:t>Model</w:t>
            </w:r>
          </w:p>
        </w:tc>
        <w:tc>
          <w:tcPr>
            <w:tcW w:type="dxa" w:w="2952"/>
            <w:tcMar>
              <w:top w:w="90" w:type="dxa"/>
              <w:start w:w="90" w:type="dxa"/>
              <w:bottom w:w="90" w:type="dxa"/>
              <w:end w:w="90" w:type="dxa"/>
            </w:tcMar>
            <w:vAlign w:val="top"/>
          </w:tcPr>
          <w:p>
            <w:pPr>
              <w:pStyle w:val="BodyText"/>
              <w:spacing w:after="0"/>
            </w:pPr>
            <w:r>
              <w:rPr>
                <w:sz w:val="16"/>
              </w:rPr>
              <w:t>rf-risk 1.0.0 + SHA-256</w:t>
            </w:r>
          </w:p>
        </w:tc>
        <w:tc>
          <w:tcPr>
            <w:tcW w:type="dxa" w:w="4536"/>
            <w:tcMar>
              <w:top w:w="90" w:type="dxa"/>
              <w:start w:w="90" w:type="dxa"/>
              <w:bottom w:w="90" w:type="dxa"/>
              <w:end w:w="90" w:type="dxa"/>
            </w:tcMar>
            <w:vAlign w:val="top"/>
          </w:tcPr>
          <w:p>
            <w:pPr>
              <w:pStyle w:val="BodyText"/>
              <w:spacing w:after="0"/>
            </w:pPr>
            <w:r>
              <w:rPr>
                <w:sz w:val="16"/>
              </w:rPr>
              <w:t>New deployable artifact always receives a new version and hash.</w:t>
            </w:r>
          </w:p>
        </w:tc>
      </w:tr>
      <w:tr>
        <w:tc>
          <w:tcPr>
            <w:tcW w:type="dxa" w:w="2448"/>
            <w:tcMar>
              <w:top w:w="90" w:type="dxa"/>
              <w:start w:w="90" w:type="dxa"/>
              <w:bottom w:w="90" w:type="dxa"/>
              <w:end w:w="90" w:type="dxa"/>
            </w:tcMar>
            <w:vAlign w:val="top"/>
            <w:shd w:fill="F8FBFD"/>
          </w:tcPr>
          <w:p>
            <w:pPr>
              <w:pStyle w:val="BodyText"/>
              <w:spacing w:after="0"/>
            </w:pPr>
            <w:r>
              <w:rPr>
                <w:sz w:val="16"/>
              </w:rPr>
              <w:t>Feature schema</w:t>
            </w:r>
          </w:p>
        </w:tc>
        <w:tc>
          <w:tcPr>
            <w:tcW w:type="dxa" w:w="2952"/>
            <w:tcMar>
              <w:top w:w="90" w:type="dxa"/>
              <w:start w:w="90" w:type="dxa"/>
              <w:bottom w:w="90" w:type="dxa"/>
              <w:end w:w="90" w:type="dxa"/>
            </w:tcMar>
            <w:vAlign w:val="top"/>
            <w:shd w:fill="F8FBFD"/>
          </w:tcPr>
          <w:p>
            <w:pPr>
              <w:pStyle w:val="BodyText"/>
              <w:spacing w:after="0"/>
            </w:pPr>
            <w:r>
              <w:rPr>
                <w:sz w:val="16"/>
              </w:rPr>
              <w:t>features 1.0.0</w:t>
            </w:r>
          </w:p>
        </w:tc>
        <w:tc>
          <w:tcPr>
            <w:tcW w:type="dxa" w:w="4536"/>
            <w:tcMar>
              <w:top w:w="90" w:type="dxa"/>
              <w:start w:w="90" w:type="dxa"/>
              <w:bottom w:w="90" w:type="dxa"/>
              <w:end w:w="90" w:type="dxa"/>
            </w:tcMar>
            <w:vAlign w:val="top"/>
            <w:shd w:fill="F8FBFD"/>
          </w:tcPr>
          <w:p>
            <w:pPr>
              <w:pStyle w:val="BodyText"/>
              <w:spacing w:after="0"/>
            </w:pPr>
            <w:r>
              <w:rPr>
                <w:sz w:val="16"/>
              </w:rPr>
              <w:t>Major for incompatible input contract; minor for optional compatible field; patch for documentation.</w:t>
            </w:r>
          </w:p>
        </w:tc>
      </w:tr>
      <w:tr>
        <w:tc>
          <w:tcPr>
            <w:tcW w:type="dxa" w:w="2448"/>
            <w:tcMar>
              <w:top w:w="90" w:type="dxa"/>
              <w:start w:w="90" w:type="dxa"/>
              <w:bottom w:w="90" w:type="dxa"/>
              <w:end w:w="90" w:type="dxa"/>
            </w:tcMar>
            <w:vAlign w:val="top"/>
          </w:tcPr>
          <w:p>
            <w:pPr>
              <w:pStyle w:val="BodyText"/>
              <w:spacing w:after="0"/>
            </w:pPr>
            <w:r>
              <w:rPr>
                <w:sz w:val="16"/>
              </w:rPr>
              <w:t>Reason catalog</w:t>
            </w:r>
          </w:p>
        </w:tc>
        <w:tc>
          <w:tcPr>
            <w:tcW w:type="dxa" w:w="2952"/>
            <w:tcMar>
              <w:top w:w="90" w:type="dxa"/>
              <w:start w:w="90" w:type="dxa"/>
              <w:bottom w:w="90" w:type="dxa"/>
              <w:end w:w="90" w:type="dxa"/>
            </w:tcMar>
            <w:vAlign w:val="top"/>
          </w:tcPr>
          <w:p>
            <w:pPr>
              <w:pStyle w:val="BodyText"/>
              <w:spacing w:after="0"/>
            </w:pPr>
            <w:r>
              <w:rPr>
                <w:sz w:val="16"/>
              </w:rPr>
              <w:t>reasons 1.0.0</w:t>
            </w:r>
          </w:p>
        </w:tc>
        <w:tc>
          <w:tcPr>
            <w:tcW w:type="dxa" w:w="4536"/>
            <w:tcMar>
              <w:top w:w="90" w:type="dxa"/>
              <w:start w:w="90" w:type="dxa"/>
              <w:bottom w:w="90" w:type="dxa"/>
              <w:end w:w="90" w:type="dxa"/>
            </w:tcMar>
            <w:vAlign w:val="top"/>
          </w:tcPr>
          <w:p>
            <w:pPr>
              <w:pStyle w:val="BodyText"/>
              <w:spacing w:after="0"/>
            </w:pPr>
            <w:r>
              <w:rPr>
                <w:sz w:val="16"/>
              </w:rPr>
              <w:t>Major for semantic change; minor for new reason; patch for wording without meaning change.</w:t>
            </w:r>
          </w:p>
        </w:tc>
      </w:tr>
      <w:tr>
        <w:tc>
          <w:tcPr>
            <w:tcW w:type="dxa" w:w="2448"/>
            <w:tcMar>
              <w:top w:w="90" w:type="dxa"/>
              <w:start w:w="90" w:type="dxa"/>
              <w:bottom w:w="90" w:type="dxa"/>
              <w:end w:w="90" w:type="dxa"/>
            </w:tcMar>
            <w:vAlign w:val="top"/>
            <w:shd w:fill="F8FBFD"/>
          </w:tcPr>
          <w:p>
            <w:pPr>
              <w:pStyle w:val="BodyText"/>
              <w:spacing w:after="0"/>
            </w:pPr>
            <w:r>
              <w:rPr>
                <w:sz w:val="16"/>
              </w:rPr>
              <w:t>Template catalog</w:t>
            </w:r>
          </w:p>
        </w:tc>
        <w:tc>
          <w:tcPr>
            <w:tcW w:type="dxa" w:w="2952"/>
            <w:tcMar>
              <w:top w:w="90" w:type="dxa"/>
              <w:start w:w="90" w:type="dxa"/>
              <w:bottom w:w="90" w:type="dxa"/>
              <w:end w:w="90" w:type="dxa"/>
            </w:tcMar>
            <w:vAlign w:val="top"/>
            <w:shd w:fill="F8FBFD"/>
          </w:tcPr>
          <w:p>
            <w:pPr>
              <w:pStyle w:val="BodyText"/>
              <w:spacing w:after="0"/>
            </w:pPr>
            <w:r>
              <w:rPr>
                <w:sz w:val="16"/>
              </w:rPr>
              <w:t>templates-en 1.0.0</w:t>
            </w:r>
          </w:p>
        </w:tc>
        <w:tc>
          <w:tcPr>
            <w:tcW w:type="dxa" w:w="4536"/>
            <w:tcMar>
              <w:top w:w="90" w:type="dxa"/>
              <w:start w:w="90" w:type="dxa"/>
              <w:bottom w:w="90" w:type="dxa"/>
              <w:end w:w="90" w:type="dxa"/>
            </w:tcMar>
            <w:vAlign w:val="top"/>
            <w:shd w:fill="F8FBFD"/>
          </w:tcPr>
          <w:p>
            <w:pPr>
              <w:pStyle w:val="BodyText"/>
              <w:spacing w:after="0"/>
            </w:pPr>
            <w:r>
              <w:rPr>
                <w:sz w:val="16"/>
              </w:rPr>
              <w:t>Major for meaning or action change; minor for audience enhancement; patch for grammar/layout.</w:t>
            </w:r>
          </w:p>
        </w:tc>
      </w:tr>
      <w:tr>
        <w:tc>
          <w:tcPr>
            <w:tcW w:type="dxa" w:w="2448"/>
            <w:tcMar>
              <w:top w:w="90" w:type="dxa"/>
              <w:start w:w="90" w:type="dxa"/>
              <w:bottom w:w="90" w:type="dxa"/>
              <w:end w:w="90" w:type="dxa"/>
            </w:tcMar>
            <w:vAlign w:val="top"/>
          </w:tcPr>
          <w:p>
            <w:pPr>
              <w:pStyle w:val="BodyText"/>
              <w:spacing w:after="0"/>
            </w:pPr>
            <w:r>
              <w:rPr>
                <w:sz w:val="16"/>
              </w:rPr>
              <w:t>Audit schema</w:t>
            </w:r>
          </w:p>
        </w:tc>
        <w:tc>
          <w:tcPr>
            <w:tcW w:type="dxa" w:w="2952"/>
            <w:tcMar>
              <w:top w:w="90" w:type="dxa"/>
              <w:start w:w="90" w:type="dxa"/>
              <w:bottom w:w="90" w:type="dxa"/>
              <w:end w:w="90" w:type="dxa"/>
            </w:tcMar>
            <w:vAlign w:val="top"/>
          </w:tcPr>
          <w:p>
            <w:pPr>
              <w:pStyle w:val="BodyText"/>
              <w:spacing w:after="0"/>
            </w:pPr>
            <w:r>
              <w:rPr>
                <w:sz w:val="16"/>
              </w:rPr>
              <w:t>audit 1.0.0</w:t>
            </w:r>
          </w:p>
        </w:tc>
        <w:tc>
          <w:tcPr>
            <w:tcW w:type="dxa" w:w="4536"/>
            <w:tcMar>
              <w:top w:w="90" w:type="dxa"/>
              <w:start w:w="90" w:type="dxa"/>
              <w:bottom w:w="90" w:type="dxa"/>
              <w:end w:w="90" w:type="dxa"/>
            </w:tcMar>
            <w:vAlign w:val="top"/>
          </w:tcPr>
          <w:p>
            <w:pPr>
              <w:pStyle w:val="BodyText"/>
              <w:spacing w:after="0"/>
            </w:pPr>
            <w:r>
              <w:rPr>
                <w:sz w:val="16"/>
              </w:rPr>
              <w:t>Major for incompatible persistence; minor for additive field; patch for metadata correction.</w:t>
            </w:r>
          </w:p>
        </w:tc>
      </w:tr>
      <w:tr>
        <w:tc>
          <w:tcPr>
            <w:tcW w:type="dxa" w:w="2448"/>
            <w:tcMar>
              <w:top w:w="90" w:type="dxa"/>
              <w:start w:w="90" w:type="dxa"/>
              <w:bottom w:w="90" w:type="dxa"/>
              <w:end w:w="90" w:type="dxa"/>
            </w:tcMar>
            <w:vAlign w:val="top"/>
            <w:shd w:fill="F8FBFD"/>
          </w:tcPr>
          <w:p>
            <w:pPr>
              <w:pStyle w:val="BodyText"/>
              <w:spacing w:after="0"/>
            </w:pPr>
            <w:r>
              <w:rPr>
                <w:sz w:val="16"/>
              </w:rPr>
              <w:t>Application release</w:t>
            </w:r>
          </w:p>
        </w:tc>
        <w:tc>
          <w:tcPr>
            <w:tcW w:type="dxa" w:w="2952"/>
            <w:tcMar>
              <w:top w:w="90" w:type="dxa"/>
              <w:start w:w="90" w:type="dxa"/>
              <w:bottom w:w="90" w:type="dxa"/>
              <w:end w:w="90" w:type="dxa"/>
            </w:tcMar>
            <w:vAlign w:val="top"/>
            <w:shd w:fill="F8FBFD"/>
          </w:tcPr>
          <w:p>
            <w:pPr>
              <w:pStyle w:val="BodyText"/>
              <w:spacing w:after="0"/>
            </w:pPr>
            <w:r>
              <w:rPr>
                <w:sz w:val="16"/>
              </w:rPr>
              <w:t>maternity-cdss 1.0.0</w:t>
            </w:r>
          </w:p>
        </w:tc>
        <w:tc>
          <w:tcPr>
            <w:tcW w:type="dxa" w:w="4536"/>
            <w:tcMar>
              <w:top w:w="90" w:type="dxa"/>
              <w:start w:w="90" w:type="dxa"/>
              <w:bottom w:w="90" w:type="dxa"/>
              <w:end w:w="90" w:type="dxa"/>
            </w:tcMar>
            <w:vAlign w:val="top"/>
            <w:shd w:fill="F8FBFD"/>
          </w:tcPr>
          <w:p>
            <w:pPr>
              <w:pStyle w:val="BodyText"/>
              <w:spacing w:after="0"/>
            </w:pPr>
            <w:r>
              <w:rPr>
                <w:sz w:val="16"/>
              </w:rPr>
              <w:t>Release manifest records all approved component versions.</w:t>
            </w:r>
          </w:p>
        </w:tc>
      </w:tr>
    </w:tbl>
    <w:p>
      <w:pPr>
        <w:spacing w:after="0"/>
      </w:pPr>
    </w:p>
    <w:p>
      <w:pPr>
        <w:pStyle w:val="Heading2"/>
        <w:keepNext/>
      </w:pPr>
      <w:r>
        <w:t>5.2 Release manifest</w:t>
      </w:r>
    </w:p>
    <w:tbl>
      <w:tblPr>
        <w:tblStyle w:val="TableGrid"/>
        <w:tblW w:type="auto" w:w="0"/>
        <w:jc w:val="center"/>
        <w:tblLook w:firstColumn="1" w:firstRow="1" w:lastColumn="0" w:lastRow="0" w:noHBand="0" w:noVBand="1" w:val="04A0"/>
      </w:tblPr>
      <w:tblGrid>
        <w:gridCol w:w="10080"/>
      </w:tblGrid>
      <w:tr>
        <w:tc>
          <w:tcPr>
            <w:tcW w:type="dxa" w:w="10080"/>
            <w:shd w:fill="F4F6F8"/>
            <w:tcMar>
              <w:top w:w="130" w:type="dxa"/>
              <w:start w:w="150" w:type="dxa"/>
              <w:bottom w:w="130" w:type="dxa"/>
              <w:end w:w="150" w:type="dxa"/>
            </w:tcMar>
          </w:tcPr>
          <w:p>
            <w:r>
              <w:rPr>
                <w:rFonts w:ascii="Consolas" w:hAnsi="Consolas"/>
                <w:sz w:val="16"/>
              </w:rPr>
              <w:t>release_id: maternity-cdss-1.4.0</w:t>
            </w:r>
            <w:r>
              <w:br/>
            </w:r>
            <w:r>
              <w:rPr>
                <w:rFonts w:ascii="Consolas" w:hAnsi="Consolas"/>
                <w:sz w:val="16"/>
              </w:rPr>
              <w:t>decision_policy: 1.1.0</w:t>
            </w:r>
            <w:r>
              <w:br/>
            </w:r>
            <w:r>
              <w:rPr>
                <w:rFonts w:ascii="Consolas" w:hAnsi="Consolas"/>
                <w:sz w:val="16"/>
              </w:rPr>
              <w:t>rule_catalog: 1.2.0</w:t>
            </w:r>
            <w:r>
              <w:br/>
            </w:r>
            <w:r>
              <w:rPr>
                <w:rFonts w:ascii="Consolas" w:hAnsi="Consolas"/>
                <w:sz w:val="16"/>
              </w:rPr>
              <w:t>model: rf-risk-1.0.0</w:t>
            </w:r>
            <w:r>
              <w:br/>
            </w:r>
            <w:r>
              <w:rPr>
                <w:rFonts w:ascii="Consolas" w:hAnsi="Consolas"/>
                <w:sz w:val="16"/>
              </w:rPr>
              <w:t>model_sha256: &lt;approved hash&gt;</w:t>
            </w:r>
            <w:r>
              <w:br/>
            </w:r>
            <w:r>
              <w:rPr>
                <w:rFonts w:ascii="Consolas" w:hAnsi="Consolas"/>
                <w:sz w:val="16"/>
              </w:rPr>
              <w:t>feature_schema: 1.0.0</w:t>
            </w:r>
            <w:r>
              <w:br/>
            </w:r>
            <w:r>
              <w:rPr>
                <w:rFonts w:ascii="Consolas" w:hAnsi="Consolas"/>
                <w:sz w:val="16"/>
              </w:rPr>
              <w:t>reason_catalog: 1.3.0</w:t>
            </w:r>
            <w:r>
              <w:br/>
            </w:r>
            <w:r>
              <w:rPr>
                <w:rFonts w:ascii="Consolas" w:hAnsi="Consolas"/>
                <w:sz w:val="16"/>
              </w:rPr>
              <w:t>template_catalog: templates-en-1.2.1</w:t>
            </w:r>
            <w:r>
              <w:br/>
            </w:r>
            <w:r>
              <w:rPr>
                <w:rFonts w:ascii="Consolas" w:hAnsi="Consolas"/>
                <w:sz w:val="16"/>
              </w:rPr>
              <w:t>audit_schema: 1.1.0</w:t>
            </w:r>
            <w:r>
              <w:br/>
            </w:r>
            <w:r>
              <w:rPr>
                <w:rFonts w:ascii="Consolas" w:hAnsi="Consolas"/>
                <w:sz w:val="16"/>
              </w:rPr>
              <w:t>approved_at: 2026-07-24</w:t>
            </w:r>
            <w:r>
              <w:br/>
            </w:r>
            <w:r>
              <w:rPr>
                <w:rFonts w:ascii="Consolas" w:hAnsi="Consolas"/>
                <w:sz w:val="16"/>
              </w:rPr>
              <w:t>approved_by: [clinical, technical, quality]</w:t>
            </w:r>
          </w:p>
        </w:tc>
      </w:tr>
    </w:tbl>
    <w:p>
      <w:pPr>
        <w:spacing w:after="0"/>
      </w:pPr>
    </w:p>
    <w:p>
      <w:pPr>
        <w:pStyle w:val="Heading2"/>
        <w:keepNext/>
      </w:pPr>
      <w:r>
        <w:t>5.3 Compatibility matrix</w:t>
      </w:r>
    </w:p>
    <w:p>
      <w:pPr>
        <w:pStyle w:val="BodyText"/>
      </w:pPr>
      <w:r>
        <w:t>The application must verify that the deployed model, feature schema, decision policy, reason catalog, and templates are an approved combination. A model trained with a different feature order must not be accepted simply because the file loads. Unknown combinations cause a safe failure, not best-effort interpretation.</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3168"/>
            <w:shd w:fill="1F4E79"/>
            <w:tcMar>
              <w:top w:w="90" w:type="dxa"/>
              <w:start w:w="90" w:type="dxa"/>
              <w:bottom w:w="90" w:type="dxa"/>
              <w:end w:w="90" w:type="dxa"/>
            </w:tcMar>
            <w:vAlign w:val="center"/>
          </w:tcPr>
          <w:p>
            <w:pPr>
              <w:jc w:val="center"/>
            </w:pPr>
            <w:r>
              <w:rPr>
                <w:b/>
                <w:color w:val="FFFFFF"/>
                <w:sz w:val="16"/>
              </w:rPr>
              <w:t>Condition</w:t>
            </w:r>
          </w:p>
        </w:tc>
        <w:tc>
          <w:tcPr>
            <w:tcW w:type="dxa" w:w="6192"/>
            <w:shd w:fill="1F4E79"/>
            <w:tcMar>
              <w:top w:w="90" w:type="dxa"/>
              <w:start w:w="90" w:type="dxa"/>
              <w:bottom w:w="90" w:type="dxa"/>
              <w:end w:w="90" w:type="dxa"/>
            </w:tcMar>
            <w:vAlign w:val="center"/>
          </w:tcPr>
          <w:p>
            <w:pPr>
              <w:jc w:val="center"/>
            </w:pPr>
            <w:r>
              <w:rPr>
                <w:b/>
                <w:color w:val="FFFFFF"/>
                <w:sz w:val="16"/>
              </w:rPr>
              <w:t>Behavior</w:t>
            </w:r>
          </w:p>
        </w:tc>
      </w:tr>
      <w:tr>
        <w:tc>
          <w:tcPr>
            <w:tcW w:type="dxa" w:w="3168"/>
            <w:tcMar>
              <w:top w:w="90" w:type="dxa"/>
              <w:start w:w="90" w:type="dxa"/>
              <w:bottom w:w="90" w:type="dxa"/>
              <w:end w:w="90" w:type="dxa"/>
            </w:tcMar>
            <w:vAlign w:val="top"/>
          </w:tcPr>
          <w:p>
            <w:pPr>
              <w:pStyle w:val="BodyText"/>
              <w:spacing w:after="0"/>
            </w:pPr>
            <w:r>
              <w:rPr>
                <w:sz w:val="16"/>
              </w:rPr>
              <w:t>Known approved combination</w:t>
            </w:r>
          </w:p>
        </w:tc>
        <w:tc>
          <w:tcPr>
            <w:tcW w:type="dxa" w:w="6192"/>
            <w:tcMar>
              <w:top w:w="90" w:type="dxa"/>
              <w:start w:w="90" w:type="dxa"/>
              <w:bottom w:w="90" w:type="dxa"/>
              <w:end w:w="90" w:type="dxa"/>
            </w:tcMar>
            <w:vAlign w:val="top"/>
          </w:tcPr>
          <w:p>
            <w:pPr>
              <w:pStyle w:val="BodyText"/>
              <w:spacing w:after="0"/>
            </w:pPr>
            <w:r>
              <w:rPr>
                <w:sz w:val="16"/>
              </w:rPr>
              <w:t>Assessment may proceed.</w:t>
            </w:r>
          </w:p>
        </w:tc>
      </w:tr>
      <w:tr>
        <w:tc>
          <w:tcPr>
            <w:tcW w:type="dxa" w:w="3168"/>
            <w:tcMar>
              <w:top w:w="90" w:type="dxa"/>
              <w:start w:w="90" w:type="dxa"/>
              <w:bottom w:w="90" w:type="dxa"/>
              <w:end w:w="90" w:type="dxa"/>
            </w:tcMar>
            <w:vAlign w:val="top"/>
            <w:shd w:fill="F8FBFD"/>
          </w:tcPr>
          <w:p>
            <w:pPr>
              <w:pStyle w:val="BodyText"/>
              <w:spacing w:after="0"/>
            </w:pPr>
            <w:r>
              <w:rPr>
                <w:sz w:val="16"/>
              </w:rPr>
              <w:t>Model hash differs from manifest</w:t>
            </w:r>
          </w:p>
        </w:tc>
        <w:tc>
          <w:tcPr>
            <w:tcW w:type="dxa" w:w="6192"/>
            <w:tcMar>
              <w:top w:w="90" w:type="dxa"/>
              <w:start w:w="90" w:type="dxa"/>
              <w:bottom w:w="90" w:type="dxa"/>
              <w:end w:w="90" w:type="dxa"/>
            </w:tcMar>
            <w:vAlign w:val="top"/>
            <w:shd w:fill="F8FBFD"/>
          </w:tcPr>
          <w:p>
            <w:pPr>
              <w:pStyle w:val="BodyText"/>
              <w:spacing w:after="0"/>
            </w:pPr>
            <w:r>
              <w:rPr>
                <w:sz w:val="16"/>
              </w:rPr>
              <w:t>Disable ML contribution and raise configuration incident.</w:t>
            </w:r>
          </w:p>
        </w:tc>
      </w:tr>
      <w:tr>
        <w:tc>
          <w:tcPr>
            <w:tcW w:type="dxa" w:w="3168"/>
            <w:tcMar>
              <w:top w:w="90" w:type="dxa"/>
              <w:start w:w="90" w:type="dxa"/>
              <w:bottom w:w="90" w:type="dxa"/>
              <w:end w:w="90" w:type="dxa"/>
            </w:tcMar>
            <w:vAlign w:val="top"/>
          </w:tcPr>
          <w:p>
            <w:pPr>
              <w:pStyle w:val="BodyText"/>
              <w:spacing w:after="0"/>
            </w:pPr>
            <w:r>
              <w:rPr>
                <w:sz w:val="16"/>
              </w:rPr>
              <w:t>Feature schema mismatch</w:t>
            </w:r>
          </w:p>
        </w:tc>
        <w:tc>
          <w:tcPr>
            <w:tcW w:type="dxa" w:w="6192"/>
            <w:tcMar>
              <w:top w:w="90" w:type="dxa"/>
              <w:start w:w="90" w:type="dxa"/>
              <w:bottom w:w="90" w:type="dxa"/>
              <w:end w:w="90" w:type="dxa"/>
            </w:tcMar>
            <w:vAlign w:val="top"/>
          </w:tcPr>
          <w:p>
            <w:pPr>
              <w:pStyle w:val="BodyText"/>
              <w:spacing w:after="0"/>
            </w:pPr>
            <w:r>
              <w:rPr>
                <w:sz w:val="16"/>
              </w:rPr>
              <w:t>Reject inference; return approved incomplete/error pathway.</w:t>
            </w:r>
          </w:p>
        </w:tc>
      </w:tr>
      <w:tr>
        <w:tc>
          <w:tcPr>
            <w:tcW w:type="dxa" w:w="3168"/>
            <w:tcMar>
              <w:top w:w="90" w:type="dxa"/>
              <w:start w:w="90" w:type="dxa"/>
              <w:bottom w:w="90" w:type="dxa"/>
              <w:end w:w="90" w:type="dxa"/>
            </w:tcMar>
            <w:vAlign w:val="top"/>
            <w:shd w:fill="F8FBFD"/>
          </w:tcPr>
          <w:p>
            <w:pPr>
              <w:pStyle w:val="BodyText"/>
              <w:spacing w:after="0"/>
            </w:pPr>
            <w:r>
              <w:rPr>
                <w:sz w:val="16"/>
              </w:rPr>
              <w:t>Template version missing</w:t>
            </w:r>
          </w:p>
        </w:tc>
        <w:tc>
          <w:tcPr>
            <w:tcW w:type="dxa" w:w="6192"/>
            <w:tcMar>
              <w:top w:w="90" w:type="dxa"/>
              <w:start w:w="90" w:type="dxa"/>
              <w:bottom w:w="90" w:type="dxa"/>
              <w:end w:w="90" w:type="dxa"/>
            </w:tcMar>
            <w:vAlign w:val="top"/>
            <w:shd w:fill="F8FBFD"/>
          </w:tcPr>
          <w:p>
            <w:pPr>
              <w:pStyle w:val="BodyText"/>
              <w:spacing w:after="0"/>
            </w:pPr>
            <w:r>
              <w:rPr>
                <w:sz w:val="16"/>
              </w:rPr>
              <w:t>Use approved static fallback or block affected channel.</w:t>
            </w:r>
          </w:p>
        </w:tc>
      </w:tr>
      <w:tr>
        <w:tc>
          <w:tcPr>
            <w:tcW w:type="dxa" w:w="3168"/>
            <w:tcMar>
              <w:top w:w="90" w:type="dxa"/>
              <w:start w:w="90" w:type="dxa"/>
              <w:bottom w:w="90" w:type="dxa"/>
              <w:end w:w="90" w:type="dxa"/>
            </w:tcMar>
            <w:vAlign w:val="top"/>
          </w:tcPr>
          <w:p>
            <w:pPr>
              <w:pStyle w:val="BodyText"/>
              <w:spacing w:after="0"/>
            </w:pPr>
            <w:r>
              <w:rPr>
                <w:sz w:val="16"/>
              </w:rPr>
              <w:t>Audit schema older than application requirement</w:t>
            </w:r>
          </w:p>
        </w:tc>
        <w:tc>
          <w:tcPr>
            <w:tcW w:type="dxa" w:w="6192"/>
            <w:tcMar>
              <w:top w:w="90" w:type="dxa"/>
              <w:start w:w="90" w:type="dxa"/>
              <w:bottom w:w="90" w:type="dxa"/>
              <w:end w:w="90" w:type="dxa"/>
            </w:tcMar>
            <w:vAlign w:val="top"/>
          </w:tcPr>
          <w:p>
            <w:pPr>
              <w:pStyle w:val="BodyText"/>
              <w:spacing w:after="0"/>
            </w:pPr>
            <w:r>
              <w:rPr>
                <w:sz w:val="16"/>
              </w:rPr>
              <w:t>Block release or complete migration before deployment.</w:t>
            </w:r>
          </w:p>
        </w:tc>
      </w:tr>
      <w:tr>
        <w:tc>
          <w:tcPr>
            <w:tcW w:type="dxa" w:w="3168"/>
            <w:tcMar>
              <w:top w:w="90" w:type="dxa"/>
              <w:start w:w="90" w:type="dxa"/>
              <w:bottom w:w="90" w:type="dxa"/>
              <w:end w:w="90" w:type="dxa"/>
            </w:tcMar>
            <w:vAlign w:val="top"/>
            <w:shd w:fill="F8FBFD"/>
          </w:tcPr>
          <w:p>
            <w:pPr>
              <w:pStyle w:val="BodyText"/>
              <w:spacing w:after="0"/>
            </w:pPr>
            <w:r>
              <w:rPr>
                <w:sz w:val="16"/>
              </w:rPr>
              <w:t>Rule and reason catalog mismatch</w:t>
            </w:r>
          </w:p>
        </w:tc>
        <w:tc>
          <w:tcPr>
            <w:tcW w:type="dxa" w:w="6192"/>
            <w:tcMar>
              <w:top w:w="90" w:type="dxa"/>
              <w:start w:w="90" w:type="dxa"/>
              <w:bottom w:w="90" w:type="dxa"/>
              <w:end w:w="90" w:type="dxa"/>
            </w:tcMar>
            <w:vAlign w:val="top"/>
            <w:shd w:fill="F8FBFD"/>
          </w:tcPr>
          <w:p>
            <w:pPr>
              <w:pStyle w:val="BodyText"/>
              <w:spacing w:after="0"/>
            </w:pPr>
            <w:r>
              <w:rPr>
                <w:sz w:val="16"/>
              </w:rPr>
              <w:t>Block release because displayed explanation may not match triggered logic.</w:t>
            </w:r>
          </w:p>
        </w:tc>
      </w:tr>
    </w:tbl>
    <w:p>
      <w:pPr>
        <w:spacing w:after="0"/>
      </w:pPr>
    </w:p>
    <w:p>
      <w:pPr>
        <w:pStyle w:val="Heading1"/>
        <w:keepNext/>
      </w:pPr>
      <w:r>
        <w:t>6. Change Classification and Impact Assessment</w:t>
      </w:r>
    </w:p>
    <w:p>
      <w:pPr>
        <w:pStyle w:val="Heading2"/>
        <w:keepNext/>
      </w:pPr>
      <w:r>
        <w:t>6.1 Change classes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2592"/>
            <w:shd w:fill="1F4E79"/>
            <w:tcMar>
              <w:top w:w="90" w:type="dxa"/>
              <w:start w:w="90" w:type="dxa"/>
              <w:bottom w:w="90" w:type="dxa"/>
              <w:end w:w="90" w:type="dxa"/>
            </w:tcMar>
            <w:vAlign w:val="center"/>
          </w:tcPr>
          <w:p>
            <w:pPr>
              <w:jc w:val="center"/>
            </w:pPr>
            <w:r>
              <w:rPr>
                <w:b/>
                <w:color w:val="FFFFFF"/>
                <w:sz w:val="15"/>
              </w:rPr>
              <w:t>Class</w:t>
            </w:r>
          </w:p>
        </w:tc>
        <w:tc>
          <w:tcPr>
            <w:tcW w:type="dxa" w:w="3672"/>
            <w:shd w:fill="1F4E79"/>
            <w:tcMar>
              <w:top w:w="90" w:type="dxa"/>
              <w:start w:w="90" w:type="dxa"/>
              <w:bottom w:w="90" w:type="dxa"/>
              <w:end w:w="90" w:type="dxa"/>
            </w:tcMar>
            <w:vAlign w:val="center"/>
          </w:tcPr>
          <w:p>
            <w:pPr>
              <w:jc w:val="center"/>
            </w:pPr>
            <w:r>
              <w:rPr>
                <w:b/>
                <w:color w:val="FFFFFF"/>
                <w:sz w:val="15"/>
              </w:rPr>
              <w:t>Examples</w:t>
            </w:r>
          </w:p>
        </w:tc>
        <w:tc>
          <w:tcPr>
            <w:tcW w:type="dxa" w:w="3816"/>
            <w:shd w:fill="1F4E79"/>
            <w:tcMar>
              <w:top w:w="90" w:type="dxa"/>
              <w:start w:w="90" w:type="dxa"/>
              <w:bottom w:w="90" w:type="dxa"/>
              <w:end w:w="90" w:type="dxa"/>
            </w:tcMar>
            <w:vAlign w:val="center"/>
          </w:tcPr>
          <w:p>
            <w:pPr>
              <w:jc w:val="center"/>
            </w:pPr>
            <w:r>
              <w:rPr>
                <w:b/>
                <w:color w:val="FFFFFF"/>
                <w:sz w:val="15"/>
              </w:rPr>
              <w:t>Minimum control</w:t>
            </w:r>
          </w:p>
        </w:tc>
      </w:tr>
      <w:tr>
        <w:tc>
          <w:tcPr>
            <w:tcW w:type="dxa" w:w="2592"/>
            <w:tcMar>
              <w:top w:w="90" w:type="dxa"/>
              <w:start w:w="90" w:type="dxa"/>
              <w:bottom w:w="90" w:type="dxa"/>
              <w:end w:w="90" w:type="dxa"/>
            </w:tcMar>
            <w:vAlign w:val="top"/>
          </w:tcPr>
          <w:p>
            <w:pPr>
              <w:pStyle w:val="BodyText"/>
              <w:spacing w:after="0"/>
            </w:pPr>
            <w:r>
              <w:rPr>
                <w:sz w:val="15"/>
              </w:rPr>
              <w:t>Class A: Clinical-safety critical</w:t>
            </w:r>
          </w:p>
        </w:tc>
        <w:tc>
          <w:tcPr>
            <w:tcW w:type="dxa" w:w="3672"/>
            <w:tcMar>
              <w:top w:w="90" w:type="dxa"/>
              <w:start w:w="90" w:type="dxa"/>
              <w:bottom w:w="90" w:type="dxa"/>
              <w:end w:w="90" w:type="dxa"/>
            </w:tcMar>
            <w:vAlign w:val="top"/>
          </w:tcPr>
          <w:p>
            <w:pPr>
              <w:pStyle w:val="BodyText"/>
              <w:spacing w:after="0"/>
            </w:pPr>
            <w:r>
              <w:rPr>
                <w:sz w:val="15"/>
              </w:rPr>
              <w:t>Threshold, urgent condition, final-state logic, deterministic override, referral action, missing-data rule.</w:t>
            </w:r>
          </w:p>
        </w:tc>
        <w:tc>
          <w:tcPr>
            <w:tcW w:type="dxa" w:w="3816"/>
            <w:tcMar>
              <w:top w:w="90" w:type="dxa"/>
              <w:start w:w="90" w:type="dxa"/>
              <w:bottom w:w="90" w:type="dxa"/>
              <w:end w:w="90" w:type="dxa"/>
            </w:tcMar>
            <w:vAlign w:val="top"/>
          </w:tcPr>
          <w:p>
            <w:pPr>
              <w:pStyle w:val="BodyText"/>
              <w:spacing w:after="0"/>
            </w:pPr>
            <w:r>
              <w:rPr>
                <w:sz w:val="15"/>
              </w:rPr>
              <w:t>Clinical approval, technical review, full regression, boundary testing, rollback, post-release review.</w:t>
            </w:r>
          </w:p>
        </w:tc>
      </w:tr>
      <w:tr>
        <w:tc>
          <w:tcPr>
            <w:tcW w:type="dxa" w:w="2592"/>
            <w:tcMar>
              <w:top w:w="90" w:type="dxa"/>
              <w:start w:w="90" w:type="dxa"/>
              <w:bottom w:w="90" w:type="dxa"/>
              <w:end w:w="90" w:type="dxa"/>
            </w:tcMar>
            <w:vAlign w:val="top"/>
            <w:shd w:fill="F8FBFD"/>
          </w:tcPr>
          <w:p>
            <w:pPr>
              <w:pStyle w:val="BodyText"/>
              <w:spacing w:after="0"/>
            </w:pPr>
            <w:r>
              <w:rPr>
                <w:sz w:val="15"/>
              </w:rPr>
              <w:t>Class B: Model or data-contract material</w:t>
            </w:r>
          </w:p>
        </w:tc>
        <w:tc>
          <w:tcPr>
            <w:tcW w:type="dxa" w:w="3672"/>
            <w:tcMar>
              <w:top w:w="90" w:type="dxa"/>
              <w:start w:w="90" w:type="dxa"/>
              <w:bottom w:w="90" w:type="dxa"/>
              <w:end w:w="90" w:type="dxa"/>
            </w:tcMar>
            <w:vAlign w:val="top"/>
            <w:shd w:fill="F8FBFD"/>
          </w:tcPr>
          <w:p>
            <w:pPr>
              <w:pStyle w:val="BodyText"/>
              <w:spacing w:after="0"/>
            </w:pPr>
            <w:r>
              <w:rPr>
                <w:sz w:val="15"/>
              </w:rPr>
              <w:t>New model artifact, preprocessing, feature schema, class mapping, timeout behavior.</w:t>
            </w:r>
          </w:p>
        </w:tc>
        <w:tc>
          <w:tcPr>
            <w:tcW w:type="dxa" w:w="3816"/>
            <w:tcMar>
              <w:top w:w="90" w:type="dxa"/>
              <w:start w:w="90" w:type="dxa"/>
              <w:bottom w:w="90" w:type="dxa"/>
              <w:end w:w="90" w:type="dxa"/>
            </w:tcMar>
            <w:vAlign w:val="top"/>
            <w:shd w:fill="F8FBFD"/>
          </w:tcPr>
          <w:p>
            <w:pPr>
              <w:pStyle w:val="BodyText"/>
              <w:spacing w:after="0"/>
            </w:pPr>
            <w:r>
              <w:rPr>
                <w:sz w:val="15"/>
              </w:rPr>
              <w:t>Model validation, contract tests, clinical impact review, hash, staged deployment.</w:t>
            </w:r>
          </w:p>
        </w:tc>
      </w:tr>
      <w:tr>
        <w:tc>
          <w:tcPr>
            <w:tcW w:type="dxa" w:w="2592"/>
            <w:tcMar>
              <w:top w:w="90" w:type="dxa"/>
              <w:start w:w="90" w:type="dxa"/>
              <w:bottom w:w="90" w:type="dxa"/>
              <w:end w:w="90" w:type="dxa"/>
            </w:tcMar>
            <w:vAlign w:val="top"/>
          </w:tcPr>
          <w:p>
            <w:pPr>
              <w:pStyle w:val="BodyText"/>
              <w:spacing w:after="0"/>
            </w:pPr>
            <w:r>
              <w:rPr>
                <w:sz w:val="15"/>
              </w:rPr>
              <w:t>Class C: Explanation meaning material</w:t>
            </w:r>
          </w:p>
        </w:tc>
        <w:tc>
          <w:tcPr>
            <w:tcW w:type="dxa" w:w="3672"/>
            <w:tcMar>
              <w:top w:w="90" w:type="dxa"/>
              <w:start w:w="90" w:type="dxa"/>
              <w:bottom w:w="90" w:type="dxa"/>
              <w:end w:w="90" w:type="dxa"/>
            </w:tcMar>
            <w:vAlign w:val="top"/>
          </w:tcPr>
          <w:p>
            <w:pPr>
              <w:pStyle w:val="BodyText"/>
              <w:spacing w:after="0"/>
            </w:pPr>
            <w:r>
              <w:rPr>
                <w:sz w:val="15"/>
              </w:rPr>
              <w:t>Reason meaning, recommendation wording, patient risk meaning, audience disclosure.</w:t>
            </w:r>
          </w:p>
        </w:tc>
        <w:tc>
          <w:tcPr>
            <w:tcW w:type="dxa" w:w="3816"/>
            <w:tcMar>
              <w:top w:w="90" w:type="dxa"/>
              <w:start w:w="90" w:type="dxa"/>
              <w:bottom w:w="90" w:type="dxa"/>
              <w:end w:w="90" w:type="dxa"/>
            </w:tcMar>
            <w:vAlign w:val="top"/>
          </w:tcPr>
          <w:p>
            <w:pPr>
              <w:pStyle w:val="BodyText"/>
              <w:spacing w:after="0"/>
            </w:pPr>
            <w:r>
              <w:rPr>
                <w:sz w:val="15"/>
              </w:rPr>
              <w:t>Clinical/content/privacy review, comprehension and snapshot tests.</w:t>
            </w:r>
          </w:p>
        </w:tc>
      </w:tr>
      <w:tr>
        <w:tc>
          <w:tcPr>
            <w:tcW w:type="dxa" w:w="2592"/>
            <w:tcMar>
              <w:top w:w="90" w:type="dxa"/>
              <w:start w:w="90" w:type="dxa"/>
              <w:bottom w:w="90" w:type="dxa"/>
              <w:end w:w="90" w:type="dxa"/>
            </w:tcMar>
            <w:vAlign w:val="top"/>
            <w:shd w:fill="F8FBFD"/>
          </w:tcPr>
          <w:p>
            <w:pPr>
              <w:pStyle w:val="BodyText"/>
              <w:spacing w:after="0"/>
            </w:pPr>
            <w:r>
              <w:rPr>
                <w:sz w:val="15"/>
              </w:rPr>
              <w:t>Class D: Workflow or audit material</w:t>
            </w:r>
          </w:p>
        </w:tc>
        <w:tc>
          <w:tcPr>
            <w:tcW w:type="dxa" w:w="3672"/>
            <w:tcMar>
              <w:top w:w="90" w:type="dxa"/>
              <w:start w:w="90" w:type="dxa"/>
              <w:bottom w:w="90" w:type="dxa"/>
              <w:end w:w="90" w:type="dxa"/>
            </w:tcMar>
            <w:vAlign w:val="top"/>
            <w:shd w:fill="F8FBFD"/>
          </w:tcPr>
          <w:p>
            <w:pPr>
              <w:pStyle w:val="BodyText"/>
              <w:spacing w:after="0"/>
            </w:pPr>
            <w:r>
              <w:rPr>
                <w:sz w:val="15"/>
              </w:rPr>
              <w:t>Recalculation trigger, authorization, notification, audit persistence, retention.</w:t>
            </w:r>
          </w:p>
        </w:tc>
        <w:tc>
          <w:tcPr>
            <w:tcW w:type="dxa" w:w="3816"/>
            <w:tcMar>
              <w:top w:w="90" w:type="dxa"/>
              <w:start w:w="90" w:type="dxa"/>
              <w:bottom w:w="90" w:type="dxa"/>
              <w:end w:w="90" w:type="dxa"/>
            </w:tcMar>
            <w:vAlign w:val="top"/>
            <w:shd w:fill="F8FBFD"/>
          </w:tcPr>
          <w:p>
            <w:pPr>
              <w:pStyle w:val="BodyText"/>
              <w:spacing w:after="0"/>
            </w:pPr>
            <w:r>
              <w:rPr>
                <w:sz w:val="15"/>
              </w:rPr>
              <w:t>Technical, operations, privacy, and quality review.</w:t>
            </w:r>
          </w:p>
        </w:tc>
      </w:tr>
      <w:tr>
        <w:tc>
          <w:tcPr>
            <w:tcW w:type="dxa" w:w="2592"/>
            <w:tcMar>
              <w:top w:w="90" w:type="dxa"/>
              <w:start w:w="90" w:type="dxa"/>
              <w:bottom w:w="90" w:type="dxa"/>
              <w:end w:w="90" w:type="dxa"/>
            </w:tcMar>
            <w:vAlign w:val="top"/>
          </w:tcPr>
          <w:p>
            <w:pPr>
              <w:pStyle w:val="BodyText"/>
              <w:spacing w:after="0"/>
            </w:pPr>
            <w:r>
              <w:rPr>
                <w:sz w:val="15"/>
              </w:rPr>
              <w:t>Class E: Non-material presentation</w:t>
            </w:r>
          </w:p>
        </w:tc>
        <w:tc>
          <w:tcPr>
            <w:tcW w:type="dxa" w:w="3672"/>
            <w:tcMar>
              <w:top w:w="90" w:type="dxa"/>
              <w:start w:w="90" w:type="dxa"/>
              <w:bottom w:w="90" w:type="dxa"/>
              <w:end w:w="90" w:type="dxa"/>
            </w:tcMar>
            <w:vAlign w:val="top"/>
          </w:tcPr>
          <w:p>
            <w:pPr>
              <w:pStyle w:val="BodyText"/>
              <w:spacing w:after="0"/>
            </w:pPr>
            <w:r>
              <w:rPr>
                <w:sz w:val="15"/>
              </w:rPr>
              <w:t>Typography, spacing, non-semantic grammar, icon alignment.</w:t>
            </w:r>
          </w:p>
        </w:tc>
        <w:tc>
          <w:tcPr>
            <w:tcW w:type="dxa" w:w="3816"/>
            <w:tcMar>
              <w:top w:w="90" w:type="dxa"/>
              <w:start w:w="90" w:type="dxa"/>
              <w:bottom w:w="90" w:type="dxa"/>
              <w:end w:w="90" w:type="dxa"/>
            </w:tcMar>
            <w:vAlign w:val="top"/>
          </w:tcPr>
          <w:p>
            <w:pPr>
              <w:pStyle w:val="BodyText"/>
              <w:spacing w:after="0"/>
            </w:pPr>
            <w:r>
              <w:rPr>
                <w:sz w:val="15"/>
              </w:rPr>
              <w:t>Technical/content review and visual regression; no clinical reapproval if meaning is unchanged.</w:t>
            </w:r>
          </w:p>
        </w:tc>
      </w:tr>
    </w:tbl>
    <w:p>
      <w:pPr>
        <w:spacing w:after="0"/>
      </w:pPr>
    </w:p>
    <w:p>
      <w:pPr>
        <w:pStyle w:val="Heading2"/>
        <w:keepNext/>
      </w:pPr>
      <w:r>
        <w:t>6.2 Mandatory impact assessment questions</w:t>
      </w:r>
    </w:p>
    <w:p>
      <w:pPr>
        <w:pStyle w:val="ListBullet"/>
      </w:pPr>
      <w:r>
        <w:t>What problem is the change intended to solve?</w:t>
      </w:r>
    </w:p>
    <w:p>
      <w:pPr>
        <w:pStyle w:val="ListBullet"/>
      </w:pPr>
      <w:r>
        <w:t>Which patients, users, statuses, channels, and workflows can be affected?</w:t>
      </w:r>
    </w:p>
    <w:p>
      <w:pPr>
        <w:pStyle w:val="ListBullet"/>
      </w:pPr>
      <w:r>
        <w:t>Can the change alter HIGH, LOW, ASSESSMENT INCOMPLETE, urgency, referral, or follow-up behavior?</w:t>
      </w:r>
    </w:p>
    <w:p>
      <w:pPr>
        <w:pStyle w:val="ListBullet"/>
      </w:pPr>
      <w:r>
        <w:t>Can it change what evidence is shown or hidden?</w:t>
      </w:r>
    </w:p>
    <w:p>
      <w:pPr>
        <w:pStyle w:val="ListBullet"/>
      </w:pPr>
      <w:r>
        <w:t>Does it create a privacy, security, equity, or accessibility risk?</w:t>
      </w:r>
    </w:p>
    <w:p>
      <w:pPr>
        <w:pStyle w:val="ListBullet"/>
      </w:pPr>
      <w:r>
        <w:t>Does it invalidate historical comparability or audit reconstruction?</w:t>
      </w:r>
    </w:p>
    <w:p>
      <w:pPr>
        <w:pStyle w:val="ListBullet"/>
      </w:pPr>
      <w:r>
        <w:t>Which tests, documents, training materials, screenshots, and panel claims require updating?</w:t>
      </w:r>
    </w:p>
    <w:p>
      <w:pPr>
        <w:pStyle w:val="ListBullet"/>
      </w:pPr>
      <w:r>
        <w:t>What is the rollback trigger and maximum tolerated recovery time?</w:t>
      </w:r>
    </w:p>
    <w:p>
      <w:pPr>
        <w:pStyle w:val="ListBullet"/>
      </w:pPr>
      <w:r>
        <w:t>What residual risk remains after controls?</w:t>
      </w:r>
    </w:p>
    <w:p>
      <w:pPr>
        <w:pStyle w:val="Heading2"/>
        <w:keepNext/>
      </w:pPr>
      <w:r>
        <w:t>6.3 Prohibited change practices</w:t>
      </w:r>
    </w:p>
    <w:p>
      <w:pPr>
        <w:pStyle w:val="ListBullet"/>
      </w:pPr>
      <w:r>
        <w:t>Editing a clinical threshold directly in production.</w:t>
      </w:r>
    </w:p>
    <w:p>
      <w:pPr>
        <w:pStyle w:val="ListBullet"/>
      </w:pPr>
      <w:r>
        <w:t>Replacing a model file while retaining the old version label or hash.</w:t>
      </w:r>
    </w:p>
    <w:p>
      <w:pPr>
        <w:pStyle w:val="ListBullet"/>
      </w:pPr>
      <w:r>
        <w:t>Changing patient-facing meaning through an unreviewed Blade template edit.</w:t>
      </w:r>
    </w:p>
    <w:p>
      <w:pPr>
        <w:pStyle w:val="ListBullet"/>
      </w:pPr>
      <w:r>
        <w:t>Using free-form AI generation to produce clinical explanations at runtime.</w:t>
      </w:r>
    </w:p>
    <w:p>
      <w:pPr>
        <w:pStyle w:val="ListBullet"/>
      </w:pPr>
      <w:r>
        <w:t>Suppressing an incident because the final status happened to be correct.</w:t>
      </w:r>
    </w:p>
    <w:p>
      <w:pPr>
        <w:pStyle w:val="ListBullet"/>
      </w:pPr>
      <w:r>
        <w:t>Recalculating historical records without preserving original assessments.</w:t>
      </w:r>
    </w:p>
    <w:p>
      <w:pPr>
        <w:pStyle w:val="ListBullet"/>
      </w:pPr>
      <w:r>
        <w:t>Deploying a schema migration without backup and rollback planning.</w:t>
      </w:r>
    </w:p>
    <w:tbl>
      <w:tblPr>
        <w:tblStyle w:val="TableGrid"/>
        <w:tblW w:type="auto" w:w="0"/>
        <w:jc w:val="center"/>
        <w:tblLook w:firstColumn="1" w:firstRow="1" w:lastColumn="0" w:lastRow="0" w:noHBand="0" w:noVBand="1" w:val="04A0"/>
      </w:tblPr>
      <w:tblGrid>
        <w:gridCol w:w="10080"/>
      </w:tblGrid>
      <w:tr>
        <w:tc>
          <w:tcPr>
            <w:tcW w:type="dxa" w:w="10080"/>
            <w:shd w:fill="FFF2CC"/>
            <w:tcMar>
              <w:top w:w="140" w:type="dxa"/>
              <w:start w:w="160" w:type="dxa"/>
              <w:bottom w:w="140" w:type="dxa"/>
              <w:end w:w="160" w:type="dxa"/>
            </w:tcMar>
          </w:tcPr>
          <w:p>
            <w:r>
              <w:rPr>
                <w:b/>
                <w:color w:val="9C6500"/>
              </w:rPr>
              <w:t>Materiality test</w:t>
            </w:r>
            <w:r>
              <w:br/>
              <w:t>A change is material whenever it can alter the decision, evidence, urgency, action, audience disclosure, traceability, or user interpretation. Materiality is determined by impact, not by the number of edited lines.</w:t>
            </w:r>
          </w:p>
        </w:tc>
      </w:tr>
    </w:tbl>
    <w:p>
      <w:pPr>
        <w:spacing w:after="0"/>
      </w:pPr>
    </w:p>
    <w:p>
      <w:pPr>
        <w:pStyle w:val="Heading1"/>
        <w:keepNext/>
      </w:pPr>
      <w:r>
        <w:t>7. Controlled Change Lifecycle</w:t>
      </w:r>
    </w:p>
    <w:p>
      <w:pPr>
        <w:pStyle w:val="Heading2"/>
        <w:keepNext/>
      </w:pPr>
      <w:r>
        <w:t>7.1 Lifecycle stages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2232"/>
            <w:shd w:fill="1F4E79"/>
            <w:tcMar>
              <w:top w:w="90" w:type="dxa"/>
              <w:start w:w="90" w:type="dxa"/>
              <w:bottom w:w="90" w:type="dxa"/>
              <w:end w:w="90" w:type="dxa"/>
            </w:tcMar>
            <w:vAlign w:val="center"/>
          </w:tcPr>
          <w:p>
            <w:pPr>
              <w:jc w:val="center"/>
            </w:pPr>
            <w:r>
              <w:rPr>
                <w:b/>
                <w:color w:val="FFFFFF"/>
                <w:sz w:val="16"/>
              </w:rPr>
              <w:t>Stage</w:t>
            </w:r>
          </w:p>
        </w:tc>
        <w:tc>
          <w:tcPr>
            <w:tcW w:type="dxa" w:w="7128"/>
            <w:shd w:fill="1F4E79"/>
            <w:tcMar>
              <w:top w:w="90" w:type="dxa"/>
              <w:start w:w="90" w:type="dxa"/>
              <w:bottom w:w="90" w:type="dxa"/>
              <w:end w:w="90" w:type="dxa"/>
            </w:tcMar>
            <w:vAlign w:val="center"/>
          </w:tcPr>
          <w:p>
            <w:pPr>
              <w:jc w:val="center"/>
            </w:pPr>
            <w:r>
              <w:rPr>
                <w:b/>
                <w:color w:val="FFFFFF"/>
                <w:sz w:val="16"/>
              </w:rPr>
              <w:t>Required output</w:t>
            </w:r>
          </w:p>
        </w:tc>
      </w:tr>
      <w:tr>
        <w:tc>
          <w:tcPr>
            <w:tcW w:type="dxa" w:w="2232"/>
            <w:tcMar>
              <w:top w:w="90" w:type="dxa"/>
              <w:start w:w="90" w:type="dxa"/>
              <w:bottom w:w="90" w:type="dxa"/>
              <w:end w:w="90" w:type="dxa"/>
            </w:tcMar>
            <w:vAlign w:val="top"/>
          </w:tcPr>
          <w:p>
            <w:pPr>
              <w:pStyle w:val="BodyText"/>
              <w:spacing w:after="0"/>
            </w:pPr>
            <w:r>
              <w:rPr>
                <w:sz w:val="16"/>
              </w:rPr>
              <w:t>1. Proposal</w:t>
            </w:r>
          </w:p>
        </w:tc>
        <w:tc>
          <w:tcPr>
            <w:tcW w:type="dxa" w:w="7128"/>
            <w:tcMar>
              <w:top w:w="90" w:type="dxa"/>
              <w:start w:w="90" w:type="dxa"/>
              <w:bottom w:w="90" w:type="dxa"/>
              <w:end w:w="90" w:type="dxa"/>
            </w:tcMar>
            <w:vAlign w:val="top"/>
          </w:tcPr>
          <w:p>
            <w:pPr>
              <w:pStyle w:val="BodyText"/>
              <w:spacing w:after="0"/>
            </w:pPr>
            <w:r>
              <w:rPr>
                <w:sz w:val="16"/>
              </w:rPr>
              <w:t>Change request, problem statement, owner, urgency, affected assets.</w:t>
            </w:r>
          </w:p>
        </w:tc>
      </w:tr>
      <w:tr>
        <w:tc>
          <w:tcPr>
            <w:tcW w:type="dxa" w:w="2232"/>
            <w:tcMar>
              <w:top w:w="90" w:type="dxa"/>
              <w:start w:w="90" w:type="dxa"/>
              <w:bottom w:w="90" w:type="dxa"/>
              <w:end w:w="90" w:type="dxa"/>
            </w:tcMar>
            <w:vAlign w:val="top"/>
            <w:shd w:fill="F8FBFD"/>
          </w:tcPr>
          <w:p>
            <w:pPr>
              <w:pStyle w:val="BodyText"/>
              <w:spacing w:after="0"/>
            </w:pPr>
            <w:r>
              <w:rPr>
                <w:sz w:val="16"/>
              </w:rPr>
              <w:t>2. Triage</w:t>
            </w:r>
          </w:p>
        </w:tc>
        <w:tc>
          <w:tcPr>
            <w:tcW w:type="dxa" w:w="7128"/>
            <w:tcMar>
              <w:top w:w="90" w:type="dxa"/>
              <w:start w:w="90" w:type="dxa"/>
              <w:bottom w:w="90" w:type="dxa"/>
              <w:end w:w="90" w:type="dxa"/>
            </w:tcMar>
            <w:vAlign w:val="top"/>
            <w:shd w:fill="F8FBFD"/>
          </w:tcPr>
          <w:p>
            <w:pPr>
              <w:pStyle w:val="BodyText"/>
              <w:spacing w:after="0"/>
            </w:pPr>
            <w:r>
              <w:rPr>
                <w:sz w:val="16"/>
              </w:rPr>
              <w:t>Class, risk level, reviewers, evidence plan, target release.</w:t>
            </w:r>
          </w:p>
        </w:tc>
      </w:tr>
      <w:tr>
        <w:tc>
          <w:tcPr>
            <w:tcW w:type="dxa" w:w="2232"/>
            <w:tcMar>
              <w:top w:w="90" w:type="dxa"/>
              <w:start w:w="90" w:type="dxa"/>
              <w:bottom w:w="90" w:type="dxa"/>
              <w:end w:w="90" w:type="dxa"/>
            </w:tcMar>
            <w:vAlign w:val="top"/>
          </w:tcPr>
          <w:p>
            <w:pPr>
              <w:pStyle w:val="BodyText"/>
              <w:spacing w:after="0"/>
            </w:pPr>
            <w:r>
              <w:rPr>
                <w:sz w:val="16"/>
              </w:rPr>
              <w:t>3. Impact assessment</w:t>
            </w:r>
          </w:p>
        </w:tc>
        <w:tc>
          <w:tcPr>
            <w:tcW w:type="dxa" w:w="7128"/>
            <w:tcMar>
              <w:top w:w="90" w:type="dxa"/>
              <w:start w:w="90" w:type="dxa"/>
              <w:bottom w:w="90" w:type="dxa"/>
              <w:end w:w="90" w:type="dxa"/>
            </w:tcMar>
            <w:vAlign w:val="top"/>
          </w:tcPr>
          <w:p>
            <w:pPr>
              <w:pStyle w:val="BodyText"/>
              <w:spacing w:after="0"/>
            </w:pPr>
            <w:r>
              <w:rPr>
                <w:sz w:val="16"/>
              </w:rPr>
              <w:t>Clinical, technical, workflow, privacy, equity, and historical impact.</w:t>
            </w:r>
          </w:p>
        </w:tc>
      </w:tr>
      <w:tr>
        <w:tc>
          <w:tcPr>
            <w:tcW w:type="dxa" w:w="2232"/>
            <w:tcMar>
              <w:top w:w="90" w:type="dxa"/>
              <w:start w:w="90" w:type="dxa"/>
              <w:bottom w:w="90" w:type="dxa"/>
              <w:end w:w="90" w:type="dxa"/>
            </w:tcMar>
            <w:vAlign w:val="top"/>
            <w:shd w:fill="F8FBFD"/>
          </w:tcPr>
          <w:p>
            <w:pPr>
              <w:pStyle w:val="BodyText"/>
              <w:spacing w:after="0"/>
            </w:pPr>
            <w:r>
              <w:rPr>
                <w:sz w:val="16"/>
              </w:rPr>
              <w:t>4. Design</w:t>
            </w:r>
          </w:p>
        </w:tc>
        <w:tc>
          <w:tcPr>
            <w:tcW w:type="dxa" w:w="7128"/>
            <w:tcMar>
              <w:top w:w="90" w:type="dxa"/>
              <w:start w:w="90" w:type="dxa"/>
              <w:bottom w:w="90" w:type="dxa"/>
              <w:end w:w="90" w:type="dxa"/>
            </w:tcMar>
            <w:vAlign w:val="top"/>
            <w:shd w:fill="F8FBFD"/>
          </w:tcPr>
          <w:p>
            <w:pPr>
              <w:pStyle w:val="BodyText"/>
              <w:spacing w:after="0"/>
            </w:pPr>
            <w:r>
              <w:rPr>
                <w:sz w:val="16"/>
              </w:rPr>
              <w:t>Updated rule/model/template specification and acceptance criteria.</w:t>
            </w:r>
          </w:p>
        </w:tc>
      </w:tr>
      <w:tr>
        <w:tc>
          <w:tcPr>
            <w:tcW w:type="dxa" w:w="2232"/>
            <w:tcMar>
              <w:top w:w="90" w:type="dxa"/>
              <w:start w:w="90" w:type="dxa"/>
              <w:bottom w:w="90" w:type="dxa"/>
              <w:end w:w="90" w:type="dxa"/>
            </w:tcMar>
            <w:vAlign w:val="top"/>
          </w:tcPr>
          <w:p>
            <w:pPr>
              <w:pStyle w:val="BodyText"/>
              <w:spacing w:after="0"/>
            </w:pPr>
            <w:r>
              <w:rPr>
                <w:sz w:val="16"/>
              </w:rPr>
              <w:t>5. Implementation</w:t>
            </w:r>
          </w:p>
        </w:tc>
        <w:tc>
          <w:tcPr>
            <w:tcW w:type="dxa" w:w="7128"/>
            <w:tcMar>
              <w:top w:w="90" w:type="dxa"/>
              <w:start w:w="90" w:type="dxa"/>
              <w:bottom w:w="90" w:type="dxa"/>
              <w:end w:w="90" w:type="dxa"/>
            </w:tcMar>
            <w:vAlign w:val="top"/>
          </w:tcPr>
          <w:p>
            <w:pPr>
              <w:pStyle w:val="BodyText"/>
              <w:spacing w:after="0"/>
            </w:pPr>
            <w:r>
              <w:rPr>
                <w:sz w:val="16"/>
              </w:rPr>
              <w:t>Code/configuration change linked to request; no untracked production edits.</w:t>
            </w:r>
          </w:p>
        </w:tc>
      </w:tr>
      <w:tr>
        <w:tc>
          <w:tcPr>
            <w:tcW w:type="dxa" w:w="2232"/>
            <w:tcMar>
              <w:top w:w="90" w:type="dxa"/>
              <w:start w:w="90" w:type="dxa"/>
              <w:bottom w:w="90" w:type="dxa"/>
              <w:end w:w="90" w:type="dxa"/>
            </w:tcMar>
            <w:vAlign w:val="top"/>
            <w:shd w:fill="F8FBFD"/>
          </w:tcPr>
          <w:p>
            <w:pPr>
              <w:pStyle w:val="BodyText"/>
              <w:spacing w:after="0"/>
            </w:pPr>
            <w:r>
              <w:rPr>
                <w:sz w:val="16"/>
              </w:rPr>
              <w:t>6. Verification</w:t>
            </w:r>
          </w:p>
        </w:tc>
        <w:tc>
          <w:tcPr>
            <w:tcW w:type="dxa" w:w="7128"/>
            <w:tcMar>
              <w:top w:w="90" w:type="dxa"/>
              <w:start w:w="90" w:type="dxa"/>
              <w:bottom w:w="90" w:type="dxa"/>
              <w:end w:w="90" w:type="dxa"/>
            </w:tcMar>
            <w:vAlign w:val="top"/>
            <w:shd w:fill="F8FBFD"/>
          </w:tcPr>
          <w:p>
            <w:pPr>
              <w:pStyle w:val="BodyText"/>
              <w:spacing w:after="0"/>
            </w:pPr>
            <w:r>
              <w:rPr>
                <w:sz w:val="16"/>
              </w:rPr>
              <w:t>Unit, integration, boundary, contract, usability, security, and regression evidence as applicable.</w:t>
            </w:r>
          </w:p>
        </w:tc>
      </w:tr>
      <w:tr>
        <w:tc>
          <w:tcPr>
            <w:tcW w:type="dxa" w:w="2232"/>
            <w:tcMar>
              <w:top w:w="90" w:type="dxa"/>
              <w:start w:w="90" w:type="dxa"/>
              <w:bottom w:w="90" w:type="dxa"/>
              <w:end w:w="90" w:type="dxa"/>
            </w:tcMar>
            <w:vAlign w:val="top"/>
          </w:tcPr>
          <w:p>
            <w:pPr>
              <w:pStyle w:val="BodyText"/>
              <w:spacing w:after="0"/>
            </w:pPr>
            <w:r>
              <w:rPr>
                <w:sz w:val="16"/>
              </w:rPr>
              <w:t>7. Approval</w:t>
            </w:r>
          </w:p>
        </w:tc>
        <w:tc>
          <w:tcPr>
            <w:tcW w:type="dxa" w:w="7128"/>
            <w:tcMar>
              <w:top w:w="90" w:type="dxa"/>
              <w:start w:w="90" w:type="dxa"/>
              <w:bottom w:w="90" w:type="dxa"/>
              <w:end w:w="90" w:type="dxa"/>
            </w:tcMar>
            <w:vAlign w:val="top"/>
          </w:tcPr>
          <w:p>
            <w:pPr>
              <w:pStyle w:val="BodyText"/>
              <w:spacing w:after="0"/>
            </w:pPr>
            <w:r>
              <w:rPr>
                <w:sz w:val="16"/>
              </w:rPr>
              <w:t>Named approvals with date, version, conditions, and unresolved risks.</w:t>
            </w:r>
          </w:p>
        </w:tc>
      </w:tr>
      <w:tr>
        <w:tc>
          <w:tcPr>
            <w:tcW w:type="dxa" w:w="2232"/>
            <w:tcMar>
              <w:top w:w="90" w:type="dxa"/>
              <w:start w:w="90" w:type="dxa"/>
              <w:bottom w:w="90" w:type="dxa"/>
              <w:end w:w="90" w:type="dxa"/>
            </w:tcMar>
            <w:vAlign w:val="top"/>
            <w:shd w:fill="F8FBFD"/>
          </w:tcPr>
          <w:p>
            <w:pPr>
              <w:pStyle w:val="BodyText"/>
              <w:spacing w:after="0"/>
            </w:pPr>
            <w:r>
              <w:rPr>
                <w:sz w:val="16"/>
              </w:rPr>
              <w:t>8. Deployment</w:t>
            </w:r>
          </w:p>
        </w:tc>
        <w:tc>
          <w:tcPr>
            <w:tcW w:type="dxa" w:w="7128"/>
            <w:tcMar>
              <w:top w:w="90" w:type="dxa"/>
              <w:start w:w="90" w:type="dxa"/>
              <w:bottom w:w="90" w:type="dxa"/>
              <w:end w:w="90" w:type="dxa"/>
            </w:tcMar>
            <w:vAlign w:val="top"/>
            <w:shd w:fill="F8FBFD"/>
          </w:tcPr>
          <w:p>
            <w:pPr>
              <w:pStyle w:val="BodyText"/>
              <w:spacing w:after="0"/>
            </w:pPr>
            <w:r>
              <w:rPr>
                <w:sz w:val="16"/>
              </w:rPr>
              <w:t>Release manifest, backup, migration, smoke test, communication, and training.</w:t>
            </w:r>
          </w:p>
        </w:tc>
      </w:tr>
      <w:tr>
        <w:tc>
          <w:tcPr>
            <w:tcW w:type="dxa" w:w="2232"/>
            <w:tcMar>
              <w:top w:w="90" w:type="dxa"/>
              <w:start w:w="90" w:type="dxa"/>
              <w:bottom w:w="90" w:type="dxa"/>
              <w:end w:w="90" w:type="dxa"/>
            </w:tcMar>
            <w:vAlign w:val="top"/>
          </w:tcPr>
          <w:p>
            <w:pPr>
              <w:pStyle w:val="BodyText"/>
              <w:spacing w:after="0"/>
            </w:pPr>
            <w:r>
              <w:rPr>
                <w:sz w:val="16"/>
              </w:rPr>
              <w:t>9. Monitoring</w:t>
            </w:r>
          </w:p>
        </w:tc>
        <w:tc>
          <w:tcPr>
            <w:tcW w:type="dxa" w:w="7128"/>
            <w:tcMar>
              <w:top w:w="90" w:type="dxa"/>
              <w:start w:w="90" w:type="dxa"/>
              <w:bottom w:w="90" w:type="dxa"/>
              <w:end w:w="90" w:type="dxa"/>
            </w:tcMar>
            <w:vAlign w:val="top"/>
          </w:tcPr>
          <w:p>
            <w:pPr>
              <w:pStyle w:val="BodyText"/>
              <w:spacing w:after="0"/>
            </w:pPr>
            <w:r>
              <w:rPr>
                <w:sz w:val="16"/>
              </w:rPr>
              <w:t>Defined observation window, metrics, anomaly review, and incident triggers.</w:t>
            </w:r>
          </w:p>
        </w:tc>
      </w:tr>
      <w:tr>
        <w:tc>
          <w:tcPr>
            <w:tcW w:type="dxa" w:w="2232"/>
            <w:tcMar>
              <w:top w:w="90" w:type="dxa"/>
              <w:start w:w="90" w:type="dxa"/>
              <w:bottom w:w="90" w:type="dxa"/>
              <w:end w:w="90" w:type="dxa"/>
            </w:tcMar>
            <w:vAlign w:val="top"/>
            <w:shd w:fill="F8FBFD"/>
          </w:tcPr>
          <w:p>
            <w:pPr>
              <w:pStyle w:val="BodyText"/>
              <w:spacing w:after="0"/>
            </w:pPr>
            <w:r>
              <w:rPr>
                <w:sz w:val="16"/>
              </w:rPr>
              <w:t>10. Closure</w:t>
            </w:r>
          </w:p>
        </w:tc>
        <w:tc>
          <w:tcPr>
            <w:tcW w:type="dxa" w:w="7128"/>
            <w:tcMar>
              <w:top w:w="90" w:type="dxa"/>
              <w:start w:w="90" w:type="dxa"/>
              <w:bottom w:w="90" w:type="dxa"/>
              <w:end w:w="90" w:type="dxa"/>
            </w:tcMar>
            <w:vAlign w:val="top"/>
            <w:shd w:fill="F8FBFD"/>
          </w:tcPr>
          <w:p>
            <w:pPr>
              <w:pStyle w:val="BodyText"/>
              <w:spacing w:after="0"/>
            </w:pPr>
            <w:r>
              <w:rPr>
                <w:sz w:val="16"/>
              </w:rPr>
              <w:t>Post-implementation review, documentation update, lessons learned, and archived evidence.</w:t>
            </w:r>
          </w:p>
        </w:tc>
      </w:tr>
    </w:tbl>
    <w:p>
      <w:pPr>
        <w:spacing w:after="0"/>
      </w:pPr>
    </w:p>
    <w:p>
      <w:pPr>
        <w:pStyle w:val="Heading2"/>
        <w:keepNext/>
      </w:pPr>
      <w:r>
        <w:t>7.2 Emergency changes</w:t>
      </w:r>
    </w:p>
    <w:p>
      <w:pPr>
        <w:pStyle w:val="BodyText"/>
      </w:pPr>
      <w:r>
        <w:t>Emergency change is reserved for an active safety, privacy, security, or availability threat. It may shorten the normal schedule but does not remove accountability. The minimum emergency record contains the issue, temporary control, approving authority, affected versions, deployment time, rollback decision, and a required retrospective review. Emergency wording changes that reduce patient harm must still be checked for unintended clinical meaning.</w:t>
      </w:r>
    </w:p>
    <w:p>
      <w:pPr>
        <w:pStyle w:val="Heading2"/>
        <w:keepNext/>
      </w:pPr>
      <w:r>
        <w:t>7.3 Approval evidence</w:t>
      </w:r>
    </w:p>
    <w:p>
      <w:pPr>
        <w:pStyle w:val="BodyText"/>
      </w:pPr>
      <w:r>
        <w:t>Approval is not a chat message saying that a change “looks good.” The governance record must identify the exact artifact and version reviewed, the evidence considered, the decision, conditions, approver role, date, and whether follow-up is required.</w:t>
      </w:r>
    </w:p>
    <w:p>
      <w:pPr>
        <w:pStyle w:val="Heading1"/>
        <w:keepNext/>
      </w:pPr>
      <w:r>
        <w:t>8. Release Governance and Deployment Readiness</w:t>
      </w:r>
    </w:p>
    <w:p>
      <w:pPr>
        <w:pStyle w:val="Heading2"/>
        <w:keepNext/>
      </w:pPr>
      <w:r>
        <w:t>8.1 Release gates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2664"/>
            <w:shd w:fill="1F4E79"/>
            <w:tcMar>
              <w:top w:w="90" w:type="dxa"/>
              <w:start w:w="90" w:type="dxa"/>
              <w:bottom w:w="90" w:type="dxa"/>
              <w:end w:w="90" w:type="dxa"/>
            </w:tcMar>
            <w:vAlign w:val="center"/>
          </w:tcPr>
          <w:p>
            <w:pPr>
              <w:jc w:val="center"/>
            </w:pPr>
            <w:r>
              <w:rPr>
                <w:b/>
                <w:color w:val="FFFFFF"/>
                <w:sz w:val="16"/>
              </w:rPr>
              <w:t>Gate</w:t>
            </w:r>
          </w:p>
        </w:tc>
        <w:tc>
          <w:tcPr>
            <w:tcW w:type="dxa" w:w="6696"/>
            <w:shd w:fill="1F4E79"/>
            <w:tcMar>
              <w:top w:w="90" w:type="dxa"/>
              <w:start w:w="90" w:type="dxa"/>
              <w:bottom w:w="90" w:type="dxa"/>
              <w:end w:w="90" w:type="dxa"/>
            </w:tcMar>
            <w:vAlign w:val="center"/>
          </w:tcPr>
          <w:p>
            <w:pPr>
              <w:jc w:val="center"/>
            </w:pPr>
            <w:r>
              <w:rPr>
                <w:b/>
                <w:color w:val="FFFFFF"/>
                <w:sz w:val="16"/>
              </w:rPr>
              <w:t>Pass condition</w:t>
            </w:r>
          </w:p>
        </w:tc>
      </w:tr>
      <w:tr>
        <w:tc>
          <w:tcPr>
            <w:tcW w:type="dxa" w:w="2664"/>
            <w:tcMar>
              <w:top w:w="90" w:type="dxa"/>
              <w:start w:w="90" w:type="dxa"/>
              <w:bottom w:w="90" w:type="dxa"/>
              <w:end w:w="90" w:type="dxa"/>
            </w:tcMar>
            <w:vAlign w:val="top"/>
          </w:tcPr>
          <w:p>
            <w:pPr>
              <w:pStyle w:val="BodyText"/>
              <w:spacing w:after="0"/>
            </w:pPr>
            <w:r>
              <w:rPr>
                <w:sz w:val="16"/>
              </w:rPr>
              <w:t>Clinical correctness</w:t>
            </w:r>
          </w:p>
        </w:tc>
        <w:tc>
          <w:tcPr>
            <w:tcW w:type="dxa" w:w="6696"/>
            <w:tcMar>
              <w:top w:w="90" w:type="dxa"/>
              <w:start w:w="90" w:type="dxa"/>
              <w:bottom w:w="90" w:type="dxa"/>
              <w:end w:w="90" w:type="dxa"/>
            </w:tcMar>
            <w:vAlign w:val="top"/>
          </w:tcPr>
          <w:p>
            <w:pPr>
              <w:pStyle w:val="BodyText"/>
              <w:spacing w:after="0"/>
            </w:pPr>
            <w:r>
              <w:rPr>
                <w:sz w:val="16"/>
              </w:rPr>
              <w:t>All affected rules, reasons, limitations, and actions are approved and test evidence passes.</w:t>
            </w:r>
          </w:p>
        </w:tc>
      </w:tr>
      <w:tr>
        <w:tc>
          <w:tcPr>
            <w:tcW w:type="dxa" w:w="2664"/>
            <w:tcMar>
              <w:top w:w="90" w:type="dxa"/>
              <w:start w:w="90" w:type="dxa"/>
              <w:bottom w:w="90" w:type="dxa"/>
              <w:end w:w="90" w:type="dxa"/>
            </w:tcMar>
            <w:vAlign w:val="top"/>
            <w:shd w:fill="F8FBFD"/>
          </w:tcPr>
          <w:p>
            <w:pPr>
              <w:pStyle w:val="BodyText"/>
              <w:spacing w:after="0"/>
            </w:pPr>
            <w:r>
              <w:rPr>
                <w:sz w:val="16"/>
              </w:rPr>
              <w:t>Model integrity</w:t>
            </w:r>
          </w:p>
        </w:tc>
        <w:tc>
          <w:tcPr>
            <w:tcW w:type="dxa" w:w="6696"/>
            <w:tcMar>
              <w:top w:w="90" w:type="dxa"/>
              <w:start w:w="90" w:type="dxa"/>
              <w:bottom w:w="90" w:type="dxa"/>
              <w:end w:w="90" w:type="dxa"/>
            </w:tcMar>
            <w:vAlign w:val="top"/>
            <w:shd w:fill="F8FBFD"/>
          </w:tcPr>
          <w:p>
            <w:pPr>
              <w:pStyle w:val="BodyText"/>
              <w:spacing w:after="0"/>
            </w:pPr>
            <w:r>
              <w:rPr>
                <w:sz w:val="16"/>
              </w:rPr>
              <w:t>Artifact hash, feature schema, preprocessing, output contract, and validation evidence match manifest.</w:t>
            </w:r>
          </w:p>
        </w:tc>
      </w:tr>
      <w:tr>
        <w:tc>
          <w:tcPr>
            <w:tcW w:type="dxa" w:w="2664"/>
            <w:tcMar>
              <w:top w:w="90" w:type="dxa"/>
              <w:start w:w="90" w:type="dxa"/>
              <w:bottom w:w="90" w:type="dxa"/>
              <w:end w:w="90" w:type="dxa"/>
            </w:tcMar>
            <w:vAlign w:val="top"/>
          </w:tcPr>
          <w:p>
            <w:pPr>
              <w:pStyle w:val="BodyText"/>
              <w:spacing w:after="0"/>
            </w:pPr>
            <w:r>
              <w:rPr>
                <w:sz w:val="16"/>
              </w:rPr>
              <w:t>Explanation fidelity</w:t>
            </w:r>
          </w:p>
        </w:tc>
        <w:tc>
          <w:tcPr>
            <w:tcW w:type="dxa" w:w="6696"/>
            <w:tcMar>
              <w:top w:w="90" w:type="dxa"/>
              <w:start w:w="90" w:type="dxa"/>
              <w:bottom w:w="90" w:type="dxa"/>
              <w:end w:w="90" w:type="dxa"/>
            </w:tcMar>
            <w:vAlign w:val="top"/>
          </w:tcPr>
          <w:p>
            <w:pPr>
              <w:pStyle w:val="BodyText"/>
              <w:spacing w:after="0"/>
            </w:pPr>
            <w:r>
              <w:rPr>
                <w:sz w:val="16"/>
              </w:rPr>
              <w:t>All triggered reasons and missing requirements are represented; no fabricated evidence.</w:t>
            </w:r>
          </w:p>
        </w:tc>
      </w:tr>
      <w:tr>
        <w:tc>
          <w:tcPr>
            <w:tcW w:type="dxa" w:w="2664"/>
            <w:tcMar>
              <w:top w:w="90" w:type="dxa"/>
              <w:start w:w="90" w:type="dxa"/>
              <w:bottom w:w="90" w:type="dxa"/>
              <w:end w:w="90" w:type="dxa"/>
            </w:tcMar>
            <w:vAlign w:val="top"/>
            <w:shd w:fill="F8FBFD"/>
          </w:tcPr>
          <w:p>
            <w:pPr>
              <w:pStyle w:val="BodyText"/>
              <w:spacing w:after="0"/>
            </w:pPr>
            <w:r>
              <w:rPr>
                <w:sz w:val="16"/>
              </w:rPr>
              <w:t>Audience safety</w:t>
            </w:r>
          </w:p>
        </w:tc>
        <w:tc>
          <w:tcPr>
            <w:tcW w:type="dxa" w:w="6696"/>
            <w:tcMar>
              <w:top w:w="90" w:type="dxa"/>
              <w:start w:w="90" w:type="dxa"/>
              <w:bottom w:w="90" w:type="dxa"/>
              <w:end w:w="90" w:type="dxa"/>
            </w:tcMar>
            <w:vAlign w:val="top"/>
            <w:shd w:fill="F8FBFD"/>
          </w:tcPr>
          <w:p>
            <w:pPr>
              <w:pStyle w:val="BodyText"/>
              <w:spacing w:after="0"/>
            </w:pPr>
            <w:r>
              <w:rPr>
                <w:sz w:val="16"/>
              </w:rPr>
              <w:t>Patient, midwife, referral, administrator, and audit projections expose only authorized content.</w:t>
            </w:r>
          </w:p>
        </w:tc>
      </w:tr>
      <w:tr>
        <w:tc>
          <w:tcPr>
            <w:tcW w:type="dxa" w:w="2664"/>
            <w:tcMar>
              <w:top w:w="90" w:type="dxa"/>
              <w:start w:w="90" w:type="dxa"/>
              <w:bottom w:w="90" w:type="dxa"/>
              <w:end w:w="90" w:type="dxa"/>
            </w:tcMar>
            <w:vAlign w:val="top"/>
          </w:tcPr>
          <w:p>
            <w:pPr>
              <w:pStyle w:val="BodyText"/>
              <w:spacing w:after="0"/>
            </w:pPr>
            <w:r>
              <w:rPr>
                <w:sz w:val="16"/>
              </w:rPr>
              <w:t>Traceability</w:t>
            </w:r>
          </w:p>
        </w:tc>
        <w:tc>
          <w:tcPr>
            <w:tcW w:type="dxa" w:w="6696"/>
            <w:tcMar>
              <w:top w:w="90" w:type="dxa"/>
              <w:start w:w="90" w:type="dxa"/>
              <w:bottom w:w="90" w:type="dxa"/>
              <w:end w:w="90" w:type="dxa"/>
            </w:tcMar>
            <w:vAlign w:val="top"/>
          </w:tcPr>
          <w:p>
            <w:pPr>
              <w:pStyle w:val="BodyText"/>
              <w:spacing w:after="0"/>
            </w:pPr>
            <w:r>
              <w:rPr>
                <w:sz w:val="16"/>
              </w:rPr>
              <w:t>Assessment and explanation can be reconstructed from stored data and version identifiers.</w:t>
            </w:r>
          </w:p>
        </w:tc>
      </w:tr>
      <w:tr>
        <w:tc>
          <w:tcPr>
            <w:tcW w:type="dxa" w:w="2664"/>
            <w:tcMar>
              <w:top w:w="90" w:type="dxa"/>
              <w:start w:w="90" w:type="dxa"/>
              <w:bottom w:w="90" w:type="dxa"/>
              <w:end w:w="90" w:type="dxa"/>
            </w:tcMar>
            <w:vAlign w:val="top"/>
            <w:shd w:fill="F8FBFD"/>
          </w:tcPr>
          <w:p>
            <w:pPr>
              <w:pStyle w:val="BodyText"/>
              <w:spacing w:after="0"/>
            </w:pPr>
            <w:r>
              <w:rPr>
                <w:sz w:val="16"/>
              </w:rPr>
              <w:t>Privacy and security</w:t>
            </w:r>
          </w:p>
        </w:tc>
        <w:tc>
          <w:tcPr>
            <w:tcW w:type="dxa" w:w="6696"/>
            <w:tcMar>
              <w:top w:w="90" w:type="dxa"/>
              <w:start w:w="90" w:type="dxa"/>
              <w:bottom w:w="90" w:type="dxa"/>
              <w:end w:w="90" w:type="dxa"/>
            </w:tcMar>
            <w:vAlign w:val="top"/>
            <w:shd w:fill="F8FBFD"/>
          </w:tcPr>
          <w:p>
            <w:pPr>
              <w:pStyle w:val="BodyText"/>
              <w:spacing w:after="0"/>
            </w:pPr>
            <w:r>
              <w:rPr>
                <w:sz w:val="16"/>
              </w:rPr>
              <w:t>Authorization, logging, backup, confidentiality, and incident controls are verified.</w:t>
            </w:r>
          </w:p>
        </w:tc>
      </w:tr>
      <w:tr>
        <w:tc>
          <w:tcPr>
            <w:tcW w:type="dxa" w:w="2664"/>
            <w:tcMar>
              <w:top w:w="90" w:type="dxa"/>
              <w:start w:w="90" w:type="dxa"/>
              <w:bottom w:w="90" w:type="dxa"/>
              <w:end w:w="90" w:type="dxa"/>
            </w:tcMar>
            <w:vAlign w:val="top"/>
          </w:tcPr>
          <w:p>
            <w:pPr>
              <w:pStyle w:val="BodyText"/>
              <w:spacing w:after="0"/>
            </w:pPr>
            <w:r>
              <w:rPr>
                <w:sz w:val="16"/>
              </w:rPr>
              <w:t>Operational readiness</w:t>
            </w:r>
          </w:p>
        </w:tc>
        <w:tc>
          <w:tcPr>
            <w:tcW w:type="dxa" w:w="6696"/>
            <w:tcMar>
              <w:top w:w="90" w:type="dxa"/>
              <w:start w:w="90" w:type="dxa"/>
              <w:bottom w:w="90" w:type="dxa"/>
              <w:end w:w="90" w:type="dxa"/>
            </w:tcMar>
            <w:vAlign w:val="top"/>
          </w:tcPr>
          <w:p>
            <w:pPr>
              <w:pStyle w:val="BodyText"/>
              <w:spacing w:after="0"/>
            </w:pPr>
            <w:r>
              <w:rPr>
                <w:sz w:val="16"/>
              </w:rPr>
              <w:t>Users know limitations, escalation paths, downtime process, and referral workflow.</w:t>
            </w:r>
          </w:p>
        </w:tc>
      </w:tr>
      <w:tr>
        <w:tc>
          <w:tcPr>
            <w:tcW w:type="dxa" w:w="2664"/>
            <w:tcMar>
              <w:top w:w="90" w:type="dxa"/>
              <w:start w:w="90" w:type="dxa"/>
              <w:bottom w:w="90" w:type="dxa"/>
              <w:end w:w="90" w:type="dxa"/>
            </w:tcMar>
            <w:vAlign w:val="top"/>
            <w:shd w:fill="F8FBFD"/>
          </w:tcPr>
          <w:p>
            <w:pPr>
              <w:pStyle w:val="BodyText"/>
              <w:spacing w:after="0"/>
            </w:pPr>
            <w:r>
              <w:rPr>
                <w:sz w:val="16"/>
              </w:rPr>
              <w:t>Rollback readiness</w:t>
            </w:r>
          </w:p>
        </w:tc>
        <w:tc>
          <w:tcPr>
            <w:tcW w:type="dxa" w:w="6696"/>
            <w:tcMar>
              <w:top w:w="90" w:type="dxa"/>
              <w:start w:w="90" w:type="dxa"/>
              <w:bottom w:w="90" w:type="dxa"/>
              <w:end w:w="90" w:type="dxa"/>
            </w:tcMar>
            <w:vAlign w:val="top"/>
            <w:shd w:fill="F8FBFD"/>
          </w:tcPr>
          <w:p>
            <w:pPr>
              <w:pStyle w:val="BodyText"/>
              <w:spacing w:after="0"/>
            </w:pPr>
            <w:r>
              <w:rPr>
                <w:sz w:val="16"/>
              </w:rPr>
              <w:t>Previous release and data recovery method are available and tested sufficiently for the risk.</w:t>
            </w:r>
          </w:p>
        </w:tc>
      </w:tr>
      <w:tr>
        <w:tc>
          <w:tcPr>
            <w:tcW w:type="dxa" w:w="2664"/>
            <w:tcMar>
              <w:top w:w="90" w:type="dxa"/>
              <w:start w:w="90" w:type="dxa"/>
              <w:bottom w:w="90" w:type="dxa"/>
              <w:end w:w="90" w:type="dxa"/>
            </w:tcMar>
            <w:vAlign w:val="top"/>
          </w:tcPr>
          <w:p>
            <w:pPr>
              <w:pStyle w:val="BodyText"/>
              <w:spacing w:after="0"/>
            </w:pPr>
            <w:r>
              <w:rPr>
                <w:sz w:val="16"/>
              </w:rPr>
              <w:t>Documentation completeness</w:t>
            </w:r>
          </w:p>
        </w:tc>
        <w:tc>
          <w:tcPr>
            <w:tcW w:type="dxa" w:w="6696"/>
            <w:tcMar>
              <w:top w:w="90" w:type="dxa"/>
              <w:start w:w="90" w:type="dxa"/>
              <w:bottom w:w="90" w:type="dxa"/>
              <w:end w:w="90" w:type="dxa"/>
            </w:tcMar>
            <w:vAlign w:val="top"/>
          </w:tcPr>
          <w:p>
            <w:pPr>
              <w:pStyle w:val="BodyText"/>
              <w:spacing w:after="0"/>
            </w:pPr>
            <w:r>
              <w:rPr>
                <w:sz w:val="16"/>
              </w:rPr>
              <w:t>Specifications, test report, manifest, release notes, known limitations, and training are updated.</w:t>
            </w:r>
          </w:p>
        </w:tc>
      </w:tr>
    </w:tbl>
    <w:p>
      <w:pPr>
        <w:spacing w:after="0"/>
      </w:pPr>
    </w:p>
    <w:p>
      <w:pPr>
        <w:pStyle w:val="Heading2"/>
        <w:keepNext/>
      </w:pPr>
      <w:r>
        <w:t>8.2 Release-blocking defects</w:t>
      </w:r>
    </w:p>
    <w:p>
      <w:pPr>
        <w:pStyle w:val="ListBullet"/>
      </w:pPr>
      <w:r>
        <w:t>LOW when any deterministic HIGH condition is present.</w:t>
      </w:r>
    </w:p>
    <w:p>
      <w:pPr>
        <w:pStyle w:val="ListBullet"/>
      </w:pPr>
      <w:r>
        <w:t>HIGH or urgent result without its decisive patient-specific reason.</w:t>
      </w:r>
    </w:p>
    <w:p>
      <w:pPr>
        <w:pStyle w:val="ListBullet"/>
      </w:pPr>
      <w:r>
        <w:t>ASSESSMENT INCOMPLETE that fails to identify the actual missing required record.</w:t>
      </w:r>
    </w:p>
    <w:p>
      <w:pPr>
        <w:pStyle w:val="ListBullet"/>
      </w:pPr>
      <w:r>
        <w:t>Model output accepted despite invalid class, schema mismatch, or unapproved hash.</w:t>
      </w:r>
    </w:p>
    <w:p>
      <w:pPr>
        <w:pStyle w:val="ListBullet"/>
      </w:pPr>
      <w:r>
        <w:t>Patient-facing explanation that claims diagnosis, guarantees safety, or advises outside clinic scope.</w:t>
      </w:r>
    </w:p>
    <w:p>
      <w:pPr>
        <w:pStyle w:val="ListBullet"/>
      </w:pPr>
      <w:r>
        <w:t>Referral output whose findings differ from the canonical explanation.</w:t>
      </w:r>
    </w:p>
    <w:p>
      <w:pPr>
        <w:pStyle w:val="ListBullet"/>
      </w:pPr>
      <w:r>
        <w:t>Missing or incorrect version provenance that prevents reconstruction.</w:t>
      </w:r>
    </w:p>
    <w:p>
      <w:pPr>
        <w:pStyle w:val="ListBullet"/>
      </w:pPr>
      <w:r>
        <w:t>Unauthorized access to patient explanation or audit data.</w:t>
      </w:r>
    </w:p>
    <w:p>
      <w:pPr>
        <w:pStyle w:val="ListBullet"/>
      </w:pPr>
      <w:r>
        <w:t>Migration or recalculation behavior that overwrites historical evidence.</w:t>
      </w:r>
    </w:p>
    <w:p>
      <w:pPr>
        <w:pStyle w:val="Heading2"/>
        <w:keepNext/>
      </w:pPr>
      <w:r>
        <w:t>8.3 Staged deployment</w:t>
      </w:r>
    </w:p>
    <w:p>
      <w:pPr>
        <w:pStyle w:val="BodyText"/>
      </w:pPr>
      <w:r>
        <w:t>For a prototype or pilot, deployment should begin with synthetic verification, then controlled demonstration data, then limited supervised use only after required approvals. A “silent” or observation mode may calculate and log outputs without allowing them to drive workflow, enabling comparison with expected behavior before wider use.</w:t>
      </w:r>
    </w:p>
    <w:p>
      <w:pPr>
        <w:pStyle w:val="Heading1"/>
        <w:keepNext/>
      </w:pPr>
      <w:r>
        <w:t>9. Monitoring and Lifecycle Review</w:t>
      </w:r>
    </w:p>
    <w:p>
      <w:pPr>
        <w:pStyle w:val="Heading2"/>
        <w:keepNext/>
      </w:pPr>
      <w:r>
        <w:t>9.1 Monitoring domains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2016"/>
            <w:shd w:fill="1F4E79"/>
            <w:tcMar>
              <w:top w:w="90" w:type="dxa"/>
              <w:start w:w="90" w:type="dxa"/>
              <w:bottom w:w="90" w:type="dxa"/>
              <w:end w:w="90" w:type="dxa"/>
            </w:tcMar>
            <w:vAlign w:val="center"/>
          </w:tcPr>
          <w:p>
            <w:pPr>
              <w:jc w:val="center"/>
            </w:pPr>
            <w:r>
              <w:rPr>
                <w:b/>
                <w:color w:val="FFFFFF"/>
                <w:sz w:val="15"/>
              </w:rPr>
              <w:t>Domain</w:t>
            </w:r>
          </w:p>
        </w:tc>
        <w:tc>
          <w:tcPr>
            <w:tcW w:type="dxa" w:w="4176"/>
            <w:shd w:fill="1F4E79"/>
            <w:tcMar>
              <w:top w:w="90" w:type="dxa"/>
              <w:start w:w="90" w:type="dxa"/>
              <w:bottom w:w="90" w:type="dxa"/>
              <w:end w:w="90" w:type="dxa"/>
            </w:tcMar>
            <w:vAlign w:val="center"/>
          </w:tcPr>
          <w:p>
            <w:pPr>
              <w:jc w:val="center"/>
            </w:pPr>
            <w:r>
              <w:rPr>
                <w:b/>
                <w:color w:val="FFFFFF"/>
                <w:sz w:val="15"/>
              </w:rPr>
              <w:t>Example indicators</w:t>
            </w:r>
          </w:p>
        </w:tc>
        <w:tc>
          <w:tcPr>
            <w:tcW w:type="dxa" w:w="3744"/>
            <w:shd w:fill="1F4E79"/>
            <w:tcMar>
              <w:top w:w="90" w:type="dxa"/>
              <w:start w:w="90" w:type="dxa"/>
              <w:bottom w:w="90" w:type="dxa"/>
              <w:end w:w="90" w:type="dxa"/>
            </w:tcMar>
            <w:vAlign w:val="center"/>
          </w:tcPr>
          <w:p>
            <w:pPr>
              <w:jc w:val="center"/>
            </w:pPr>
            <w:r>
              <w:rPr>
                <w:b/>
                <w:color w:val="FFFFFF"/>
                <w:sz w:val="15"/>
              </w:rPr>
              <w:t>Review action</w:t>
            </w:r>
          </w:p>
        </w:tc>
      </w:tr>
      <w:tr>
        <w:tc>
          <w:tcPr>
            <w:tcW w:type="dxa" w:w="2016"/>
            <w:tcMar>
              <w:top w:w="90" w:type="dxa"/>
              <w:start w:w="90" w:type="dxa"/>
              <w:bottom w:w="90" w:type="dxa"/>
              <w:end w:w="90" w:type="dxa"/>
            </w:tcMar>
            <w:vAlign w:val="top"/>
          </w:tcPr>
          <w:p>
            <w:pPr>
              <w:pStyle w:val="BodyText"/>
              <w:spacing w:after="0"/>
            </w:pPr>
            <w:r>
              <w:rPr>
                <w:sz w:val="15"/>
              </w:rPr>
              <w:t>Availability</w:t>
            </w:r>
          </w:p>
        </w:tc>
        <w:tc>
          <w:tcPr>
            <w:tcW w:type="dxa" w:w="4176"/>
            <w:tcMar>
              <w:top w:w="90" w:type="dxa"/>
              <w:start w:w="90" w:type="dxa"/>
              <w:bottom w:w="90" w:type="dxa"/>
              <w:end w:w="90" w:type="dxa"/>
            </w:tcMar>
            <w:vAlign w:val="top"/>
          </w:tcPr>
          <w:p>
            <w:pPr>
              <w:pStyle w:val="BodyText"/>
              <w:spacing w:after="0"/>
            </w:pPr>
            <w:r>
              <w:rPr>
                <w:sz w:val="15"/>
              </w:rPr>
              <w:t>Python execution failures, timeouts, model-load errors.</w:t>
            </w:r>
          </w:p>
        </w:tc>
        <w:tc>
          <w:tcPr>
            <w:tcW w:type="dxa" w:w="3744"/>
            <w:tcMar>
              <w:top w:w="90" w:type="dxa"/>
              <w:start w:w="90" w:type="dxa"/>
              <w:bottom w:w="90" w:type="dxa"/>
              <w:end w:w="90" w:type="dxa"/>
            </w:tcMar>
            <w:vAlign w:val="top"/>
          </w:tcPr>
          <w:p>
            <w:pPr>
              <w:pStyle w:val="BodyText"/>
              <w:spacing w:after="0"/>
            </w:pPr>
            <w:r>
              <w:rPr>
                <w:sz w:val="15"/>
              </w:rPr>
              <w:t>Investigate threshold breach; use safe incomplete/fallback behavior.</w:t>
            </w:r>
          </w:p>
        </w:tc>
      </w:tr>
      <w:tr>
        <w:tc>
          <w:tcPr>
            <w:tcW w:type="dxa" w:w="2016"/>
            <w:tcMar>
              <w:top w:w="90" w:type="dxa"/>
              <w:start w:w="90" w:type="dxa"/>
              <w:bottom w:w="90" w:type="dxa"/>
              <w:end w:w="90" w:type="dxa"/>
            </w:tcMar>
            <w:vAlign w:val="top"/>
            <w:shd w:fill="F8FBFD"/>
          </w:tcPr>
          <w:p>
            <w:pPr>
              <w:pStyle w:val="BodyText"/>
              <w:spacing w:after="0"/>
            </w:pPr>
            <w:r>
              <w:rPr>
                <w:sz w:val="15"/>
              </w:rPr>
              <w:t>Fidelity</w:t>
            </w:r>
          </w:p>
        </w:tc>
        <w:tc>
          <w:tcPr>
            <w:tcW w:type="dxa" w:w="4176"/>
            <w:tcMar>
              <w:top w:w="90" w:type="dxa"/>
              <w:start w:w="90" w:type="dxa"/>
              <w:bottom w:w="90" w:type="dxa"/>
              <w:end w:w="90" w:type="dxa"/>
            </w:tcMar>
            <w:vAlign w:val="top"/>
            <w:shd w:fill="F8FBFD"/>
          </w:tcPr>
          <w:p>
            <w:pPr>
              <w:pStyle w:val="BodyText"/>
              <w:spacing w:after="0"/>
            </w:pPr>
            <w:r>
              <w:rPr>
                <w:sz w:val="15"/>
              </w:rPr>
              <w:t>Missing reasons, wrong evidence values, unmatched status/action.</w:t>
            </w:r>
          </w:p>
        </w:tc>
        <w:tc>
          <w:tcPr>
            <w:tcW w:type="dxa" w:w="3744"/>
            <w:tcMar>
              <w:top w:w="90" w:type="dxa"/>
              <w:start w:w="90" w:type="dxa"/>
              <w:bottom w:w="90" w:type="dxa"/>
              <w:end w:w="90" w:type="dxa"/>
            </w:tcMar>
            <w:vAlign w:val="top"/>
            <w:shd w:fill="F8FBFD"/>
          </w:tcPr>
          <w:p>
            <w:pPr>
              <w:pStyle w:val="BodyText"/>
              <w:spacing w:after="0"/>
            </w:pPr>
            <w:r>
              <w:rPr>
                <w:sz w:val="15"/>
              </w:rPr>
              <w:t>Open quality incident and block affected release if safety critical.</w:t>
            </w:r>
          </w:p>
        </w:tc>
      </w:tr>
      <w:tr>
        <w:tc>
          <w:tcPr>
            <w:tcW w:type="dxa" w:w="2016"/>
            <w:tcMar>
              <w:top w:w="90" w:type="dxa"/>
              <w:start w:w="90" w:type="dxa"/>
              <w:bottom w:w="90" w:type="dxa"/>
              <w:end w:w="90" w:type="dxa"/>
            </w:tcMar>
            <w:vAlign w:val="top"/>
          </w:tcPr>
          <w:p>
            <w:pPr>
              <w:pStyle w:val="BodyText"/>
              <w:spacing w:after="0"/>
            </w:pPr>
            <w:r>
              <w:rPr>
                <w:sz w:val="15"/>
              </w:rPr>
              <w:t>Freshness</w:t>
            </w:r>
          </w:p>
        </w:tc>
        <w:tc>
          <w:tcPr>
            <w:tcW w:type="dxa" w:w="4176"/>
            <w:tcMar>
              <w:top w:w="90" w:type="dxa"/>
              <w:start w:w="90" w:type="dxa"/>
              <w:bottom w:w="90" w:type="dxa"/>
              <w:end w:w="90" w:type="dxa"/>
            </w:tcMar>
            <w:vAlign w:val="top"/>
          </w:tcPr>
          <w:p>
            <w:pPr>
              <w:pStyle w:val="BodyText"/>
              <w:spacing w:after="0"/>
            </w:pPr>
            <w:r>
              <w:rPr>
                <w:sz w:val="15"/>
              </w:rPr>
              <w:t>Explanation older than updated source record.</w:t>
            </w:r>
          </w:p>
        </w:tc>
        <w:tc>
          <w:tcPr>
            <w:tcW w:type="dxa" w:w="3744"/>
            <w:tcMar>
              <w:top w:w="90" w:type="dxa"/>
              <w:start w:w="90" w:type="dxa"/>
              <w:bottom w:w="90" w:type="dxa"/>
              <w:end w:w="90" w:type="dxa"/>
            </w:tcMar>
            <w:vAlign w:val="top"/>
          </w:tcPr>
          <w:p>
            <w:pPr>
              <w:pStyle w:val="BodyText"/>
              <w:spacing w:after="0"/>
            </w:pPr>
            <w:r>
              <w:rPr>
                <w:sz w:val="15"/>
              </w:rPr>
              <w:t>Recalculate and investigate trigger failure.</w:t>
            </w:r>
          </w:p>
        </w:tc>
      </w:tr>
      <w:tr>
        <w:tc>
          <w:tcPr>
            <w:tcW w:type="dxa" w:w="2016"/>
            <w:tcMar>
              <w:top w:w="90" w:type="dxa"/>
              <w:start w:w="90" w:type="dxa"/>
              <w:bottom w:w="90" w:type="dxa"/>
              <w:end w:w="90" w:type="dxa"/>
            </w:tcMar>
            <w:vAlign w:val="top"/>
            <w:shd w:fill="F8FBFD"/>
          </w:tcPr>
          <w:p>
            <w:pPr>
              <w:pStyle w:val="BodyText"/>
              <w:spacing w:after="0"/>
            </w:pPr>
            <w:r>
              <w:rPr>
                <w:sz w:val="15"/>
              </w:rPr>
              <w:t>Version integrity</w:t>
            </w:r>
          </w:p>
        </w:tc>
        <w:tc>
          <w:tcPr>
            <w:tcW w:type="dxa" w:w="4176"/>
            <w:tcMar>
              <w:top w:w="90" w:type="dxa"/>
              <w:start w:w="90" w:type="dxa"/>
              <w:bottom w:w="90" w:type="dxa"/>
              <w:end w:w="90" w:type="dxa"/>
            </w:tcMar>
            <w:vAlign w:val="top"/>
            <w:shd w:fill="F8FBFD"/>
          </w:tcPr>
          <w:p>
            <w:pPr>
              <w:pStyle w:val="BodyText"/>
              <w:spacing w:after="0"/>
            </w:pPr>
            <w:r>
              <w:rPr>
                <w:sz w:val="15"/>
              </w:rPr>
              <w:t>Unknown combination, hash mismatch, stale template.</w:t>
            </w:r>
          </w:p>
        </w:tc>
        <w:tc>
          <w:tcPr>
            <w:tcW w:type="dxa" w:w="3744"/>
            <w:tcMar>
              <w:top w:w="90" w:type="dxa"/>
              <w:start w:w="90" w:type="dxa"/>
              <w:bottom w:w="90" w:type="dxa"/>
              <w:end w:w="90" w:type="dxa"/>
            </w:tcMar>
            <w:vAlign w:val="top"/>
            <w:shd w:fill="F8FBFD"/>
          </w:tcPr>
          <w:p>
            <w:pPr>
              <w:pStyle w:val="BodyText"/>
              <w:spacing w:after="0"/>
            </w:pPr>
            <w:r>
              <w:rPr>
                <w:sz w:val="15"/>
              </w:rPr>
              <w:t>Suspend affected component until approved manifest restored.</w:t>
            </w:r>
          </w:p>
        </w:tc>
      </w:tr>
      <w:tr>
        <w:tc>
          <w:tcPr>
            <w:tcW w:type="dxa" w:w="2016"/>
            <w:tcMar>
              <w:top w:w="90" w:type="dxa"/>
              <w:start w:w="90" w:type="dxa"/>
              <w:bottom w:w="90" w:type="dxa"/>
              <w:end w:w="90" w:type="dxa"/>
            </w:tcMar>
            <w:vAlign w:val="top"/>
          </w:tcPr>
          <w:p>
            <w:pPr>
              <w:pStyle w:val="BodyText"/>
              <w:spacing w:after="0"/>
            </w:pPr>
            <w:r>
              <w:rPr>
                <w:sz w:val="15"/>
              </w:rPr>
              <w:t>User understanding</w:t>
            </w:r>
          </w:p>
        </w:tc>
        <w:tc>
          <w:tcPr>
            <w:tcW w:type="dxa" w:w="4176"/>
            <w:tcMar>
              <w:top w:w="90" w:type="dxa"/>
              <w:start w:w="90" w:type="dxa"/>
              <w:bottom w:w="90" w:type="dxa"/>
              <w:end w:w="90" w:type="dxa"/>
            </w:tcMar>
            <w:vAlign w:val="top"/>
          </w:tcPr>
          <w:p>
            <w:pPr>
              <w:pStyle w:val="BodyText"/>
              <w:spacing w:after="0"/>
            </w:pPr>
            <w:r>
              <w:rPr>
                <w:sz w:val="15"/>
              </w:rPr>
              <w:t>Repeated questions, misinterpretation, ignored limitations.</w:t>
            </w:r>
          </w:p>
        </w:tc>
        <w:tc>
          <w:tcPr>
            <w:tcW w:type="dxa" w:w="3744"/>
            <w:tcMar>
              <w:top w:w="90" w:type="dxa"/>
              <w:start w:w="90" w:type="dxa"/>
              <w:bottom w:w="90" w:type="dxa"/>
              <w:end w:w="90" w:type="dxa"/>
            </w:tcMar>
            <w:vAlign w:val="top"/>
          </w:tcPr>
          <w:p>
            <w:pPr>
              <w:pStyle w:val="BodyText"/>
              <w:spacing w:after="0"/>
            </w:pPr>
            <w:r>
              <w:rPr>
                <w:sz w:val="15"/>
              </w:rPr>
              <w:t>Revise wording, training, or interface after review.</w:t>
            </w:r>
          </w:p>
        </w:tc>
      </w:tr>
      <w:tr>
        <w:tc>
          <w:tcPr>
            <w:tcW w:type="dxa" w:w="2016"/>
            <w:tcMar>
              <w:top w:w="90" w:type="dxa"/>
              <w:start w:w="90" w:type="dxa"/>
              <w:bottom w:w="90" w:type="dxa"/>
              <w:end w:w="90" w:type="dxa"/>
            </w:tcMar>
            <w:vAlign w:val="top"/>
            <w:shd w:fill="F8FBFD"/>
          </w:tcPr>
          <w:p>
            <w:pPr>
              <w:pStyle w:val="BodyText"/>
              <w:spacing w:after="0"/>
            </w:pPr>
            <w:r>
              <w:rPr>
                <w:sz w:val="15"/>
              </w:rPr>
              <w:t>Workflow outcomes</w:t>
            </w:r>
          </w:p>
        </w:tc>
        <w:tc>
          <w:tcPr>
            <w:tcW w:type="dxa" w:w="4176"/>
            <w:tcMar>
              <w:top w:w="90" w:type="dxa"/>
              <w:start w:w="90" w:type="dxa"/>
              <w:bottom w:w="90" w:type="dxa"/>
              <w:end w:w="90" w:type="dxa"/>
            </w:tcMar>
            <w:vAlign w:val="top"/>
            <w:shd w:fill="F8FBFD"/>
          </w:tcPr>
          <w:p>
            <w:pPr>
              <w:pStyle w:val="BodyText"/>
              <w:spacing w:after="0"/>
            </w:pPr>
            <w:r>
              <w:rPr>
                <w:sz w:val="15"/>
              </w:rPr>
              <w:t>Referral not initiated after HIGH, incomplete records not completed.</w:t>
            </w:r>
          </w:p>
        </w:tc>
        <w:tc>
          <w:tcPr>
            <w:tcW w:type="dxa" w:w="3744"/>
            <w:tcMar>
              <w:top w:w="90" w:type="dxa"/>
              <w:start w:w="90" w:type="dxa"/>
              <w:bottom w:w="90" w:type="dxa"/>
              <w:end w:w="90" w:type="dxa"/>
            </w:tcMar>
            <w:vAlign w:val="top"/>
            <w:shd w:fill="F8FBFD"/>
          </w:tcPr>
          <w:p>
            <w:pPr>
              <w:pStyle w:val="BodyText"/>
              <w:spacing w:after="0"/>
            </w:pPr>
            <w:r>
              <w:rPr>
                <w:sz w:val="15"/>
              </w:rPr>
              <w:t>Review operational process; do not infer clinical effectiveness without study.</w:t>
            </w:r>
          </w:p>
        </w:tc>
      </w:tr>
      <w:tr>
        <w:tc>
          <w:tcPr>
            <w:tcW w:type="dxa" w:w="2016"/>
            <w:tcMar>
              <w:top w:w="90" w:type="dxa"/>
              <w:start w:w="90" w:type="dxa"/>
              <w:bottom w:w="90" w:type="dxa"/>
              <w:end w:w="90" w:type="dxa"/>
            </w:tcMar>
            <w:vAlign w:val="top"/>
          </w:tcPr>
          <w:p>
            <w:pPr>
              <w:pStyle w:val="BodyText"/>
              <w:spacing w:after="0"/>
            </w:pPr>
            <w:r>
              <w:rPr>
                <w:sz w:val="15"/>
              </w:rPr>
              <w:t>Equity</w:t>
            </w:r>
          </w:p>
        </w:tc>
        <w:tc>
          <w:tcPr>
            <w:tcW w:type="dxa" w:w="4176"/>
            <w:tcMar>
              <w:top w:w="90" w:type="dxa"/>
              <w:start w:w="90" w:type="dxa"/>
              <w:bottom w:w="90" w:type="dxa"/>
              <w:end w:w="90" w:type="dxa"/>
            </w:tcMar>
            <w:vAlign w:val="top"/>
          </w:tcPr>
          <w:p>
            <w:pPr>
              <w:pStyle w:val="BodyText"/>
              <w:spacing w:after="0"/>
            </w:pPr>
            <w:r>
              <w:rPr>
                <w:sz w:val="15"/>
              </w:rPr>
              <w:t>Disproportionate incomplete/error rates by relevant groups or data availability.</w:t>
            </w:r>
          </w:p>
        </w:tc>
        <w:tc>
          <w:tcPr>
            <w:tcW w:type="dxa" w:w="3744"/>
            <w:tcMar>
              <w:top w:w="90" w:type="dxa"/>
              <w:start w:w="90" w:type="dxa"/>
              <w:bottom w:w="90" w:type="dxa"/>
              <w:end w:w="90" w:type="dxa"/>
            </w:tcMar>
            <w:vAlign w:val="top"/>
          </w:tcPr>
          <w:p>
            <w:pPr>
              <w:pStyle w:val="BodyText"/>
              <w:spacing w:after="0"/>
            </w:pPr>
            <w:r>
              <w:rPr>
                <w:sz w:val="15"/>
              </w:rPr>
              <w:t>Investigate data and workflow causes; document limitations.</w:t>
            </w:r>
          </w:p>
        </w:tc>
      </w:tr>
      <w:tr>
        <w:tc>
          <w:tcPr>
            <w:tcW w:type="dxa" w:w="2016"/>
            <w:tcMar>
              <w:top w:w="90" w:type="dxa"/>
              <w:start w:w="90" w:type="dxa"/>
              <w:bottom w:w="90" w:type="dxa"/>
              <w:end w:w="90" w:type="dxa"/>
            </w:tcMar>
            <w:vAlign w:val="top"/>
            <w:shd w:fill="F8FBFD"/>
          </w:tcPr>
          <w:p>
            <w:pPr>
              <w:pStyle w:val="BodyText"/>
              <w:spacing w:after="0"/>
            </w:pPr>
            <w:r>
              <w:rPr>
                <w:sz w:val="15"/>
              </w:rPr>
              <w:t>Privacy/security</w:t>
            </w:r>
          </w:p>
        </w:tc>
        <w:tc>
          <w:tcPr>
            <w:tcW w:type="dxa" w:w="4176"/>
            <w:tcMar>
              <w:top w:w="90" w:type="dxa"/>
              <w:start w:w="90" w:type="dxa"/>
              <w:bottom w:w="90" w:type="dxa"/>
              <w:end w:w="90" w:type="dxa"/>
            </w:tcMar>
            <w:vAlign w:val="top"/>
            <w:shd w:fill="F8FBFD"/>
          </w:tcPr>
          <w:p>
            <w:pPr>
              <w:pStyle w:val="BodyText"/>
              <w:spacing w:after="0"/>
            </w:pPr>
            <w:r>
              <w:rPr>
                <w:sz w:val="15"/>
              </w:rPr>
              <w:t>Unauthorized access, export anomalies, audit tampering, suspected breach.</w:t>
            </w:r>
          </w:p>
        </w:tc>
        <w:tc>
          <w:tcPr>
            <w:tcW w:type="dxa" w:w="3744"/>
            <w:tcMar>
              <w:top w:w="90" w:type="dxa"/>
              <w:start w:w="90" w:type="dxa"/>
              <w:bottom w:w="90" w:type="dxa"/>
              <w:end w:w="90" w:type="dxa"/>
            </w:tcMar>
            <w:vAlign w:val="top"/>
            <w:shd w:fill="F8FBFD"/>
          </w:tcPr>
          <w:p>
            <w:pPr>
              <w:pStyle w:val="BodyText"/>
              <w:spacing w:after="0"/>
            </w:pPr>
            <w:r>
              <w:rPr>
                <w:sz w:val="15"/>
              </w:rPr>
              <w:t>Activate incident and breach-response process.</w:t>
            </w:r>
          </w:p>
        </w:tc>
      </w:tr>
      <w:tr>
        <w:tc>
          <w:tcPr>
            <w:tcW w:type="dxa" w:w="2016"/>
            <w:tcMar>
              <w:top w:w="90" w:type="dxa"/>
              <w:start w:w="90" w:type="dxa"/>
              <w:bottom w:w="90" w:type="dxa"/>
              <w:end w:w="90" w:type="dxa"/>
            </w:tcMar>
            <w:vAlign w:val="top"/>
          </w:tcPr>
          <w:p>
            <w:pPr>
              <w:pStyle w:val="BodyText"/>
              <w:spacing w:after="0"/>
            </w:pPr>
            <w:r>
              <w:rPr>
                <w:sz w:val="15"/>
              </w:rPr>
              <w:t>Sustainability</w:t>
            </w:r>
          </w:p>
        </w:tc>
        <w:tc>
          <w:tcPr>
            <w:tcW w:type="dxa" w:w="4176"/>
            <w:tcMar>
              <w:top w:w="90" w:type="dxa"/>
              <w:start w:w="90" w:type="dxa"/>
              <w:bottom w:w="90" w:type="dxa"/>
              <w:end w:w="90" w:type="dxa"/>
            </w:tcMar>
            <w:vAlign w:val="top"/>
          </w:tcPr>
          <w:p>
            <w:pPr>
              <w:pStyle w:val="BodyText"/>
              <w:spacing w:after="0"/>
            </w:pPr>
            <w:r>
              <w:rPr>
                <w:sz w:val="15"/>
              </w:rPr>
              <w:t>Unsupported dependencies, unavailable model owner, obsolete documentation.</w:t>
            </w:r>
          </w:p>
        </w:tc>
        <w:tc>
          <w:tcPr>
            <w:tcW w:type="dxa" w:w="3744"/>
            <w:tcMar>
              <w:top w:w="90" w:type="dxa"/>
              <w:start w:w="90" w:type="dxa"/>
              <w:bottom w:w="90" w:type="dxa"/>
              <w:end w:w="90" w:type="dxa"/>
            </w:tcMar>
            <w:vAlign w:val="top"/>
          </w:tcPr>
          <w:p>
            <w:pPr>
              <w:pStyle w:val="BodyText"/>
              <w:spacing w:after="0"/>
            </w:pPr>
            <w:r>
              <w:rPr>
                <w:sz w:val="15"/>
              </w:rPr>
              <w:t>Plan maintenance, replacement, or retirement.</w:t>
            </w:r>
          </w:p>
        </w:tc>
      </w:tr>
    </w:tbl>
    <w:p>
      <w:pPr>
        <w:spacing w:after="0"/>
      </w:pPr>
    </w:p>
    <w:p>
      <w:pPr>
        <w:pStyle w:val="Heading2"/>
        <w:keepNext/>
      </w:pPr>
      <w:r>
        <w:t>9.2 Review frequency</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3888"/>
            <w:shd w:fill="1F4E79"/>
            <w:tcMar>
              <w:top w:w="90" w:type="dxa"/>
              <w:start w:w="90" w:type="dxa"/>
              <w:bottom w:w="90" w:type="dxa"/>
              <w:end w:w="90" w:type="dxa"/>
            </w:tcMar>
            <w:vAlign w:val="center"/>
          </w:tcPr>
          <w:p>
            <w:pPr>
              <w:jc w:val="center"/>
            </w:pPr>
            <w:r>
              <w:rPr>
                <w:b/>
                <w:color w:val="FFFFFF"/>
                <w:sz w:val="16"/>
              </w:rPr>
              <w:t>Review</w:t>
            </w:r>
          </w:p>
        </w:tc>
        <w:tc>
          <w:tcPr>
            <w:tcW w:type="dxa" w:w="5472"/>
            <w:shd w:fill="1F4E79"/>
            <w:tcMar>
              <w:top w:w="90" w:type="dxa"/>
              <w:start w:w="90" w:type="dxa"/>
              <w:bottom w:w="90" w:type="dxa"/>
              <w:end w:w="90" w:type="dxa"/>
            </w:tcMar>
            <w:vAlign w:val="center"/>
          </w:tcPr>
          <w:p>
            <w:pPr>
              <w:jc w:val="center"/>
            </w:pPr>
            <w:r>
              <w:rPr>
                <w:b/>
                <w:color w:val="FFFFFF"/>
                <w:sz w:val="16"/>
              </w:rPr>
              <w:t>Suggested frequency for pilot</w:t>
            </w:r>
          </w:p>
        </w:tc>
      </w:tr>
      <w:tr>
        <w:tc>
          <w:tcPr>
            <w:tcW w:type="dxa" w:w="3888"/>
            <w:tcMar>
              <w:top w:w="90" w:type="dxa"/>
              <w:start w:w="90" w:type="dxa"/>
              <w:bottom w:w="90" w:type="dxa"/>
              <w:end w:w="90" w:type="dxa"/>
            </w:tcMar>
            <w:vAlign w:val="top"/>
          </w:tcPr>
          <w:p>
            <w:pPr>
              <w:pStyle w:val="BodyText"/>
              <w:spacing w:after="0"/>
            </w:pPr>
            <w:r>
              <w:rPr>
                <w:sz w:val="16"/>
              </w:rPr>
              <w:t>Operational error and safety signal review</w:t>
            </w:r>
          </w:p>
        </w:tc>
        <w:tc>
          <w:tcPr>
            <w:tcW w:type="dxa" w:w="5472"/>
            <w:tcMar>
              <w:top w:w="90" w:type="dxa"/>
              <w:start w:w="90" w:type="dxa"/>
              <w:bottom w:w="90" w:type="dxa"/>
              <w:end w:w="90" w:type="dxa"/>
            </w:tcMar>
            <w:vAlign w:val="top"/>
          </w:tcPr>
          <w:p>
            <w:pPr>
              <w:pStyle w:val="BodyText"/>
              <w:spacing w:after="0"/>
            </w:pPr>
            <w:r>
              <w:rPr>
                <w:sz w:val="16"/>
              </w:rPr>
              <w:t>Weekly during supervised pilot; immediately for critical incidents.</w:t>
            </w:r>
          </w:p>
        </w:tc>
      </w:tr>
      <w:tr>
        <w:tc>
          <w:tcPr>
            <w:tcW w:type="dxa" w:w="3888"/>
            <w:tcMar>
              <w:top w:w="90" w:type="dxa"/>
              <w:start w:w="90" w:type="dxa"/>
              <w:bottom w:w="90" w:type="dxa"/>
              <w:end w:w="90" w:type="dxa"/>
            </w:tcMar>
            <w:vAlign w:val="top"/>
            <w:shd w:fill="F8FBFD"/>
          </w:tcPr>
          <w:p>
            <w:pPr>
              <w:pStyle w:val="BodyText"/>
              <w:spacing w:after="0"/>
            </w:pPr>
            <w:r>
              <w:rPr>
                <w:sz w:val="16"/>
              </w:rPr>
              <w:t>Version and configuration reconciliation</w:t>
            </w:r>
          </w:p>
        </w:tc>
        <w:tc>
          <w:tcPr>
            <w:tcW w:type="dxa" w:w="5472"/>
            <w:tcMar>
              <w:top w:w="90" w:type="dxa"/>
              <w:start w:w="90" w:type="dxa"/>
              <w:bottom w:w="90" w:type="dxa"/>
              <w:end w:w="90" w:type="dxa"/>
            </w:tcMar>
            <w:vAlign w:val="top"/>
            <w:shd w:fill="F8FBFD"/>
          </w:tcPr>
          <w:p>
            <w:pPr>
              <w:pStyle w:val="BodyText"/>
              <w:spacing w:after="0"/>
            </w:pPr>
            <w:r>
              <w:rPr>
                <w:sz w:val="16"/>
              </w:rPr>
              <w:t>Every release and monthly during pilot.</w:t>
            </w:r>
          </w:p>
        </w:tc>
      </w:tr>
      <w:tr>
        <w:tc>
          <w:tcPr>
            <w:tcW w:type="dxa" w:w="3888"/>
            <w:tcMar>
              <w:top w:w="90" w:type="dxa"/>
              <w:start w:w="90" w:type="dxa"/>
              <w:bottom w:w="90" w:type="dxa"/>
              <w:end w:w="90" w:type="dxa"/>
            </w:tcMar>
            <w:vAlign w:val="top"/>
          </w:tcPr>
          <w:p>
            <w:pPr>
              <w:pStyle w:val="BodyText"/>
              <w:spacing w:after="0"/>
            </w:pPr>
            <w:r>
              <w:rPr>
                <w:sz w:val="16"/>
              </w:rPr>
              <w:t>Explanation quality sample audit</w:t>
            </w:r>
          </w:p>
        </w:tc>
        <w:tc>
          <w:tcPr>
            <w:tcW w:type="dxa" w:w="5472"/>
            <w:tcMar>
              <w:top w:w="90" w:type="dxa"/>
              <w:start w:w="90" w:type="dxa"/>
              <w:bottom w:w="90" w:type="dxa"/>
              <w:end w:w="90" w:type="dxa"/>
            </w:tcMar>
            <w:vAlign w:val="top"/>
          </w:tcPr>
          <w:p>
            <w:pPr>
              <w:pStyle w:val="BodyText"/>
              <w:spacing w:after="0"/>
            </w:pPr>
            <w:r>
              <w:rPr>
                <w:sz w:val="16"/>
              </w:rPr>
              <w:t>Monthly or after material change.</w:t>
            </w:r>
          </w:p>
        </w:tc>
      </w:tr>
      <w:tr>
        <w:tc>
          <w:tcPr>
            <w:tcW w:type="dxa" w:w="3888"/>
            <w:tcMar>
              <w:top w:w="90" w:type="dxa"/>
              <w:start w:w="90" w:type="dxa"/>
              <w:bottom w:w="90" w:type="dxa"/>
              <w:end w:w="90" w:type="dxa"/>
            </w:tcMar>
            <w:vAlign w:val="top"/>
            <w:shd w:fill="F8FBFD"/>
          </w:tcPr>
          <w:p>
            <w:pPr>
              <w:pStyle w:val="BodyText"/>
              <w:spacing w:after="0"/>
            </w:pPr>
            <w:r>
              <w:rPr>
                <w:sz w:val="16"/>
              </w:rPr>
              <w:t>Access and privacy log review</w:t>
            </w:r>
          </w:p>
        </w:tc>
        <w:tc>
          <w:tcPr>
            <w:tcW w:type="dxa" w:w="5472"/>
            <w:tcMar>
              <w:top w:w="90" w:type="dxa"/>
              <w:start w:w="90" w:type="dxa"/>
              <w:bottom w:w="90" w:type="dxa"/>
              <w:end w:w="90" w:type="dxa"/>
            </w:tcMar>
            <w:vAlign w:val="top"/>
            <w:shd w:fill="F8FBFD"/>
          </w:tcPr>
          <w:p>
            <w:pPr>
              <w:pStyle w:val="BodyText"/>
              <w:spacing w:after="0"/>
            </w:pPr>
            <w:r>
              <w:rPr>
                <w:sz w:val="16"/>
              </w:rPr>
              <w:t>According to clinic security policy; promptly after anomaly.</w:t>
            </w:r>
          </w:p>
        </w:tc>
      </w:tr>
      <w:tr>
        <w:tc>
          <w:tcPr>
            <w:tcW w:type="dxa" w:w="3888"/>
            <w:tcMar>
              <w:top w:w="90" w:type="dxa"/>
              <w:start w:w="90" w:type="dxa"/>
              <w:bottom w:w="90" w:type="dxa"/>
              <w:end w:w="90" w:type="dxa"/>
            </w:tcMar>
            <w:vAlign w:val="top"/>
          </w:tcPr>
          <w:p>
            <w:pPr>
              <w:pStyle w:val="BodyText"/>
              <w:spacing w:after="0"/>
            </w:pPr>
            <w:r>
              <w:rPr>
                <w:sz w:val="16"/>
              </w:rPr>
              <w:t>Clinical rule and wording review</w:t>
            </w:r>
          </w:p>
        </w:tc>
        <w:tc>
          <w:tcPr>
            <w:tcW w:type="dxa" w:w="5472"/>
            <w:tcMar>
              <w:top w:w="90" w:type="dxa"/>
              <w:start w:w="90" w:type="dxa"/>
              <w:bottom w:w="90" w:type="dxa"/>
              <w:end w:w="90" w:type="dxa"/>
            </w:tcMar>
            <w:vAlign w:val="top"/>
          </w:tcPr>
          <w:p>
            <w:pPr>
              <w:pStyle w:val="BodyText"/>
              <w:spacing w:after="0"/>
            </w:pPr>
            <w:r>
              <w:rPr>
                <w:sz w:val="16"/>
              </w:rPr>
              <w:t>At least annually and whenever authoritative guidance or clinic scope changes.</w:t>
            </w:r>
          </w:p>
        </w:tc>
      </w:tr>
      <w:tr>
        <w:tc>
          <w:tcPr>
            <w:tcW w:type="dxa" w:w="3888"/>
            <w:tcMar>
              <w:top w:w="90" w:type="dxa"/>
              <w:start w:w="90" w:type="dxa"/>
              <w:bottom w:w="90" w:type="dxa"/>
              <w:end w:w="90" w:type="dxa"/>
            </w:tcMar>
            <w:vAlign w:val="top"/>
            <w:shd w:fill="F8FBFD"/>
          </w:tcPr>
          <w:p>
            <w:pPr>
              <w:pStyle w:val="BodyText"/>
              <w:spacing w:after="0"/>
            </w:pPr>
            <w:r>
              <w:rPr>
                <w:sz w:val="16"/>
              </w:rPr>
              <w:t>Model applicability and performance review</w:t>
            </w:r>
          </w:p>
        </w:tc>
        <w:tc>
          <w:tcPr>
            <w:tcW w:type="dxa" w:w="5472"/>
            <w:tcMar>
              <w:top w:w="90" w:type="dxa"/>
              <w:start w:w="90" w:type="dxa"/>
              <w:bottom w:w="90" w:type="dxa"/>
              <w:end w:w="90" w:type="dxa"/>
            </w:tcMar>
            <w:vAlign w:val="top"/>
            <w:shd w:fill="F8FBFD"/>
          </w:tcPr>
          <w:p>
            <w:pPr>
              <w:pStyle w:val="BodyText"/>
              <w:spacing w:after="0"/>
            </w:pPr>
            <w:r>
              <w:rPr>
                <w:sz w:val="16"/>
              </w:rPr>
              <w:t>At defined pilot milestones and after material population/data changes.</w:t>
            </w:r>
          </w:p>
        </w:tc>
      </w:tr>
      <w:tr>
        <w:tc>
          <w:tcPr>
            <w:tcW w:type="dxa" w:w="3888"/>
            <w:tcMar>
              <w:top w:w="90" w:type="dxa"/>
              <w:start w:w="90" w:type="dxa"/>
              <w:bottom w:w="90" w:type="dxa"/>
              <w:end w:w="90" w:type="dxa"/>
            </w:tcMar>
            <w:vAlign w:val="top"/>
          </w:tcPr>
          <w:p>
            <w:pPr>
              <w:pStyle w:val="BodyText"/>
              <w:spacing w:after="0"/>
            </w:pPr>
            <w:r>
              <w:rPr>
                <w:sz w:val="16"/>
              </w:rPr>
              <w:t>Full lifecycle review</w:t>
            </w:r>
          </w:p>
        </w:tc>
        <w:tc>
          <w:tcPr>
            <w:tcW w:type="dxa" w:w="5472"/>
            <w:tcMar>
              <w:top w:w="90" w:type="dxa"/>
              <w:start w:w="90" w:type="dxa"/>
              <w:bottom w:w="90" w:type="dxa"/>
              <w:end w:w="90" w:type="dxa"/>
            </w:tcMar>
            <w:vAlign w:val="top"/>
          </w:tcPr>
          <w:p>
            <w:pPr>
              <w:pStyle w:val="BodyText"/>
              <w:spacing w:after="0"/>
            </w:pPr>
            <w:r>
              <w:rPr>
                <w:sz w:val="16"/>
              </w:rPr>
              <w:t>At least annually, before major expansion, and before thesis claims are updated.</w:t>
            </w:r>
          </w:p>
        </w:tc>
      </w:tr>
    </w:tbl>
    <w:p>
      <w:pPr>
        <w:spacing w:after="0"/>
      </w:pPr>
    </w:p>
    <w:p>
      <w:pPr>
        <w:pStyle w:val="Heading2"/>
        <w:keepNext/>
      </w:pPr>
      <w:r>
        <w:t>9.3 Explanation drift</w:t>
      </w:r>
    </w:p>
    <w:p>
      <w:pPr>
        <w:pStyle w:val="BodyText"/>
      </w:pPr>
      <w:r>
        <w:t>Explanation drift occurs when wording, evidence mapping, model behavior, user interpretation, or workflow context changes so that explanations no longer communicate the decision appropriately, even if software still runs. Drift detection therefore includes code tests, version checks, sampled human review, and operational feedback. It is broader than statistical model drift.</w:t>
      </w:r>
    </w:p>
    <w:p>
      <w:pPr>
        <w:pStyle w:val="Heading1"/>
        <w:keepNext/>
      </w:pPr>
      <w:r>
        <w:t>10. Incident Management and Corrective Action</w:t>
      </w:r>
    </w:p>
    <w:p>
      <w:pPr>
        <w:pStyle w:val="Heading2"/>
        <w:keepNext/>
      </w:pPr>
      <w:r>
        <w:t>10.1 Incident severity</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1440"/>
            <w:shd w:fill="1F4E79"/>
            <w:tcMar>
              <w:top w:w="90" w:type="dxa"/>
              <w:start w:w="90" w:type="dxa"/>
              <w:bottom w:w="90" w:type="dxa"/>
              <w:end w:w="90" w:type="dxa"/>
            </w:tcMar>
            <w:vAlign w:val="center"/>
          </w:tcPr>
          <w:p>
            <w:pPr>
              <w:jc w:val="center"/>
            </w:pPr>
            <w:r>
              <w:rPr>
                <w:b/>
                <w:color w:val="FFFFFF"/>
                <w:sz w:val="14"/>
              </w:rPr>
              <w:t>Severity</w:t>
            </w:r>
          </w:p>
        </w:tc>
        <w:tc>
          <w:tcPr>
            <w:tcW w:type="dxa" w:w="3096"/>
            <w:shd w:fill="1F4E79"/>
            <w:tcMar>
              <w:top w:w="90" w:type="dxa"/>
              <w:start w:w="90" w:type="dxa"/>
              <w:bottom w:w="90" w:type="dxa"/>
              <w:end w:w="90" w:type="dxa"/>
            </w:tcMar>
            <w:vAlign w:val="center"/>
          </w:tcPr>
          <w:p>
            <w:pPr>
              <w:jc w:val="center"/>
            </w:pPr>
            <w:r>
              <w:rPr>
                <w:b/>
                <w:color w:val="FFFFFF"/>
                <w:sz w:val="14"/>
              </w:rPr>
              <w:t>Definition</w:t>
            </w:r>
          </w:p>
        </w:tc>
        <w:tc>
          <w:tcPr>
            <w:tcW w:type="dxa" w:w="3024"/>
            <w:shd w:fill="1F4E79"/>
            <w:tcMar>
              <w:top w:w="90" w:type="dxa"/>
              <w:start w:w="90" w:type="dxa"/>
              <w:bottom w:w="90" w:type="dxa"/>
              <w:end w:w="90" w:type="dxa"/>
            </w:tcMar>
            <w:vAlign w:val="center"/>
          </w:tcPr>
          <w:p>
            <w:pPr>
              <w:jc w:val="center"/>
            </w:pPr>
            <w:r>
              <w:rPr>
                <w:b/>
                <w:color w:val="FFFFFF"/>
                <w:sz w:val="14"/>
              </w:rPr>
              <w:t>Examples</w:t>
            </w:r>
          </w:p>
        </w:tc>
        <w:tc>
          <w:tcPr>
            <w:tcW w:type="dxa" w:w="3096"/>
            <w:shd w:fill="1F4E79"/>
            <w:tcMar>
              <w:top w:w="90" w:type="dxa"/>
              <w:start w:w="90" w:type="dxa"/>
              <w:bottom w:w="90" w:type="dxa"/>
              <w:end w:w="90" w:type="dxa"/>
            </w:tcMar>
            <w:vAlign w:val="center"/>
          </w:tcPr>
          <w:p>
            <w:pPr>
              <w:jc w:val="center"/>
            </w:pPr>
            <w:r>
              <w:rPr>
                <w:b/>
                <w:color w:val="FFFFFF"/>
                <w:sz w:val="14"/>
              </w:rPr>
              <w:t>Required response</w:t>
            </w:r>
          </w:p>
        </w:tc>
      </w:tr>
      <w:tr>
        <w:tc>
          <w:tcPr>
            <w:tcW w:type="dxa" w:w="1440"/>
            <w:tcMar>
              <w:top w:w="90" w:type="dxa"/>
              <w:start w:w="90" w:type="dxa"/>
              <w:bottom w:w="90" w:type="dxa"/>
              <w:end w:w="90" w:type="dxa"/>
            </w:tcMar>
            <w:vAlign w:val="top"/>
          </w:tcPr>
          <w:p>
            <w:pPr>
              <w:pStyle w:val="BodyText"/>
              <w:spacing w:after="0"/>
            </w:pPr>
            <w:r>
              <w:rPr>
                <w:sz w:val="14"/>
              </w:rPr>
              <w:t>Critical</w:t>
            </w:r>
          </w:p>
        </w:tc>
        <w:tc>
          <w:tcPr>
            <w:tcW w:type="dxa" w:w="3096"/>
            <w:tcMar>
              <w:top w:w="90" w:type="dxa"/>
              <w:start w:w="90" w:type="dxa"/>
              <w:bottom w:w="90" w:type="dxa"/>
              <w:end w:w="90" w:type="dxa"/>
            </w:tcMar>
            <w:vAlign w:val="top"/>
          </w:tcPr>
          <w:p>
            <w:pPr>
              <w:pStyle w:val="BodyText"/>
              <w:spacing w:after="0"/>
            </w:pPr>
            <w:r>
              <w:rPr>
                <w:sz w:val="14"/>
              </w:rPr>
              <w:t>Actual or credible risk of serious patient harm, major privacy breach, or widespread incorrect decision.</w:t>
            </w:r>
          </w:p>
        </w:tc>
        <w:tc>
          <w:tcPr>
            <w:tcW w:type="dxa" w:w="3024"/>
            <w:tcMar>
              <w:top w:w="90" w:type="dxa"/>
              <w:start w:w="90" w:type="dxa"/>
              <w:bottom w:w="90" w:type="dxa"/>
              <w:end w:w="90" w:type="dxa"/>
            </w:tcMar>
            <w:vAlign w:val="top"/>
          </w:tcPr>
          <w:p>
            <w:pPr>
              <w:pStyle w:val="BodyText"/>
              <w:spacing w:after="0"/>
            </w:pPr>
            <w:r>
              <w:rPr>
                <w:sz w:val="14"/>
              </w:rPr>
              <w:t>LOW despite urgent BP; wrong patient data in referral; unauthorized disclosure.</w:t>
            </w:r>
          </w:p>
        </w:tc>
        <w:tc>
          <w:tcPr>
            <w:tcW w:type="dxa" w:w="3096"/>
            <w:tcMar>
              <w:top w:w="90" w:type="dxa"/>
              <w:start w:w="90" w:type="dxa"/>
              <w:bottom w:w="90" w:type="dxa"/>
              <w:end w:w="90" w:type="dxa"/>
            </w:tcMar>
            <w:vAlign w:val="top"/>
          </w:tcPr>
          <w:p>
            <w:pPr>
              <w:pStyle w:val="BodyText"/>
              <w:spacing w:after="0"/>
            </w:pPr>
            <w:r>
              <w:rPr>
                <w:sz w:val="14"/>
              </w:rPr>
              <w:t>Immediately stop affected function, notify accountable owners, preserve evidence, initiate corrective action.</w:t>
            </w:r>
          </w:p>
        </w:tc>
      </w:tr>
      <w:tr>
        <w:tc>
          <w:tcPr>
            <w:tcW w:type="dxa" w:w="1440"/>
            <w:tcMar>
              <w:top w:w="90" w:type="dxa"/>
              <w:start w:w="90" w:type="dxa"/>
              <w:bottom w:w="90" w:type="dxa"/>
              <w:end w:w="90" w:type="dxa"/>
            </w:tcMar>
            <w:vAlign w:val="top"/>
            <w:shd w:fill="F8FBFD"/>
          </w:tcPr>
          <w:p>
            <w:pPr>
              <w:pStyle w:val="BodyText"/>
              <w:spacing w:after="0"/>
            </w:pPr>
            <w:r>
              <w:rPr>
                <w:sz w:val="14"/>
              </w:rPr>
              <w:t>High</w:t>
            </w:r>
          </w:p>
        </w:tc>
        <w:tc>
          <w:tcPr>
            <w:tcW w:type="dxa" w:w="3096"/>
            <w:tcMar>
              <w:top w:w="90" w:type="dxa"/>
              <w:start w:w="90" w:type="dxa"/>
              <w:bottom w:w="90" w:type="dxa"/>
              <w:end w:w="90" w:type="dxa"/>
            </w:tcMar>
            <w:vAlign w:val="top"/>
            <w:shd w:fill="F8FBFD"/>
          </w:tcPr>
          <w:p>
            <w:pPr>
              <w:pStyle w:val="BodyText"/>
              <w:spacing w:after="0"/>
            </w:pPr>
            <w:r>
              <w:rPr>
                <w:sz w:val="14"/>
              </w:rPr>
              <w:t>Material explanation or workflow defect that could mislead care but is contained or detected before harm.</w:t>
            </w:r>
          </w:p>
        </w:tc>
        <w:tc>
          <w:tcPr>
            <w:tcW w:type="dxa" w:w="3024"/>
            <w:tcMar>
              <w:top w:w="90" w:type="dxa"/>
              <w:start w:w="90" w:type="dxa"/>
              <w:bottom w:w="90" w:type="dxa"/>
              <w:end w:w="90" w:type="dxa"/>
            </w:tcMar>
            <w:vAlign w:val="top"/>
            <w:shd w:fill="F8FBFD"/>
          </w:tcPr>
          <w:p>
            <w:pPr>
              <w:pStyle w:val="BodyText"/>
              <w:spacing w:after="0"/>
            </w:pPr>
            <w:r>
              <w:rPr>
                <w:sz w:val="14"/>
              </w:rPr>
              <w:t>Missing HIGH reason; stale explanation after update; model hash mismatch.</w:t>
            </w:r>
          </w:p>
        </w:tc>
        <w:tc>
          <w:tcPr>
            <w:tcW w:type="dxa" w:w="3096"/>
            <w:tcMar>
              <w:top w:w="90" w:type="dxa"/>
              <w:start w:w="90" w:type="dxa"/>
              <w:bottom w:w="90" w:type="dxa"/>
              <w:end w:w="90" w:type="dxa"/>
            </w:tcMar>
            <w:vAlign w:val="top"/>
            <w:shd w:fill="F8FBFD"/>
          </w:tcPr>
          <w:p>
            <w:pPr>
              <w:pStyle w:val="BodyText"/>
              <w:spacing w:after="0"/>
            </w:pPr>
            <w:r>
              <w:rPr>
                <w:sz w:val="14"/>
              </w:rPr>
              <w:t>Suspend affected release/channel, investigate promptly, correct and retest.</w:t>
            </w:r>
          </w:p>
        </w:tc>
      </w:tr>
      <w:tr>
        <w:tc>
          <w:tcPr>
            <w:tcW w:type="dxa" w:w="1440"/>
            <w:tcMar>
              <w:top w:w="90" w:type="dxa"/>
              <w:start w:w="90" w:type="dxa"/>
              <w:bottom w:w="90" w:type="dxa"/>
              <w:end w:w="90" w:type="dxa"/>
            </w:tcMar>
            <w:vAlign w:val="top"/>
          </w:tcPr>
          <w:p>
            <w:pPr>
              <w:pStyle w:val="BodyText"/>
              <w:spacing w:after="0"/>
            </w:pPr>
            <w:r>
              <w:rPr>
                <w:sz w:val="14"/>
              </w:rPr>
              <w:t>Medium</w:t>
            </w:r>
          </w:p>
        </w:tc>
        <w:tc>
          <w:tcPr>
            <w:tcW w:type="dxa" w:w="3096"/>
            <w:tcMar>
              <w:top w:w="90" w:type="dxa"/>
              <w:start w:w="90" w:type="dxa"/>
              <w:bottom w:w="90" w:type="dxa"/>
              <w:end w:w="90" w:type="dxa"/>
            </w:tcMar>
            <w:vAlign w:val="top"/>
          </w:tcPr>
          <w:p>
            <w:pPr>
              <w:pStyle w:val="BodyText"/>
              <w:spacing w:after="0"/>
            </w:pPr>
            <w:r>
              <w:rPr>
                <w:sz w:val="14"/>
              </w:rPr>
              <w:t>Limited defect with low immediate safety impact but meaningful quality or compliance effect.</w:t>
            </w:r>
          </w:p>
        </w:tc>
        <w:tc>
          <w:tcPr>
            <w:tcW w:type="dxa" w:w="3024"/>
            <w:tcMar>
              <w:top w:w="90" w:type="dxa"/>
              <w:start w:w="90" w:type="dxa"/>
              <w:bottom w:w="90" w:type="dxa"/>
              <w:end w:w="90" w:type="dxa"/>
            </w:tcMar>
            <w:vAlign w:val="top"/>
          </w:tcPr>
          <w:p>
            <w:pPr>
              <w:pStyle w:val="BodyText"/>
              <w:spacing w:after="0"/>
            </w:pPr>
            <w:r>
              <w:rPr>
                <w:sz w:val="14"/>
              </w:rPr>
              <w:t>Duplicate reason, administrator view exposes unnecessary detail.</w:t>
            </w:r>
          </w:p>
        </w:tc>
        <w:tc>
          <w:tcPr>
            <w:tcW w:type="dxa" w:w="3096"/>
            <w:tcMar>
              <w:top w:w="90" w:type="dxa"/>
              <w:start w:w="90" w:type="dxa"/>
              <w:bottom w:w="90" w:type="dxa"/>
              <w:end w:w="90" w:type="dxa"/>
            </w:tcMar>
            <w:vAlign w:val="top"/>
          </w:tcPr>
          <w:p>
            <w:pPr>
              <w:pStyle w:val="BodyText"/>
              <w:spacing w:after="0"/>
            </w:pPr>
            <w:r>
              <w:rPr>
                <w:sz w:val="14"/>
              </w:rPr>
              <w:t>Record, prioritize, correct in controlled release.</w:t>
            </w:r>
          </w:p>
        </w:tc>
      </w:tr>
      <w:tr>
        <w:tc>
          <w:tcPr>
            <w:tcW w:type="dxa" w:w="1440"/>
            <w:tcMar>
              <w:top w:w="90" w:type="dxa"/>
              <w:start w:w="90" w:type="dxa"/>
              <w:bottom w:w="90" w:type="dxa"/>
              <w:end w:w="90" w:type="dxa"/>
            </w:tcMar>
            <w:vAlign w:val="top"/>
            <w:shd w:fill="F8FBFD"/>
          </w:tcPr>
          <w:p>
            <w:pPr>
              <w:pStyle w:val="BodyText"/>
              <w:spacing w:after="0"/>
            </w:pPr>
            <w:r>
              <w:rPr>
                <w:sz w:val="14"/>
              </w:rPr>
              <w:t>Low</w:t>
            </w:r>
          </w:p>
        </w:tc>
        <w:tc>
          <w:tcPr>
            <w:tcW w:type="dxa" w:w="3096"/>
            <w:tcMar>
              <w:top w:w="90" w:type="dxa"/>
              <w:start w:w="90" w:type="dxa"/>
              <w:bottom w:w="90" w:type="dxa"/>
              <w:end w:w="90" w:type="dxa"/>
            </w:tcMar>
            <w:vAlign w:val="top"/>
            <w:shd w:fill="F8FBFD"/>
          </w:tcPr>
          <w:p>
            <w:pPr>
              <w:pStyle w:val="BodyText"/>
              <w:spacing w:after="0"/>
            </w:pPr>
            <w:r>
              <w:rPr>
                <w:sz w:val="14"/>
              </w:rPr>
              <w:t>Cosmetic or documentation defect without change to meaning, safety, privacy, or traceability.</w:t>
            </w:r>
          </w:p>
        </w:tc>
        <w:tc>
          <w:tcPr>
            <w:tcW w:type="dxa" w:w="3024"/>
            <w:tcMar>
              <w:top w:w="90" w:type="dxa"/>
              <w:start w:w="90" w:type="dxa"/>
              <w:bottom w:w="90" w:type="dxa"/>
              <w:end w:w="90" w:type="dxa"/>
            </w:tcMar>
            <w:vAlign w:val="top"/>
            <w:shd w:fill="F8FBFD"/>
          </w:tcPr>
          <w:p>
            <w:pPr>
              <w:pStyle w:val="BodyText"/>
              <w:spacing w:after="0"/>
            </w:pPr>
            <w:r>
              <w:rPr>
                <w:sz w:val="14"/>
              </w:rPr>
              <w:t>Spacing or punctuation issue.</w:t>
            </w:r>
          </w:p>
        </w:tc>
        <w:tc>
          <w:tcPr>
            <w:tcW w:type="dxa" w:w="3096"/>
            <w:tcMar>
              <w:top w:w="90" w:type="dxa"/>
              <w:start w:w="90" w:type="dxa"/>
              <w:bottom w:w="90" w:type="dxa"/>
              <w:end w:w="90" w:type="dxa"/>
            </w:tcMar>
            <w:vAlign w:val="top"/>
            <w:shd w:fill="F8FBFD"/>
          </w:tcPr>
          <w:p>
            <w:pPr>
              <w:pStyle w:val="BodyText"/>
              <w:spacing w:after="0"/>
            </w:pPr>
            <w:r>
              <w:rPr>
                <w:sz w:val="14"/>
              </w:rPr>
              <w:t>Correct through routine maintenance.</w:t>
            </w:r>
          </w:p>
        </w:tc>
      </w:tr>
    </w:tbl>
    <w:p>
      <w:pPr>
        <w:spacing w:after="0"/>
      </w:pPr>
    </w:p>
    <w:p>
      <w:pPr>
        <w:pStyle w:val="Heading2"/>
        <w:keepNext/>
      </w:pPr>
      <w:r>
        <w:t>10.2 Incident response workflow</w:t>
      </w:r>
    </w:p>
    <w:p>
      <w:pPr>
        <w:pStyle w:val="ListBullet"/>
      </w:pPr>
      <w:r>
        <w:t>Detect and record the event without altering evidence.</w:t>
      </w:r>
    </w:p>
    <w:p>
      <w:pPr>
        <w:pStyle w:val="ListBullet"/>
      </w:pPr>
      <w:r>
        <w:t>Contain the affected function, channel, release, or user access.</w:t>
      </w:r>
    </w:p>
    <w:p>
      <w:pPr>
        <w:pStyle w:val="ListBullet"/>
      </w:pPr>
      <w:r>
        <w:t>Assess patient, clinical, privacy, security, and operational impact.</w:t>
      </w:r>
    </w:p>
    <w:p>
      <w:pPr>
        <w:pStyle w:val="ListBullet"/>
      </w:pPr>
      <w:r>
        <w:t>Identify affected assessments using version and audit metadata.</w:t>
      </w:r>
    </w:p>
    <w:p>
      <w:pPr>
        <w:pStyle w:val="ListBullet"/>
      </w:pPr>
      <w:r>
        <w:t>Communicate to responsible roles and, when required, affected individuals or authorities under applicable policy and law.</w:t>
      </w:r>
    </w:p>
    <w:p>
      <w:pPr>
        <w:pStyle w:val="ListBullet"/>
      </w:pPr>
      <w:r>
        <w:t>Correct the immediate defect and its underlying process cause.</w:t>
      </w:r>
    </w:p>
    <w:p>
      <w:pPr>
        <w:pStyle w:val="ListBullet"/>
      </w:pPr>
      <w:r>
        <w:t>Run targeted and full regression tests.</w:t>
      </w:r>
    </w:p>
    <w:p>
      <w:pPr>
        <w:pStyle w:val="ListBullet"/>
      </w:pPr>
      <w:r>
        <w:t>Approve and deploy the corrective release with rollback readiness.</w:t>
      </w:r>
    </w:p>
    <w:p>
      <w:pPr>
        <w:pStyle w:val="ListBullet"/>
      </w:pPr>
      <w:r>
        <w:t>Complete post-incident review, lessons learned, and preventive actions.</w:t>
      </w:r>
    </w:p>
    <w:p>
      <w:pPr>
        <w:pStyle w:val="Heading2"/>
        <w:keepNext/>
      </w:pPr>
      <w:r>
        <w:t>10.3 Corrective and preventive action record</w:t>
      </w:r>
    </w:p>
    <w:tbl>
      <w:tblPr>
        <w:tblStyle w:val="TableGrid"/>
        <w:tblW w:type="auto" w:w="0"/>
        <w:jc w:val="center"/>
        <w:tblLook w:firstColumn="1" w:firstRow="1" w:lastColumn="0" w:lastRow="0" w:noHBand="0" w:noVBand="1" w:val="04A0"/>
      </w:tblPr>
      <w:tblGrid>
        <w:gridCol w:w="10080"/>
      </w:tblGrid>
      <w:tr>
        <w:tc>
          <w:tcPr>
            <w:tcW w:type="dxa" w:w="10080"/>
            <w:shd w:fill="F4F6F8"/>
            <w:tcMar>
              <w:top w:w="130" w:type="dxa"/>
              <w:start w:w="150" w:type="dxa"/>
              <w:bottom w:w="130" w:type="dxa"/>
              <w:end w:w="150" w:type="dxa"/>
            </w:tcMar>
          </w:tcPr>
          <w:p>
            <w:r>
              <w:rPr>
                <w:rFonts w:ascii="Consolas" w:hAnsi="Consolas"/>
                <w:sz w:val="16"/>
              </w:rPr>
              <w:t>incident_id</w:t>
            </w:r>
            <w:r>
              <w:br/>
            </w:r>
            <w:r>
              <w:rPr>
                <w:rFonts w:ascii="Consolas" w:hAnsi="Consolas"/>
                <w:sz w:val="16"/>
              </w:rPr>
              <w:t>severity</w:t>
            </w:r>
            <w:r>
              <w:br/>
            </w:r>
            <w:r>
              <w:rPr>
                <w:rFonts w:ascii="Consolas" w:hAnsi="Consolas"/>
                <w:sz w:val="16"/>
              </w:rPr>
              <w:t>detected_at / detected_by</w:t>
            </w:r>
            <w:r>
              <w:br/>
            </w:r>
            <w:r>
              <w:rPr>
                <w:rFonts w:ascii="Consolas" w:hAnsi="Consolas"/>
                <w:sz w:val="16"/>
              </w:rPr>
              <w:t>affected_release / component_versions</w:t>
            </w:r>
            <w:r>
              <w:br/>
            </w:r>
            <w:r>
              <w:rPr>
                <w:rFonts w:ascii="Consolas" w:hAnsi="Consolas"/>
                <w:sz w:val="16"/>
              </w:rPr>
              <w:t>patient_or_record_scope (minimum necessary)</w:t>
            </w:r>
            <w:r>
              <w:br/>
            </w:r>
            <w:r>
              <w:rPr>
                <w:rFonts w:ascii="Consolas" w:hAnsi="Consolas"/>
                <w:sz w:val="16"/>
              </w:rPr>
              <w:t>observed_behavior</w:t>
            </w:r>
            <w:r>
              <w:br/>
            </w:r>
            <w:r>
              <w:rPr>
                <w:rFonts w:ascii="Consolas" w:hAnsi="Consolas"/>
                <w:sz w:val="16"/>
              </w:rPr>
              <w:t>expected_behavior</w:t>
            </w:r>
            <w:r>
              <w:br/>
            </w:r>
            <w:r>
              <w:rPr>
                <w:rFonts w:ascii="Consolas" w:hAnsi="Consolas"/>
                <w:sz w:val="16"/>
              </w:rPr>
              <w:t>containment</w:t>
            </w:r>
            <w:r>
              <w:br/>
            </w:r>
            <w:r>
              <w:rPr>
                <w:rFonts w:ascii="Consolas" w:hAnsi="Consolas"/>
                <w:sz w:val="16"/>
              </w:rPr>
              <w:t>root_cause</w:t>
            </w:r>
            <w:r>
              <w:br/>
            </w:r>
            <w:r>
              <w:rPr>
                <w:rFonts w:ascii="Consolas" w:hAnsi="Consolas"/>
                <w:sz w:val="16"/>
              </w:rPr>
              <w:t>corrective_action</w:t>
            </w:r>
            <w:r>
              <w:br/>
            </w:r>
            <w:r>
              <w:rPr>
                <w:rFonts w:ascii="Consolas" w:hAnsi="Consolas"/>
                <w:sz w:val="16"/>
              </w:rPr>
              <w:t>preventive_action</w:t>
            </w:r>
            <w:r>
              <w:br/>
            </w:r>
            <w:r>
              <w:rPr>
                <w:rFonts w:ascii="Consolas" w:hAnsi="Consolas"/>
                <w:sz w:val="16"/>
              </w:rPr>
              <w:t>verification_evidence</w:t>
            </w:r>
            <w:r>
              <w:br/>
            </w:r>
            <w:r>
              <w:rPr>
                <w:rFonts w:ascii="Consolas" w:hAnsi="Consolas"/>
                <w:sz w:val="16"/>
              </w:rPr>
              <w:t>approvals</w:t>
            </w:r>
            <w:r>
              <w:br/>
            </w:r>
            <w:r>
              <w:rPr>
                <w:rFonts w:ascii="Consolas" w:hAnsi="Consolas"/>
                <w:sz w:val="16"/>
              </w:rPr>
              <w:t>closure_date</w:t>
            </w:r>
          </w:p>
        </w:tc>
      </w:tr>
    </w:tbl>
    <w:p>
      <w:pPr>
        <w:spacing w:after="0"/>
      </w:pPr>
    </w:p>
    <w:p>
      <w:pPr>
        <w:pStyle w:val="Heading2"/>
        <w:keepNext/>
      </w:pPr>
      <w:r>
        <w:t>10.4 Privacy and breach considerations</w:t>
      </w:r>
    </w:p>
    <w:p>
      <w:pPr>
        <w:pStyle w:val="BodyText"/>
      </w:pPr>
      <w:r>
        <w:t>Health information is sensitive personal information. The Philippine Data Privacy Act requires reasonable organizational, physical, and technical measures, including security policy, vulnerability identification, monitoring, and preventive, corrective, and mitigating action. Incident handling must therefore coordinate technical containment with the clinic’s privacy and breach-notification obligations. This document does not replace legal advice or the organization’s official breach procedure.</w:t>
      </w:r>
    </w:p>
    <w:p>
      <w:pPr>
        <w:pStyle w:val="Heading1"/>
        <w:keepNext/>
      </w:pPr>
      <w:r>
        <w:t>11. Data Governance, Privacy, and Security</w:t>
      </w:r>
    </w:p>
    <w:p>
      <w:pPr>
        <w:pStyle w:val="Heading2"/>
        <w:keepNext/>
      </w:pPr>
      <w:r>
        <w:t>11.1 Minimum-necessary governance</w:t>
      </w:r>
    </w:p>
    <w:p>
      <w:pPr>
        <w:pStyle w:val="ListBullet"/>
      </w:pPr>
      <w:r>
        <w:t>Collect and process only data required for the defined maternity workflow and approved assessment purpose.</w:t>
      </w:r>
    </w:p>
    <w:p>
      <w:pPr>
        <w:pStyle w:val="ListBullet"/>
      </w:pPr>
      <w:r>
        <w:t>Limit each audience projection to information needed for that role.</w:t>
      </w:r>
    </w:p>
    <w:p>
      <w:pPr>
        <w:pStyle w:val="ListBullet"/>
      </w:pPr>
      <w:r>
        <w:t>Keep technical logs free of unnecessary patient narrative and secrets.</w:t>
      </w:r>
    </w:p>
    <w:p>
      <w:pPr>
        <w:pStyle w:val="ListBullet"/>
      </w:pPr>
      <w:r>
        <w:t>Do not expose model paths, stack traces, credentials, or internal identifiers to patients.</w:t>
      </w:r>
    </w:p>
    <w:p>
      <w:pPr>
        <w:pStyle w:val="ListBullet"/>
      </w:pPr>
      <w:r>
        <w:t>Use synthetic or de-identified data for development, screenshots, classroom demonstrations, and regression fixtures whenever possible.</w:t>
      </w:r>
    </w:p>
    <w:p>
      <w:pPr>
        <w:pStyle w:val="ListBullet"/>
      </w:pPr>
      <w:r>
        <w:t>Control exports, printed referrals, email notifications, backups, and discarded media.</w:t>
      </w:r>
    </w:p>
    <w:p>
      <w:pPr>
        <w:pStyle w:val="ListBullet"/>
      </w:pPr>
      <w:r>
        <w:t>Log access to sensitive explanation and audit records according to clinic policy.</w:t>
      </w:r>
    </w:p>
    <w:p>
      <w:pPr>
        <w:pStyle w:val="Heading2"/>
        <w:keepNext/>
      </w:pPr>
      <w:r>
        <w:t>11.2 Access-control matrix</w:t>
      </w:r>
    </w:p>
    <w:tbl>
      <w:tblPr>
        <w:tblStyle w:val="TableGrid"/>
        <w:tblW w:type="auto" w:w="0"/>
        <w:jc w:val="center"/>
        <w:tblLayout w:type="autofit"/>
        <w:tblLook w:firstColumn="1" w:firstRow="1" w:lastColumn="0" w:lastRow="0" w:noHBand="0" w:noVBand="1" w:val="04A0"/>
      </w:tblPr>
      <w:tblGrid>
        <w:gridCol w:w="1440"/>
        <w:gridCol w:w="1440"/>
        <w:gridCol w:w="1440"/>
        <w:gridCol w:w="1440"/>
        <w:gridCol w:w="1440"/>
        <w:gridCol w:w="1440"/>
        <w:gridCol w:w="1440"/>
      </w:tblGrid>
      <w:tr>
        <w:trPr>
          <w:tblHeader w:val="true"/>
        </w:trPr>
        <w:tc>
          <w:tcPr>
            <w:tcW w:type="dxa" w:w="2376"/>
            <w:shd w:fill="1F4E79"/>
            <w:tcMar>
              <w:top w:w="90" w:type="dxa"/>
              <w:start w:w="90" w:type="dxa"/>
              <w:bottom w:w="90" w:type="dxa"/>
              <w:end w:w="90" w:type="dxa"/>
            </w:tcMar>
            <w:vAlign w:val="center"/>
          </w:tcPr>
          <w:p>
            <w:pPr>
              <w:jc w:val="center"/>
            </w:pPr>
            <w:r>
              <w:rPr>
                <w:b/>
                <w:color w:val="FFFFFF"/>
                <w:sz w:val="14"/>
              </w:rPr>
              <w:t>Information</w:t>
            </w:r>
          </w:p>
        </w:tc>
        <w:tc>
          <w:tcPr>
            <w:tcW w:type="dxa" w:w="1008"/>
            <w:shd w:fill="1F4E79"/>
            <w:tcMar>
              <w:top w:w="90" w:type="dxa"/>
              <w:start w:w="90" w:type="dxa"/>
              <w:bottom w:w="90" w:type="dxa"/>
              <w:end w:w="90" w:type="dxa"/>
            </w:tcMar>
            <w:vAlign w:val="center"/>
          </w:tcPr>
          <w:p>
            <w:pPr>
              <w:jc w:val="center"/>
            </w:pPr>
            <w:r>
              <w:rPr>
                <w:b/>
                <w:color w:val="FFFFFF"/>
                <w:sz w:val="14"/>
              </w:rPr>
              <w:t>Midwife</w:t>
            </w:r>
          </w:p>
        </w:tc>
        <w:tc>
          <w:tcPr>
            <w:tcW w:type="dxa" w:w="1224"/>
            <w:shd w:fill="1F4E79"/>
            <w:tcMar>
              <w:top w:w="90" w:type="dxa"/>
              <w:start w:w="90" w:type="dxa"/>
              <w:bottom w:w="90" w:type="dxa"/>
              <w:end w:w="90" w:type="dxa"/>
            </w:tcMar>
            <w:vAlign w:val="center"/>
          </w:tcPr>
          <w:p>
            <w:pPr>
              <w:jc w:val="center"/>
            </w:pPr>
            <w:r>
              <w:rPr>
                <w:b/>
                <w:color w:val="FFFFFF"/>
                <w:sz w:val="14"/>
              </w:rPr>
              <w:t>Administrator</w:t>
            </w:r>
          </w:p>
        </w:tc>
        <w:tc>
          <w:tcPr>
            <w:tcW w:type="dxa" w:w="1368"/>
            <w:shd w:fill="1F4E79"/>
            <w:tcMar>
              <w:top w:w="90" w:type="dxa"/>
              <w:start w:w="90" w:type="dxa"/>
              <w:bottom w:w="90" w:type="dxa"/>
              <w:end w:w="90" w:type="dxa"/>
            </w:tcMar>
            <w:vAlign w:val="center"/>
          </w:tcPr>
          <w:p>
            <w:pPr>
              <w:jc w:val="center"/>
            </w:pPr>
            <w:r>
              <w:rPr>
                <w:b/>
                <w:color w:val="FFFFFF"/>
                <w:sz w:val="14"/>
              </w:rPr>
              <w:t>Patient output</w:t>
            </w:r>
          </w:p>
        </w:tc>
        <w:tc>
          <w:tcPr>
            <w:tcW w:type="dxa" w:w="1440"/>
            <w:shd w:fill="1F4E79"/>
            <w:tcMar>
              <w:top w:w="90" w:type="dxa"/>
              <w:start w:w="90" w:type="dxa"/>
              <w:bottom w:w="90" w:type="dxa"/>
              <w:end w:w="90" w:type="dxa"/>
            </w:tcMar>
            <w:vAlign w:val="center"/>
          </w:tcPr>
          <w:p>
            <w:pPr>
              <w:jc w:val="center"/>
            </w:pPr>
            <w:r>
              <w:rPr>
                <w:b/>
                <w:color w:val="FFFFFF"/>
                <w:sz w:val="14"/>
              </w:rPr>
              <w:t>Referral facility</w:t>
            </w:r>
          </w:p>
        </w:tc>
        <w:tc>
          <w:tcPr>
            <w:tcW w:type="dxa" w:w="1080"/>
            <w:shd w:fill="1F4E79"/>
            <w:tcMar>
              <w:top w:w="90" w:type="dxa"/>
              <w:start w:w="90" w:type="dxa"/>
              <w:bottom w:w="90" w:type="dxa"/>
              <w:end w:w="90" w:type="dxa"/>
            </w:tcMar>
            <w:vAlign w:val="center"/>
          </w:tcPr>
          <w:p>
            <w:pPr>
              <w:jc w:val="center"/>
            </w:pPr>
            <w:r>
              <w:rPr>
                <w:b/>
                <w:color w:val="FFFFFF"/>
                <w:sz w:val="14"/>
              </w:rPr>
              <w:t>Developer</w:t>
            </w:r>
          </w:p>
        </w:tc>
        <w:tc>
          <w:tcPr>
            <w:tcW w:type="dxa" w:w="1080"/>
            <w:shd w:fill="1F4E79"/>
            <w:tcMar>
              <w:top w:w="90" w:type="dxa"/>
              <w:start w:w="90" w:type="dxa"/>
              <w:bottom w:w="90" w:type="dxa"/>
              <w:end w:w="90" w:type="dxa"/>
            </w:tcMar>
            <w:vAlign w:val="center"/>
          </w:tcPr>
          <w:p>
            <w:pPr>
              <w:jc w:val="center"/>
            </w:pPr>
            <w:r>
              <w:rPr>
                <w:b/>
                <w:color w:val="FFFFFF"/>
                <w:sz w:val="14"/>
              </w:rPr>
              <w:t>Auditor</w:t>
            </w:r>
          </w:p>
        </w:tc>
      </w:tr>
      <w:tr>
        <w:tc>
          <w:tcPr>
            <w:tcW w:type="dxa" w:w="2376"/>
            <w:tcMar>
              <w:top w:w="90" w:type="dxa"/>
              <w:start w:w="90" w:type="dxa"/>
              <w:bottom w:w="90" w:type="dxa"/>
              <w:end w:w="90" w:type="dxa"/>
            </w:tcMar>
            <w:vAlign w:val="top"/>
          </w:tcPr>
          <w:p>
            <w:pPr>
              <w:pStyle w:val="BodyText"/>
              <w:spacing w:after="0"/>
            </w:pPr>
            <w:r>
              <w:rPr>
                <w:sz w:val="14"/>
              </w:rPr>
              <w:t>Final status and patient meaning</w:t>
            </w:r>
          </w:p>
        </w:tc>
        <w:tc>
          <w:tcPr>
            <w:tcW w:type="dxa" w:w="1008"/>
            <w:tcMar>
              <w:top w:w="90" w:type="dxa"/>
              <w:start w:w="90" w:type="dxa"/>
              <w:bottom w:w="90" w:type="dxa"/>
              <w:end w:w="90" w:type="dxa"/>
            </w:tcMar>
            <w:vAlign w:val="top"/>
          </w:tcPr>
          <w:p>
            <w:pPr>
              <w:pStyle w:val="BodyText"/>
              <w:spacing w:after="0"/>
            </w:pPr>
            <w:r>
              <w:rPr>
                <w:sz w:val="14"/>
              </w:rPr>
              <w:t>Yes</w:t>
            </w:r>
          </w:p>
        </w:tc>
        <w:tc>
          <w:tcPr>
            <w:tcW w:type="dxa" w:w="1224"/>
            <w:tcMar>
              <w:top w:w="90" w:type="dxa"/>
              <w:start w:w="90" w:type="dxa"/>
              <w:bottom w:w="90" w:type="dxa"/>
              <w:end w:w="90" w:type="dxa"/>
            </w:tcMar>
            <w:vAlign w:val="top"/>
          </w:tcPr>
          <w:p>
            <w:pPr>
              <w:pStyle w:val="BodyText"/>
              <w:spacing w:after="0"/>
            </w:pPr>
            <w:r>
              <w:rPr>
                <w:sz w:val="14"/>
              </w:rPr>
              <w:t>Workflow status</w:t>
            </w:r>
          </w:p>
        </w:tc>
        <w:tc>
          <w:tcPr>
            <w:tcW w:type="dxa" w:w="1368"/>
            <w:tcMar>
              <w:top w:w="90" w:type="dxa"/>
              <w:start w:w="90" w:type="dxa"/>
              <w:bottom w:w="90" w:type="dxa"/>
              <w:end w:w="90" w:type="dxa"/>
            </w:tcMar>
            <w:vAlign w:val="top"/>
          </w:tcPr>
          <w:p>
            <w:pPr>
              <w:pStyle w:val="BodyText"/>
              <w:spacing w:after="0"/>
            </w:pPr>
            <w:r>
              <w:rPr>
                <w:sz w:val="14"/>
              </w:rPr>
              <w:t>Yes, plain language</w:t>
            </w:r>
          </w:p>
        </w:tc>
        <w:tc>
          <w:tcPr>
            <w:tcW w:type="dxa" w:w="1440"/>
            <w:tcMar>
              <w:top w:w="90" w:type="dxa"/>
              <w:start w:w="90" w:type="dxa"/>
              <w:bottom w:w="90" w:type="dxa"/>
              <w:end w:w="90" w:type="dxa"/>
            </w:tcMar>
            <w:vAlign w:val="top"/>
          </w:tcPr>
          <w:p>
            <w:pPr>
              <w:pStyle w:val="BodyText"/>
              <w:spacing w:after="0"/>
            </w:pPr>
            <w:r>
              <w:rPr>
                <w:sz w:val="14"/>
              </w:rPr>
              <w:t>Yes, relevant summary</w:t>
            </w:r>
          </w:p>
        </w:tc>
        <w:tc>
          <w:tcPr>
            <w:tcW w:type="dxa" w:w="1080"/>
            <w:tcMar>
              <w:top w:w="90" w:type="dxa"/>
              <w:start w:w="90" w:type="dxa"/>
              <w:bottom w:w="90" w:type="dxa"/>
              <w:end w:w="90" w:type="dxa"/>
            </w:tcMar>
            <w:vAlign w:val="top"/>
          </w:tcPr>
          <w:p>
            <w:pPr>
              <w:pStyle w:val="BodyText"/>
              <w:spacing w:after="0"/>
            </w:pPr>
            <w:r>
              <w:rPr>
                <w:sz w:val="14"/>
              </w:rPr>
              <w:t>Test/de-identified</w:t>
            </w:r>
          </w:p>
        </w:tc>
        <w:tc>
          <w:tcPr>
            <w:tcW w:type="dxa" w:w="1080"/>
            <w:tcMar>
              <w:top w:w="90" w:type="dxa"/>
              <w:start w:w="90" w:type="dxa"/>
              <w:bottom w:w="90" w:type="dxa"/>
              <w:end w:w="90" w:type="dxa"/>
            </w:tcMar>
            <w:vAlign w:val="top"/>
          </w:tcPr>
          <w:p>
            <w:pPr>
              <w:pStyle w:val="BodyText"/>
              <w:spacing w:after="0"/>
            </w:pPr>
            <w:r>
              <w:rPr>
                <w:sz w:val="14"/>
              </w:rPr>
              <w:t>Authorized</w:t>
            </w:r>
          </w:p>
        </w:tc>
      </w:tr>
      <w:tr>
        <w:tc>
          <w:tcPr>
            <w:tcW w:type="dxa" w:w="2376"/>
            <w:tcMar>
              <w:top w:w="90" w:type="dxa"/>
              <w:start w:w="90" w:type="dxa"/>
              <w:bottom w:w="90" w:type="dxa"/>
              <w:end w:w="90" w:type="dxa"/>
            </w:tcMar>
            <w:vAlign w:val="top"/>
            <w:shd w:fill="F8FBFD"/>
          </w:tcPr>
          <w:p>
            <w:pPr>
              <w:pStyle w:val="BodyText"/>
              <w:spacing w:after="0"/>
            </w:pPr>
            <w:r>
              <w:rPr>
                <w:sz w:val="14"/>
              </w:rPr>
              <w:t>Clinical reasons and evidence</w:t>
            </w:r>
          </w:p>
        </w:tc>
        <w:tc>
          <w:tcPr>
            <w:tcW w:type="dxa" w:w="1008"/>
            <w:tcMar>
              <w:top w:w="90" w:type="dxa"/>
              <w:start w:w="90" w:type="dxa"/>
              <w:bottom w:w="90" w:type="dxa"/>
              <w:end w:w="90" w:type="dxa"/>
            </w:tcMar>
            <w:vAlign w:val="top"/>
            <w:shd w:fill="F8FBFD"/>
          </w:tcPr>
          <w:p>
            <w:pPr>
              <w:pStyle w:val="BodyText"/>
              <w:spacing w:after="0"/>
            </w:pPr>
            <w:r>
              <w:rPr>
                <w:sz w:val="14"/>
              </w:rPr>
              <w:t>Yes</w:t>
            </w:r>
          </w:p>
        </w:tc>
        <w:tc>
          <w:tcPr>
            <w:tcW w:type="dxa" w:w="1224"/>
            <w:tcMar>
              <w:top w:w="90" w:type="dxa"/>
              <w:start w:w="90" w:type="dxa"/>
              <w:bottom w:w="90" w:type="dxa"/>
              <w:end w:w="90" w:type="dxa"/>
            </w:tcMar>
            <w:vAlign w:val="top"/>
            <w:shd w:fill="F8FBFD"/>
          </w:tcPr>
          <w:p>
            <w:pPr>
              <w:pStyle w:val="BodyText"/>
              <w:spacing w:after="0"/>
            </w:pPr>
            <w:r>
              <w:rPr>
                <w:sz w:val="14"/>
              </w:rPr>
              <w:t>Minimum necessary</w:t>
            </w:r>
          </w:p>
        </w:tc>
        <w:tc>
          <w:tcPr>
            <w:tcW w:type="dxa" w:w="1368"/>
            <w:tcMar>
              <w:top w:w="90" w:type="dxa"/>
              <w:start w:w="90" w:type="dxa"/>
              <w:bottom w:w="90" w:type="dxa"/>
              <w:end w:w="90" w:type="dxa"/>
            </w:tcMar>
            <w:vAlign w:val="top"/>
            <w:shd w:fill="F8FBFD"/>
          </w:tcPr>
          <w:p>
            <w:pPr>
              <w:pStyle w:val="BodyText"/>
              <w:spacing w:after="0"/>
            </w:pPr>
            <w:r>
              <w:rPr>
                <w:sz w:val="14"/>
              </w:rPr>
              <w:t>Selected plain language</w:t>
            </w:r>
          </w:p>
        </w:tc>
        <w:tc>
          <w:tcPr>
            <w:tcW w:type="dxa" w:w="1440"/>
            <w:tcMar>
              <w:top w:w="90" w:type="dxa"/>
              <w:start w:w="90" w:type="dxa"/>
              <w:bottom w:w="90" w:type="dxa"/>
              <w:end w:w="90" w:type="dxa"/>
            </w:tcMar>
            <w:vAlign w:val="top"/>
            <w:shd w:fill="F8FBFD"/>
          </w:tcPr>
          <w:p>
            <w:pPr>
              <w:pStyle w:val="BodyText"/>
              <w:spacing w:after="0"/>
            </w:pPr>
            <w:r>
              <w:rPr>
                <w:sz w:val="14"/>
              </w:rPr>
              <w:t>Relevant findings</w:t>
            </w:r>
          </w:p>
        </w:tc>
        <w:tc>
          <w:tcPr>
            <w:tcW w:type="dxa" w:w="1080"/>
            <w:tcMar>
              <w:top w:w="90" w:type="dxa"/>
              <w:start w:w="90" w:type="dxa"/>
              <w:bottom w:w="90" w:type="dxa"/>
              <w:end w:w="90" w:type="dxa"/>
            </w:tcMar>
            <w:vAlign w:val="top"/>
            <w:shd w:fill="F8FBFD"/>
          </w:tcPr>
          <w:p>
            <w:pPr>
              <w:pStyle w:val="BodyText"/>
              <w:spacing w:after="0"/>
            </w:pPr>
            <w:r>
              <w:rPr>
                <w:sz w:val="14"/>
              </w:rPr>
              <w:t>Test/de-identified</w:t>
            </w:r>
          </w:p>
        </w:tc>
        <w:tc>
          <w:tcPr>
            <w:tcW w:type="dxa" w:w="1080"/>
            <w:tcMar>
              <w:top w:w="90" w:type="dxa"/>
              <w:start w:w="90" w:type="dxa"/>
              <w:bottom w:w="90" w:type="dxa"/>
              <w:end w:w="90" w:type="dxa"/>
            </w:tcMar>
            <w:vAlign w:val="top"/>
            <w:shd w:fill="F8FBFD"/>
          </w:tcPr>
          <w:p>
            <w:pPr>
              <w:pStyle w:val="BodyText"/>
              <w:spacing w:after="0"/>
            </w:pPr>
            <w:r>
              <w:rPr>
                <w:sz w:val="14"/>
              </w:rPr>
              <w:t>Authorized</w:t>
            </w:r>
          </w:p>
        </w:tc>
      </w:tr>
      <w:tr>
        <w:tc>
          <w:tcPr>
            <w:tcW w:type="dxa" w:w="2376"/>
            <w:tcMar>
              <w:top w:w="90" w:type="dxa"/>
              <w:start w:w="90" w:type="dxa"/>
              <w:bottom w:w="90" w:type="dxa"/>
              <w:end w:w="90" w:type="dxa"/>
            </w:tcMar>
            <w:vAlign w:val="top"/>
          </w:tcPr>
          <w:p>
            <w:pPr>
              <w:pStyle w:val="BodyText"/>
              <w:spacing w:after="0"/>
            </w:pPr>
            <w:r>
              <w:rPr>
                <w:sz w:val="14"/>
              </w:rPr>
              <w:t>Model/technical metadata</w:t>
            </w:r>
          </w:p>
        </w:tc>
        <w:tc>
          <w:tcPr>
            <w:tcW w:type="dxa" w:w="1008"/>
            <w:tcMar>
              <w:top w:w="90" w:type="dxa"/>
              <w:start w:w="90" w:type="dxa"/>
              <w:bottom w:w="90" w:type="dxa"/>
              <w:end w:w="90" w:type="dxa"/>
            </w:tcMar>
            <w:vAlign w:val="top"/>
          </w:tcPr>
          <w:p>
            <w:pPr>
              <w:pStyle w:val="BodyText"/>
              <w:spacing w:after="0"/>
            </w:pPr>
            <w:r>
              <w:rPr>
                <w:sz w:val="14"/>
              </w:rPr>
              <w:t>Limited</w:t>
            </w:r>
          </w:p>
        </w:tc>
        <w:tc>
          <w:tcPr>
            <w:tcW w:type="dxa" w:w="1224"/>
            <w:tcMar>
              <w:top w:w="90" w:type="dxa"/>
              <w:start w:w="90" w:type="dxa"/>
              <w:bottom w:w="90" w:type="dxa"/>
              <w:end w:w="90" w:type="dxa"/>
            </w:tcMar>
            <w:vAlign w:val="top"/>
          </w:tcPr>
          <w:p>
            <w:pPr>
              <w:pStyle w:val="BodyText"/>
              <w:spacing w:after="0"/>
            </w:pPr>
            <w:r>
              <w:rPr>
                <w:sz w:val="14"/>
              </w:rPr>
              <w:t>No</w:t>
            </w:r>
          </w:p>
        </w:tc>
        <w:tc>
          <w:tcPr>
            <w:tcW w:type="dxa" w:w="1368"/>
            <w:tcMar>
              <w:top w:w="90" w:type="dxa"/>
              <w:start w:w="90" w:type="dxa"/>
              <w:bottom w:w="90" w:type="dxa"/>
              <w:end w:w="90" w:type="dxa"/>
            </w:tcMar>
            <w:vAlign w:val="top"/>
          </w:tcPr>
          <w:p>
            <w:pPr>
              <w:pStyle w:val="BodyText"/>
              <w:spacing w:after="0"/>
            </w:pPr>
            <w:r>
              <w:rPr>
                <w:sz w:val="14"/>
              </w:rPr>
              <w:t>No</w:t>
            </w:r>
          </w:p>
        </w:tc>
        <w:tc>
          <w:tcPr>
            <w:tcW w:type="dxa" w:w="1440"/>
            <w:tcMar>
              <w:top w:w="90" w:type="dxa"/>
              <w:start w:w="90" w:type="dxa"/>
              <w:bottom w:w="90" w:type="dxa"/>
              <w:end w:w="90" w:type="dxa"/>
            </w:tcMar>
            <w:vAlign w:val="top"/>
          </w:tcPr>
          <w:p>
            <w:pPr>
              <w:pStyle w:val="BodyText"/>
              <w:spacing w:after="0"/>
            </w:pPr>
            <w:r>
              <w:rPr>
                <w:sz w:val="14"/>
              </w:rPr>
              <w:t>Normally no</w:t>
            </w:r>
          </w:p>
        </w:tc>
        <w:tc>
          <w:tcPr>
            <w:tcW w:type="dxa" w:w="1080"/>
            <w:tcMar>
              <w:top w:w="90" w:type="dxa"/>
              <w:start w:w="90" w:type="dxa"/>
              <w:bottom w:w="90" w:type="dxa"/>
              <w:end w:w="90" w:type="dxa"/>
            </w:tcMar>
            <w:vAlign w:val="top"/>
          </w:tcPr>
          <w:p>
            <w:pPr>
              <w:pStyle w:val="BodyText"/>
              <w:spacing w:after="0"/>
            </w:pPr>
            <w:r>
              <w:rPr>
                <w:sz w:val="14"/>
              </w:rPr>
              <w:t>Yes</w:t>
            </w:r>
          </w:p>
        </w:tc>
        <w:tc>
          <w:tcPr>
            <w:tcW w:type="dxa" w:w="1080"/>
            <w:tcMar>
              <w:top w:w="90" w:type="dxa"/>
              <w:start w:w="90" w:type="dxa"/>
              <w:bottom w:w="90" w:type="dxa"/>
              <w:end w:w="90" w:type="dxa"/>
            </w:tcMar>
            <w:vAlign w:val="top"/>
          </w:tcPr>
          <w:p>
            <w:pPr>
              <w:pStyle w:val="BodyText"/>
              <w:spacing w:after="0"/>
            </w:pPr>
            <w:r>
              <w:rPr>
                <w:sz w:val="14"/>
              </w:rPr>
              <w:t>Authorized</w:t>
            </w:r>
          </w:p>
        </w:tc>
      </w:tr>
      <w:tr>
        <w:tc>
          <w:tcPr>
            <w:tcW w:type="dxa" w:w="2376"/>
            <w:tcMar>
              <w:top w:w="90" w:type="dxa"/>
              <w:start w:w="90" w:type="dxa"/>
              <w:bottom w:w="90" w:type="dxa"/>
              <w:end w:w="90" w:type="dxa"/>
            </w:tcMar>
            <w:vAlign w:val="top"/>
            <w:shd w:fill="F8FBFD"/>
          </w:tcPr>
          <w:p>
            <w:pPr>
              <w:pStyle w:val="BodyText"/>
              <w:spacing w:after="0"/>
            </w:pPr>
            <w:r>
              <w:rPr>
                <w:sz w:val="14"/>
              </w:rPr>
              <w:t>Audit provenance</w:t>
            </w:r>
          </w:p>
        </w:tc>
        <w:tc>
          <w:tcPr>
            <w:tcW w:type="dxa" w:w="1008"/>
            <w:tcMar>
              <w:top w:w="90" w:type="dxa"/>
              <w:start w:w="90" w:type="dxa"/>
              <w:bottom w:w="90" w:type="dxa"/>
              <w:end w:w="90" w:type="dxa"/>
            </w:tcMar>
            <w:vAlign w:val="top"/>
            <w:shd w:fill="F8FBFD"/>
          </w:tcPr>
          <w:p>
            <w:pPr>
              <w:pStyle w:val="BodyText"/>
              <w:spacing w:after="0"/>
            </w:pPr>
            <w:r>
              <w:rPr>
                <w:sz w:val="14"/>
              </w:rPr>
              <w:t>Limited</w:t>
            </w:r>
          </w:p>
        </w:tc>
        <w:tc>
          <w:tcPr>
            <w:tcW w:type="dxa" w:w="1224"/>
            <w:tcMar>
              <w:top w:w="90" w:type="dxa"/>
              <w:start w:w="90" w:type="dxa"/>
              <w:bottom w:w="90" w:type="dxa"/>
              <w:end w:w="90" w:type="dxa"/>
            </w:tcMar>
            <w:vAlign w:val="top"/>
            <w:shd w:fill="F8FBFD"/>
          </w:tcPr>
          <w:p>
            <w:pPr>
              <w:pStyle w:val="BodyText"/>
              <w:spacing w:after="0"/>
            </w:pPr>
            <w:r>
              <w:rPr>
                <w:sz w:val="14"/>
              </w:rPr>
              <w:t>Operational</w:t>
            </w:r>
          </w:p>
        </w:tc>
        <w:tc>
          <w:tcPr>
            <w:tcW w:type="dxa" w:w="1368"/>
            <w:tcMar>
              <w:top w:w="90" w:type="dxa"/>
              <w:start w:w="90" w:type="dxa"/>
              <w:bottom w:w="90" w:type="dxa"/>
              <w:end w:w="90" w:type="dxa"/>
            </w:tcMar>
            <w:vAlign w:val="top"/>
            <w:shd w:fill="F8FBFD"/>
          </w:tcPr>
          <w:p>
            <w:pPr>
              <w:pStyle w:val="BodyText"/>
              <w:spacing w:after="0"/>
            </w:pPr>
            <w:r>
              <w:rPr>
                <w:sz w:val="14"/>
              </w:rPr>
              <w:t>No</w:t>
            </w:r>
          </w:p>
        </w:tc>
        <w:tc>
          <w:tcPr>
            <w:tcW w:type="dxa" w:w="1440"/>
            <w:tcMar>
              <w:top w:w="90" w:type="dxa"/>
              <w:start w:w="90" w:type="dxa"/>
              <w:bottom w:w="90" w:type="dxa"/>
              <w:end w:w="90" w:type="dxa"/>
            </w:tcMar>
            <w:vAlign w:val="top"/>
            <w:shd w:fill="F8FBFD"/>
          </w:tcPr>
          <w:p>
            <w:pPr>
              <w:pStyle w:val="BodyText"/>
              <w:spacing w:after="0"/>
            </w:pPr>
            <w:r>
              <w:rPr>
                <w:sz w:val="14"/>
              </w:rPr>
              <w:t>No</w:t>
            </w:r>
          </w:p>
        </w:tc>
        <w:tc>
          <w:tcPr>
            <w:tcW w:type="dxa" w:w="1080"/>
            <w:tcMar>
              <w:top w:w="90" w:type="dxa"/>
              <w:start w:w="90" w:type="dxa"/>
              <w:bottom w:w="90" w:type="dxa"/>
              <w:end w:w="90" w:type="dxa"/>
            </w:tcMar>
            <w:vAlign w:val="top"/>
            <w:shd w:fill="F8FBFD"/>
          </w:tcPr>
          <w:p>
            <w:pPr>
              <w:pStyle w:val="BodyText"/>
              <w:spacing w:after="0"/>
            </w:pPr>
            <w:r>
              <w:rPr>
                <w:sz w:val="14"/>
              </w:rPr>
              <w:t>Yes as authorized</w:t>
            </w:r>
          </w:p>
        </w:tc>
        <w:tc>
          <w:tcPr>
            <w:tcW w:type="dxa" w:w="1080"/>
            <w:tcMar>
              <w:top w:w="90" w:type="dxa"/>
              <w:start w:w="90" w:type="dxa"/>
              <w:bottom w:w="90" w:type="dxa"/>
              <w:end w:w="90" w:type="dxa"/>
            </w:tcMar>
            <w:vAlign w:val="top"/>
            <w:shd w:fill="F8FBFD"/>
          </w:tcPr>
          <w:p>
            <w:pPr>
              <w:pStyle w:val="BodyText"/>
              <w:spacing w:after="0"/>
            </w:pPr>
            <w:r>
              <w:rPr>
                <w:sz w:val="14"/>
              </w:rPr>
              <w:t>Yes</w:t>
            </w:r>
          </w:p>
        </w:tc>
      </w:tr>
      <w:tr>
        <w:tc>
          <w:tcPr>
            <w:tcW w:type="dxa" w:w="2376"/>
            <w:tcMar>
              <w:top w:w="90" w:type="dxa"/>
              <w:start w:w="90" w:type="dxa"/>
              <w:bottom w:w="90" w:type="dxa"/>
              <w:end w:w="90" w:type="dxa"/>
            </w:tcMar>
            <w:vAlign w:val="top"/>
          </w:tcPr>
          <w:p>
            <w:pPr>
              <w:pStyle w:val="BodyText"/>
              <w:spacing w:after="0"/>
            </w:pPr>
            <w:r>
              <w:rPr>
                <w:sz w:val="14"/>
              </w:rPr>
              <w:t>System errors and stack traces</w:t>
            </w:r>
          </w:p>
        </w:tc>
        <w:tc>
          <w:tcPr>
            <w:tcW w:type="dxa" w:w="1008"/>
            <w:tcMar>
              <w:top w:w="90" w:type="dxa"/>
              <w:start w:w="90" w:type="dxa"/>
              <w:bottom w:w="90" w:type="dxa"/>
              <w:end w:w="90" w:type="dxa"/>
            </w:tcMar>
            <w:vAlign w:val="top"/>
          </w:tcPr>
          <w:p>
            <w:pPr>
              <w:pStyle w:val="BodyText"/>
              <w:spacing w:after="0"/>
            </w:pPr>
            <w:r>
              <w:rPr>
                <w:sz w:val="14"/>
              </w:rPr>
              <w:t>No</w:t>
            </w:r>
          </w:p>
        </w:tc>
        <w:tc>
          <w:tcPr>
            <w:tcW w:type="dxa" w:w="1224"/>
            <w:tcMar>
              <w:top w:w="90" w:type="dxa"/>
              <w:start w:w="90" w:type="dxa"/>
              <w:bottom w:w="90" w:type="dxa"/>
              <w:end w:w="90" w:type="dxa"/>
            </w:tcMar>
            <w:vAlign w:val="top"/>
          </w:tcPr>
          <w:p>
            <w:pPr>
              <w:pStyle w:val="BodyText"/>
              <w:spacing w:after="0"/>
            </w:pPr>
            <w:r>
              <w:rPr>
                <w:sz w:val="14"/>
              </w:rPr>
              <w:t>No</w:t>
            </w:r>
          </w:p>
        </w:tc>
        <w:tc>
          <w:tcPr>
            <w:tcW w:type="dxa" w:w="1368"/>
            <w:tcMar>
              <w:top w:w="90" w:type="dxa"/>
              <w:start w:w="90" w:type="dxa"/>
              <w:bottom w:w="90" w:type="dxa"/>
              <w:end w:w="90" w:type="dxa"/>
            </w:tcMar>
            <w:vAlign w:val="top"/>
          </w:tcPr>
          <w:p>
            <w:pPr>
              <w:pStyle w:val="BodyText"/>
              <w:spacing w:after="0"/>
            </w:pPr>
            <w:r>
              <w:rPr>
                <w:sz w:val="14"/>
              </w:rPr>
              <w:t>No</w:t>
            </w:r>
          </w:p>
        </w:tc>
        <w:tc>
          <w:tcPr>
            <w:tcW w:type="dxa" w:w="1440"/>
            <w:tcMar>
              <w:top w:w="90" w:type="dxa"/>
              <w:start w:w="90" w:type="dxa"/>
              <w:bottom w:w="90" w:type="dxa"/>
              <w:end w:w="90" w:type="dxa"/>
            </w:tcMar>
            <w:vAlign w:val="top"/>
          </w:tcPr>
          <w:p>
            <w:pPr>
              <w:pStyle w:val="BodyText"/>
              <w:spacing w:after="0"/>
            </w:pPr>
            <w:r>
              <w:rPr>
                <w:sz w:val="14"/>
              </w:rPr>
              <w:t>No</w:t>
            </w:r>
          </w:p>
        </w:tc>
        <w:tc>
          <w:tcPr>
            <w:tcW w:type="dxa" w:w="1080"/>
            <w:tcMar>
              <w:top w:w="90" w:type="dxa"/>
              <w:start w:w="90" w:type="dxa"/>
              <w:bottom w:w="90" w:type="dxa"/>
              <w:end w:w="90" w:type="dxa"/>
            </w:tcMar>
            <w:vAlign w:val="top"/>
          </w:tcPr>
          <w:p>
            <w:pPr>
              <w:pStyle w:val="BodyText"/>
              <w:spacing w:after="0"/>
            </w:pPr>
            <w:r>
              <w:rPr>
                <w:sz w:val="14"/>
              </w:rPr>
              <w:t>Yes</w:t>
            </w:r>
          </w:p>
        </w:tc>
        <w:tc>
          <w:tcPr>
            <w:tcW w:type="dxa" w:w="1080"/>
            <w:tcMar>
              <w:top w:w="90" w:type="dxa"/>
              <w:start w:w="90" w:type="dxa"/>
              <w:bottom w:w="90" w:type="dxa"/>
              <w:end w:w="90" w:type="dxa"/>
            </w:tcMar>
            <w:vAlign w:val="top"/>
          </w:tcPr>
          <w:p>
            <w:pPr>
              <w:pStyle w:val="BodyText"/>
              <w:spacing w:after="0"/>
            </w:pPr>
            <w:r>
              <w:rPr>
                <w:sz w:val="14"/>
              </w:rPr>
              <w:t>As required</w:t>
            </w:r>
          </w:p>
        </w:tc>
      </w:tr>
      <w:tr>
        <w:tc>
          <w:tcPr>
            <w:tcW w:type="dxa" w:w="2376"/>
            <w:tcMar>
              <w:top w:w="90" w:type="dxa"/>
              <w:start w:w="90" w:type="dxa"/>
              <w:bottom w:w="90" w:type="dxa"/>
              <w:end w:w="90" w:type="dxa"/>
            </w:tcMar>
            <w:vAlign w:val="top"/>
            <w:shd w:fill="F8FBFD"/>
          </w:tcPr>
          <w:p>
            <w:pPr>
              <w:pStyle w:val="BodyText"/>
              <w:spacing w:after="0"/>
            </w:pPr>
            <w:r>
              <w:rPr>
                <w:sz w:val="14"/>
              </w:rPr>
              <w:t>Other patients data</w:t>
            </w:r>
          </w:p>
        </w:tc>
        <w:tc>
          <w:tcPr>
            <w:tcW w:type="dxa" w:w="1008"/>
            <w:tcMar>
              <w:top w:w="90" w:type="dxa"/>
              <w:start w:w="90" w:type="dxa"/>
              <w:bottom w:w="90" w:type="dxa"/>
              <w:end w:w="90" w:type="dxa"/>
            </w:tcMar>
            <w:vAlign w:val="top"/>
            <w:shd w:fill="F8FBFD"/>
          </w:tcPr>
          <w:p>
            <w:pPr>
              <w:pStyle w:val="BodyText"/>
              <w:spacing w:after="0"/>
            </w:pPr>
            <w:r>
              <w:rPr>
                <w:sz w:val="14"/>
              </w:rPr>
              <w:t>No unless care role</w:t>
            </w:r>
          </w:p>
        </w:tc>
        <w:tc>
          <w:tcPr>
            <w:tcW w:type="dxa" w:w="1224"/>
            <w:tcMar>
              <w:top w:w="90" w:type="dxa"/>
              <w:start w:w="90" w:type="dxa"/>
              <w:bottom w:w="90" w:type="dxa"/>
              <w:end w:w="90" w:type="dxa"/>
            </w:tcMar>
            <w:vAlign w:val="top"/>
            <w:shd w:fill="F8FBFD"/>
          </w:tcPr>
          <w:p>
            <w:pPr>
              <w:pStyle w:val="BodyText"/>
              <w:spacing w:after="0"/>
            </w:pPr>
            <w:r>
              <w:rPr>
                <w:sz w:val="14"/>
              </w:rPr>
              <w:t>No unless authorized</w:t>
            </w:r>
          </w:p>
        </w:tc>
        <w:tc>
          <w:tcPr>
            <w:tcW w:type="dxa" w:w="1368"/>
            <w:tcMar>
              <w:top w:w="90" w:type="dxa"/>
              <w:start w:w="90" w:type="dxa"/>
              <w:bottom w:w="90" w:type="dxa"/>
              <w:end w:w="90" w:type="dxa"/>
            </w:tcMar>
            <w:vAlign w:val="top"/>
            <w:shd w:fill="F8FBFD"/>
          </w:tcPr>
          <w:p>
            <w:pPr>
              <w:pStyle w:val="BodyText"/>
              <w:spacing w:after="0"/>
            </w:pPr>
            <w:r>
              <w:rPr>
                <w:sz w:val="14"/>
              </w:rPr>
              <w:t>No</w:t>
            </w:r>
          </w:p>
        </w:tc>
        <w:tc>
          <w:tcPr>
            <w:tcW w:type="dxa" w:w="1440"/>
            <w:tcMar>
              <w:top w:w="90" w:type="dxa"/>
              <w:start w:w="90" w:type="dxa"/>
              <w:bottom w:w="90" w:type="dxa"/>
              <w:end w:w="90" w:type="dxa"/>
            </w:tcMar>
            <w:vAlign w:val="top"/>
            <w:shd w:fill="F8FBFD"/>
          </w:tcPr>
          <w:p>
            <w:pPr>
              <w:pStyle w:val="BodyText"/>
              <w:spacing w:after="0"/>
            </w:pPr>
            <w:r>
              <w:rPr>
                <w:sz w:val="14"/>
              </w:rPr>
              <w:t>No</w:t>
            </w:r>
          </w:p>
        </w:tc>
        <w:tc>
          <w:tcPr>
            <w:tcW w:type="dxa" w:w="1080"/>
            <w:tcMar>
              <w:top w:w="90" w:type="dxa"/>
              <w:start w:w="90" w:type="dxa"/>
              <w:bottom w:w="90" w:type="dxa"/>
              <w:end w:w="90" w:type="dxa"/>
            </w:tcMar>
            <w:vAlign w:val="top"/>
            <w:shd w:fill="F8FBFD"/>
          </w:tcPr>
          <w:p>
            <w:pPr>
              <w:pStyle w:val="BodyText"/>
              <w:spacing w:after="0"/>
            </w:pPr>
            <w:r>
              <w:rPr>
                <w:sz w:val="14"/>
              </w:rPr>
              <w:t>No real data by default</w:t>
            </w:r>
          </w:p>
        </w:tc>
        <w:tc>
          <w:tcPr>
            <w:tcW w:type="dxa" w:w="1080"/>
            <w:tcMar>
              <w:top w:w="90" w:type="dxa"/>
              <w:start w:w="90" w:type="dxa"/>
              <w:bottom w:w="90" w:type="dxa"/>
              <w:end w:w="90" w:type="dxa"/>
            </w:tcMar>
            <w:vAlign w:val="top"/>
            <w:shd w:fill="F8FBFD"/>
          </w:tcPr>
          <w:p>
            <w:pPr>
              <w:pStyle w:val="BodyText"/>
              <w:spacing w:after="0"/>
            </w:pPr>
            <w:r>
              <w:rPr>
                <w:sz w:val="14"/>
              </w:rPr>
              <w:t>Only within audit mandate</w:t>
            </w:r>
          </w:p>
        </w:tc>
      </w:tr>
    </w:tbl>
    <w:p>
      <w:pPr>
        <w:spacing w:after="0"/>
      </w:pPr>
    </w:p>
    <w:p>
      <w:pPr>
        <w:pStyle w:val="Heading2"/>
        <w:keepNext/>
      </w:pPr>
      <w:r>
        <w:t>11.3 Retention and deletion</w:t>
      </w:r>
    </w:p>
    <w:p>
      <w:pPr>
        <w:pStyle w:val="BodyText"/>
      </w:pPr>
      <w:r>
        <w:t>Retention periods must be defined by the clinic’s lawful, clinical, academic, and operational requirements. Assessment evidence needed for medical-record continuity and audit should not be deleted merely to simplify storage. Conversely, development copies, temporary exports, and test datasets should not be retained indefinitely. Deletion and anonymization must be documented and must not destroy evidence needed for an active incident or audit.</w:t>
      </w:r>
    </w:p>
    <w:p>
      <w:pPr>
        <w:pStyle w:val="Heading1"/>
        <w:keepNext/>
      </w:pPr>
      <w:r>
        <w:t>12. Training, Competency, and Human Oversight</w:t>
      </w:r>
    </w:p>
    <w:p>
      <w:pPr>
        <w:pStyle w:val="Heading2"/>
        <w:keepNext/>
      </w:pPr>
      <w:r>
        <w:t>12.1 Required user competencies</w:t>
      </w:r>
    </w:p>
    <w:p>
      <w:pPr>
        <w:pStyle w:val="ListBullet"/>
      </w:pPr>
      <w:r>
        <w:t>Understand that HIGH and LOW are support categories, not diagnoses.</w:t>
      </w:r>
    </w:p>
    <w:p>
      <w:pPr>
        <w:pStyle w:val="ListBullet"/>
      </w:pPr>
      <w:r>
        <w:t>Recognize that deterministic HIGH rules override ML LOW.</w:t>
      </w:r>
    </w:p>
    <w:p>
      <w:pPr>
        <w:pStyle w:val="ListBullet"/>
      </w:pPr>
      <w:r>
        <w:t>Understand that ASSESSMENT INCOMPLETE is not equivalent to LOW.</w:t>
      </w:r>
    </w:p>
    <w:p>
      <w:pPr>
        <w:pStyle w:val="ListBullet"/>
      </w:pPr>
      <w:r>
        <w:t>Read the reasons, source values, limitations, and recommended action.</w:t>
      </w:r>
    </w:p>
    <w:p>
      <w:pPr>
        <w:pStyle w:val="ListBullet"/>
      </w:pPr>
      <w:r>
        <w:t>Know urgent referral and emergency escalation processes outside the software.</w:t>
      </w:r>
    </w:p>
    <w:p>
      <w:pPr>
        <w:pStyle w:val="ListBullet"/>
      </w:pPr>
      <w:r>
        <w:t>Identify stale, missing, contradictory, or implausible explanations.</w:t>
      </w:r>
    </w:p>
    <w:p>
      <w:pPr>
        <w:pStyle w:val="ListBullet"/>
      </w:pPr>
      <w:r>
        <w:t>Report incidents and preserve relevant evidence.</w:t>
      </w:r>
    </w:p>
    <w:p>
      <w:pPr>
        <w:pStyle w:val="ListBullet"/>
      </w:pPr>
      <w:r>
        <w:t>Protect patient confidentiality when viewing, printing, emailing, or discussing outputs.</w:t>
      </w:r>
    </w:p>
    <w:p>
      <w:pPr>
        <w:pStyle w:val="Heading2"/>
        <w:keepNext/>
      </w:pPr>
      <w:r>
        <w:t>12.2 Training evidence</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2880"/>
            <w:shd w:fill="1F4E79"/>
            <w:tcMar>
              <w:top w:w="90" w:type="dxa"/>
              <w:start w:w="90" w:type="dxa"/>
              <w:bottom w:w="90" w:type="dxa"/>
              <w:end w:w="90" w:type="dxa"/>
            </w:tcMar>
            <w:vAlign w:val="center"/>
          </w:tcPr>
          <w:p>
            <w:pPr>
              <w:jc w:val="center"/>
            </w:pPr>
            <w:r>
              <w:rPr>
                <w:b/>
                <w:color w:val="FFFFFF"/>
                <w:sz w:val="16"/>
              </w:rPr>
              <w:t>Evidence</w:t>
            </w:r>
          </w:p>
        </w:tc>
        <w:tc>
          <w:tcPr>
            <w:tcW w:type="dxa" w:w="6480"/>
            <w:shd w:fill="1F4E79"/>
            <w:tcMar>
              <w:top w:w="90" w:type="dxa"/>
              <w:start w:w="90" w:type="dxa"/>
              <w:bottom w:w="90" w:type="dxa"/>
              <w:end w:w="90" w:type="dxa"/>
            </w:tcMar>
            <w:vAlign w:val="center"/>
          </w:tcPr>
          <w:p>
            <w:pPr>
              <w:jc w:val="center"/>
            </w:pPr>
            <w:r>
              <w:rPr>
                <w:b/>
                <w:color w:val="FFFFFF"/>
                <w:sz w:val="16"/>
              </w:rPr>
              <w:t>Minimum content</w:t>
            </w:r>
          </w:p>
        </w:tc>
      </w:tr>
      <w:tr>
        <w:tc>
          <w:tcPr>
            <w:tcW w:type="dxa" w:w="2880"/>
            <w:tcMar>
              <w:top w:w="90" w:type="dxa"/>
              <w:start w:w="90" w:type="dxa"/>
              <w:bottom w:w="90" w:type="dxa"/>
              <w:end w:w="90" w:type="dxa"/>
            </w:tcMar>
            <w:vAlign w:val="top"/>
          </w:tcPr>
          <w:p>
            <w:pPr>
              <w:pStyle w:val="BodyText"/>
              <w:spacing w:after="0"/>
            </w:pPr>
            <w:r>
              <w:rPr>
                <w:sz w:val="16"/>
              </w:rPr>
              <w:t>Training material version</w:t>
            </w:r>
          </w:p>
        </w:tc>
        <w:tc>
          <w:tcPr>
            <w:tcW w:type="dxa" w:w="6480"/>
            <w:tcMar>
              <w:top w:w="90" w:type="dxa"/>
              <w:start w:w="90" w:type="dxa"/>
              <w:bottom w:w="90" w:type="dxa"/>
              <w:end w:w="90" w:type="dxa"/>
            </w:tcMar>
            <w:vAlign w:val="top"/>
          </w:tcPr>
          <w:p>
            <w:pPr>
              <w:pStyle w:val="BodyText"/>
              <w:spacing w:after="0"/>
            </w:pPr>
            <w:r>
              <w:rPr>
                <w:sz w:val="16"/>
              </w:rPr>
              <w:t>Matches deployed release and explanation templates.</w:t>
            </w:r>
          </w:p>
        </w:tc>
      </w:tr>
      <w:tr>
        <w:tc>
          <w:tcPr>
            <w:tcW w:type="dxa" w:w="2880"/>
            <w:tcMar>
              <w:top w:w="90" w:type="dxa"/>
              <w:start w:w="90" w:type="dxa"/>
              <w:bottom w:w="90" w:type="dxa"/>
              <w:end w:w="90" w:type="dxa"/>
            </w:tcMar>
            <w:vAlign w:val="top"/>
            <w:shd w:fill="F8FBFD"/>
          </w:tcPr>
          <w:p>
            <w:pPr>
              <w:pStyle w:val="BodyText"/>
              <w:spacing w:after="0"/>
            </w:pPr>
            <w:r>
              <w:rPr>
                <w:sz w:val="16"/>
              </w:rPr>
              <w:t>Attendance/acknowledgment</w:t>
            </w:r>
          </w:p>
        </w:tc>
        <w:tc>
          <w:tcPr>
            <w:tcW w:type="dxa" w:w="6480"/>
            <w:tcMar>
              <w:top w:w="90" w:type="dxa"/>
              <w:start w:w="90" w:type="dxa"/>
              <w:bottom w:w="90" w:type="dxa"/>
              <w:end w:w="90" w:type="dxa"/>
            </w:tcMar>
            <w:vAlign w:val="top"/>
            <w:shd w:fill="F8FBFD"/>
          </w:tcPr>
          <w:p>
            <w:pPr>
              <w:pStyle w:val="BodyText"/>
              <w:spacing w:after="0"/>
            </w:pPr>
            <w:r>
              <w:rPr>
                <w:sz w:val="16"/>
              </w:rPr>
              <w:t>Identifies user, role, date, and trainer.</w:t>
            </w:r>
          </w:p>
        </w:tc>
      </w:tr>
      <w:tr>
        <w:tc>
          <w:tcPr>
            <w:tcW w:type="dxa" w:w="2880"/>
            <w:tcMar>
              <w:top w:w="90" w:type="dxa"/>
              <w:start w:w="90" w:type="dxa"/>
              <w:bottom w:w="90" w:type="dxa"/>
              <w:end w:w="90" w:type="dxa"/>
            </w:tcMar>
            <w:vAlign w:val="top"/>
          </w:tcPr>
          <w:p>
            <w:pPr>
              <w:pStyle w:val="BodyText"/>
              <w:spacing w:after="0"/>
            </w:pPr>
            <w:r>
              <w:rPr>
                <w:sz w:val="16"/>
              </w:rPr>
              <w:t>Competency check</w:t>
            </w:r>
          </w:p>
        </w:tc>
        <w:tc>
          <w:tcPr>
            <w:tcW w:type="dxa" w:w="6480"/>
            <w:tcMar>
              <w:top w:w="90" w:type="dxa"/>
              <w:start w:w="90" w:type="dxa"/>
              <w:bottom w:w="90" w:type="dxa"/>
              <w:end w:w="90" w:type="dxa"/>
            </w:tcMar>
            <w:vAlign w:val="top"/>
          </w:tcPr>
          <w:p>
            <w:pPr>
              <w:pStyle w:val="BodyText"/>
              <w:spacing w:after="0"/>
            </w:pPr>
            <w:r>
              <w:rPr>
                <w:sz w:val="16"/>
              </w:rPr>
              <w:t>Scenario questions for HIGH, LOW, INCOMPLETE, urgent referral, ML failure, and privacy.</w:t>
            </w:r>
          </w:p>
        </w:tc>
      </w:tr>
      <w:tr>
        <w:tc>
          <w:tcPr>
            <w:tcW w:type="dxa" w:w="2880"/>
            <w:tcMar>
              <w:top w:w="90" w:type="dxa"/>
              <w:start w:w="90" w:type="dxa"/>
              <w:bottom w:w="90" w:type="dxa"/>
              <w:end w:w="90" w:type="dxa"/>
            </w:tcMar>
            <w:vAlign w:val="top"/>
            <w:shd w:fill="F8FBFD"/>
          </w:tcPr>
          <w:p>
            <w:pPr>
              <w:pStyle w:val="BodyText"/>
              <w:spacing w:after="0"/>
            </w:pPr>
            <w:r>
              <w:rPr>
                <w:sz w:val="16"/>
              </w:rPr>
              <w:t>Remediation</w:t>
            </w:r>
          </w:p>
        </w:tc>
        <w:tc>
          <w:tcPr>
            <w:tcW w:type="dxa" w:w="6480"/>
            <w:tcMar>
              <w:top w:w="90" w:type="dxa"/>
              <w:start w:w="90" w:type="dxa"/>
              <w:bottom w:w="90" w:type="dxa"/>
              <w:end w:w="90" w:type="dxa"/>
            </w:tcMar>
            <w:vAlign w:val="top"/>
            <w:shd w:fill="F8FBFD"/>
          </w:tcPr>
          <w:p>
            <w:pPr>
              <w:pStyle w:val="BodyText"/>
              <w:spacing w:after="0"/>
            </w:pPr>
            <w:r>
              <w:rPr>
                <w:sz w:val="16"/>
              </w:rPr>
              <w:t>Additional training for incorrect safety-critical responses.</w:t>
            </w:r>
          </w:p>
        </w:tc>
      </w:tr>
      <w:tr>
        <w:tc>
          <w:tcPr>
            <w:tcW w:type="dxa" w:w="2880"/>
            <w:tcMar>
              <w:top w:w="90" w:type="dxa"/>
              <w:start w:w="90" w:type="dxa"/>
              <w:bottom w:w="90" w:type="dxa"/>
              <w:end w:w="90" w:type="dxa"/>
            </w:tcMar>
            <w:vAlign w:val="top"/>
          </w:tcPr>
          <w:p>
            <w:pPr>
              <w:pStyle w:val="BodyText"/>
              <w:spacing w:after="0"/>
            </w:pPr>
            <w:r>
              <w:rPr>
                <w:sz w:val="16"/>
              </w:rPr>
              <w:t>Refresh trigger</w:t>
            </w:r>
          </w:p>
        </w:tc>
        <w:tc>
          <w:tcPr>
            <w:tcW w:type="dxa" w:w="6480"/>
            <w:tcMar>
              <w:top w:w="90" w:type="dxa"/>
              <w:start w:w="90" w:type="dxa"/>
              <w:bottom w:w="90" w:type="dxa"/>
              <w:end w:w="90" w:type="dxa"/>
            </w:tcMar>
            <w:vAlign w:val="top"/>
          </w:tcPr>
          <w:p>
            <w:pPr>
              <w:pStyle w:val="BodyText"/>
              <w:spacing w:after="0"/>
            </w:pPr>
            <w:r>
              <w:rPr>
                <w:sz w:val="16"/>
              </w:rPr>
              <w:t>Material release, incident, long absence, or recurring misunderstanding.</w:t>
            </w:r>
          </w:p>
        </w:tc>
      </w:tr>
    </w:tbl>
    <w:p>
      <w:pPr>
        <w:spacing w:after="0"/>
      </w:pPr>
    </w:p>
    <w:p>
      <w:pPr>
        <w:pStyle w:val="Heading2"/>
        <w:keepNext/>
      </w:pPr>
      <w:r>
        <w:t>12.3 Human override and disagreement</w:t>
      </w:r>
    </w:p>
    <w:p>
      <w:pPr>
        <w:pStyle w:val="BodyText"/>
      </w:pPr>
      <w:r>
        <w:t>A professional may disagree with the software and must remain able to act on clinical judgment. The system should permit documentation of the action taken and rationale without deleting the original CDSS result. Override patterns are monitored as signals for possible rule, model, wording, data-quality, or workflow problems. The system must never discourage urgent action because an automated result appears LOW.</w:t>
      </w:r>
    </w:p>
    <w:p>
      <w:pPr>
        <w:pStyle w:val="Heading1"/>
        <w:keepNext/>
      </w:pPr>
      <w:r>
        <w:t>13. Documentation and Governance Evidence</w:t>
      </w:r>
    </w:p>
    <w:p>
      <w:pPr>
        <w:pStyle w:val="Heading2"/>
        <w:keepNext/>
      </w:pPr>
      <w:r>
        <w:t>13.1 Required document set</w:t>
      </w:r>
    </w:p>
    <w:p>
      <w:pPr>
        <w:pStyle w:val="ListBullet"/>
      </w:pPr>
      <w:r>
        <w:t>System purpose, intended users, intended use, exclusions, and clinic scope.</w:t>
      </w:r>
    </w:p>
    <w:p>
      <w:pPr>
        <w:pStyle w:val="ListBullet"/>
      </w:pPr>
      <w:r>
        <w:t>Clinical rule catalog and source rationale.</w:t>
      </w:r>
    </w:p>
    <w:p>
      <w:pPr>
        <w:pStyle w:val="ListBullet"/>
      </w:pPr>
      <w:r>
        <w:t>Decision policy and state-transition specification.</w:t>
      </w:r>
    </w:p>
    <w:p>
      <w:pPr>
        <w:pStyle w:val="ListBullet"/>
      </w:pPr>
      <w:r>
        <w:t>Model card or equivalent model record.</w:t>
      </w:r>
    </w:p>
    <w:p>
      <w:pPr>
        <w:pStyle w:val="ListBullet"/>
      </w:pPr>
      <w:r>
        <w:t>Feature and preprocessing contract.</w:t>
      </w:r>
    </w:p>
    <w:p>
      <w:pPr>
        <w:pStyle w:val="ListBullet"/>
      </w:pPr>
      <w:r>
        <w:t>Reason and explanation template catalog.</w:t>
      </w:r>
    </w:p>
    <w:p>
      <w:pPr>
        <w:pStyle w:val="ListBullet"/>
      </w:pPr>
      <w:r>
        <w:t>User-centered presentation specification.</w:t>
      </w:r>
    </w:p>
    <w:p>
      <w:pPr>
        <w:pStyle w:val="ListBullet"/>
      </w:pPr>
      <w:r>
        <w:t>Explainability quality evaluation plan and reports.</w:t>
      </w:r>
    </w:p>
    <w:p>
      <w:pPr>
        <w:pStyle w:val="ListBullet"/>
      </w:pPr>
      <w:r>
        <w:t>Risk register and unresolved limitation register.</w:t>
      </w:r>
    </w:p>
    <w:p>
      <w:pPr>
        <w:pStyle w:val="ListBullet"/>
      </w:pPr>
      <w:r>
        <w:t>Change requests, impact assessments, approvals, and release manifests.</w:t>
      </w:r>
    </w:p>
    <w:p>
      <w:pPr>
        <w:pStyle w:val="ListBullet"/>
      </w:pPr>
      <w:r>
        <w:t>Incident, corrective-action, and post-implementation review records.</w:t>
      </w:r>
    </w:p>
    <w:p>
      <w:pPr>
        <w:pStyle w:val="ListBullet"/>
      </w:pPr>
      <w:r>
        <w:t>Training material and competency evidence.</w:t>
      </w:r>
    </w:p>
    <w:p>
      <w:pPr>
        <w:pStyle w:val="ListBullet"/>
      </w:pPr>
      <w:r>
        <w:t>Retirement and archival plan.</w:t>
      </w:r>
    </w:p>
    <w:p>
      <w:pPr>
        <w:pStyle w:val="Heading2"/>
        <w:keepNext/>
      </w:pPr>
      <w:r>
        <w:t>13.2 Governance register fields</w:t>
      </w:r>
    </w:p>
    <w:tbl>
      <w:tblPr>
        <w:tblStyle w:val="TableGrid"/>
        <w:tblW w:type="auto" w:w="0"/>
        <w:jc w:val="center"/>
        <w:tblLook w:firstColumn="1" w:firstRow="1" w:lastColumn="0" w:lastRow="0" w:noHBand="0" w:noVBand="1" w:val="04A0"/>
      </w:tblPr>
      <w:tblGrid>
        <w:gridCol w:w="10080"/>
      </w:tblGrid>
      <w:tr>
        <w:tc>
          <w:tcPr>
            <w:tcW w:type="dxa" w:w="10080"/>
            <w:shd w:fill="F4F6F8"/>
            <w:tcMar>
              <w:top w:w="130" w:type="dxa"/>
              <w:start w:w="150" w:type="dxa"/>
              <w:bottom w:w="130" w:type="dxa"/>
              <w:end w:w="150" w:type="dxa"/>
            </w:tcMar>
          </w:tcPr>
          <w:p>
            <w:r>
              <w:rPr>
                <w:rFonts w:ascii="Consolas" w:hAnsi="Consolas"/>
                <w:sz w:val="16"/>
              </w:rPr>
              <w:t>governance_item_id</w:t>
            </w:r>
            <w:r>
              <w:br/>
            </w:r>
            <w:r>
              <w:rPr>
                <w:rFonts w:ascii="Consolas" w:hAnsi="Consolas"/>
                <w:sz w:val="16"/>
              </w:rPr>
              <w:t>asset_type</w:t>
            </w:r>
            <w:r>
              <w:br/>
            </w:r>
            <w:r>
              <w:rPr>
                <w:rFonts w:ascii="Consolas" w:hAnsi="Consolas"/>
                <w:sz w:val="16"/>
              </w:rPr>
              <w:t>asset_id / version</w:t>
            </w:r>
            <w:r>
              <w:br/>
            </w:r>
            <w:r>
              <w:rPr>
                <w:rFonts w:ascii="Consolas" w:hAnsi="Consolas"/>
                <w:sz w:val="16"/>
              </w:rPr>
              <w:t>owner</w:t>
            </w:r>
            <w:r>
              <w:br/>
            </w:r>
            <w:r>
              <w:rPr>
                <w:rFonts w:ascii="Consolas" w:hAnsi="Consolas"/>
                <w:sz w:val="16"/>
              </w:rPr>
              <w:t>status: draft | under_review | approved | deployed | suspended | retired</w:t>
            </w:r>
            <w:r>
              <w:br/>
            </w:r>
            <w:r>
              <w:rPr>
                <w:rFonts w:ascii="Consolas" w:hAnsi="Consolas"/>
                <w:sz w:val="16"/>
              </w:rPr>
              <w:t>risk_class</w:t>
            </w:r>
            <w:r>
              <w:br/>
            </w:r>
            <w:r>
              <w:rPr>
                <w:rFonts w:ascii="Consolas" w:hAnsi="Consolas"/>
                <w:sz w:val="16"/>
              </w:rPr>
              <w:t>change_request_id</w:t>
            </w:r>
            <w:r>
              <w:br/>
            </w:r>
            <w:r>
              <w:rPr>
                <w:rFonts w:ascii="Consolas" w:hAnsi="Consolas"/>
                <w:sz w:val="16"/>
              </w:rPr>
              <w:t>approvals</w:t>
            </w:r>
            <w:r>
              <w:br/>
            </w:r>
            <w:r>
              <w:rPr>
                <w:rFonts w:ascii="Consolas" w:hAnsi="Consolas"/>
                <w:sz w:val="16"/>
              </w:rPr>
              <w:t>effective_from / effective_to</w:t>
            </w:r>
            <w:r>
              <w:br/>
            </w:r>
            <w:r>
              <w:rPr>
                <w:rFonts w:ascii="Consolas" w:hAnsi="Consolas"/>
                <w:sz w:val="16"/>
              </w:rPr>
              <w:t>related_test_report</w:t>
            </w:r>
            <w:r>
              <w:br/>
            </w:r>
            <w:r>
              <w:rPr>
                <w:rFonts w:ascii="Consolas" w:hAnsi="Consolas"/>
                <w:sz w:val="16"/>
              </w:rPr>
              <w:t>related_release</w:t>
            </w:r>
            <w:r>
              <w:br/>
            </w:r>
            <w:r>
              <w:rPr>
                <w:rFonts w:ascii="Consolas" w:hAnsi="Consolas"/>
                <w:sz w:val="16"/>
              </w:rPr>
              <w:t>known_limitations</w:t>
            </w:r>
            <w:r>
              <w:br/>
            </w:r>
            <w:r>
              <w:rPr>
                <w:rFonts w:ascii="Consolas" w:hAnsi="Consolas"/>
                <w:sz w:val="16"/>
              </w:rPr>
              <w:t>retention_location</w:t>
            </w:r>
          </w:p>
        </w:tc>
      </w:tr>
    </w:tbl>
    <w:p>
      <w:pPr>
        <w:spacing w:after="0"/>
      </w:pPr>
    </w:p>
    <w:p>
      <w:pPr>
        <w:pStyle w:val="Heading2"/>
        <w:keepNext/>
      </w:pPr>
      <w:r>
        <w:t>13.3 Thesis claim control</w:t>
      </w:r>
    </w:p>
    <w:p>
      <w:pPr>
        <w:pStyle w:val="BodyText"/>
      </w:pPr>
      <w:r>
        <w:t>The thesis and defense materials must describe the system according to verified implementation and evidence. The project should not claim clinical effectiveness, regulatory clearance, continuous monitoring, multilingual validation, or advanced model explanations unless those capabilities were actually implemented and evaluated. Planned capabilities must be labeled as future work.</w:t>
      </w:r>
    </w:p>
    <w:p>
      <w:pPr>
        <w:pStyle w:val="Heading1"/>
        <w:keepNext/>
      </w:pPr>
      <w:r>
        <w:t>14. Retirement, Suspension, and End-of-Life</w:t>
      </w:r>
    </w:p>
    <w:p>
      <w:pPr>
        <w:pStyle w:val="Heading2"/>
        <w:keepNext/>
      </w:pPr>
      <w:r>
        <w:t>14.1 Retirement triggers</w:t>
      </w:r>
    </w:p>
    <w:p>
      <w:pPr>
        <w:pStyle w:val="ListBullet"/>
      </w:pPr>
      <w:r>
        <w:t>Clinical guidance or clinic scope changes make the rule set inappropriate.</w:t>
      </w:r>
    </w:p>
    <w:p>
      <w:pPr>
        <w:pStyle w:val="ListBullet"/>
      </w:pPr>
      <w:r>
        <w:t>The model cannot be maintained, validated, or reproduced.</w:t>
      </w:r>
    </w:p>
    <w:p>
      <w:pPr>
        <w:pStyle w:val="ListBullet"/>
      </w:pPr>
      <w:r>
        <w:t>Dependencies or operating environment become unsupported or insecure.</w:t>
      </w:r>
    </w:p>
    <w:p>
      <w:pPr>
        <w:pStyle w:val="ListBullet"/>
      </w:pPr>
      <w:r>
        <w:t>Monitoring reveals unresolved safety, equity, privacy, or reliability risk.</w:t>
      </w:r>
    </w:p>
    <w:p>
      <w:pPr>
        <w:pStyle w:val="ListBullet"/>
      </w:pPr>
      <w:r>
        <w:t>The system is replaced by a better controlled process or product.</w:t>
      </w:r>
    </w:p>
    <w:p>
      <w:pPr>
        <w:pStyle w:val="ListBullet"/>
      </w:pPr>
      <w:r>
        <w:t>Governance ownership, training, or incident-response capability is no longer available.</w:t>
      </w:r>
    </w:p>
    <w:p>
      <w:pPr>
        <w:pStyle w:val="Heading2"/>
        <w:keepNext/>
      </w:pPr>
      <w:r>
        <w:t>14.2 Suspension versus retirement</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1800"/>
            <w:shd w:fill="1F4E79"/>
            <w:tcMar>
              <w:top w:w="90" w:type="dxa"/>
              <w:start w:w="90" w:type="dxa"/>
              <w:bottom w:w="90" w:type="dxa"/>
              <w:end w:w="90" w:type="dxa"/>
            </w:tcMar>
            <w:vAlign w:val="center"/>
          </w:tcPr>
          <w:p>
            <w:pPr>
              <w:jc w:val="center"/>
            </w:pPr>
            <w:r>
              <w:rPr>
                <w:b/>
                <w:color w:val="FFFFFF"/>
                <w:sz w:val="16"/>
              </w:rPr>
              <w:t>State</w:t>
            </w:r>
          </w:p>
        </w:tc>
        <w:tc>
          <w:tcPr>
            <w:tcW w:type="dxa" w:w="3240"/>
            <w:shd w:fill="1F4E79"/>
            <w:tcMar>
              <w:top w:w="90" w:type="dxa"/>
              <w:start w:w="90" w:type="dxa"/>
              <w:bottom w:w="90" w:type="dxa"/>
              <w:end w:w="90" w:type="dxa"/>
            </w:tcMar>
            <w:vAlign w:val="center"/>
          </w:tcPr>
          <w:p>
            <w:pPr>
              <w:jc w:val="center"/>
            </w:pPr>
            <w:r>
              <w:rPr>
                <w:b/>
                <w:color w:val="FFFFFF"/>
                <w:sz w:val="16"/>
              </w:rPr>
              <w:t>Meaning</w:t>
            </w:r>
          </w:p>
        </w:tc>
        <w:tc>
          <w:tcPr>
            <w:tcW w:type="dxa" w:w="4320"/>
            <w:shd w:fill="1F4E79"/>
            <w:tcMar>
              <w:top w:w="90" w:type="dxa"/>
              <w:start w:w="90" w:type="dxa"/>
              <w:bottom w:w="90" w:type="dxa"/>
              <w:end w:w="90" w:type="dxa"/>
            </w:tcMar>
            <w:vAlign w:val="center"/>
          </w:tcPr>
          <w:p>
            <w:pPr>
              <w:jc w:val="center"/>
            </w:pPr>
            <w:r>
              <w:rPr>
                <w:b/>
                <w:color w:val="FFFFFF"/>
                <w:sz w:val="16"/>
              </w:rPr>
              <w:t>Required behavior</w:t>
            </w:r>
          </w:p>
        </w:tc>
      </w:tr>
      <w:tr>
        <w:tc>
          <w:tcPr>
            <w:tcW w:type="dxa" w:w="1800"/>
            <w:tcMar>
              <w:top w:w="90" w:type="dxa"/>
              <w:start w:w="90" w:type="dxa"/>
              <w:bottom w:w="90" w:type="dxa"/>
              <w:end w:w="90" w:type="dxa"/>
            </w:tcMar>
            <w:vAlign w:val="top"/>
          </w:tcPr>
          <w:p>
            <w:pPr>
              <w:pStyle w:val="BodyText"/>
              <w:spacing w:after="0"/>
            </w:pPr>
            <w:r>
              <w:rPr>
                <w:sz w:val="16"/>
              </w:rPr>
              <w:t>Active</w:t>
            </w:r>
          </w:p>
        </w:tc>
        <w:tc>
          <w:tcPr>
            <w:tcW w:type="dxa" w:w="3240"/>
            <w:tcMar>
              <w:top w:w="90" w:type="dxa"/>
              <w:start w:w="90" w:type="dxa"/>
              <w:bottom w:w="90" w:type="dxa"/>
              <w:end w:w="90" w:type="dxa"/>
            </w:tcMar>
            <w:vAlign w:val="top"/>
          </w:tcPr>
          <w:p>
            <w:pPr>
              <w:pStyle w:val="BodyText"/>
              <w:spacing w:after="0"/>
            </w:pPr>
            <w:r>
              <w:rPr>
                <w:sz w:val="16"/>
              </w:rPr>
              <w:t>Approved and monitored for defined use.</w:t>
            </w:r>
          </w:p>
        </w:tc>
        <w:tc>
          <w:tcPr>
            <w:tcW w:type="dxa" w:w="4320"/>
            <w:tcMar>
              <w:top w:w="90" w:type="dxa"/>
              <w:start w:w="90" w:type="dxa"/>
              <w:bottom w:w="90" w:type="dxa"/>
              <w:end w:w="90" w:type="dxa"/>
            </w:tcMar>
            <w:vAlign w:val="top"/>
          </w:tcPr>
          <w:p>
            <w:pPr>
              <w:pStyle w:val="BodyText"/>
              <w:spacing w:after="0"/>
            </w:pPr>
            <w:r>
              <w:rPr>
                <w:sz w:val="16"/>
              </w:rPr>
              <w:t>Normal controlled operation.</w:t>
            </w:r>
          </w:p>
        </w:tc>
      </w:tr>
      <w:tr>
        <w:tc>
          <w:tcPr>
            <w:tcW w:type="dxa" w:w="1800"/>
            <w:tcMar>
              <w:top w:w="90" w:type="dxa"/>
              <w:start w:w="90" w:type="dxa"/>
              <w:bottom w:w="90" w:type="dxa"/>
              <w:end w:w="90" w:type="dxa"/>
            </w:tcMar>
            <w:vAlign w:val="top"/>
            <w:shd w:fill="F8FBFD"/>
          </w:tcPr>
          <w:p>
            <w:pPr>
              <w:pStyle w:val="BodyText"/>
              <w:spacing w:after="0"/>
            </w:pPr>
            <w:r>
              <w:rPr>
                <w:sz w:val="16"/>
              </w:rPr>
              <w:t>Restricted</w:t>
            </w:r>
          </w:p>
        </w:tc>
        <w:tc>
          <w:tcPr>
            <w:tcW w:type="dxa" w:w="3240"/>
            <w:tcMar>
              <w:top w:w="90" w:type="dxa"/>
              <w:start w:w="90" w:type="dxa"/>
              <w:bottom w:w="90" w:type="dxa"/>
              <w:end w:w="90" w:type="dxa"/>
            </w:tcMar>
            <w:vAlign w:val="top"/>
            <w:shd w:fill="F8FBFD"/>
          </w:tcPr>
          <w:p>
            <w:pPr>
              <w:pStyle w:val="BodyText"/>
              <w:spacing w:after="0"/>
            </w:pPr>
            <w:r>
              <w:rPr>
                <w:sz w:val="16"/>
              </w:rPr>
              <w:t>Use limited to specific users, cases, or observation mode.</w:t>
            </w:r>
          </w:p>
        </w:tc>
        <w:tc>
          <w:tcPr>
            <w:tcW w:type="dxa" w:w="4320"/>
            <w:tcMar>
              <w:top w:w="90" w:type="dxa"/>
              <w:start w:w="90" w:type="dxa"/>
              <w:bottom w:w="90" w:type="dxa"/>
              <w:end w:w="90" w:type="dxa"/>
            </w:tcMar>
            <w:vAlign w:val="top"/>
            <w:shd w:fill="F8FBFD"/>
          </w:tcPr>
          <w:p>
            <w:pPr>
              <w:pStyle w:val="BodyText"/>
              <w:spacing w:after="0"/>
            </w:pPr>
            <w:r>
              <w:rPr>
                <w:sz w:val="16"/>
              </w:rPr>
              <w:t>Display restriction and documented conditions.</w:t>
            </w:r>
          </w:p>
        </w:tc>
      </w:tr>
      <w:tr>
        <w:tc>
          <w:tcPr>
            <w:tcW w:type="dxa" w:w="1800"/>
            <w:tcMar>
              <w:top w:w="90" w:type="dxa"/>
              <w:start w:w="90" w:type="dxa"/>
              <w:bottom w:w="90" w:type="dxa"/>
              <w:end w:w="90" w:type="dxa"/>
            </w:tcMar>
            <w:vAlign w:val="top"/>
          </w:tcPr>
          <w:p>
            <w:pPr>
              <w:pStyle w:val="BodyText"/>
              <w:spacing w:after="0"/>
            </w:pPr>
            <w:r>
              <w:rPr>
                <w:sz w:val="16"/>
              </w:rPr>
              <w:t>Suspended</w:t>
            </w:r>
          </w:p>
        </w:tc>
        <w:tc>
          <w:tcPr>
            <w:tcW w:type="dxa" w:w="3240"/>
            <w:tcMar>
              <w:top w:w="90" w:type="dxa"/>
              <w:start w:w="90" w:type="dxa"/>
              <w:bottom w:w="90" w:type="dxa"/>
              <w:end w:w="90" w:type="dxa"/>
            </w:tcMar>
            <w:vAlign w:val="top"/>
          </w:tcPr>
          <w:p>
            <w:pPr>
              <w:pStyle w:val="BodyText"/>
              <w:spacing w:after="0"/>
            </w:pPr>
            <w:r>
              <w:rPr>
                <w:sz w:val="16"/>
              </w:rPr>
              <w:t>Temporarily unavailable due to incident, evidence gap, or maintenance.</w:t>
            </w:r>
          </w:p>
        </w:tc>
        <w:tc>
          <w:tcPr>
            <w:tcW w:type="dxa" w:w="4320"/>
            <w:tcMar>
              <w:top w:w="90" w:type="dxa"/>
              <w:start w:w="90" w:type="dxa"/>
              <w:bottom w:w="90" w:type="dxa"/>
              <w:end w:w="90" w:type="dxa"/>
            </w:tcMar>
            <w:vAlign w:val="top"/>
          </w:tcPr>
          <w:p>
            <w:pPr>
              <w:pStyle w:val="BodyText"/>
              <w:spacing w:after="0"/>
            </w:pPr>
            <w:r>
              <w:rPr>
                <w:sz w:val="16"/>
              </w:rPr>
              <w:t>Safe fallback, communication, preserved records, investigation.</w:t>
            </w:r>
          </w:p>
        </w:tc>
      </w:tr>
      <w:tr>
        <w:tc>
          <w:tcPr>
            <w:tcW w:type="dxa" w:w="1800"/>
            <w:tcMar>
              <w:top w:w="90" w:type="dxa"/>
              <w:start w:w="90" w:type="dxa"/>
              <w:bottom w:w="90" w:type="dxa"/>
              <w:end w:w="90" w:type="dxa"/>
            </w:tcMar>
            <w:vAlign w:val="top"/>
            <w:shd w:fill="F8FBFD"/>
          </w:tcPr>
          <w:p>
            <w:pPr>
              <w:pStyle w:val="BodyText"/>
              <w:spacing w:after="0"/>
            </w:pPr>
            <w:r>
              <w:rPr>
                <w:sz w:val="16"/>
              </w:rPr>
              <w:t>Retired</w:t>
            </w:r>
          </w:p>
        </w:tc>
        <w:tc>
          <w:tcPr>
            <w:tcW w:type="dxa" w:w="3240"/>
            <w:tcMar>
              <w:top w:w="90" w:type="dxa"/>
              <w:start w:w="90" w:type="dxa"/>
              <w:bottom w:w="90" w:type="dxa"/>
              <w:end w:w="90" w:type="dxa"/>
            </w:tcMar>
            <w:vAlign w:val="top"/>
            <w:shd w:fill="F8FBFD"/>
          </w:tcPr>
          <w:p>
            <w:pPr>
              <w:pStyle w:val="BodyText"/>
              <w:spacing w:after="0"/>
            </w:pPr>
            <w:r>
              <w:rPr>
                <w:sz w:val="16"/>
              </w:rPr>
              <w:t>No longer approved for new assessments.</w:t>
            </w:r>
          </w:p>
        </w:tc>
        <w:tc>
          <w:tcPr>
            <w:tcW w:type="dxa" w:w="4320"/>
            <w:tcMar>
              <w:top w:w="90" w:type="dxa"/>
              <w:start w:w="90" w:type="dxa"/>
              <w:bottom w:w="90" w:type="dxa"/>
              <w:end w:w="90" w:type="dxa"/>
            </w:tcMar>
            <w:vAlign w:val="top"/>
            <w:shd w:fill="F8FBFD"/>
          </w:tcPr>
          <w:p>
            <w:pPr>
              <w:pStyle w:val="BodyText"/>
              <w:spacing w:after="0"/>
            </w:pPr>
            <w:r>
              <w:rPr>
                <w:sz w:val="16"/>
              </w:rPr>
              <w:t>Prevent new use; preserve historical audit and documentation.</w:t>
            </w:r>
          </w:p>
        </w:tc>
      </w:tr>
      <w:tr>
        <w:tc>
          <w:tcPr>
            <w:tcW w:type="dxa" w:w="1800"/>
            <w:tcMar>
              <w:top w:w="90" w:type="dxa"/>
              <w:start w:w="90" w:type="dxa"/>
              <w:bottom w:w="90" w:type="dxa"/>
              <w:end w:w="90" w:type="dxa"/>
            </w:tcMar>
            <w:vAlign w:val="top"/>
          </w:tcPr>
          <w:p>
            <w:pPr>
              <w:pStyle w:val="BodyText"/>
              <w:spacing w:after="0"/>
            </w:pPr>
            <w:r>
              <w:rPr>
                <w:sz w:val="16"/>
              </w:rPr>
              <w:t>Archived research-only</w:t>
            </w:r>
          </w:p>
        </w:tc>
        <w:tc>
          <w:tcPr>
            <w:tcW w:type="dxa" w:w="3240"/>
            <w:tcMar>
              <w:top w:w="90" w:type="dxa"/>
              <w:start w:w="90" w:type="dxa"/>
              <w:bottom w:w="90" w:type="dxa"/>
              <w:end w:w="90" w:type="dxa"/>
            </w:tcMar>
            <w:vAlign w:val="top"/>
          </w:tcPr>
          <w:p>
            <w:pPr>
              <w:pStyle w:val="BodyText"/>
              <w:spacing w:after="0"/>
            </w:pPr>
            <w:r>
              <w:rPr>
                <w:sz w:val="16"/>
              </w:rPr>
              <w:t>Retained for reproducibility or thesis evidence, not clinical workflow.</w:t>
            </w:r>
          </w:p>
        </w:tc>
        <w:tc>
          <w:tcPr>
            <w:tcW w:type="dxa" w:w="4320"/>
            <w:tcMar>
              <w:top w:w="90" w:type="dxa"/>
              <w:start w:w="90" w:type="dxa"/>
              <w:bottom w:w="90" w:type="dxa"/>
              <w:end w:w="90" w:type="dxa"/>
            </w:tcMar>
            <w:vAlign w:val="top"/>
          </w:tcPr>
          <w:p>
            <w:pPr>
              <w:pStyle w:val="BodyText"/>
              <w:spacing w:after="0"/>
            </w:pPr>
            <w:r>
              <w:rPr>
                <w:sz w:val="16"/>
              </w:rPr>
              <w:t>Access controlled; clearly labeled non-operational.</w:t>
            </w:r>
          </w:p>
        </w:tc>
      </w:tr>
    </w:tbl>
    <w:p>
      <w:pPr>
        <w:spacing w:after="0"/>
      </w:pPr>
    </w:p>
    <w:p>
      <w:pPr>
        <w:pStyle w:val="Heading2"/>
        <w:keepNext/>
      </w:pPr>
      <w:r>
        <w:t>14.3 End-of-life checklist</w:t>
      </w:r>
    </w:p>
    <w:p>
      <w:pPr>
        <w:pStyle w:val="ListBullet"/>
      </w:pPr>
      <w:r>
        <w:t>Stop new assessments through the retired component.</w:t>
      </w:r>
    </w:p>
    <w:p>
      <w:pPr>
        <w:pStyle w:val="ListBullet"/>
      </w:pPr>
      <w:r>
        <w:t>Communicate effective date, reason, replacement process, and responsible contact.</w:t>
      </w:r>
    </w:p>
    <w:p>
      <w:pPr>
        <w:pStyle w:val="ListBullet"/>
      </w:pPr>
      <w:r>
        <w:t>Preserve historical versions, hashes, rules, templates, and audit records.</w:t>
      </w:r>
    </w:p>
    <w:p>
      <w:pPr>
        <w:pStyle w:val="ListBullet"/>
      </w:pPr>
      <w:r>
        <w:t>Remove credentials, scheduled tasks, unused model files, and unsupported integrations safely.</w:t>
      </w:r>
    </w:p>
    <w:p>
      <w:pPr>
        <w:pStyle w:val="ListBullet"/>
      </w:pPr>
      <w:r>
        <w:t>Confirm backups and retention requirements.</w:t>
      </w:r>
    </w:p>
    <w:p>
      <w:pPr>
        <w:pStyle w:val="ListBullet"/>
      </w:pPr>
      <w:r>
        <w:t>Update training, user interface, SOPs, thesis documentation, and risk register.</w:t>
      </w:r>
    </w:p>
    <w:p>
      <w:pPr>
        <w:pStyle w:val="ListBullet"/>
      </w:pPr>
      <w:r>
        <w:t>Conduct final review and record unresolved lessons for successor systems.</w:t>
      </w:r>
    </w:p>
    <w:p>
      <w:pPr>
        <w:pStyle w:val="Heading1"/>
        <w:keepNext/>
      </w:pPr>
      <w:r>
        <w:t>15. Governance Verification Scenarios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504"/>
            <w:shd w:fill="1F4E79"/>
            <w:tcMar>
              <w:top w:w="90" w:type="dxa"/>
              <w:start w:w="90" w:type="dxa"/>
              <w:bottom w:w="90" w:type="dxa"/>
              <w:end w:w="90" w:type="dxa"/>
            </w:tcMar>
            <w:vAlign w:val="center"/>
          </w:tcPr>
          <w:p>
            <w:pPr>
              <w:jc w:val="center"/>
            </w:pPr>
            <w:r>
              <w:rPr>
                <w:b/>
                <w:color w:val="FFFFFF"/>
                <w:sz w:val="14"/>
              </w:rPr>
              <w:t>#</w:t>
            </w:r>
          </w:p>
        </w:tc>
        <w:tc>
          <w:tcPr>
            <w:tcW w:type="dxa" w:w="4464"/>
            <w:shd w:fill="1F4E79"/>
            <w:tcMar>
              <w:top w:w="90" w:type="dxa"/>
              <w:start w:w="90" w:type="dxa"/>
              <w:bottom w:w="90" w:type="dxa"/>
              <w:end w:w="90" w:type="dxa"/>
            </w:tcMar>
            <w:vAlign w:val="center"/>
          </w:tcPr>
          <w:p>
            <w:pPr>
              <w:jc w:val="center"/>
            </w:pPr>
            <w:r>
              <w:rPr>
                <w:b/>
                <w:color w:val="FFFFFF"/>
                <w:sz w:val="14"/>
              </w:rPr>
              <w:t>Scenario</w:t>
            </w:r>
          </w:p>
        </w:tc>
        <w:tc>
          <w:tcPr>
            <w:tcW w:type="dxa" w:w="4392"/>
            <w:shd w:fill="1F4E79"/>
            <w:tcMar>
              <w:top w:w="90" w:type="dxa"/>
              <w:start w:w="90" w:type="dxa"/>
              <w:bottom w:w="90" w:type="dxa"/>
              <w:end w:w="90" w:type="dxa"/>
            </w:tcMar>
            <w:vAlign w:val="center"/>
          </w:tcPr>
          <w:p>
            <w:pPr>
              <w:jc w:val="center"/>
            </w:pPr>
            <w:r>
              <w:rPr>
                <w:b/>
                <w:color w:val="FFFFFF"/>
                <w:sz w:val="14"/>
              </w:rPr>
              <w:t>Expected governance evidence</w:t>
            </w:r>
          </w:p>
        </w:tc>
      </w:tr>
      <w:tr>
        <w:tc>
          <w:tcPr>
            <w:tcW w:type="dxa" w:w="504"/>
            <w:tcMar>
              <w:top w:w="90" w:type="dxa"/>
              <w:start w:w="90" w:type="dxa"/>
              <w:bottom w:w="90" w:type="dxa"/>
              <w:end w:w="90" w:type="dxa"/>
            </w:tcMar>
            <w:vAlign w:val="top"/>
          </w:tcPr>
          <w:p>
            <w:pPr>
              <w:pStyle w:val="BodyText"/>
              <w:spacing w:after="0"/>
            </w:pPr>
            <w:r>
              <w:rPr>
                <w:sz w:val="14"/>
              </w:rPr>
              <w:t>1</w:t>
            </w:r>
          </w:p>
        </w:tc>
        <w:tc>
          <w:tcPr>
            <w:tcW w:type="dxa" w:w="4464"/>
            <w:tcMar>
              <w:top w:w="90" w:type="dxa"/>
              <w:start w:w="90" w:type="dxa"/>
              <w:bottom w:w="90" w:type="dxa"/>
              <w:end w:w="90" w:type="dxa"/>
            </w:tcMar>
            <w:vAlign w:val="top"/>
          </w:tcPr>
          <w:p>
            <w:pPr>
              <w:pStyle w:val="BodyText"/>
              <w:spacing w:after="0"/>
            </w:pPr>
            <w:r>
              <w:rPr>
                <w:sz w:val="14"/>
              </w:rPr>
              <w:t>Developer proposes changing BP HIGH threshold.</w:t>
            </w:r>
          </w:p>
        </w:tc>
        <w:tc>
          <w:tcPr>
            <w:tcW w:type="dxa" w:w="4392"/>
            <w:tcMar>
              <w:top w:w="90" w:type="dxa"/>
              <w:start w:w="90" w:type="dxa"/>
              <w:bottom w:w="90" w:type="dxa"/>
              <w:end w:w="90" w:type="dxa"/>
            </w:tcMar>
            <w:vAlign w:val="top"/>
          </w:tcPr>
          <w:p>
            <w:pPr>
              <w:pStyle w:val="BodyText"/>
              <w:spacing w:after="0"/>
            </w:pPr>
            <w:r>
              <w:rPr>
                <w:sz w:val="14"/>
              </w:rPr>
              <w:t>Class A request, clinical rationale, boundary tests, approvals, new rule/policy version.</w:t>
            </w:r>
          </w:p>
        </w:tc>
      </w:tr>
      <w:tr>
        <w:tc>
          <w:tcPr>
            <w:tcW w:type="dxa" w:w="504"/>
            <w:tcMar>
              <w:top w:w="90" w:type="dxa"/>
              <w:start w:w="90" w:type="dxa"/>
              <w:bottom w:w="90" w:type="dxa"/>
              <w:end w:w="90" w:type="dxa"/>
            </w:tcMar>
            <w:vAlign w:val="top"/>
            <w:shd w:fill="F8FBFD"/>
          </w:tcPr>
          <w:p>
            <w:pPr>
              <w:pStyle w:val="BodyText"/>
              <w:spacing w:after="0"/>
            </w:pPr>
            <w:r>
              <w:rPr>
                <w:sz w:val="14"/>
              </w:rPr>
              <w:t>2</w:t>
            </w:r>
          </w:p>
        </w:tc>
        <w:tc>
          <w:tcPr>
            <w:tcW w:type="dxa" w:w="4464"/>
            <w:tcMar>
              <w:top w:w="90" w:type="dxa"/>
              <w:start w:w="90" w:type="dxa"/>
              <w:bottom w:w="90" w:type="dxa"/>
              <w:end w:w="90" w:type="dxa"/>
            </w:tcMar>
            <w:vAlign w:val="top"/>
            <w:shd w:fill="F8FBFD"/>
          </w:tcPr>
          <w:p>
            <w:pPr>
              <w:pStyle w:val="BodyText"/>
              <w:spacing w:after="0"/>
            </w:pPr>
            <w:r>
              <w:rPr>
                <w:sz w:val="14"/>
              </w:rPr>
              <w:t>Model file replaced accidentally.</w:t>
            </w:r>
          </w:p>
        </w:tc>
        <w:tc>
          <w:tcPr>
            <w:tcW w:type="dxa" w:w="4392"/>
            <w:tcMar>
              <w:top w:w="90" w:type="dxa"/>
              <w:start w:w="90" w:type="dxa"/>
              <w:bottom w:w="90" w:type="dxa"/>
              <w:end w:w="90" w:type="dxa"/>
            </w:tcMar>
            <w:vAlign w:val="top"/>
            <w:shd w:fill="F8FBFD"/>
          </w:tcPr>
          <w:p>
            <w:pPr>
              <w:pStyle w:val="BodyText"/>
              <w:spacing w:after="0"/>
            </w:pPr>
            <w:r>
              <w:rPr>
                <w:sz w:val="14"/>
              </w:rPr>
              <w:t>Hash mismatch blocks ML; incident record identifies affected release.</w:t>
            </w:r>
          </w:p>
        </w:tc>
      </w:tr>
      <w:tr>
        <w:tc>
          <w:tcPr>
            <w:tcW w:type="dxa" w:w="504"/>
            <w:tcMar>
              <w:top w:w="90" w:type="dxa"/>
              <w:start w:w="90" w:type="dxa"/>
              <w:bottom w:w="90" w:type="dxa"/>
              <w:end w:w="90" w:type="dxa"/>
            </w:tcMar>
            <w:vAlign w:val="top"/>
          </w:tcPr>
          <w:p>
            <w:pPr>
              <w:pStyle w:val="BodyText"/>
              <w:spacing w:after="0"/>
            </w:pPr>
            <w:r>
              <w:rPr>
                <w:sz w:val="14"/>
              </w:rPr>
              <w:t>3</w:t>
            </w:r>
          </w:p>
        </w:tc>
        <w:tc>
          <w:tcPr>
            <w:tcW w:type="dxa" w:w="4464"/>
            <w:tcMar>
              <w:top w:w="90" w:type="dxa"/>
              <w:start w:w="90" w:type="dxa"/>
              <w:bottom w:w="90" w:type="dxa"/>
              <w:end w:w="90" w:type="dxa"/>
            </w:tcMar>
            <w:vAlign w:val="top"/>
          </w:tcPr>
          <w:p>
            <w:pPr>
              <w:pStyle w:val="BodyText"/>
              <w:spacing w:after="0"/>
            </w:pPr>
            <w:r>
              <w:rPr>
                <w:sz w:val="14"/>
              </w:rPr>
              <w:t>Patient wording grammar corrected without meaning change.</w:t>
            </w:r>
          </w:p>
        </w:tc>
        <w:tc>
          <w:tcPr>
            <w:tcW w:type="dxa" w:w="4392"/>
            <w:tcMar>
              <w:top w:w="90" w:type="dxa"/>
              <w:start w:w="90" w:type="dxa"/>
              <w:bottom w:w="90" w:type="dxa"/>
              <w:end w:w="90" w:type="dxa"/>
            </w:tcMar>
            <w:vAlign w:val="top"/>
          </w:tcPr>
          <w:p>
            <w:pPr>
              <w:pStyle w:val="BodyText"/>
              <w:spacing w:after="0"/>
            </w:pPr>
            <w:r>
              <w:rPr>
                <w:sz w:val="14"/>
              </w:rPr>
              <w:t>Class E review, template patch version, visual/snapshot test.</w:t>
            </w:r>
          </w:p>
        </w:tc>
      </w:tr>
      <w:tr>
        <w:tc>
          <w:tcPr>
            <w:tcW w:type="dxa" w:w="504"/>
            <w:tcMar>
              <w:top w:w="90" w:type="dxa"/>
              <w:start w:w="90" w:type="dxa"/>
              <w:bottom w:w="90" w:type="dxa"/>
              <w:end w:w="90" w:type="dxa"/>
            </w:tcMar>
            <w:vAlign w:val="top"/>
            <w:shd w:fill="F8FBFD"/>
          </w:tcPr>
          <w:p>
            <w:pPr>
              <w:pStyle w:val="BodyText"/>
              <w:spacing w:after="0"/>
            </w:pPr>
            <w:r>
              <w:rPr>
                <w:sz w:val="14"/>
              </w:rPr>
              <w:t>4</w:t>
            </w:r>
          </w:p>
        </w:tc>
        <w:tc>
          <w:tcPr>
            <w:tcW w:type="dxa" w:w="4464"/>
            <w:tcMar>
              <w:top w:w="90" w:type="dxa"/>
              <w:start w:w="90" w:type="dxa"/>
              <w:bottom w:w="90" w:type="dxa"/>
              <w:end w:w="90" w:type="dxa"/>
            </w:tcMar>
            <w:vAlign w:val="top"/>
            <w:shd w:fill="F8FBFD"/>
          </w:tcPr>
          <w:p>
            <w:pPr>
              <w:pStyle w:val="BodyText"/>
              <w:spacing w:after="0"/>
            </w:pPr>
            <w:r>
              <w:rPr>
                <w:sz w:val="14"/>
              </w:rPr>
              <w:t>Patient wording changes “may require” to “requires emergency care.”</w:t>
            </w:r>
          </w:p>
        </w:tc>
        <w:tc>
          <w:tcPr>
            <w:tcW w:type="dxa" w:w="4392"/>
            <w:tcMar>
              <w:top w:w="90" w:type="dxa"/>
              <w:start w:w="90" w:type="dxa"/>
              <w:bottom w:w="90" w:type="dxa"/>
              <w:end w:w="90" w:type="dxa"/>
            </w:tcMar>
            <w:vAlign w:val="top"/>
            <w:shd w:fill="F8FBFD"/>
          </w:tcPr>
          <w:p>
            <w:pPr>
              <w:pStyle w:val="BodyText"/>
              <w:spacing w:after="0"/>
            </w:pPr>
            <w:r>
              <w:rPr>
                <w:sz w:val="14"/>
              </w:rPr>
              <w:t>Class C/A material review because meaning and action changed.</w:t>
            </w:r>
          </w:p>
        </w:tc>
      </w:tr>
      <w:tr>
        <w:tc>
          <w:tcPr>
            <w:tcW w:type="dxa" w:w="504"/>
            <w:tcMar>
              <w:top w:w="90" w:type="dxa"/>
              <w:start w:w="90" w:type="dxa"/>
              <w:bottom w:w="90" w:type="dxa"/>
              <w:end w:w="90" w:type="dxa"/>
            </w:tcMar>
            <w:vAlign w:val="top"/>
          </w:tcPr>
          <w:p>
            <w:pPr>
              <w:pStyle w:val="BodyText"/>
              <w:spacing w:after="0"/>
            </w:pPr>
            <w:r>
              <w:rPr>
                <w:sz w:val="14"/>
              </w:rPr>
              <w:t>5</w:t>
            </w:r>
          </w:p>
        </w:tc>
        <w:tc>
          <w:tcPr>
            <w:tcW w:type="dxa" w:w="4464"/>
            <w:tcMar>
              <w:top w:w="90" w:type="dxa"/>
              <w:start w:w="90" w:type="dxa"/>
              <w:bottom w:w="90" w:type="dxa"/>
              <w:end w:w="90" w:type="dxa"/>
            </w:tcMar>
            <w:vAlign w:val="top"/>
          </w:tcPr>
          <w:p>
            <w:pPr>
              <w:pStyle w:val="BodyText"/>
              <w:spacing w:after="0"/>
            </w:pPr>
            <w:r>
              <w:rPr>
                <w:sz w:val="14"/>
              </w:rPr>
              <w:t>Feature order changes in Python.</w:t>
            </w:r>
          </w:p>
        </w:tc>
        <w:tc>
          <w:tcPr>
            <w:tcW w:type="dxa" w:w="4392"/>
            <w:tcMar>
              <w:top w:w="90" w:type="dxa"/>
              <w:start w:w="90" w:type="dxa"/>
              <w:bottom w:w="90" w:type="dxa"/>
              <w:end w:w="90" w:type="dxa"/>
            </w:tcMar>
            <w:vAlign w:val="top"/>
          </w:tcPr>
          <w:p>
            <w:pPr>
              <w:pStyle w:val="BodyText"/>
              <w:spacing w:after="0"/>
            </w:pPr>
            <w:r>
              <w:rPr>
                <w:sz w:val="14"/>
              </w:rPr>
              <w:t>New feature schema; contract tests; incompatible old model blocked.</w:t>
            </w:r>
          </w:p>
        </w:tc>
      </w:tr>
      <w:tr>
        <w:tc>
          <w:tcPr>
            <w:tcW w:type="dxa" w:w="504"/>
            <w:tcMar>
              <w:top w:w="90" w:type="dxa"/>
              <w:start w:w="90" w:type="dxa"/>
              <w:bottom w:w="90" w:type="dxa"/>
              <w:end w:w="90" w:type="dxa"/>
            </w:tcMar>
            <w:vAlign w:val="top"/>
            <w:shd w:fill="F8FBFD"/>
          </w:tcPr>
          <w:p>
            <w:pPr>
              <w:pStyle w:val="BodyText"/>
              <w:spacing w:after="0"/>
            </w:pPr>
            <w:r>
              <w:rPr>
                <w:sz w:val="14"/>
              </w:rPr>
              <w:t>6</w:t>
            </w:r>
          </w:p>
        </w:tc>
        <w:tc>
          <w:tcPr>
            <w:tcW w:type="dxa" w:w="4464"/>
            <w:tcMar>
              <w:top w:w="90" w:type="dxa"/>
              <w:start w:w="90" w:type="dxa"/>
              <w:bottom w:w="90" w:type="dxa"/>
              <w:end w:w="90" w:type="dxa"/>
            </w:tcMar>
            <w:vAlign w:val="top"/>
            <w:shd w:fill="F8FBFD"/>
          </w:tcPr>
          <w:p>
            <w:pPr>
              <w:pStyle w:val="BodyText"/>
              <w:spacing w:after="0"/>
            </w:pPr>
            <w:r>
              <w:rPr>
                <w:sz w:val="14"/>
              </w:rPr>
              <w:t>Birth Plan completeness requirement removed.</w:t>
            </w:r>
          </w:p>
        </w:tc>
        <w:tc>
          <w:tcPr>
            <w:tcW w:type="dxa" w:w="4392"/>
            <w:tcMar>
              <w:top w:w="90" w:type="dxa"/>
              <w:start w:w="90" w:type="dxa"/>
              <w:bottom w:w="90" w:type="dxa"/>
              <w:end w:w="90" w:type="dxa"/>
            </w:tcMar>
            <w:vAlign w:val="top"/>
            <w:shd w:fill="F8FBFD"/>
          </w:tcPr>
          <w:p>
            <w:pPr>
              <w:pStyle w:val="BodyText"/>
              <w:spacing w:after="0"/>
            </w:pPr>
            <w:r>
              <w:rPr>
                <w:sz w:val="14"/>
              </w:rPr>
              <w:t>Class A decision-policy change, impact assessment, full regression.</w:t>
            </w:r>
          </w:p>
        </w:tc>
      </w:tr>
      <w:tr>
        <w:tc>
          <w:tcPr>
            <w:tcW w:type="dxa" w:w="504"/>
            <w:tcMar>
              <w:top w:w="90" w:type="dxa"/>
              <w:start w:w="90" w:type="dxa"/>
              <w:bottom w:w="90" w:type="dxa"/>
              <w:end w:w="90" w:type="dxa"/>
            </w:tcMar>
            <w:vAlign w:val="top"/>
          </w:tcPr>
          <w:p>
            <w:pPr>
              <w:pStyle w:val="BodyText"/>
              <w:spacing w:after="0"/>
            </w:pPr>
            <w:r>
              <w:rPr>
                <w:sz w:val="14"/>
              </w:rPr>
              <w:t>7</w:t>
            </w:r>
          </w:p>
        </w:tc>
        <w:tc>
          <w:tcPr>
            <w:tcW w:type="dxa" w:w="4464"/>
            <w:tcMar>
              <w:top w:w="90" w:type="dxa"/>
              <w:start w:w="90" w:type="dxa"/>
              <w:bottom w:w="90" w:type="dxa"/>
              <w:end w:w="90" w:type="dxa"/>
            </w:tcMar>
            <w:vAlign w:val="top"/>
          </w:tcPr>
          <w:p>
            <w:pPr>
              <w:pStyle w:val="BodyText"/>
              <w:spacing w:after="0"/>
            </w:pPr>
            <w:r>
              <w:rPr>
                <w:sz w:val="14"/>
              </w:rPr>
              <w:t>ML timeout increased.</w:t>
            </w:r>
          </w:p>
        </w:tc>
        <w:tc>
          <w:tcPr>
            <w:tcW w:type="dxa" w:w="4392"/>
            <w:tcMar>
              <w:top w:w="90" w:type="dxa"/>
              <w:start w:w="90" w:type="dxa"/>
              <w:bottom w:w="90" w:type="dxa"/>
              <w:end w:w="90" w:type="dxa"/>
            </w:tcMar>
            <w:vAlign w:val="top"/>
          </w:tcPr>
          <w:p>
            <w:pPr>
              <w:pStyle w:val="BodyText"/>
              <w:spacing w:after="0"/>
            </w:pPr>
            <w:r>
              <w:rPr>
                <w:sz w:val="14"/>
              </w:rPr>
              <w:t>Class B/D impact review for workflow delay and failure behavior.</w:t>
            </w:r>
          </w:p>
        </w:tc>
      </w:tr>
      <w:tr>
        <w:tc>
          <w:tcPr>
            <w:tcW w:type="dxa" w:w="504"/>
            <w:tcMar>
              <w:top w:w="90" w:type="dxa"/>
              <w:start w:w="90" w:type="dxa"/>
              <w:bottom w:w="90" w:type="dxa"/>
              <w:end w:w="90" w:type="dxa"/>
            </w:tcMar>
            <w:vAlign w:val="top"/>
            <w:shd w:fill="F8FBFD"/>
          </w:tcPr>
          <w:p>
            <w:pPr>
              <w:pStyle w:val="BodyText"/>
              <w:spacing w:after="0"/>
            </w:pPr>
            <w:r>
              <w:rPr>
                <w:sz w:val="14"/>
              </w:rPr>
              <w:t>8</w:t>
            </w:r>
          </w:p>
        </w:tc>
        <w:tc>
          <w:tcPr>
            <w:tcW w:type="dxa" w:w="4464"/>
            <w:tcMar>
              <w:top w:w="90" w:type="dxa"/>
              <w:start w:w="90" w:type="dxa"/>
              <w:bottom w:w="90" w:type="dxa"/>
              <w:end w:w="90" w:type="dxa"/>
            </w:tcMar>
            <w:vAlign w:val="top"/>
            <w:shd w:fill="F8FBFD"/>
          </w:tcPr>
          <w:p>
            <w:pPr>
              <w:pStyle w:val="BodyText"/>
              <w:spacing w:after="0"/>
            </w:pPr>
            <w:r>
              <w:rPr>
                <w:sz w:val="14"/>
              </w:rPr>
              <w:t>Urgent BP reason omitted from print referral.</w:t>
            </w:r>
          </w:p>
        </w:tc>
        <w:tc>
          <w:tcPr>
            <w:tcW w:type="dxa" w:w="4392"/>
            <w:tcMar>
              <w:top w:w="90" w:type="dxa"/>
              <w:start w:w="90" w:type="dxa"/>
              <w:bottom w:w="90" w:type="dxa"/>
              <w:end w:w="90" w:type="dxa"/>
            </w:tcMar>
            <w:vAlign w:val="top"/>
            <w:shd w:fill="F8FBFD"/>
          </w:tcPr>
          <w:p>
            <w:pPr>
              <w:pStyle w:val="BodyText"/>
              <w:spacing w:after="0"/>
            </w:pPr>
            <w:r>
              <w:rPr>
                <w:sz w:val="14"/>
              </w:rPr>
              <w:t>Release blocker; cross-channel regression and corrective action.</w:t>
            </w:r>
          </w:p>
        </w:tc>
      </w:tr>
      <w:tr>
        <w:tc>
          <w:tcPr>
            <w:tcW w:type="dxa" w:w="504"/>
            <w:tcMar>
              <w:top w:w="90" w:type="dxa"/>
              <w:start w:w="90" w:type="dxa"/>
              <w:bottom w:w="90" w:type="dxa"/>
              <w:end w:w="90" w:type="dxa"/>
            </w:tcMar>
            <w:vAlign w:val="top"/>
          </w:tcPr>
          <w:p>
            <w:pPr>
              <w:pStyle w:val="BodyText"/>
              <w:spacing w:after="0"/>
            </w:pPr>
            <w:r>
              <w:rPr>
                <w:sz w:val="14"/>
              </w:rPr>
              <w:t>9</w:t>
            </w:r>
          </w:p>
        </w:tc>
        <w:tc>
          <w:tcPr>
            <w:tcW w:type="dxa" w:w="4464"/>
            <w:tcMar>
              <w:top w:w="90" w:type="dxa"/>
              <w:start w:w="90" w:type="dxa"/>
              <w:bottom w:w="90" w:type="dxa"/>
              <w:end w:w="90" w:type="dxa"/>
            </w:tcMar>
            <w:vAlign w:val="top"/>
          </w:tcPr>
          <w:p>
            <w:pPr>
              <w:pStyle w:val="BodyText"/>
              <w:spacing w:after="0"/>
            </w:pPr>
            <w:r>
              <w:rPr>
                <w:sz w:val="14"/>
              </w:rPr>
              <w:t>Historical assessment recalculated after rule update.</w:t>
            </w:r>
          </w:p>
        </w:tc>
        <w:tc>
          <w:tcPr>
            <w:tcW w:type="dxa" w:w="4392"/>
            <w:tcMar>
              <w:top w:w="90" w:type="dxa"/>
              <w:start w:w="90" w:type="dxa"/>
              <w:bottom w:w="90" w:type="dxa"/>
              <w:end w:w="90" w:type="dxa"/>
            </w:tcMar>
            <w:vAlign w:val="top"/>
          </w:tcPr>
          <w:p>
            <w:pPr>
              <w:pStyle w:val="BodyText"/>
              <w:spacing w:after="0"/>
            </w:pPr>
            <w:r>
              <w:rPr>
                <w:sz w:val="14"/>
              </w:rPr>
              <w:t>Original snapshot retained; recalculation separately identified and approved.</w:t>
            </w:r>
          </w:p>
        </w:tc>
      </w:tr>
      <w:tr>
        <w:tc>
          <w:tcPr>
            <w:tcW w:type="dxa" w:w="504"/>
            <w:tcMar>
              <w:top w:w="90" w:type="dxa"/>
              <w:start w:w="90" w:type="dxa"/>
              <w:bottom w:w="90" w:type="dxa"/>
              <w:end w:w="90" w:type="dxa"/>
            </w:tcMar>
            <w:vAlign w:val="top"/>
            <w:shd w:fill="F8FBFD"/>
          </w:tcPr>
          <w:p>
            <w:pPr>
              <w:pStyle w:val="BodyText"/>
              <w:spacing w:after="0"/>
            </w:pPr>
            <w:r>
              <w:rPr>
                <w:sz w:val="14"/>
              </w:rPr>
              <w:t>10</w:t>
            </w:r>
          </w:p>
        </w:tc>
        <w:tc>
          <w:tcPr>
            <w:tcW w:type="dxa" w:w="4464"/>
            <w:tcMar>
              <w:top w:w="90" w:type="dxa"/>
              <w:start w:w="90" w:type="dxa"/>
              <w:bottom w:w="90" w:type="dxa"/>
              <w:end w:w="90" w:type="dxa"/>
            </w:tcMar>
            <w:vAlign w:val="top"/>
            <w:shd w:fill="F8FBFD"/>
          </w:tcPr>
          <w:p>
            <w:pPr>
              <w:pStyle w:val="BodyText"/>
              <w:spacing w:after="0"/>
            </w:pPr>
            <w:r>
              <w:rPr>
                <w:sz w:val="14"/>
              </w:rPr>
              <w:t>Unauthorized staff opens audit view.</w:t>
            </w:r>
          </w:p>
        </w:tc>
        <w:tc>
          <w:tcPr>
            <w:tcW w:type="dxa" w:w="4392"/>
            <w:tcMar>
              <w:top w:w="90" w:type="dxa"/>
              <w:start w:w="90" w:type="dxa"/>
              <w:bottom w:w="90" w:type="dxa"/>
              <w:end w:w="90" w:type="dxa"/>
            </w:tcMar>
            <w:vAlign w:val="top"/>
            <w:shd w:fill="F8FBFD"/>
          </w:tcPr>
          <w:p>
            <w:pPr>
              <w:pStyle w:val="BodyText"/>
              <w:spacing w:after="0"/>
            </w:pPr>
            <w:r>
              <w:rPr>
                <w:sz w:val="14"/>
              </w:rPr>
              <w:t>Access denied and security event logged.</w:t>
            </w:r>
          </w:p>
        </w:tc>
      </w:tr>
      <w:tr>
        <w:tc>
          <w:tcPr>
            <w:tcW w:type="dxa" w:w="504"/>
            <w:tcMar>
              <w:top w:w="90" w:type="dxa"/>
              <w:start w:w="90" w:type="dxa"/>
              <w:bottom w:w="90" w:type="dxa"/>
              <w:end w:w="90" w:type="dxa"/>
            </w:tcMar>
            <w:vAlign w:val="top"/>
          </w:tcPr>
          <w:p>
            <w:pPr>
              <w:pStyle w:val="BodyText"/>
              <w:spacing w:after="0"/>
            </w:pPr>
            <w:r>
              <w:rPr>
                <w:sz w:val="14"/>
              </w:rPr>
              <w:t>11</w:t>
            </w:r>
          </w:p>
        </w:tc>
        <w:tc>
          <w:tcPr>
            <w:tcW w:type="dxa" w:w="4464"/>
            <w:tcMar>
              <w:top w:w="90" w:type="dxa"/>
              <w:start w:w="90" w:type="dxa"/>
              <w:bottom w:w="90" w:type="dxa"/>
              <w:end w:w="90" w:type="dxa"/>
            </w:tcMar>
            <w:vAlign w:val="top"/>
          </w:tcPr>
          <w:p>
            <w:pPr>
              <w:pStyle w:val="BodyText"/>
              <w:spacing w:after="0"/>
            </w:pPr>
            <w:r>
              <w:rPr>
                <w:sz w:val="14"/>
              </w:rPr>
              <w:t>Midwife repeatedly overrides LOW due to concerning findings.</w:t>
            </w:r>
          </w:p>
        </w:tc>
        <w:tc>
          <w:tcPr>
            <w:tcW w:type="dxa" w:w="4392"/>
            <w:tcMar>
              <w:top w:w="90" w:type="dxa"/>
              <w:start w:w="90" w:type="dxa"/>
              <w:bottom w:w="90" w:type="dxa"/>
              <w:end w:w="90" w:type="dxa"/>
            </w:tcMar>
            <w:vAlign w:val="top"/>
          </w:tcPr>
          <w:p>
            <w:pPr>
              <w:pStyle w:val="BodyText"/>
              <w:spacing w:after="0"/>
            </w:pPr>
            <w:r>
              <w:rPr>
                <w:sz w:val="14"/>
              </w:rPr>
              <w:t>Pattern reviewed as safety signal; no automatic blame or silent suppression.</w:t>
            </w:r>
          </w:p>
        </w:tc>
      </w:tr>
      <w:tr>
        <w:tc>
          <w:tcPr>
            <w:tcW w:type="dxa" w:w="504"/>
            <w:tcMar>
              <w:top w:w="90" w:type="dxa"/>
              <w:start w:w="90" w:type="dxa"/>
              <w:bottom w:w="90" w:type="dxa"/>
              <w:end w:w="90" w:type="dxa"/>
            </w:tcMar>
            <w:vAlign w:val="top"/>
            <w:shd w:fill="F8FBFD"/>
          </w:tcPr>
          <w:p>
            <w:pPr>
              <w:pStyle w:val="BodyText"/>
              <w:spacing w:after="0"/>
            </w:pPr>
            <w:r>
              <w:rPr>
                <w:sz w:val="14"/>
              </w:rPr>
              <w:t>12</w:t>
            </w:r>
          </w:p>
        </w:tc>
        <w:tc>
          <w:tcPr>
            <w:tcW w:type="dxa" w:w="4464"/>
            <w:tcMar>
              <w:top w:w="90" w:type="dxa"/>
              <w:start w:w="90" w:type="dxa"/>
              <w:bottom w:w="90" w:type="dxa"/>
              <w:end w:w="90" w:type="dxa"/>
            </w:tcMar>
            <w:vAlign w:val="top"/>
            <w:shd w:fill="F8FBFD"/>
          </w:tcPr>
          <w:p>
            <w:pPr>
              <w:pStyle w:val="BodyText"/>
              <w:spacing w:after="0"/>
            </w:pPr>
            <w:r>
              <w:rPr>
                <w:sz w:val="14"/>
              </w:rPr>
              <w:t>Python environment path fails after laptop migration.</w:t>
            </w:r>
          </w:p>
        </w:tc>
        <w:tc>
          <w:tcPr>
            <w:tcW w:type="dxa" w:w="4392"/>
            <w:tcMar>
              <w:top w:w="90" w:type="dxa"/>
              <w:start w:w="90" w:type="dxa"/>
              <w:bottom w:w="90" w:type="dxa"/>
              <w:end w:w="90" w:type="dxa"/>
            </w:tcMar>
            <w:vAlign w:val="top"/>
            <w:shd w:fill="F8FBFD"/>
          </w:tcPr>
          <w:p>
            <w:pPr>
              <w:pStyle w:val="BodyText"/>
              <w:spacing w:after="0"/>
            </w:pPr>
            <w:r>
              <w:rPr>
                <w:sz w:val="14"/>
              </w:rPr>
              <w:t>Safe incomplete behavior, configuration incident, documented repair and smoke test.</w:t>
            </w:r>
          </w:p>
        </w:tc>
      </w:tr>
      <w:tr>
        <w:tc>
          <w:tcPr>
            <w:tcW w:type="dxa" w:w="504"/>
            <w:tcMar>
              <w:top w:w="90" w:type="dxa"/>
              <w:start w:w="90" w:type="dxa"/>
              <w:bottom w:w="90" w:type="dxa"/>
              <w:end w:w="90" w:type="dxa"/>
            </w:tcMar>
            <w:vAlign w:val="top"/>
          </w:tcPr>
          <w:p>
            <w:pPr>
              <w:pStyle w:val="BodyText"/>
              <w:spacing w:after="0"/>
            </w:pPr>
            <w:r>
              <w:rPr>
                <w:sz w:val="14"/>
              </w:rPr>
              <w:t>13</w:t>
            </w:r>
          </w:p>
        </w:tc>
        <w:tc>
          <w:tcPr>
            <w:tcW w:type="dxa" w:w="4464"/>
            <w:tcMar>
              <w:top w:w="90" w:type="dxa"/>
              <w:start w:w="90" w:type="dxa"/>
              <w:bottom w:w="90" w:type="dxa"/>
              <w:end w:w="90" w:type="dxa"/>
            </w:tcMar>
            <w:vAlign w:val="top"/>
          </w:tcPr>
          <w:p>
            <w:pPr>
              <w:pStyle w:val="BodyText"/>
              <w:spacing w:after="0"/>
            </w:pPr>
            <w:r>
              <w:rPr>
                <w:sz w:val="14"/>
              </w:rPr>
              <w:t>Template catalog missing after deployment.</w:t>
            </w:r>
          </w:p>
        </w:tc>
        <w:tc>
          <w:tcPr>
            <w:tcW w:type="dxa" w:w="4392"/>
            <w:tcMar>
              <w:top w:w="90" w:type="dxa"/>
              <w:start w:w="90" w:type="dxa"/>
              <w:bottom w:w="90" w:type="dxa"/>
              <w:end w:w="90" w:type="dxa"/>
            </w:tcMar>
            <w:vAlign w:val="top"/>
          </w:tcPr>
          <w:p>
            <w:pPr>
              <w:pStyle w:val="BodyText"/>
              <w:spacing w:after="0"/>
            </w:pPr>
            <w:r>
              <w:rPr>
                <w:sz w:val="14"/>
              </w:rPr>
              <w:t>Approved fallback or channel blocked; no free-form explanation.</w:t>
            </w:r>
          </w:p>
        </w:tc>
      </w:tr>
      <w:tr>
        <w:tc>
          <w:tcPr>
            <w:tcW w:type="dxa" w:w="504"/>
            <w:tcMar>
              <w:top w:w="90" w:type="dxa"/>
              <w:start w:w="90" w:type="dxa"/>
              <w:bottom w:w="90" w:type="dxa"/>
              <w:end w:w="90" w:type="dxa"/>
            </w:tcMar>
            <w:vAlign w:val="top"/>
            <w:shd w:fill="F8FBFD"/>
          </w:tcPr>
          <w:p>
            <w:pPr>
              <w:pStyle w:val="BodyText"/>
              <w:spacing w:after="0"/>
            </w:pPr>
            <w:r>
              <w:rPr>
                <w:sz w:val="14"/>
              </w:rPr>
              <w:t>14</w:t>
            </w:r>
          </w:p>
        </w:tc>
        <w:tc>
          <w:tcPr>
            <w:tcW w:type="dxa" w:w="4464"/>
            <w:tcMar>
              <w:top w:w="90" w:type="dxa"/>
              <w:start w:w="90" w:type="dxa"/>
              <w:bottom w:w="90" w:type="dxa"/>
              <w:end w:w="90" w:type="dxa"/>
            </w:tcMar>
            <w:vAlign w:val="top"/>
            <w:shd w:fill="F8FBFD"/>
          </w:tcPr>
          <w:p>
            <w:pPr>
              <w:pStyle w:val="BodyText"/>
              <w:spacing w:after="0"/>
            </w:pPr>
            <w:r>
              <w:rPr>
                <w:sz w:val="14"/>
              </w:rPr>
              <w:t>Referral facility receives unnecessary model metadata.</w:t>
            </w:r>
          </w:p>
        </w:tc>
        <w:tc>
          <w:tcPr>
            <w:tcW w:type="dxa" w:w="4392"/>
            <w:tcMar>
              <w:top w:w="90" w:type="dxa"/>
              <w:start w:w="90" w:type="dxa"/>
              <w:bottom w:w="90" w:type="dxa"/>
              <w:end w:w="90" w:type="dxa"/>
            </w:tcMar>
            <w:vAlign w:val="top"/>
            <w:shd w:fill="F8FBFD"/>
          </w:tcPr>
          <w:p>
            <w:pPr>
              <w:pStyle w:val="BodyText"/>
              <w:spacing w:after="0"/>
            </w:pPr>
            <w:r>
              <w:rPr>
                <w:sz w:val="14"/>
              </w:rPr>
              <w:t>Privacy/content defect; projection corrected and reviewed.</w:t>
            </w:r>
          </w:p>
        </w:tc>
      </w:tr>
      <w:tr>
        <w:tc>
          <w:tcPr>
            <w:tcW w:type="dxa" w:w="504"/>
            <w:tcMar>
              <w:top w:w="90" w:type="dxa"/>
              <w:start w:w="90" w:type="dxa"/>
              <w:bottom w:w="90" w:type="dxa"/>
              <w:end w:w="90" w:type="dxa"/>
            </w:tcMar>
            <w:vAlign w:val="top"/>
          </w:tcPr>
          <w:p>
            <w:pPr>
              <w:pStyle w:val="BodyText"/>
              <w:spacing w:after="0"/>
            </w:pPr>
            <w:r>
              <w:rPr>
                <w:sz w:val="14"/>
              </w:rPr>
              <w:t>15</w:t>
            </w:r>
          </w:p>
        </w:tc>
        <w:tc>
          <w:tcPr>
            <w:tcW w:type="dxa" w:w="4464"/>
            <w:tcMar>
              <w:top w:w="90" w:type="dxa"/>
              <w:start w:w="90" w:type="dxa"/>
              <w:bottom w:w="90" w:type="dxa"/>
              <w:end w:w="90" w:type="dxa"/>
            </w:tcMar>
            <w:vAlign w:val="top"/>
          </w:tcPr>
          <w:p>
            <w:pPr>
              <w:pStyle w:val="BodyText"/>
              <w:spacing w:after="0"/>
            </w:pPr>
            <w:r>
              <w:rPr>
                <w:sz w:val="14"/>
              </w:rPr>
              <w:t>Clinical adviser unavailable for threshold proposal.</w:t>
            </w:r>
          </w:p>
        </w:tc>
        <w:tc>
          <w:tcPr>
            <w:tcW w:type="dxa" w:w="4392"/>
            <w:tcMar>
              <w:top w:w="90" w:type="dxa"/>
              <w:start w:w="90" w:type="dxa"/>
              <w:bottom w:w="90" w:type="dxa"/>
              <w:end w:w="90" w:type="dxa"/>
            </w:tcMar>
            <w:vAlign w:val="top"/>
          </w:tcPr>
          <w:p>
            <w:pPr>
              <w:pStyle w:val="BodyText"/>
              <w:spacing w:after="0"/>
            </w:pPr>
            <w:r>
              <w:rPr>
                <w:sz w:val="14"/>
              </w:rPr>
              <w:t>Change not released as clinically approved; limitation documented.</w:t>
            </w:r>
          </w:p>
        </w:tc>
      </w:tr>
      <w:tr>
        <w:tc>
          <w:tcPr>
            <w:tcW w:type="dxa" w:w="504"/>
            <w:tcMar>
              <w:top w:w="90" w:type="dxa"/>
              <w:start w:w="90" w:type="dxa"/>
              <w:bottom w:w="90" w:type="dxa"/>
              <w:end w:w="90" w:type="dxa"/>
            </w:tcMar>
            <w:vAlign w:val="top"/>
            <w:shd w:fill="F8FBFD"/>
          </w:tcPr>
          <w:p>
            <w:pPr>
              <w:pStyle w:val="BodyText"/>
              <w:spacing w:after="0"/>
            </w:pPr>
            <w:r>
              <w:rPr>
                <w:sz w:val="14"/>
              </w:rPr>
              <w:t>16</w:t>
            </w:r>
          </w:p>
        </w:tc>
        <w:tc>
          <w:tcPr>
            <w:tcW w:type="dxa" w:w="4464"/>
            <w:tcMar>
              <w:top w:w="90" w:type="dxa"/>
              <w:start w:w="90" w:type="dxa"/>
              <w:bottom w:w="90" w:type="dxa"/>
              <w:end w:w="90" w:type="dxa"/>
            </w:tcMar>
            <w:vAlign w:val="top"/>
            <w:shd w:fill="F8FBFD"/>
          </w:tcPr>
          <w:p>
            <w:pPr>
              <w:pStyle w:val="BodyText"/>
              <w:spacing w:after="0"/>
            </w:pPr>
            <w:r>
              <w:rPr>
                <w:sz w:val="14"/>
              </w:rPr>
              <w:t>New ultrasound category introduced.</w:t>
            </w:r>
          </w:p>
        </w:tc>
        <w:tc>
          <w:tcPr>
            <w:tcW w:type="dxa" w:w="4392"/>
            <w:tcMar>
              <w:top w:w="90" w:type="dxa"/>
              <w:start w:w="90" w:type="dxa"/>
              <w:bottom w:w="90" w:type="dxa"/>
              <w:end w:w="90" w:type="dxa"/>
            </w:tcMar>
            <w:vAlign w:val="top"/>
            <w:shd w:fill="F8FBFD"/>
          </w:tcPr>
          <w:p>
            <w:pPr>
              <w:pStyle w:val="BodyText"/>
              <w:spacing w:after="0"/>
            </w:pPr>
            <w:r>
              <w:rPr>
                <w:sz w:val="14"/>
              </w:rPr>
              <w:t>Schema, normalization, rule, reason, template, tests, and training updated together.</w:t>
            </w:r>
          </w:p>
        </w:tc>
      </w:tr>
      <w:tr>
        <w:tc>
          <w:tcPr>
            <w:tcW w:type="dxa" w:w="504"/>
            <w:tcMar>
              <w:top w:w="90" w:type="dxa"/>
              <w:start w:w="90" w:type="dxa"/>
              <w:bottom w:w="90" w:type="dxa"/>
              <w:end w:w="90" w:type="dxa"/>
            </w:tcMar>
            <w:vAlign w:val="top"/>
          </w:tcPr>
          <w:p>
            <w:pPr>
              <w:pStyle w:val="BodyText"/>
              <w:spacing w:after="0"/>
            </w:pPr>
            <w:r>
              <w:rPr>
                <w:sz w:val="14"/>
              </w:rPr>
              <w:t>17</w:t>
            </w:r>
          </w:p>
        </w:tc>
        <w:tc>
          <w:tcPr>
            <w:tcW w:type="dxa" w:w="4464"/>
            <w:tcMar>
              <w:top w:w="90" w:type="dxa"/>
              <w:start w:w="90" w:type="dxa"/>
              <w:bottom w:w="90" w:type="dxa"/>
              <w:end w:w="90" w:type="dxa"/>
            </w:tcMar>
            <w:vAlign w:val="top"/>
          </w:tcPr>
          <w:p>
            <w:pPr>
              <w:pStyle w:val="BodyText"/>
              <w:spacing w:after="0"/>
            </w:pPr>
            <w:r>
              <w:rPr>
                <w:sz w:val="14"/>
              </w:rPr>
              <w:t>Audit database write fails.</w:t>
            </w:r>
          </w:p>
        </w:tc>
        <w:tc>
          <w:tcPr>
            <w:tcW w:type="dxa" w:w="4392"/>
            <w:tcMar>
              <w:top w:w="90" w:type="dxa"/>
              <w:start w:w="90" w:type="dxa"/>
              <w:bottom w:w="90" w:type="dxa"/>
              <w:end w:w="90" w:type="dxa"/>
            </w:tcMar>
            <w:vAlign w:val="top"/>
          </w:tcPr>
          <w:p>
            <w:pPr>
              <w:pStyle w:val="BodyText"/>
              <w:spacing w:after="0"/>
            </w:pPr>
            <w:r>
              <w:rPr>
                <w:sz w:val="14"/>
              </w:rPr>
              <w:t>Traceability failure reported; local policy determines whether workflow is suspended.</w:t>
            </w:r>
          </w:p>
        </w:tc>
      </w:tr>
      <w:tr>
        <w:tc>
          <w:tcPr>
            <w:tcW w:type="dxa" w:w="504"/>
            <w:tcMar>
              <w:top w:w="90" w:type="dxa"/>
              <w:start w:w="90" w:type="dxa"/>
              <w:bottom w:w="90" w:type="dxa"/>
              <w:end w:w="90" w:type="dxa"/>
            </w:tcMar>
            <w:vAlign w:val="top"/>
            <w:shd w:fill="F8FBFD"/>
          </w:tcPr>
          <w:p>
            <w:pPr>
              <w:pStyle w:val="BodyText"/>
              <w:spacing w:after="0"/>
            </w:pPr>
            <w:r>
              <w:rPr>
                <w:sz w:val="14"/>
              </w:rPr>
              <w:t>18</w:t>
            </w:r>
          </w:p>
        </w:tc>
        <w:tc>
          <w:tcPr>
            <w:tcW w:type="dxa" w:w="4464"/>
            <w:tcMar>
              <w:top w:w="90" w:type="dxa"/>
              <w:start w:w="90" w:type="dxa"/>
              <w:bottom w:w="90" w:type="dxa"/>
              <w:end w:w="90" w:type="dxa"/>
            </w:tcMar>
            <w:vAlign w:val="top"/>
            <w:shd w:fill="F8FBFD"/>
          </w:tcPr>
          <w:p>
            <w:pPr>
              <w:pStyle w:val="BodyText"/>
              <w:spacing w:after="0"/>
            </w:pPr>
            <w:r>
              <w:rPr>
                <w:sz w:val="14"/>
              </w:rPr>
              <w:t>Data breach suspected in exported reports.</w:t>
            </w:r>
          </w:p>
        </w:tc>
        <w:tc>
          <w:tcPr>
            <w:tcW w:type="dxa" w:w="4392"/>
            <w:tcMar>
              <w:top w:w="90" w:type="dxa"/>
              <w:start w:w="90" w:type="dxa"/>
              <w:bottom w:w="90" w:type="dxa"/>
              <w:end w:w="90" w:type="dxa"/>
            </w:tcMar>
            <w:vAlign w:val="top"/>
            <w:shd w:fill="F8FBFD"/>
          </w:tcPr>
          <w:p>
            <w:pPr>
              <w:pStyle w:val="BodyText"/>
              <w:spacing w:after="0"/>
            </w:pPr>
            <w:r>
              <w:rPr>
                <w:sz w:val="14"/>
              </w:rPr>
              <w:t>Privacy incident procedure activated; evidence preserved; exposure assessed.</w:t>
            </w:r>
          </w:p>
        </w:tc>
      </w:tr>
      <w:tr>
        <w:tc>
          <w:tcPr>
            <w:tcW w:type="dxa" w:w="504"/>
            <w:tcMar>
              <w:top w:w="90" w:type="dxa"/>
              <w:start w:w="90" w:type="dxa"/>
              <w:bottom w:w="90" w:type="dxa"/>
              <w:end w:w="90" w:type="dxa"/>
            </w:tcMar>
            <w:vAlign w:val="top"/>
          </w:tcPr>
          <w:p>
            <w:pPr>
              <w:pStyle w:val="BodyText"/>
              <w:spacing w:after="0"/>
            </w:pPr>
            <w:r>
              <w:rPr>
                <w:sz w:val="14"/>
              </w:rPr>
              <w:t>19</w:t>
            </w:r>
          </w:p>
        </w:tc>
        <w:tc>
          <w:tcPr>
            <w:tcW w:type="dxa" w:w="4464"/>
            <w:tcMar>
              <w:top w:w="90" w:type="dxa"/>
              <w:start w:w="90" w:type="dxa"/>
              <w:bottom w:w="90" w:type="dxa"/>
              <w:end w:w="90" w:type="dxa"/>
            </w:tcMar>
            <w:vAlign w:val="top"/>
          </w:tcPr>
          <w:p>
            <w:pPr>
              <w:pStyle w:val="BodyText"/>
              <w:spacing w:after="0"/>
            </w:pPr>
            <w:r>
              <w:rPr>
                <w:sz w:val="14"/>
              </w:rPr>
              <w:t>New model performs better on accuracy but worse on high-risk recall.</w:t>
            </w:r>
          </w:p>
        </w:tc>
        <w:tc>
          <w:tcPr>
            <w:tcW w:type="dxa" w:w="4392"/>
            <w:tcMar>
              <w:top w:w="90" w:type="dxa"/>
              <w:start w:w="90" w:type="dxa"/>
              <w:bottom w:w="90" w:type="dxa"/>
              <w:end w:w="90" w:type="dxa"/>
            </w:tcMar>
            <w:vAlign w:val="top"/>
          </w:tcPr>
          <w:p>
            <w:pPr>
              <w:pStyle w:val="BodyText"/>
              <w:spacing w:after="0"/>
            </w:pPr>
            <w:r>
              <w:rPr>
                <w:sz w:val="14"/>
              </w:rPr>
              <w:t>Not approved solely on aggregate accuracy; clinical risk assessment required.</w:t>
            </w:r>
          </w:p>
        </w:tc>
      </w:tr>
      <w:tr>
        <w:tc>
          <w:tcPr>
            <w:tcW w:type="dxa" w:w="504"/>
            <w:tcMar>
              <w:top w:w="90" w:type="dxa"/>
              <w:start w:w="90" w:type="dxa"/>
              <w:bottom w:w="90" w:type="dxa"/>
              <w:end w:w="90" w:type="dxa"/>
            </w:tcMar>
            <w:vAlign w:val="top"/>
            <w:shd w:fill="F8FBFD"/>
          </w:tcPr>
          <w:p>
            <w:pPr>
              <w:pStyle w:val="BodyText"/>
              <w:spacing w:after="0"/>
            </w:pPr>
            <w:r>
              <w:rPr>
                <w:sz w:val="14"/>
              </w:rPr>
              <w:t>20</w:t>
            </w:r>
          </w:p>
        </w:tc>
        <w:tc>
          <w:tcPr>
            <w:tcW w:type="dxa" w:w="4464"/>
            <w:tcMar>
              <w:top w:w="90" w:type="dxa"/>
              <w:start w:w="90" w:type="dxa"/>
              <w:bottom w:w="90" w:type="dxa"/>
              <w:end w:w="90" w:type="dxa"/>
            </w:tcMar>
            <w:vAlign w:val="top"/>
            <w:shd w:fill="F8FBFD"/>
          </w:tcPr>
          <w:p>
            <w:pPr>
              <w:pStyle w:val="BodyText"/>
              <w:spacing w:after="0"/>
            </w:pPr>
            <w:r>
              <w:rPr>
                <w:sz w:val="14"/>
              </w:rPr>
              <w:t>New model output labels are 0/1 instead of LOW/HIGH.</w:t>
            </w:r>
          </w:p>
        </w:tc>
        <w:tc>
          <w:tcPr>
            <w:tcW w:type="dxa" w:w="4392"/>
            <w:tcMar>
              <w:top w:w="90" w:type="dxa"/>
              <w:start w:w="90" w:type="dxa"/>
              <w:bottom w:w="90" w:type="dxa"/>
              <w:end w:w="90" w:type="dxa"/>
            </w:tcMar>
            <w:vAlign w:val="top"/>
            <w:shd w:fill="F8FBFD"/>
          </w:tcPr>
          <w:p>
            <w:pPr>
              <w:pStyle w:val="BodyText"/>
              <w:spacing w:after="0"/>
            </w:pPr>
            <w:r>
              <w:rPr>
                <w:sz w:val="14"/>
              </w:rPr>
              <w:t>Contract mismatch blocks inference until explicit approved mapping.</w:t>
            </w:r>
          </w:p>
        </w:tc>
      </w:tr>
      <w:tr>
        <w:tc>
          <w:tcPr>
            <w:tcW w:type="dxa" w:w="504"/>
            <w:tcMar>
              <w:top w:w="90" w:type="dxa"/>
              <w:start w:w="90" w:type="dxa"/>
              <w:bottom w:w="90" w:type="dxa"/>
              <w:end w:w="90" w:type="dxa"/>
            </w:tcMar>
            <w:vAlign w:val="top"/>
          </w:tcPr>
          <w:p>
            <w:pPr>
              <w:pStyle w:val="BodyText"/>
              <w:spacing w:after="0"/>
            </w:pPr>
            <w:r>
              <w:rPr>
                <w:sz w:val="14"/>
              </w:rPr>
              <w:t>21</w:t>
            </w:r>
          </w:p>
        </w:tc>
        <w:tc>
          <w:tcPr>
            <w:tcW w:type="dxa" w:w="4464"/>
            <w:tcMar>
              <w:top w:w="90" w:type="dxa"/>
              <w:start w:w="90" w:type="dxa"/>
              <w:bottom w:w="90" w:type="dxa"/>
              <w:end w:w="90" w:type="dxa"/>
            </w:tcMar>
            <w:vAlign w:val="top"/>
          </w:tcPr>
          <w:p>
            <w:pPr>
              <w:pStyle w:val="BodyText"/>
              <w:spacing w:after="0"/>
            </w:pPr>
            <w:r>
              <w:rPr>
                <w:sz w:val="14"/>
              </w:rPr>
              <w:t>Rule wording translated to Filipino without validation.</w:t>
            </w:r>
          </w:p>
        </w:tc>
        <w:tc>
          <w:tcPr>
            <w:tcW w:type="dxa" w:w="4392"/>
            <w:tcMar>
              <w:top w:w="90" w:type="dxa"/>
              <w:start w:w="90" w:type="dxa"/>
              <w:bottom w:w="90" w:type="dxa"/>
              <w:end w:w="90" w:type="dxa"/>
            </w:tcMar>
            <w:vAlign w:val="top"/>
          </w:tcPr>
          <w:p>
            <w:pPr>
              <w:pStyle w:val="BodyText"/>
              <w:spacing w:after="0"/>
            </w:pPr>
            <w:r>
              <w:rPr>
                <w:sz w:val="14"/>
              </w:rPr>
              <w:t>Kept as future/draft; not deployed until reviewed for meaning and comprehension.</w:t>
            </w:r>
          </w:p>
        </w:tc>
      </w:tr>
      <w:tr>
        <w:tc>
          <w:tcPr>
            <w:tcW w:type="dxa" w:w="504"/>
            <w:tcMar>
              <w:top w:w="90" w:type="dxa"/>
              <w:start w:w="90" w:type="dxa"/>
              <w:bottom w:w="90" w:type="dxa"/>
              <w:end w:w="90" w:type="dxa"/>
            </w:tcMar>
            <w:vAlign w:val="top"/>
            <w:shd w:fill="F8FBFD"/>
          </w:tcPr>
          <w:p>
            <w:pPr>
              <w:pStyle w:val="BodyText"/>
              <w:spacing w:after="0"/>
            </w:pPr>
            <w:r>
              <w:rPr>
                <w:sz w:val="14"/>
              </w:rPr>
              <w:t>22</w:t>
            </w:r>
          </w:p>
        </w:tc>
        <w:tc>
          <w:tcPr>
            <w:tcW w:type="dxa" w:w="4464"/>
            <w:tcMar>
              <w:top w:w="90" w:type="dxa"/>
              <w:start w:w="90" w:type="dxa"/>
              <w:bottom w:w="90" w:type="dxa"/>
              <w:end w:w="90" w:type="dxa"/>
            </w:tcMar>
            <w:vAlign w:val="top"/>
            <w:shd w:fill="F8FBFD"/>
          </w:tcPr>
          <w:p>
            <w:pPr>
              <w:pStyle w:val="BodyText"/>
              <w:spacing w:after="0"/>
            </w:pPr>
            <w:r>
              <w:rPr>
                <w:sz w:val="14"/>
              </w:rPr>
              <w:t>Critical defect found before defense demonstration.</w:t>
            </w:r>
          </w:p>
        </w:tc>
        <w:tc>
          <w:tcPr>
            <w:tcW w:type="dxa" w:w="4392"/>
            <w:tcMar>
              <w:top w:w="90" w:type="dxa"/>
              <w:start w:w="90" w:type="dxa"/>
              <w:bottom w:w="90" w:type="dxa"/>
              <w:end w:w="90" w:type="dxa"/>
            </w:tcMar>
            <w:vAlign w:val="top"/>
            <w:shd w:fill="F8FBFD"/>
          </w:tcPr>
          <w:p>
            <w:pPr>
              <w:pStyle w:val="BodyText"/>
              <w:spacing w:after="0"/>
            </w:pPr>
            <w:r>
              <w:rPr>
                <w:sz w:val="14"/>
              </w:rPr>
              <w:t>Affected function suspended or corrected; presentation discloses limitation honestly.</w:t>
            </w:r>
          </w:p>
        </w:tc>
      </w:tr>
      <w:tr>
        <w:tc>
          <w:tcPr>
            <w:tcW w:type="dxa" w:w="504"/>
            <w:tcMar>
              <w:top w:w="90" w:type="dxa"/>
              <w:start w:w="90" w:type="dxa"/>
              <w:bottom w:w="90" w:type="dxa"/>
              <w:end w:w="90" w:type="dxa"/>
            </w:tcMar>
            <w:vAlign w:val="top"/>
          </w:tcPr>
          <w:p>
            <w:pPr>
              <w:pStyle w:val="BodyText"/>
              <w:spacing w:after="0"/>
            </w:pPr>
            <w:r>
              <w:rPr>
                <w:sz w:val="14"/>
              </w:rPr>
              <w:t>23</w:t>
            </w:r>
          </w:p>
        </w:tc>
        <w:tc>
          <w:tcPr>
            <w:tcW w:type="dxa" w:w="4464"/>
            <w:tcMar>
              <w:top w:w="90" w:type="dxa"/>
              <w:start w:w="90" w:type="dxa"/>
              <w:bottom w:w="90" w:type="dxa"/>
              <w:end w:w="90" w:type="dxa"/>
            </w:tcMar>
            <w:vAlign w:val="top"/>
          </w:tcPr>
          <w:p>
            <w:pPr>
              <w:pStyle w:val="BodyText"/>
              <w:spacing w:after="0"/>
            </w:pPr>
            <w:r>
              <w:rPr>
                <w:sz w:val="14"/>
              </w:rPr>
              <w:t>Release notes omit a changed recommendation.</w:t>
            </w:r>
          </w:p>
        </w:tc>
        <w:tc>
          <w:tcPr>
            <w:tcW w:type="dxa" w:w="4392"/>
            <w:tcMar>
              <w:top w:w="90" w:type="dxa"/>
              <w:start w:w="90" w:type="dxa"/>
              <w:bottom w:w="90" w:type="dxa"/>
              <w:end w:w="90" w:type="dxa"/>
            </w:tcMar>
            <w:vAlign w:val="top"/>
          </w:tcPr>
          <w:p>
            <w:pPr>
              <w:pStyle w:val="BodyText"/>
              <w:spacing w:after="0"/>
            </w:pPr>
            <w:r>
              <w:rPr>
                <w:sz w:val="14"/>
              </w:rPr>
              <w:t>Documentation gate fails; release not approved.</w:t>
            </w:r>
          </w:p>
        </w:tc>
      </w:tr>
      <w:tr>
        <w:tc>
          <w:tcPr>
            <w:tcW w:type="dxa" w:w="504"/>
            <w:tcMar>
              <w:top w:w="90" w:type="dxa"/>
              <w:start w:w="90" w:type="dxa"/>
              <w:bottom w:w="90" w:type="dxa"/>
              <w:end w:w="90" w:type="dxa"/>
            </w:tcMar>
            <w:vAlign w:val="top"/>
            <w:shd w:fill="F8FBFD"/>
          </w:tcPr>
          <w:p>
            <w:pPr>
              <w:pStyle w:val="BodyText"/>
              <w:spacing w:after="0"/>
            </w:pPr>
            <w:r>
              <w:rPr>
                <w:sz w:val="14"/>
              </w:rPr>
              <w:t>24</w:t>
            </w:r>
          </w:p>
        </w:tc>
        <w:tc>
          <w:tcPr>
            <w:tcW w:type="dxa" w:w="4464"/>
            <w:tcMar>
              <w:top w:w="90" w:type="dxa"/>
              <w:start w:w="90" w:type="dxa"/>
              <w:bottom w:w="90" w:type="dxa"/>
              <w:end w:w="90" w:type="dxa"/>
            </w:tcMar>
            <w:vAlign w:val="top"/>
            <w:shd w:fill="F8FBFD"/>
          </w:tcPr>
          <w:p>
            <w:pPr>
              <w:pStyle w:val="BodyText"/>
              <w:spacing w:after="0"/>
            </w:pPr>
            <w:r>
              <w:rPr>
                <w:sz w:val="14"/>
              </w:rPr>
              <w:t>Old model retained for rollback.</w:t>
            </w:r>
          </w:p>
        </w:tc>
        <w:tc>
          <w:tcPr>
            <w:tcW w:type="dxa" w:w="4392"/>
            <w:tcMar>
              <w:top w:w="90" w:type="dxa"/>
              <w:start w:w="90" w:type="dxa"/>
              <w:bottom w:w="90" w:type="dxa"/>
              <w:end w:w="90" w:type="dxa"/>
            </w:tcMar>
            <w:vAlign w:val="top"/>
            <w:shd w:fill="F8FBFD"/>
          </w:tcPr>
          <w:p>
            <w:pPr>
              <w:pStyle w:val="BodyText"/>
              <w:spacing w:after="0"/>
            </w:pPr>
            <w:r>
              <w:rPr>
                <w:sz w:val="14"/>
              </w:rPr>
              <w:t>Stored securely with hash, manifest, compatibility information, and access control.</w:t>
            </w:r>
          </w:p>
        </w:tc>
      </w:tr>
      <w:tr>
        <w:tc>
          <w:tcPr>
            <w:tcW w:type="dxa" w:w="504"/>
            <w:tcMar>
              <w:top w:w="90" w:type="dxa"/>
              <w:start w:w="90" w:type="dxa"/>
              <w:bottom w:w="90" w:type="dxa"/>
              <w:end w:w="90" w:type="dxa"/>
            </w:tcMar>
            <w:vAlign w:val="top"/>
          </w:tcPr>
          <w:p>
            <w:pPr>
              <w:pStyle w:val="BodyText"/>
              <w:spacing w:after="0"/>
            </w:pPr>
            <w:r>
              <w:rPr>
                <w:sz w:val="14"/>
              </w:rPr>
              <w:t>25</w:t>
            </w:r>
          </w:p>
        </w:tc>
        <w:tc>
          <w:tcPr>
            <w:tcW w:type="dxa" w:w="4464"/>
            <w:tcMar>
              <w:top w:w="90" w:type="dxa"/>
              <w:start w:w="90" w:type="dxa"/>
              <w:bottom w:w="90" w:type="dxa"/>
              <w:end w:w="90" w:type="dxa"/>
            </w:tcMar>
            <w:vAlign w:val="top"/>
          </w:tcPr>
          <w:p>
            <w:pPr>
              <w:pStyle w:val="BodyText"/>
              <w:spacing w:after="0"/>
            </w:pPr>
            <w:r>
              <w:rPr>
                <w:sz w:val="14"/>
              </w:rPr>
              <w:t>System retired after capstone.</w:t>
            </w:r>
          </w:p>
        </w:tc>
        <w:tc>
          <w:tcPr>
            <w:tcW w:type="dxa" w:w="4392"/>
            <w:tcMar>
              <w:top w:w="90" w:type="dxa"/>
              <w:start w:w="90" w:type="dxa"/>
              <w:bottom w:w="90" w:type="dxa"/>
              <w:end w:w="90" w:type="dxa"/>
            </w:tcMar>
            <w:vAlign w:val="top"/>
          </w:tcPr>
          <w:p>
            <w:pPr>
              <w:pStyle w:val="BodyText"/>
              <w:spacing w:after="0"/>
            </w:pPr>
            <w:r>
              <w:rPr>
                <w:sz w:val="14"/>
              </w:rPr>
              <w:t>New use disabled; thesis evidence and historical records preserved under retention plan.</w:t>
            </w:r>
          </w:p>
        </w:tc>
      </w:tr>
    </w:tbl>
    <w:p>
      <w:pPr>
        <w:spacing w:after="0"/>
      </w:pPr>
    </w:p>
    <w:p>
      <w:pPr>
        <w:pStyle w:val="Heading1"/>
        <w:keepNext/>
      </w:pPr>
      <w:r>
        <w:t>16. Governance Metrics and Review Dashboard</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2664"/>
            <w:shd w:fill="1F4E79"/>
            <w:tcMar>
              <w:top w:w="90" w:type="dxa"/>
              <w:start w:w="90" w:type="dxa"/>
              <w:bottom w:w="90" w:type="dxa"/>
              <w:end w:w="90" w:type="dxa"/>
            </w:tcMar>
            <w:vAlign w:val="center"/>
          </w:tcPr>
          <w:p>
            <w:pPr>
              <w:jc w:val="center"/>
            </w:pPr>
            <w:r>
              <w:rPr>
                <w:b/>
                <w:color w:val="FFFFFF"/>
                <w:sz w:val="14"/>
              </w:rPr>
              <w:t>Metric</w:t>
            </w:r>
          </w:p>
        </w:tc>
        <w:tc>
          <w:tcPr>
            <w:tcW w:type="dxa" w:w="4248"/>
            <w:shd w:fill="1F4E79"/>
            <w:tcMar>
              <w:top w:w="90" w:type="dxa"/>
              <w:start w:w="90" w:type="dxa"/>
              <w:bottom w:w="90" w:type="dxa"/>
              <w:end w:w="90" w:type="dxa"/>
            </w:tcMar>
            <w:vAlign w:val="center"/>
          </w:tcPr>
          <w:p>
            <w:pPr>
              <w:jc w:val="center"/>
            </w:pPr>
            <w:r>
              <w:rPr>
                <w:b/>
                <w:color w:val="FFFFFF"/>
                <w:sz w:val="14"/>
              </w:rPr>
              <w:t>Definition</w:t>
            </w:r>
          </w:p>
        </w:tc>
        <w:tc>
          <w:tcPr>
            <w:tcW w:type="dxa" w:w="2448"/>
            <w:shd w:fill="1F4E79"/>
            <w:tcMar>
              <w:top w:w="90" w:type="dxa"/>
              <w:start w:w="90" w:type="dxa"/>
              <w:bottom w:w="90" w:type="dxa"/>
              <w:end w:w="90" w:type="dxa"/>
            </w:tcMar>
            <w:vAlign w:val="center"/>
          </w:tcPr>
          <w:p>
            <w:pPr>
              <w:jc w:val="center"/>
            </w:pPr>
            <w:r>
              <w:rPr>
                <w:b/>
                <w:color w:val="FFFFFF"/>
                <w:sz w:val="14"/>
              </w:rPr>
              <w:t>Suggested target / trigger</w:t>
            </w:r>
          </w:p>
        </w:tc>
      </w:tr>
      <w:tr>
        <w:tc>
          <w:tcPr>
            <w:tcW w:type="dxa" w:w="2664"/>
            <w:tcMar>
              <w:top w:w="90" w:type="dxa"/>
              <w:start w:w="90" w:type="dxa"/>
              <w:bottom w:w="90" w:type="dxa"/>
              <w:end w:w="90" w:type="dxa"/>
            </w:tcMar>
            <w:vAlign w:val="top"/>
          </w:tcPr>
          <w:p>
            <w:pPr>
              <w:pStyle w:val="BodyText"/>
              <w:spacing w:after="0"/>
            </w:pPr>
            <w:r>
              <w:rPr>
                <w:sz w:val="14"/>
              </w:rPr>
              <w:t>Approved-version coverage</w:t>
            </w:r>
          </w:p>
        </w:tc>
        <w:tc>
          <w:tcPr>
            <w:tcW w:type="dxa" w:w="4248"/>
            <w:tcMar>
              <w:top w:w="90" w:type="dxa"/>
              <w:start w:w="90" w:type="dxa"/>
              <w:bottom w:w="90" w:type="dxa"/>
              <w:end w:w="90" w:type="dxa"/>
            </w:tcMar>
            <w:vAlign w:val="top"/>
          </w:tcPr>
          <w:p>
            <w:pPr>
              <w:pStyle w:val="BodyText"/>
              <w:spacing w:after="0"/>
            </w:pPr>
            <w:r>
              <w:rPr>
                <w:sz w:val="14"/>
              </w:rPr>
              <w:t>Assessments using an approved manifest combination.</w:t>
            </w:r>
          </w:p>
        </w:tc>
        <w:tc>
          <w:tcPr>
            <w:tcW w:type="dxa" w:w="2448"/>
            <w:tcMar>
              <w:top w:w="90" w:type="dxa"/>
              <w:start w:w="90" w:type="dxa"/>
              <w:bottom w:w="90" w:type="dxa"/>
              <w:end w:w="90" w:type="dxa"/>
            </w:tcMar>
            <w:vAlign w:val="top"/>
          </w:tcPr>
          <w:p>
            <w:pPr>
              <w:pStyle w:val="BodyText"/>
              <w:spacing w:after="0"/>
            </w:pPr>
            <w:r>
              <w:rPr>
                <w:sz w:val="14"/>
              </w:rPr>
              <w:t>100%; any unknown combination triggers investigation.</w:t>
            </w:r>
          </w:p>
        </w:tc>
      </w:tr>
      <w:tr>
        <w:tc>
          <w:tcPr>
            <w:tcW w:type="dxa" w:w="2664"/>
            <w:tcMar>
              <w:top w:w="90" w:type="dxa"/>
              <w:start w:w="90" w:type="dxa"/>
              <w:bottom w:w="90" w:type="dxa"/>
              <w:end w:w="90" w:type="dxa"/>
            </w:tcMar>
            <w:vAlign w:val="top"/>
            <w:shd w:fill="F8FBFD"/>
          </w:tcPr>
          <w:p>
            <w:pPr>
              <w:pStyle w:val="BodyText"/>
              <w:spacing w:after="0"/>
            </w:pPr>
            <w:r>
              <w:rPr>
                <w:sz w:val="14"/>
              </w:rPr>
              <w:t>Traceability completion</w:t>
            </w:r>
          </w:p>
        </w:tc>
        <w:tc>
          <w:tcPr>
            <w:tcW w:type="dxa" w:w="4248"/>
            <w:tcMar>
              <w:top w:w="90" w:type="dxa"/>
              <w:start w:w="90" w:type="dxa"/>
              <w:bottom w:w="90" w:type="dxa"/>
              <w:end w:w="90" w:type="dxa"/>
            </w:tcMar>
            <w:vAlign w:val="top"/>
            <w:shd w:fill="F8FBFD"/>
          </w:tcPr>
          <w:p>
            <w:pPr>
              <w:pStyle w:val="BodyText"/>
              <w:spacing w:after="0"/>
            </w:pPr>
            <w:r>
              <w:rPr>
                <w:sz w:val="14"/>
              </w:rPr>
              <w:t>Assessments reconstructable from source and versions.</w:t>
            </w:r>
          </w:p>
        </w:tc>
        <w:tc>
          <w:tcPr>
            <w:tcW w:type="dxa" w:w="2448"/>
            <w:tcMar>
              <w:top w:w="90" w:type="dxa"/>
              <w:start w:w="90" w:type="dxa"/>
              <w:bottom w:w="90" w:type="dxa"/>
              <w:end w:w="90" w:type="dxa"/>
            </w:tcMar>
            <w:vAlign w:val="top"/>
            <w:shd w:fill="F8FBFD"/>
          </w:tcPr>
          <w:p>
            <w:pPr>
              <w:pStyle w:val="BodyText"/>
              <w:spacing w:after="0"/>
            </w:pPr>
            <w:r>
              <w:rPr>
                <w:sz w:val="14"/>
              </w:rPr>
              <w:t>100% for sampled records.</w:t>
            </w:r>
          </w:p>
        </w:tc>
      </w:tr>
      <w:tr>
        <w:tc>
          <w:tcPr>
            <w:tcW w:type="dxa" w:w="2664"/>
            <w:tcMar>
              <w:top w:w="90" w:type="dxa"/>
              <w:start w:w="90" w:type="dxa"/>
              <w:bottom w:w="90" w:type="dxa"/>
              <w:end w:w="90" w:type="dxa"/>
            </w:tcMar>
            <w:vAlign w:val="top"/>
          </w:tcPr>
          <w:p>
            <w:pPr>
              <w:pStyle w:val="BodyText"/>
              <w:spacing w:after="0"/>
            </w:pPr>
            <w:r>
              <w:rPr>
                <w:sz w:val="14"/>
              </w:rPr>
              <w:t>Critical incident count</w:t>
            </w:r>
          </w:p>
        </w:tc>
        <w:tc>
          <w:tcPr>
            <w:tcW w:type="dxa" w:w="4248"/>
            <w:tcMar>
              <w:top w:w="90" w:type="dxa"/>
              <w:start w:w="90" w:type="dxa"/>
              <w:bottom w:w="90" w:type="dxa"/>
              <w:end w:w="90" w:type="dxa"/>
            </w:tcMar>
            <w:vAlign w:val="top"/>
          </w:tcPr>
          <w:p>
            <w:pPr>
              <w:pStyle w:val="BodyText"/>
              <w:spacing w:after="0"/>
            </w:pPr>
            <w:r>
              <w:rPr>
                <w:sz w:val="14"/>
              </w:rPr>
              <w:t>Safety/privacy critical incidents in period.</w:t>
            </w:r>
          </w:p>
        </w:tc>
        <w:tc>
          <w:tcPr>
            <w:tcW w:type="dxa" w:w="2448"/>
            <w:tcMar>
              <w:top w:w="90" w:type="dxa"/>
              <w:start w:w="90" w:type="dxa"/>
              <w:bottom w:w="90" w:type="dxa"/>
              <w:end w:w="90" w:type="dxa"/>
            </w:tcMar>
            <w:vAlign w:val="top"/>
          </w:tcPr>
          <w:p>
            <w:pPr>
              <w:pStyle w:val="BodyText"/>
              <w:spacing w:after="0"/>
            </w:pPr>
            <w:r>
              <w:rPr>
                <w:sz w:val="14"/>
              </w:rPr>
              <w:t>Zero desired; every event requires immediate review.</w:t>
            </w:r>
          </w:p>
        </w:tc>
      </w:tr>
      <w:tr>
        <w:tc>
          <w:tcPr>
            <w:tcW w:type="dxa" w:w="2664"/>
            <w:tcMar>
              <w:top w:w="90" w:type="dxa"/>
              <w:start w:w="90" w:type="dxa"/>
              <w:bottom w:w="90" w:type="dxa"/>
              <w:end w:w="90" w:type="dxa"/>
            </w:tcMar>
            <w:vAlign w:val="top"/>
            <w:shd w:fill="F8FBFD"/>
          </w:tcPr>
          <w:p>
            <w:pPr>
              <w:pStyle w:val="BodyText"/>
              <w:spacing w:after="0"/>
            </w:pPr>
            <w:r>
              <w:rPr>
                <w:sz w:val="14"/>
              </w:rPr>
              <w:t>Unresolved high defects</w:t>
            </w:r>
          </w:p>
        </w:tc>
        <w:tc>
          <w:tcPr>
            <w:tcW w:type="dxa" w:w="4248"/>
            <w:tcMar>
              <w:top w:w="90" w:type="dxa"/>
              <w:start w:w="90" w:type="dxa"/>
              <w:bottom w:w="90" w:type="dxa"/>
              <w:end w:w="90" w:type="dxa"/>
            </w:tcMar>
            <w:vAlign w:val="top"/>
            <w:shd w:fill="F8FBFD"/>
          </w:tcPr>
          <w:p>
            <w:pPr>
              <w:pStyle w:val="BodyText"/>
              <w:spacing w:after="0"/>
            </w:pPr>
            <w:r>
              <w:rPr>
                <w:sz w:val="14"/>
              </w:rPr>
              <w:t>High-severity defects beyond due date.</w:t>
            </w:r>
          </w:p>
        </w:tc>
        <w:tc>
          <w:tcPr>
            <w:tcW w:type="dxa" w:w="2448"/>
            <w:tcMar>
              <w:top w:w="90" w:type="dxa"/>
              <w:start w:w="90" w:type="dxa"/>
              <w:bottom w:w="90" w:type="dxa"/>
              <w:end w:w="90" w:type="dxa"/>
            </w:tcMar>
            <w:vAlign w:val="top"/>
            <w:shd w:fill="F8FBFD"/>
          </w:tcPr>
          <w:p>
            <w:pPr>
              <w:pStyle w:val="BodyText"/>
              <w:spacing w:after="0"/>
            </w:pPr>
            <w:r>
              <w:rPr>
                <w:sz w:val="14"/>
              </w:rPr>
              <w:t>Zero before release.</w:t>
            </w:r>
          </w:p>
        </w:tc>
      </w:tr>
      <w:tr>
        <w:tc>
          <w:tcPr>
            <w:tcW w:type="dxa" w:w="2664"/>
            <w:tcMar>
              <w:top w:w="90" w:type="dxa"/>
              <w:start w:w="90" w:type="dxa"/>
              <w:bottom w:w="90" w:type="dxa"/>
              <w:end w:w="90" w:type="dxa"/>
            </w:tcMar>
            <w:vAlign w:val="top"/>
          </w:tcPr>
          <w:p>
            <w:pPr>
              <w:pStyle w:val="BodyText"/>
              <w:spacing w:after="0"/>
            </w:pPr>
            <w:r>
              <w:rPr>
                <w:sz w:val="14"/>
              </w:rPr>
              <w:t>Change lead time</w:t>
            </w:r>
          </w:p>
        </w:tc>
        <w:tc>
          <w:tcPr>
            <w:tcW w:type="dxa" w:w="4248"/>
            <w:tcMar>
              <w:top w:w="90" w:type="dxa"/>
              <w:start w:w="90" w:type="dxa"/>
              <w:bottom w:w="90" w:type="dxa"/>
              <w:end w:w="90" w:type="dxa"/>
            </w:tcMar>
            <w:vAlign w:val="top"/>
          </w:tcPr>
          <w:p>
            <w:pPr>
              <w:pStyle w:val="BodyText"/>
              <w:spacing w:after="0"/>
            </w:pPr>
            <w:r>
              <w:rPr>
                <w:sz w:val="14"/>
              </w:rPr>
              <w:t>Time from approved proposal to safe deployment.</w:t>
            </w:r>
          </w:p>
        </w:tc>
        <w:tc>
          <w:tcPr>
            <w:tcW w:type="dxa" w:w="2448"/>
            <w:tcMar>
              <w:top w:w="90" w:type="dxa"/>
              <w:start w:w="90" w:type="dxa"/>
              <w:bottom w:w="90" w:type="dxa"/>
              <w:end w:w="90" w:type="dxa"/>
            </w:tcMar>
            <w:vAlign w:val="top"/>
          </w:tcPr>
          <w:p>
            <w:pPr>
              <w:pStyle w:val="BodyText"/>
              <w:spacing w:after="0"/>
            </w:pPr>
            <w:r>
              <w:rPr>
                <w:sz w:val="14"/>
              </w:rPr>
              <w:t>Monitor for bottlenecks; never shorten by bypassing gates.</w:t>
            </w:r>
          </w:p>
        </w:tc>
      </w:tr>
      <w:tr>
        <w:tc>
          <w:tcPr>
            <w:tcW w:type="dxa" w:w="2664"/>
            <w:tcMar>
              <w:top w:w="90" w:type="dxa"/>
              <w:start w:w="90" w:type="dxa"/>
              <w:bottom w:w="90" w:type="dxa"/>
              <w:end w:w="90" w:type="dxa"/>
            </w:tcMar>
            <w:vAlign w:val="top"/>
            <w:shd w:fill="F8FBFD"/>
          </w:tcPr>
          <w:p>
            <w:pPr>
              <w:pStyle w:val="BodyText"/>
              <w:spacing w:after="0"/>
            </w:pPr>
            <w:r>
              <w:rPr>
                <w:sz w:val="14"/>
              </w:rPr>
              <w:t>Rollback readiness</w:t>
            </w:r>
          </w:p>
        </w:tc>
        <w:tc>
          <w:tcPr>
            <w:tcW w:type="dxa" w:w="4248"/>
            <w:tcMar>
              <w:top w:w="90" w:type="dxa"/>
              <w:start w:w="90" w:type="dxa"/>
              <w:bottom w:w="90" w:type="dxa"/>
              <w:end w:w="90" w:type="dxa"/>
            </w:tcMar>
            <w:vAlign w:val="top"/>
            <w:shd w:fill="F8FBFD"/>
          </w:tcPr>
          <w:p>
            <w:pPr>
              <w:pStyle w:val="BodyText"/>
              <w:spacing w:after="0"/>
            </w:pPr>
            <w:r>
              <w:rPr>
                <w:sz w:val="14"/>
              </w:rPr>
              <w:t>Releases with validated rollback method.</w:t>
            </w:r>
          </w:p>
        </w:tc>
        <w:tc>
          <w:tcPr>
            <w:tcW w:type="dxa" w:w="2448"/>
            <w:tcMar>
              <w:top w:w="90" w:type="dxa"/>
              <w:start w:w="90" w:type="dxa"/>
              <w:bottom w:w="90" w:type="dxa"/>
              <w:end w:w="90" w:type="dxa"/>
            </w:tcMar>
            <w:vAlign w:val="top"/>
            <w:shd w:fill="F8FBFD"/>
          </w:tcPr>
          <w:p>
            <w:pPr>
              <w:pStyle w:val="BodyText"/>
              <w:spacing w:after="0"/>
            </w:pPr>
            <w:r>
              <w:rPr>
                <w:sz w:val="14"/>
              </w:rPr>
              <w:t>100% for material releases.</w:t>
            </w:r>
          </w:p>
        </w:tc>
      </w:tr>
      <w:tr>
        <w:tc>
          <w:tcPr>
            <w:tcW w:type="dxa" w:w="2664"/>
            <w:tcMar>
              <w:top w:w="90" w:type="dxa"/>
              <w:start w:w="90" w:type="dxa"/>
              <w:bottom w:w="90" w:type="dxa"/>
              <w:end w:w="90" w:type="dxa"/>
            </w:tcMar>
            <w:vAlign w:val="top"/>
          </w:tcPr>
          <w:p>
            <w:pPr>
              <w:pStyle w:val="BodyText"/>
              <w:spacing w:after="0"/>
            </w:pPr>
            <w:r>
              <w:rPr>
                <w:sz w:val="14"/>
              </w:rPr>
              <w:t>Training currency</w:t>
            </w:r>
          </w:p>
        </w:tc>
        <w:tc>
          <w:tcPr>
            <w:tcW w:type="dxa" w:w="4248"/>
            <w:tcMar>
              <w:top w:w="90" w:type="dxa"/>
              <w:start w:w="90" w:type="dxa"/>
              <w:bottom w:w="90" w:type="dxa"/>
              <w:end w:w="90" w:type="dxa"/>
            </w:tcMar>
            <w:vAlign w:val="top"/>
          </w:tcPr>
          <w:p>
            <w:pPr>
              <w:pStyle w:val="BodyText"/>
              <w:spacing w:after="0"/>
            </w:pPr>
            <w:r>
              <w:rPr>
                <w:sz w:val="14"/>
              </w:rPr>
              <w:t>Active users trained on current material release.</w:t>
            </w:r>
          </w:p>
        </w:tc>
        <w:tc>
          <w:tcPr>
            <w:tcW w:type="dxa" w:w="2448"/>
            <w:tcMar>
              <w:top w:w="90" w:type="dxa"/>
              <w:start w:w="90" w:type="dxa"/>
              <w:bottom w:w="90" w:type="dxa"/>
              <w:end w:w="90" w:type="dxa"/>
            </w:tcMar>
            <w:vAlign w:val="top"/>
          </w:tcPr>
          <w:p>
            <w:pPr>
              <w:pStyle w:val="BodyText"/>
              <w:spacing w:after="0"/>
            </w:pPr>
            <w:r>
              <w:rPr>
                <w:sz w:val="14"/>
              </w:rPr>
              <w:t>100% before use.</w:t>
            </w:r>
          </w:p>
        </w:tc>
      </w:tr>
      <w:tr>
        <w:tc>
          <w:tcPr>
            <w:tcW w:type="dxa" w:w="2664"/>
            <w:tcMar>
              <w:top w:w="90" w:type="dxa"/>
              <w:start w:w="90" w:type="dxa"/>
              <w:bottom w:w="90" w:type="dxa"/>
              <w:end w:w="90" w:type="dxa"/>
            </w:tcMar>
            <w:vAlign w:val="top"/>
            <w:shd w:fill="F8FBFD"/>
          </w:tcPr>
          <w:p>
            <w:pPr>
              <w:pStyle w:val="BodyText"/>
              <w:spacing w:after="0"/>
            </w:pPr>
            <w:r>
              <w:rPr>
                <w:sz w:val="14"/>
              </w:rPr>
              <w:t>Version mismatch rate</w:t>
            </w:r>
          </w:p>
        </w:tc>
        <w:tc>
          <w:tcPr>
            <w:tcW w:type="dxa" w:w="4248"/>
            <w:tcMar>
              <w:top w:w="90" w:type="dxa"/>
              <w:start w:w="90" w:type="dxa"/>
              <w:bottom w:w="90" w:type="dxa"/>
              <w:end w:w="90" w:type="dxa"/>
            </w:tcMar>
            <w:vAlign w:val="top"/>
            <w:shd w:fill="F8FBFD"/>
          </w:tcPr>
          <w:p>
            <w:pPr>
              <w:pStyle w:val="BodyText"/>
              <w:spacing w:after="0"/>
            </w:pPr>
            <w:r>
              <w:rPr>
                <w:sz w:val="14"/>
              </w:rPr>
              <w:t>Runtime mismatch events / assessment attempts.</w:t>
            </w:r>
          </w:p>
        </w:tc>
        <w:tc>
          <w:tcPr>
            <w:tcW w:type="dxa" w:w="2448"/>
            <w:tcMar>
              <w:top w:w="90" w:type="dxa"/>
              <w:start w:w="90" w:type="dxa"/>
              <w:bottom w:w="90" w:type="dxa"/>
              <w:end w:w="90" w:type="dxa"/>
            </w:tcMar>
            <w:vAlign w:val="top"/>
            <w:shd w:fill="F8FBFD"/>
          </w:tcPr>
          <w:p>
            <w:pPr>
              <w:pStyle w:val="BodyText"/>
              <w:spacing w:after="0"/>
            </w:pPr>
            <w:r>
              <w:rPr>
                <w:sz w:val="14"/>
              </w:rPr>
              <w:t>0%; any event is a configuration signal.</w:t>
            </w:r>
          </w:p>
        </w:tc>
      </w:tr>
      <w:tr>
        <w:tc>
          <w:tcPr>
            <w:tcW w:type="dxa" w:w="2664"/>
            <w:tcMar>
              <w:top w:w="90" w:type="dxa"/>
              <w:start w:w="90" w:type="dxa"/>
              <w:bottom w:w="90" w:type="dxa"/>
              <w:end w:w="90" w:type="dxa"/>
            </w:tcMar>
            <w:vAlign w:val="top"/>
          </w:tcPr>
          <w:p>
            <w:pPr>
              <w:pStyle w:val="BodyText"/>
              <w:spacing w:after="0"/>
            </w:pPr>
            <w:r>
              <w:rPr>
                <w:sz w:val="14"/>
              </w:rPr>
              <w:t>Stale explanation rate</w:t>
            </w:r>
          </w:p>
        </w:tc>
        <w:tc>
          <w:tcPr>
            <w:tcW w:type="dxa" w:w="4248"/>
            <w:tcMar>
              <w:top w:w="90" w:type="dxa"/>
              <w:start w:w="90" w:type="dxa"/>
              <w:bottom w:w="90" w:type="dxa"/>
              <w:end w:w="90" w:type="dxa"/>
            </w:tcMar>
            <w:vAlign w:val="top"/>
          </w:tcPr>
          <w:p>
            <w:pPr>
              <w:pStyle w:val="BodyText"/>
              <w:spacing w:after="0"/>
            </w:pPr>
            <w:r>
              <w:rPr>
                <w:sz w:val="14"/>
              </w:rPr>
              <w:t>Explanations older than relevant source updates.</w:t>
            </w:r>
          </w:p>
        </w:tc>
        <w:tc>
          <w:tcPr>
            <w:tcW w:type="dxa" w:w="2448"/>
            <w:tcMar>
              <w:top w:w="90" w:type="dxa"/>
              <w:start w:w="90" w:type="dxa"/>
              <w:bottom w:w="90" w:type="dxa"/>
              <w:end w:w="90" w:type="dxa"/>
            </w:tcMar>
            <w:vAlign w:val="top"/>
          </w:tcPr>
          <w:p>
            <w:pPr>
              <w:pStyle w:val="BodyText"/>
              <w:spacing w:after="0"/>
            </w:pPr>
            <w:r>
              <w:rPr>
                <w:sz w:val="14"/>
              </w:rPr>
              <w:t>0% before clinical use.</w:t>
            </w:r>
          </w:p>
        </w:tc>
      </w:tr>
      <w:tr>
        <w:tc>
          <w:tcPr>
            <w:tcW w:type="dxa" w:w="2664"/>
            <w:tcMar>
              <w:top w:w="90" w:type="dxa"/>
              <w:start w:w="90" w:type="dxa"/>
              <w:bottom w:w="90" w:type="dxa"/>
              <w:end w:w="90" w:type="dxa"/>
            </w:tcMar>
            <w:vAlign w:val="top"/>
            <w:shd w:fill="F8FBFD"/>
          </w:tcPr>
          <w:p>
            <w:pPr>
              <w:pStyle w:val="BodyText"/>
              <w:spacing w:after="0"/>
            </w:pPr>
            <w:r>
              <w:rPr>
                <w:sz w:val="14"/>
              </w:rPr>
              <w:t>Post-release defect escape</w:t>
            </w:r>
          </w:p>
        </w:tc>
        <w:tc>
          <w:tcPr>
            <w:tcW w:type="dxa" w:w="4248"/>
            <w:tcMar>
              <w:top w:w="90" w:type="dxa"/>
              <w:start w:w="90" w:type="dxa"/>
              <w:bottom w:w="90" w:type="dxa"/>
              <w:end w:w="90" w:type="dxa"/>
            </w:tcMar>
            <w:vAlign w:val="top"/>
            <w:shd w:fill="F8FBFD"/>
          </w:tcPr>
          <w:p>
            <w:pPr>
              <w:pStyle w:val="BodyText"/>
              <w:spacing w:after="0"/>
            </w:pPr>
            <w:r>
              <w:rPr>
                <w:sz w:val="14"/>
              </w:rPr>
              <w:t>Material defects first detected after deployment.</w:t>
            </w:r>
          </w:p>
        </w:tc>
        <w:tc>
          <w:tcPr>
            <w:tcW w:type="dxa" w:w="2448"/>
            <w:tcMar>
              <w:top w:w="90" w:type="dxa"/>
              <w:start w:w="90" w:type="dxa"/>
              <w:bottom w:w="90" w:type="dxa"/>
              <w:end w:w="90" w:type="dxa"/>
            </w:tcMar>
            <w:vAlign w:val="top"/>
            <w:shd w:fill="F8FBFD"/>
          </w:tcPr>
          <w:p>
            <w:pPr>
              <w:pStyle w:val="BodyText"/>
              <w:spacing w:after="0"/>
            </w:pPr>
            <w:r>
              <w:rPr>
                <w:sz w:val="14"/>
              </w:rPr>
              <w:t>Trend downward; root-cause review for each.</w:t>
            </w:r>
          </w:p>
        </w:tc>
      </w:tr>
      <w:tr>
        <w:tc>
          <w:tcPr>
            <w:tcW w:type="dxa" w:w="2664"/>
            <w:tcMar>
              <w:top w:w="90" w:type="dxa"/>
              <w:start w:w="90" w:type="dxa"/>
              <w:bottom w:w="90" w:type="dxa"/>
              <w:end w:w="90" w:type="dxa"/>
            </w:tcMar>
            <w:vAlign w:val="top"/>
          </w:tcPr>
          <w:p>
            <w:pPr>
              <w:pStyle w:val="BodyText"/>
              <w:spacing w:after="0"/>
            </w:pPr>
            <w:r>
              <w:rPr>
                <w:sz w:val="14"/>
              </w:rPr>
              <w:t>Governance evidence completeness</w:t>
            </w:r>
          </w:p>
        </w:tc>
        <w:tc>
          <w:tcPr>
            <w:tcW w:type="dxa" w:w="4248"/>
            <w:tcMar>
              <w:top w:w="90" w:type="dxa"/>
              <w:start w:w="90" w:type="dxa"/>
              <w:bottom w:w="90" w:type="dxa"/>
              <w:end w:w="90" w:type="dxa"/>
            </w:tcMar>
            <w:vAlign w:val="top"/>
          </w:tcPr>
          <w:p>
            <w:pPr>
              <w:pStyle w:val="BodyText"/>
              <w:spacing w:after="0"/>
            </w:pPr>
            <w:r>
              <w:rPr>
                <w:sz w:val="14"/>
              </w:rPr>
              <w:t>Required artifacts present for release.</w:t>
            </w:r>
          </w:p>
        </w:tc>
        <w:tc>
          <w:tcPr>
            <w:tcW w:type="dxa" w:w="2448"/>
            <w:tcMar>
              <w:top w:w="90" w:type="dxa"/>
              <w:start w:w="90" w:type="dxa"/>
              <w:bottom w:w="90" w:type="dxa"/>
              <w:end w:w="90" w:type="dxa"/>
            </w:tcMar>
            <w:vAlign w:val="top"/>
          </w:tcPr>
          <w:p>
            <w:pPr>
              <w:pStyle w:val="BodyText"/>
              <w:spacing w:after="0"/>
            </w:pPr>
            <w:r>
              <w:rPr>
                <w:sz w:val="14"/>
              </w:rPr>
              <w:t>100%.</w:t>
            </w:r>
          </w:p>
        </w:tc>
      </w:tr>
      <w:tr>
        <w:tc>
          <w:tcPr>
            <w:tcW w:type="dxa" w:w="2664"/>
            <w:tcMar>
              <w:top w:w="90" w:type="dxa"/>
              <w:start w:w="90" w:type="dxa"/>
              <w:bottom w:w="90" w:type="dxa"/>
              <w:end w:w="90" w:type="dxa"/>
            </w:tcMar>
            <w:vAlign w:val="top"/>
            <w:shd w:fill="F8FBFD"/>
          </w:tcPr>
          <w:p>
            <w:pPr>
              <w:pStyle w:val="BodyText"/>
              <w:spacing w:after="0"/>
            </w:pPr>
            <w:r>
              <w:rPr>
                <w:sz w:val="14"/>
              </w:rPr>
              <w:t>Retired-component calls</w:t>
            </w:r>
          </w:p>
        </w:tc>
        <w:tc>
          <w:tcPr>
            <w:tcW w:type="dxa" w:w="4248"/>
            <w:tcMar>
              <w:top w:w="90" w:type="dxa"/>
              <w:start w:w="90" w:type="dxa"/>
              <w:bottom w:w="90" w:type="dxa"/>
              <w:end w:w="90" w:type="dxa"/>
            </w:tcMar>
            <w:vAlign w:val="top"/>
            <w:shd w:fill="F8FBFD"/>
          </w:tcPr>
          <w:p>
            <w:pPr>
              <w:pStyle w:val="BodyText"/>
              <w:spacing w:after="0"/>
            </w:pPr>
            <w:r>
              <w:rPr>
                <w:sz w:val="14"/>
              </w:rPr>
              <w:t>Attempts to invoke retired asset.</w:t>
            </w:r>
          </w:p>
        </w:tc>
        <w:tc>
          <w:tcPr>
            <w:tcW w:type="dxa" w:w="2448"/>
            <w:tcMar>
              <w:top w:w="90" w:type="dxa"/>
              <w:start w:w="90" w:type="dxa"/>
              <w:bottom w:w="90" w:type="dxa"/>
              <w:end w:w="90" w:type="dxa"/>
            </w:tcMar>
            <w:vAlign w:val="top"/>
            <w:shd w:fill="F8FBFD"/>
          </w:tcPr>
          <w:p>
            <w:pPr>
              <w:pStyle w:val="BodyText"/>
              <w:spacing w:after="0"/>
            </w:pPr>
            <w:r>
              <w:rPr>
                <w:sz w:val="14"/>
              </w:rPr>
              <w:t>0; any call triggers access/configuration review.</w:t>
            </w:r>
          </w:p>
        </w:tc>
      </w:tr>
    </w:tbl>
    <w:p>
      <w:pPr>
        <w:spacing w:after="0"/>
      </w:pPr>
    </w:p>
    <w:p>
      <w:pPr>
        <w:pStyle w:val="BodyText"/>
      </w:pPr>
      <w:r>
        <w:t>Metrics support oversight but do not replace case review. A low incident count can mean good quality, limited use, or weak reporting. Governance therefore evaluates both quantitative indicators and the quality of reporting culture.</w:t>
      </w:r>
    </w:p>
    <w:p>
      <w:pPr>
        <w:pStyle w:val="Heading1"/>
        <w:keepNext/>
      </w:pPr>
      <w:r>
        <w:t>17. Implementation Blueprint for Laravel and Python</w:t>
      </w:r>
    </w:p>
    <w:p>
      <w:pPr>
        <w:pStyle w:val="Heading2"/>
        <w:keepNext/>
      </w:pPr>
      <w:r>
        <w:t>17.1 Suggested Laravel components</w:t>
      </w:r>
    </w:p>
    <w:tbl>
      <w:tblPr>
        <w:tblStyle w:val="TableGrid"/>
        <w:tblW w:type="auto" w:w="0"/>
        <w:jc w:val="center"/>
        <w:tblLook w:firstColumn="1" w:firstRow="1" w:lastColumn="0" w:lastRow="0" w:noHBand="0" w:noVBand="1" w:val="04A0"/>
      </w:tblPr>
      <w:tblGrid>
        <w:gridCol w:w="10080"/>
      </w:tblGrid>
      <w:tr>
        <w:tc>
          <w:tcPr>
            <w:tcW w:type="dxa" w:w="10080"/>
            <w:shd w:fill="F4F6F8"/>
            <w:tcMar>
              <w:top w:w="130" w:type="dxa"/>
              <w:start w:w="150" w:type="dxa"/>
              <w:bottom w:w="130" w:type="dxa"/>
              <w:end w:w="150" w:type="dxa"/>
            </w:tcMar>
          </w:tcPr>
          <w:p>
            <w:r>
              <w:rPr>
                <w:rFonts w:ascii="Consolas" w:hAnsi="Consolas"/>
                <w:sz w:val="16"/>
              </w:rPr>
              <w:t>app/Services/ClinicalDecisionService.php</w:t>
            </w:r>
            <w:r>
              <w:br/>
            </w:r>
            <w:r>
              <w:rPr>
                <w:rFonts w:ascii="Consolas" w:hAnsi="Consolas"/>
                <w:sz w:val="16"/>
              </w:rPr>
              <w:t>app/Services/ExplainabilityService.php</w:t>
            </w:r>
            <w:r>
              <w:br/>
            </w:r>
            <w:r>
              <w:rPr>
                <w:rFonts w:ascii="Consolas" w:hAnsi="Consolas"/>
                <w:sz w:val="16"/>
              </w:rPr>
              <w:t>app/Services/ExplanationProjectionService.php</w:t>
            </w:r>
            <w:r>
              <w:br/>
            </w:r>
            <w:r>
              <w:rPr>
                <w:rFonts w:ascii="Consolas" w:hAnsi="Consolas"/>
                <w:sz w:val="16"/>
              </w:rPr>
              <w:t>app/Services/ReleaseManifestService.php</w:t>
            </w:r>
            <w:r>
              <w:br/>
            </w:r>
            <w:r>
              <w:rPr>
                <w:rFonts w:ascii="Consolas" w:hAnsi="Consolas"/>
                <w:sz w:val="16"/>
              </w:rPr>
              <w:t>app/Services/AssessmentAuditService.php</w:t>
            </w:r>
            <w:r>
              <w:br/>
            </w:r>
            <w:r>
              <w:rPr>
                <w:rFonts w:ascii="Consolas" w:hAnsi="Consolas"/>
                <w:sz w:val="16"/>
              </w:rPr>
              <w:t>app/Services/IncidentService.php</w:t>
            </w:r>
            <w:r>
              <w:br/>
            </w:r>
            <w:r>
              <w:rPr>
                <w:rFonts w:ascii="Consolas" w:hAnsi="Consolas"/>
                <w:sz w:val="16"/>
              </w:rPr>
              <w:t>config/cdss.php</w:t>
            </w:r>
            <w:r>
              <w:br/>
            </w:r>
            <w:r>
              <w:rPr>
                <w:rFonts w:ascii="Consolas" w:hAnsi="Consolas"/>
                <w:sz w:val="16"/>
              </w:rPr>
              <w:t>database/migrations/*_create_assessment_snapshots_table.php</w:t>
            </w:r>
            <w:r>
              <w:br/>
            </w:r>
            <w:r>
              <w:rPr>
                <w:rFonts w:ascii="Consolas" w:hAnsi="Consolas"/>
                <w:sz w:val="16"/>
              </w:rPr>
              <w:t>database/migrations/*_create_cdss_releases_table.php</w:t>
            </w:r>
            <w:r>
              <w:br/>
            </w:r>
            <w:r>
              <w:rPr>
                <w:rFonts w:ascii="Consolas" w:hAnsi="Consolas"/>
                <w:sz w:val="16"/>
              </w:rPr>
              <w:t>database/migrations/*_create_cdss_incidents_table.php</w:t>
            </w:r>
          </w:p>
        </w:tc>
      </w:tr>
    </w:tbl>
    <w:p>
      <w:pPr>
        <w:spacing w:after="0"/>
      </w:pPr>
    </w:p>
    <w:p>
      <w:pPr>
        <w:pStyle w:val="Heading2"/>
        <w:keepNext/>
      </w:pPr>
      <w:r>
        <w:t>17.2 Runtime manifest validation</w:t>
      </w:r>
    </w:p>
    <w:tbl>
      <w:tblPr>
        <w:tblStyle w:val="TableGrid"/>
        <w:tblW w:type="auto" w:w="0"/>
        <w:jc w:val="center"/>
        <w:tblLook w:firstColumn="1" w:firstRow="1" w:lastColumn="0" w:lastRow="0" w:noHBand="0" w:noVBand="1" w:val="04A0"/>
      </w:tblPr>
      <w:tblGrid>
        <w:gridCol w:w="10080"/>
      </w:tblGrid>
      <w:tr>
        <w:tc>
          <w:tcPr>
            <w:tcW w:type="dxa" w:w="10080"/>
            <w:shd w:fill="F4F6F8"/>
            <w:tcMar>
              <w:top w:w="130" w:type="dxa"/>
              <w:start w:w="150" w:type="dxa"/>
              <w:bottom w:w="130" w:type="dxa"/>
              <w:end w:w="150" w:type="dxa"/>
            </w:tcMar>
          </w:tcPr>
          <w:p>
            <w:r>
              <w:rPr>
                <w:rFonts w:ascii="Consolas" w:hAnsi="Consolas"/>
                <w:sz w:val="16"/>
              </w:rPr>
              <w:t>manifest = ReleaseManifest::active()</w:t>
            </w:r>
            <w:r>
              <w:br/>
            </w:r>
            <w:r>
              <w:rPr>
                <w:rFonts w:ascii="Consolas" w:hAnsi="Consolas"/>
                <w:sz w:val="16"/>
              </w:rPr>
              <w:t>assertHash(config("cdss.model_path"), manifest.model_sha256)</w:t>
            </w:r>
            <w:r>
              <w:br/>
            </w:r>
            <w:r>
              <w:rPr>
                <w:rFonts w:ascii="Consolas" w:hAnsi="Consolas"/>
                <w:sz w:val="16"/>
              </w:rPr>
              <w:t>assertCompatible(manifest.model_version, manifest.feature_schema_version)</w:t>
            </w:r>
            <w:r>
              <w:br/>
            </w:r>
            <w:r>
              <w:rPr>
                <w:rFonts w:ascii="Consolas" w:hAnsi="Consolas"/>
                <w:sz w:val="16"/>
              </w:rPr>
              <w:t>assertCompatible(manifest.rule_catalog_version, manifest.reason_catalog_version)</w:t>
            </w:r>
            <w:r>
              <w:br/>
            </w:r>
            <w:r>
              <w:rPr>
                <w:rFonts w:ascii="Consolas" w:hAnsi="Consolas"/>
                <w:sz w:val="16"/>
              </w:rPr>
              <w:t>assertTemplateAvailable(manifest.template_catalog_version)</w:t>
            </w:r>
            <w:r>
              <w:br/>
            </w:r>
            <w:r>
              <w:rPr>
                <w:rFonts w:ascii="Consolas" w:hAnsi="Consolas"/>
                <w:sz w:val="16"/>
              </w:rPr>
            </w:r>
            <w:r>
              <w:br/>
            </w:r>
            <w:r>
              <w:rPr>
                <w:rFonts w:ascii="Consolas" w:hAnsi="Consolas"/>
                <w:sz w:val="16"/>
              </w:rPr>
              <w:t>if validation fails:</w:t>
            </w:r>
            <w:r>
              <w:br/>
            </w:r>
            <w:r>
              <w:rPr>
                <w:rFonts w:ascii="Consolas" w:hAnsi="Consolas"/>
                <w:sz w:val="16"/>
              </w:rPr>
              <w:t xml:space="preserve">    do not infer or fabricate an explanation</w:t>
            </w:r>
            <w:r>
              <w:br/>
            </w:r>
            <w:r>
              <w:rPr>
                <w:rFonts w:ascii="Consolas" w:hAnsi="Consolas"/>
                <w:sz w:val="16"/>
              </w:rPr>
              <w:t xml:space="preserve">    record configuration incident</w:t>
            </w:r>
            <w:r>
              <w:br/>
            </w:r>
            <w:r>
              <w:rPr>
                <w:rFonts w:ascii="Consolas" w:hAnsi="Consolas"/>
                <w:sz w:val="16"/>
              </w:rPr>
              <w:t xml:space="preserve">    return the approved safe workflow state</w:t>
            </w:r>
          </w:p>
        </w:tc>
      </w:tr>
    </w:tbl>
    <w:p>
      <w:pPr>
        <w:spacing w:after="0"/>
      </w:pPr>
    </w:p>
    <w:p>
      <w:pPr>
        <w:pStyle w:val="Heading2"/>
        <w:keepNext/>
      </w:pPr>
      <w:r>
        <w:t>17.3 Database concepts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2880"/>
            <w:shd w:fill="1F4E79"/>
            <w:tcMar>
              <w:top w:w="90" w:type="dxa"/>
              <w:start w:w="90" w:type="dxa"/>
              <w:bottom w:w="90" w:type="dxa"/>
              <w:end w:w="90" w:type="dxa"/>
            </w:tcMar>
            <w:vAlign w:val="center"/>
          </w:tcPr>
          <w:p>
            <w:pPr>
              <w:jc w:val="center"/>
            </w:pPr>
            <w:r>
              <w:rPr>
                <w:b/>
                <w:color w:val="FFFFFF"/>
                <w:sz w:val="16"/>
              </w:rPr>
              <w:t>Record</w:t>
            </w:r>
          </w:p>
        </w:tc>
        <w:tc>
          <w:tcPr>
            <w:tcW w:type="dxa" w:w="6480"/>
            <w:shd w:fill="1F4E79"/>
            <w:tcMar>
              <w:top w:w="90" w:type="dxa"/>
              <w:start w:w="90" w:type="dxa"/>
              <w:bottom w:w="90" w:type="dxa"/>
              <w:end w:w="90" w:type="dxa"/>
            </w:tcMar>
            <w:vAlign w:val="center"/>
          </w:tcPr>
          <w:p>
            <w:pPr>
              <w:jc w:val="center"/>
            </w:pPr>
            <w:r>
              <w:rPr>
                <w:b/>
                <w:color w:val="FFFFFF"/>
                <w:sz w:val="16"/>
              </w:rPr>
              <w:t>Purpose</w:t>
            </w:r>
          </w:p>
        </w:tc>
      </w:tr>
      <w:tr>
        <w:tc>
          <w:tcPr>
            <w:tcW w:type="dxa" w:w="2880"/>
            <w:tcMar>
              <w:top w:w="90" w:type="dxa"/>
              <w:start w:w="90" w:type="dxa"/>
              <w:bottom w:w="90" w:type="dxa"/>
              <w:end w:w="90" w:type="dxa"/>
            </w:tcMar>
            <w:vAlign w:val="top"/>
          </w:tcPr>
          <w:p>
            <w:pPr>
              <w:pStyle w:val="BodyText"/>
              <w:spacing w:after="0"/>
            </w:pPr>
            <w:r>
              <w:rPr>
                <w:sz w:val="16"/>
              </w:rPr>
              <w:t>cdss_releases</w:t>
            </w:r>
          </w:p>
        </w:tc>
        <w:tc>
          <w:tcPr>
            <w:tcW w:type="dxa" w:w="6480"/>
            <w:tcMar>
              <w:top w:w="90" w:type="dxa"/>
              <w:start w:w="90" w:type="dxa"/>
              <w:bottom w:w="90" w:type="dxa"/>
              <w:end w:w="90" w:type="dxa"/>
            </w:tcMar>
            <w:vAlign w:val="top"/>
          </w:tcPr>
          <w:p>
            <w:pPr>
              <w:pStyle w:val="BodyText"/>
              <w:spacing w:after="0"/>
            </w:pPr>
            <w:r>
              <w:rPr>
                <w:sz w:val="16"/>
              </w:rPr>
              <w:t>Approved manifest, status, dates, owners, notes, and rollback release.</w:t>
            </w:r>
          </w:p>
        </w:tc>
      </w:tr>
      <w:tr>
        <w:tc>
          <w:tcPr>
            <w:tcW w:type="dxa" w:w="2880"/>
            <w:tcMar>
              <w:top w:w="90" w:type="dxa"/>
              <w:start w:w="90" w:type="dxa"/>
              <w:bottom w:w="90" w:type="dxa"/>
              <w:end w:w="90" w:type="dxa"/>
            </w:tcMar>
            <w:vAlign w:val="top"/>
            <w:shd w:fill="F8FBFD"/>
          </w:tcPr>
          <w:p>
            <w:pPr>
              <w:pStyle w:val="BodyText"/>
              <w:spacing w:after="0"/>
            </w:pPr>
            <w:r>
              <w:rPr>
                <w:sz w:val="16"/>
              </w:rPr>
              <w:t>assessment_snapshots</w:t>
            </w:r>
          </w:p>
        </w:tc>
        <w:tc>
          <w:tcPr>
            <w:tcW w:type="dxa" w:w="6480"/>
            <w:tcMar>
              <w:top w:w="90" w:type="dxa"/>
              <w:start w:w="90" w:type="dxa"/>
              <w:bottom w:w="90" w:type="dxa"/>
              <w:end w:w="90" w:type="dxa"/>
            </w:tcMar>
            <w:vAlign w:val="top"/>
            <w:shd w:fill="F8FBFD"/>
          </w:tcPr>
          <w:p>
            <w:pPr>
              <w:pStyle w:val="BodyText"/>
              <w:spacing w:after="0"/>
            </w:pPr>
            <w:r>
              <w:rPr>
                <w:sz w:val="16"/>
              </w:rPr>
              <w:t>Immutable patient-specific evidence, status, reasons, action, and component versions.</w:t>
            </w:r>
          </w:p>
        </w:tc>
      </w:tr>
      <w:tr>
        <w:tc>
          <w:tcPr>
            <w:tcW w:type="dxa" w:w="2880"/>
            <w:tcMar>
              <w:top w:w="90" w:type="dxa"/>
              <w:start w:w="90" w:type="dxa"/>
              <w:bottom w:w="90" w:type="dxa"/>
              <w:end w:w="90" w:type="dxa"/>
            </w:tcMar>
            <w:vAlign w:val="top"/>
          </w:tcPr>
          <w:p>
            <w:pPr>
              <w:pStyle w:val="BodyText"/>
              <w:spacing w:after="0"/>
            </w:pPr>
            <w:r>
              <w:rPr>
                <w:sz w:val="16"/>
              </w:rPr>
              <w:t>explanation_artifacts</w:t>
            </w:r>
          </w:p>
        </w:tc>
        <w:tc>
          <w:tcPr>
            <w:tcW w:type="dxa" w:w="6480"/>
            <w:tcMar>
              <w:top w:w="90" w:type="dxa"/>
              <w:start w:w="90" w:type="dxa"/>
              <w:bottom w:w="90" w:type="dxa"/>
              <w:end w:w="90" w:type="dxa"/>
            </w:tcMar>
            <w:vAlign w:val="top"/>
          </w:tcPr>
          <w:p>
            <w:pPr>
              <w:pStyle w:val="BodyText"/>
              <w:spacing w:after="0"/>
            </w:pPr>
            <w:r>
              <w:rPr>
                <w:sz w:val="16"/>
              </w:rPr>
              <w:t>Canonical bundle or reproducible structured representation and template version.</w:t>
            </w:r>
          </w:p>
        </w:tc>
      </w:tr>
      <w:tr>
        <w:tc>
          <w:tcPr>
            <w:tcW w:type="dxa" w:w="2880"/>
            <w:tcMar>
              <w:top w:w="90" w:type="dxa"/>
              <w:start w:w="90" w:type="dxa"/>
              <w:bottom w:w="90" w:type="dxa"/>
              <w:end w:w="90" w:type="dxa"/>
            </w:tcMar>
            <w:vAlign w:val="top"/>
            <w:shd w:fill="F8FBFD"/>
          </w:tcPr>
          <w:p>
            <w:pPr>
              <w:pStyle w:val="BodyText"/>
              <w:spacing w:after="0"/>
            </w:pPr>
            <w:r>
              <w:rPr>
                <w:sz w:val="16"/>
              </w:rPr>
              <w:t>cdss_change_requests</w:t>
            </w:r>
          </w:p>
        </w:tc>
        <w:tc>
          <w:tcPr>
            <w:tcW w:type="dxa" w:w="6480"/>
            <w:tcMar>
              <w:top w:w="90" w:type="dxa"/>
              <w:start w:w="90" w:type="dxa"/>
              <w:bottom w:w="90" w:type="dxa"/>
              <w:end w:w="90" w:type="dxa"/>
            </w:tcMar>
            <w:vAlign w:val="top"/>
            <w:shd w:fill="F8FBFD"/>
          </w:tcPr>
          <w:p>
            <w:pPr>
              <w:pStyle w:val="BodyText"/>
              <w:spacing w:after="0"/>
            </w:pPr>
            <w:r>
              <w:rPr>
                <w:sz w:val="16"/>
              </w:rPr>
              <w:t>Proposal, class, impact, approvals, evidence, and deployment link.</w:t>
            </w:r>
          </w:p>
        </w:tc>
      </w:tr>
      <w:tr>
        <w:tc>
          <w:tcPr>
            <w:tcW w:type="dxa" w:w="2880"/>
            <w:tcMar>
              <w:top w:w="90" w:type="dxa"/>
              <w:start w:w="90" w:type="dxa"/>
              <w:bottom w:w="90" w:type="dxa"/>
              <w:end w:w="90" w:type="dxa"/>
            </w:tcMar>
            <w:vAlign w:val="top"/>
          </w:tcPr>
          <w:p>
            <w:pPr>
              <w:pStyle w:val="BodyText"/>
              <w:spacing w:after="0"/>
            </w:pPr>
            <w:r>
              <w:rPr>
                <w:sz w:val="16"/>
              </w:rPr>
              <w:t>cdss_incidents</w:t>
            </w:r>
          </w:p>
        </w:tc>
        <w:tc>
          <w:tcPr>
            <w:tcW w:type="dxa" w:w="6480"/>
            <w:tcMar>
              <w:top w:w="90" w:type="dxa"/>
              <w:start w:w="90" w:type="dxa"/>
              <w:bottom w:w="90" w:type="dxa"/>
              <w:end w:w="90" w:type="dxa"/>
            </w:tcMar>
            <w:vAlign w:val="top"/>
          </w:tcPr>
          <w:p>
            <w:pPr>
              <w:pStyle w:val="BodyText"/>
              <w:spacing w:after="0"/>
            </w:pPr>
            <w:r>
              <w:rPr>
                <w:sz w:val="16"/>
              </w:rPr>
              <w:t>Severity, affected scope, containment, cause, corrective and preventive actions.</w:t>
            </w:r>
          </w:p>
        </w:tc>
      </w:tr>
      <w:tr>
        <w:tc>
          <w:tcPr>
            <w:tcW w:type="dxa" w:w="2880"/>
            <w:tcMar>
              <w:top w:w="90" w:type="dxa"/>
              <w:start w:w="90" w:type="dxa"/>
              <w:bottom w:w="90" w:type="dxa"/>
              <w:end w:w="90" w:type="dxa"/>
            </w:tcMar>
            <w:vAlign w:val="top"/>
            <w:shd w:fill="F8FBFD"/>
          </w:tcPr>
          <w:p>
            <w:pPr>
              <w:pStyle w:val="BodyText"/>
              <w:spacing w:after="0"/>
            </w:pPr>
            <w:r>
              <w:rPr>
                <w:sz w:val="16"/>
              </w:rPr>
              <w:t>cdss_training_records</w:t>
            </w:r>
          </w:p>
        </w:tc>
        <w:tc>
          <w:tcPr>
            <w:tcW w:type="dxa" w:w="6480"/>
            <w:tcMar>
              <w:top w:w="90" w:type="dxa"/>
              <w:start w:w="90" w:type="dxa"/>
              <w:bottom w:w="90" w:type="dxa"/>
              <w:end w:w="90" w:type="dxa"/>
            </w:tcMar>
            <w:vAlign w:val="top"/>
            <w:shd w:fill="F8FBFD"/>
          </w:tcPr>
          <w:p>
            <w:pPr>
              <w:pStyle w:val="BodyText"/>
              <w:spacing w:after="0"/>
            </w:pPr>
            <w:r>
              <w:rPr>
                <w:sz w:val="16"/>
              </w:rPr>
              <w:t>User, material version, competency result, date, and refresh requirement.</w:t>
            </w:r>
          </w:p>
        </w:tc>
      </w:tr>
    </w:tbl>
    <w:p>
      <w:pPr>
        <w:spacing w:after="0"/>
      </w:pPr>
    </w:p>
    <w:p>
      <w:pPr>
        <w:pStyle w:val="Heading2"/>
        <w:keepNext/>
      </w:pPr>
      <w:r>
        <w:t>17.4 Transaction and audit behavior</w:t>
      </w:r>
    </w:p>
    <w:p>
      <w:pPr>
        <w:pStyle w:val="BodyText"/>
      </w:pPr>
      <w:r>
        <w:t>Where practical, the final assessment, explanation provenance, and audit event should be persisted atomically. If the decision is stored but the explanation or version information is lost, the system has created an ungoverned clinical record. The implementation must define whether to roll back the transaction, mark the assessment unusable, or invoke another approved recovery path.</w:t>
      </w:r>
    </w:p>
    <w:p>
      <w:pPr>
        <w:pStyle w:val="Heading1"/>
        <w:keepNext/>
      </w:pPr>
      <w:r>
        <w:t>18. Phased Governance Implementation Roadmap</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2592"/>
            <w:shd w:fill="1F4E79"/>
            <w:tcMar>
              <w:top w:w="90" w:type="dxa"/>
              <w:start w:w="90" w:type="dxa"/>
              <w:bottom w:w="90" w:type="dxa"/>
              <w:end w:w="90" w:type="dxa"/>
            </w:tcMar>
            <w:vAlign w:val="center"/>
          </w:tcPr>
          <w:p>
            <w:pPr>
              <w:jc w:val="center"/>
            </w:pPr>
            <w:r>
              <w:rPr>
                <w:b/>
                <w:color w:val="FFFFFF"/>
                <w:sz w:val="16"/>
              </w:rPr>
              <w:t>Phase</w:t>
            </w:r>
          </w:p>
        </w:tc>
        <w:tc>
          <w:tcPr>
            <w:tcW w:type="dxa" w:w="6768"/>
            <w:shd w:fill="1F4E79"/>
            <w:tcMar>
              <w:top w:w="90" w:type="dxa"/>
              <w:start w:w="90" w:type="dxa"/>
              <w:bottom w:w="90" w:type="dxa"/>
              <w:end w:w="90" w:type="dxa"/>
            </w:tcMar>
            <w:vAlign w:val="center"/>
          </w:tcPr>
          <w:p>
            <w:pPr>
              <w:jc w:val="center"/>
            </w:pPr>
            <w:r>
              <w:rPr>
                <w:b/>
                <w:color w:val="FFFFFF"/>
                <w:sz w:val="16"/>
              </w:rPr>
              <w:t>Deliverables</w:t>
            </w:r>
          </w:p>
        </w:tc>
      </w:tr>
      <w:tr>
        <w:tc>
          <w:tcPr>
            <w:tcW w:type="dxa" w:w="2592"/>
            <w:tcMar>
              <w:top w:w="90" w:type="dxa"/>
              <w:start w:w="90" w:type="dxa"/>
              <w:bottom w:w="90" w:type="dxa"/>
              <w:end w:w="90" w:type="dxa"/>
            </w:tcMar>
            <w:vAlign w:val="top"/>
          </w:tcPr>
          <w:p>
            <w:pPr>
              <w:pStyle w:val="BodyText"/>
              <w:spacing w:after="0"/>
            </w:pPr>
            <w:r>
              <w:rPr>
                <w:sz w:val="16"/>
              </w:rPr>
              <w:t>1. Baseline inventory</w:t>
            </w:r>
          </w:p>
        </w:tc>
        <w:tc>
          <w:tcPr>
            <w:tcW w:type="dxa" w:w="6768"/>
            <w:tcMar>
              <w:top w:w="90" w:type="dxa"/>
              <w:start w:w="90" w:type="dxa"/>
              <w:bottom w:w="90" w:type="dxa"/>
              <w:end w:w="90" w:type="dxa"/>
            </w:tcMar>
            <w:vAlign w:val="top"/>
          </w:tcPr>
          <w:p>
            <w:pPr>
              <w:pStyle w:val="BodyText"/>
              <w:spacing w:after="0"/>
            </w:pPr>
            <w:r>
              <w:rPr>
                <w:sz w:val="16"/>
              </w:rPr>
              <w:t>List current rules, controller logic, Python files, templates, configuration, tests, and known limitations.</w:t>
            </w:r>
          </w:p>
        </w:tc>
      </w:tr>
      <w:tr>
        <w:tc>
          <w:tcPr>
            <w:tcW w:type="dxa" w:w="2592"/>
            <w:tcMar>
              <w:top w:w="90" w:type="dxa"/>
              <w:start w:w="90" w:type="dxa"/>
              <w:bottom w:w="90" w:type="dxa"/>
              <w:end w:w="90" w:type="dxa"/>
            </w:tcMar>
            <w:vAlign w:val="top"/>
            <w:shd w:fill="F8FBFD"/>
          </w:tcPr>
          <w:p>
            <w:pPr>
              <w:pStyle w:val="BodyText"/>
              <w:spacing w:after="0"/>
            </w:pPr>
            <w:r>
              <w:rPr>
                <w:sz w:val="16"/>
              </w:rPr>
              <w:t>2. Ownership and policy</w:t>
            </w:r>
          </w:p>
        </w:tc>
        <w:tc>
          <w:tcPr>
            <w:tcW w:type="dxa" w:w="6768"/>
            <w:tcMar>
              <w:top w:w="90" w:type="dxa"/>
              <w:start w:w="90" w:type="dxa"/>
              <w:bottom w:w="90" w:type="dxa"/>
              <w:end w:w="90" w:type="dxa"/>
            </w:tcMar>
            <w:vAlign w:val="top"/>
            <w:shd w:fill="F8FBFD"/>
          </w:tcPr>
          <w:p>
            <w:pPr>
              <w:pStyle w:val="BodyText"/>
              <w:spacing w:after="0"/>
            </w:pPr>
            <w:r>
              <w:rPr>
                <w:sz w:val="16"/>
              </w:rPr>
              <w:t>Assign governance roles, decision rights, risk classes, and release gates.</w:t>
            </w:r>
          </w:p>
        </w:tc>
      </w:tr>
      <w:tr>
        <w:tc>
          <w:tcPr>
            <w:tcW w:type="dxa" w:w="2592"/>
            <w:tcMar>
              <w:top w:w="90" w:type="dxa"/>
              <w:start w:w="90" w:type="dxa"/>
              <w:bottom w:w="90" w:type="dxa"/>
              <w:end w:w="90" w:type="dxa"/>
            </w:tcMar>
            <w:vAlign w:val="top"/>
          </w:tcPr>
          <w:p>
            <w:pPr>
              <w:pStyle w:val="BodyText"/>
              <w:spacing w:after="0"/>
            </w:pPr>
            <w:r>
              <w:rPr>
                <w:sz w:val="16"/>
              </w:rPr>
              <w:t>3. Version and manifest</w:t>
            </w:r>
          </w:p>
        </w:tc>
        <w:tc>
          <w:tcPr>
            <w:tcW w:type="dxa" w:w="6768"/>
            <w:tcMar>
              <w:top w:w="90" w:type="dxa"/>
              <w:start w:w="90" w:type="dxa"/>
              <w:bottom w:w="90" w:type="dxa"/>
              <w:end w:w="90" w:type="dxa"/>
            </w:tcMar>
            <w:vAlign w:val="top"/>
          </w:tcPr>
          <w:p>
            <w:pPr>
              <w:pStyle w:val="BodyText"/>
              <w:spacing w:after="0"/>
            </w:pPr>
            <w:r>
              <w:rPr>
                <w:sz w:val="16"/>
              </w:rPr>
              <w:t>Introduce component versions, model hash, release manifest, and compatibility validation.</w:t>
            </w:r>
          </w:p>
        </w:tc>
      </w:tr>
      <w:tr>
        <w:tc>
          <w:tcPr>
            <w:tcW w:type="dxa" w:w="2592"/>
            <w:tcMar>
              <w:top w:w="90" w:type="dxa"/>
              <w:start w:w="90" w:type="dxa"/>
              <w:bottom w:w="90" w:type="dxa"/>
              <w:end w:w="90" w:type="dxa"/>
            </w:tcMar>
            <w:vAlign w:val="top"/>
            <w:shd w:fill="F8FBFD"/>
          </w:tcPr>
          <w:p>
            <w:pPr>
              <w:pStyle w:val="BodyText"/>
              <w:spacing w:after="0"/>
            </w:pPr>
            <w:r>
              <w:rPr>
                <w:sz w:val="16"/>
              </w:rPr>
              <w:t>4. Change-control records</w:t>
            </w:r>
          </w:p>
        </w:tc>
        <w:tc>
          <w:tcPr>
            <w:tcW w:type="dxa" w:w="6768"/>
            <w:tcMar>
              <w:top w:w="90" w:type="dxa"/>
              <w:start w:w="90" w:type="dxa"/>
              <w:bottom w:w="90" w:type="dxa"/>
              <w:end w:w="90" w:type="dxa"/>
            </w:tcMar>
            <w:vAlign w:val="top"/>
            <w:shd w:fill="F8FBFD"/>
          </w:tcPr>
          <w:p>
            <w:pPr>
              <w:pStyle w:val="BodyText"/>
              <w:spacing w:after="0"/>
            </w:pPr>
            <w:r>
              <w:rPr>
                <w:sz w:val="16"/>
              </w:rPr>
              <w:t>Create change request, impact assessment, approval, and release-note templates.</w:t>
            </w:r>
          </w:p>
        </w:tc>
      </w:tr>
      <w:tr>
        <w:tc>
          <w:tcPr>
            <w:tcW w:type="dxa" w:w="2592"/>
            <w:tcMar>
              <w:top w:w="90" w:type="dxa"/>
              <w:start w:w="90" w:type="dxa"/>
              <w:bottom w:w="90" w:type="dxa"/>
              <w:end w:w="90" w:type="dxa"/>
            </w:tcMar>
            <w:vAlign w:val="top"/>
          </w:tcPr>
          <w:p>
            <w:pPr>
              <w:pStyle w:val="BodyText"/>
              <w:spacing w:after="0"/>
            </w:pPr>
            <w:r>
              <w:rPr>
                <w:sz w:val="16"/>
              </w:rPr>
              <w:t>5. Immutable provenance</w:t>
            </w:r>
          </w:p>
        </w:tc>
        <w:tc>
          <w:tcPr>
            <w:tcW w:type="dxa" w:w="6768"/>
            <w:tcMar>
              <w:top w:w="90" w:type="dxa"/>
              <w:start w:w="90" w:type="dxa"/>
              <w:bottom w:w="90" w:type="dxa"/>
              <w:end w:w="90" w:type="dxa"/>
            </w:tcMar>
            <w:vAlign w:val="top"/>
          </w:tcPr>
          <w:p>
            <w:pPr>
              <w:pStyle w:val="BodyText"/>
              <w:spacing w:after="0"/>
            </w:pPr>
            <w:r>
              <w:rPr>
                <w:sz w:val="16"/>
              </w:rPr>
              <w:t>Persist assessment snapshots, reasons, model/rule/template versions, and source timestamps.</w:t>
            </w:r>
          </w:p>
        </w:tc>
      </w:tr>
      <w:tr>
        <w:tc>
          <w:tcPr>
            <w:tcW w:type="dxa" w:w="2592"/>
            <w:tcMar>
              <w:top w:w="90" w:type="dxa"/>
              <w:start w:w="90" w:type="dxa"/>
              <w:bottom w:w="90" w:type="dxa"/>
              <w:end w:w="90" w:type="dxa"/>
            </w:tcMar>
            <w:vAlign w:val="top"/>
            <w:shd w:fill="F8FBFD"/>
          </w:tcPr>
          <w:p>
            <w:pPr>
              <w:pStyle w:val="BodyText"/>
              <w:spacing w:after="0"/>
            </w:pPr>
            <w:r>
              <w:rPr>
                <w:sz w:val="16"/>
              </w:rPr>
              <w:t>6. Monitoring and incidents</w:t>
            </w:r>
          </w:p>
        </w:tc>
        <w:tc>
          <w:tcPr>
            <w:tcW w:type="dxa" w:w="6768"/>
            <w:tcMar>
              <w:top w:w="90" w:type="dxa"/>
              <w:start w:w="90" w:type="dxa"/>
              <w:bottom w:w="90" w:type="dxa"/>
              <w:end w:w="90" w:type="dxa"/>
            </w:tcMar>
            <w:vAlign w:val="top"/>
            <w:shd w:fill="F8FBFD"/>
          </w:tcPr>
          <w:p>
            <w:pPr>
              <w:pStyle w:val="BodyText"/>
              <w:spacing w:after="0"/>
            </w:pPr>
            <w:r>
              <w:rPr>
                <w:sz w:val="16"/>
              </w:rPr>
              <w:t>Define metrics, alert thresholds, incident severity, containment, and corrective-action records.</w:t>
            </w:r>
          </w:p>
        </w:tc>
      </w:tr>
      <w:tr>
        <w:tc>
          <w:tcPr>
            <w:tcW w:type="dxa" w:w="2592"/>
            <w:tcMar>
              <w:top w:w="90" w:type="dxa"/>
              <w:start w:w="90" w:type="dxa"/>
              <w:bottom w:w="90" w:type="dxa"/>
              <w:end w:w="90" w:type="dxa"/>
            </w:tcMar>
            <w:vAlign w:val="top"/>
          </w:tcPr>
          <w:p>
            <w:pPr>
              <w:pStyle w:val="BodyText"/>
              <w:spacing w:after="0"/>
            </w:pPr>
            <w:r>
              <w:rPr>
                <w:sz w:val="16"/>
              </w:rPr>
              <w:t>7. Training and pilot</w:t>
            </w:r>
          </w:p>
        </w:tc>
        <w:tc>
          <w:tcPr>
            <w:tcW w:type="dxa" w:w="6768"/>
            <w:tcMar>
              <w:top w:w="90" w:type="dxa"/>
              <w:start w:w="90" w:type="dxa"/>
              <w:bottom w:w="90" w:type="dxa"/>
              <w:end w:w="90" w:type="dxa"/>
            </w:tcMar>
            <w:vAlign w:val="top"/>
          </w:tcPr>
          <w:p>
            <w:pPr>
              <w:pStyle w:val="BodyText"/>
              <w:spacing w:after="0"/>
            </w:pPr>
            <w:r>
              <w:rPr>
                <w:sz w:val="16"/>
              </w:rPr>
              <w:t>Train users, run competency scenarios, deploy under supervision, and review feedback.</w:t>
            </w:r>
          </w:p>
        </w:tc>
      </w:tr>
      <w:tr>
        <w:tc>
          <w:tcPr>
            <w:tcW w:type="dxa" w:w="2592"/>
            <w:tcMar>
              <w:top w:w="90" w:type="dxa"/>
              <w:start w:w="90" w:type="dxa"/>
              <w:bottom w:w="90" w:type="dxa"/>
              <w:end w:w="90" w:type="dxa"/>
            </w:tcMar>
            <w:vAlign w:val="top"/>
            <w:shd w:fill="F8FBFD"/>
          </w:tcPr>
          <w:p>
            <w:pPr>
              <w:pStyle w:val="BodyText"/>
              <w:spacing w:after="0"/>
            </w:pPr>
            <w:r>
              <w:rPr>
                <w:sz w:val="16"/>
              </w:rPr>
              <w:t>8. Lifecycle review</w:t>
            </w:r>
          </w:p>
        </w:tc>
        <w:tc>
          <w:tcPr>
            <w:tcW w:type="dxa" w:w="6768"/>
            <w:tcMar>
              <w:top w:w="90" w:type="dxa"/>
              <w:start w:w="90" w:type="dxa"/>
              <w:bottom w:w="90" w:type="dxa"/>
              <w:end w:w="90" w:type="dxa"/>
            </w:tcMar>
            <w:vAlign w:val="top"/>
            <w:shd w:fill="F8FBFD"/>
          </w:tcPr>
          <w:p>
            <w:pPr>
              <w:pStyle w:val="BodyText"/>
              <w:spacing w:after="0"/>
            </w:pPr>
            <w:r>
              <w:rPr>
                <w:sz w:val="16"/>
              </w:rPr>
              <w:t>Audit evidence, close gaps, define retirement plan, and prepare Part 8 master specification.</w:t>
            </w:r>
          </w:p>
        </w:tc>
      </w:tr>
    </w:tbl>
    <w:p>
      <w:pPr>
        <w:spacing w:after="0"/>
      </w:pPr>
    </w:p>
    <w:p>
      <w:pPr>
        <w:pStyle w:val="Heading1"/>
        <w:keepNext/>
      </w:pPr>
      <w:r>
        <w:t>19. Panel-Defense Questions and Suggested Answers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3240"/>
            <w:shd w:fill="1F4E79"/>
            <w:tcMar>
              <w:top w:w="90" w:type="dxa"/>
              <w:start w:w="90" w:type="dxa"/>
              <w:bottom w:w="90" w:type="dxa"/>
              <w:end w:w="90" w:type="dxa"/>
            </w:tcMar>
            <w:vAlign w:val="center"/>
          </w:tcPr>
          <w:p>
            <w:pPr>
              <w:jc w:val="center"/>
            </w:pPr>
            <w:r>
              <w:rPr>
                <w:b/>
                <w:color w:val="FFFFFF"/>
                <w:sz w:val="15"/>
              </w:rPr>
              <w:t>Question</w:t>
            </w:r>
          </w:p>
        </w:tc>
        <w:tc>
          <w:tcPr>
            <w:tcW w:type="dxa" w:w="6120"/>
            <w:shd w:fill="1F4E79"/>
            <w:tcMar>
              <w:top w:w="90" w:type="dxa"/>
              <w:start w:w="90" w:type="dxa"/>
              <w:bottom w:w="90" w:type="dxa"/>
              <w:end w:w="90" w:type="dxa"/>
            </w:tcMar>
            <w:vAlign w:val="center"/>
          </w:tcPr>
          <w:p>
            <w:pPr>
              <w:jc w:val="center"/>
            </w:pPr>
            <w:r>
              <w:rPr>
                <w:b/>
                <w:color w:val="FFFFFF"/>
                <w:sz w:val="15"/>
              </w:rPr>
              <w:t>Suggested defense answer</w:t>
            </w:r>
          </w:p>
        </w:tc>
      </w:tr>
      <w:tr>
        <w:tc>
          <w:tcPr>
            <w:tcW w:type="dxa" w:w="3240"/>
            <w:tcMar>
              <w:top w:w="90" w:type="dxa"/>
              <w:start w:w="90" w:type="dxa"/>
              <w:bottom w:w="90" w:type="dxa"/>
              <w:end w:w="90" w:type="dxa"/>
            </w:tcMar>
            <w:vAlign w:val="top"/>
          </w:tcPr>
          <w:p>
            <w:pPr>
              <w:pStyle w:val="BodyText"/>
              <w:spacing w:after="0"/>
            </w:pPr>
            <w:r>
              <w:rPr>
                <w:sz w:val="15"/>
              </w:rPr>
              <w:t>Why does explainability need governance?</w:t>
            </w:r>
          </w:p>
        </w:tc>
        <w:tc>
          <w:tcPr>
            <w:tcW w:type="dxa" w:w="6120"/>
            <w:tcMar>
              <w:top w:w="90" w:type="dxa"/>
              <w:start w:w="90" w:type="dxa"/>
              <w:bottom w:w="90" w:type="dxa"/>
              <w:end w:w="90" w:type="dxa"/>
            </w:tcMar>
            <w:vAlign w:val="top"/>
          </w:tcPr>
          <w:p>
            <w:pPr>
              <w:pStyle w:val="BodyText"/>
              <w:spacing w:after="0"/>
            </w:pPr>
            <w:r>
              <w:rPr>
                <w:sz w:val="15"/>
              </w:rPr>
              <w:t>Because explanations can change user action. A correct model output can still become unsafe if the reason, recommendation, audience wording, or audit trail is wrong.</w:t>
            </w:r>
          </w:p>
        </w:tc>
      </w:tr>
      <w:tr>
        <w:tc>
          <w:tcPr>
            <w:tcW w:type="dxa" w:w="3240"/>
            <w:tcMar>
              <w:top w:w="90" w:type="dxa"/>
              <w:start w:w="90" w:type="dxa"/>
              <w:bottom w:w="90" w:type="dxa"/>
              <w:end w:w="90" w:type="dxa"/>
            </w:tcMar>
            <w:vAlign w:val="top"/>
            <w:shd w:fill="F8FBFD"/>
          </w:tcPr>
          <w:p>
            <w:pPr>
              <w:pStyle w:val="BodyText"/>
              <w:spacing w:after="0"/>
            </w:pPr>
            <w:r>
              <w:rPr>
                <w:sz w:val="15"/>
              </w:rPr>
              <w:t>Who is accountable when the AI is wrong?</w:t>
            </w:r>
          </w:p>
        </w:tc>
        <w:tc>
          <w:tcPr>
            <w:tcW w:type="dxa" w:w="6120"/>
            <w:tcMar>
              <w:top w:w="90" w:type="dxa"/>
              <w:start w:w="90" w:type="dxa"/>
              <w:bottom w:w="90" w:type="dxa"/>
              <w:end w:w="90" w:type="dxa"/>
            </w:tcMar>
            <w:vAlign w:val="top"/>
            <w:shd w:fill="F8FBFD"/>
          </w:tcPr>
          <w:p>
            <w:pPr>
              <w:pStyle w:val="BodyText"/>
              <w:spacing w:after="0"/>
            </w:pPr>
            <w:r>
              <w:rPr>
                <w:sz w:val="15"/>
              </w:rPr>
              <w:t>The system does not transfer responsibility to AI. Named clinical, technical, operational, and governance roles remain responsible for appropriate design, deployment, oversight, and use.</w:t>
            </w:r>
          </w:p>
        </w:tc>
      </w:tr>
      <w:tr>
        <w:tc>
          <w:tcPr>
            <w:tcW w:type="dxa" w:w="3240"/>
            <w:tcMar>
              <w:top w:w="90" w:type="dxa"/>
              <w:start w:w="90" w:type="dxa"/>
              <w:bottom w:w="90" w:type="dxa"/>
              <w:end w:w="90" w:type="dxa"/>
            </w:tcMar>
            <w:vAlign w:val="top"/>
          </w:tcPr>
          <w:p>
            <w:pPr>
              <w:pStyle w:val="BodyText"/>
              <w:spacing w:after="0"/>
            </w:pPr>
            <w:r>
              <w:rPr>
                <w:sz w:val="15"/>
              </w:rPr>
              <w:t>Can the developer change a clinical rule?</w:t>
            </w:r>
          </w:p>
        </w:tc>
        <w:tc>
          <w:tcPr>
            <w:tcW w:type="dxa" w:w="6120"/>
            <w:tcMar>
              <w:top w:w="90" w:type="dxa"/>
              <w:start w:w="90" w:type="dxa"/>
              <w:bottom w:w="90" w:type="dxa"/>
              <w:end w:w="90" w:type="dxa"/>
            </w:tcMar>
            <w:vAlign w:val="top"/>
          </w:tcPr>
          <w:p>
            <w:pPr>
              <w:pStyle w:val="BodyText"/>
              <w:spacing w:after="0"/>
            </w:pPr>
            <w:r>
              <w:rPr>
                <w:sz w:val="15"/>
              </w:rPr>
              <w:t>The developer may implement an approved change but cannot independently redefine clinical thresholds or referral meaning.</w:t>
            </w:r>
          </w:p>
        </w:tc>
      </w:tr>
      <w:tr>
        <w:tc>
          <w:tcPr>
            <w:tcW w:type="dxa" w:w="3240"/>
            <w:tcMar>
              <w:top w:w="90" w:type="dxa"/>
              <w:start w:w="90" w:type="dxa"/>
              <w:bottom w:w="90" w:type="dxa"/>
              <w:end w:w="90" w:type="dxa"/>
            </w:tcMar>
            <w:vAlign w:val="top"/>
            <w:shd w:fill="F8FBFD"/>
          </w:tcPr>
          <w:p>
            <w:pPr>
              <w:pStyle w:val="BodyText"/>
              <w:spacing w:after="0"/>
            </w:pPr>
            <w:r>
              <w:rPr>
                <w:sz w:val="15"/>
              </w:rPr>
              <w:t>How do you reproduce an old assessment?</w:t>
            </w:r>
          </w:p>
        </w:tc>
        <w:tc>
          <w:tcPr>
            <w:tcW w:type="dxa" w:w="6120"/>
            <w:tcMar>
              <w:top w:w="90" w:type="dxa"/>
              <w:start w:w="90" w:type="dxa"/>
              <w:bottom w:w="90" w:type="dxa"/>
              <w:end w:w="90" w:type="dxa"/>
            </w:tcMar>
            <w:vAlign w:val="top"/>
            <w:shd w:fill="F8FBFD"/>
          </w:tcPr>
          <w:p>
            <w:pPr>
              <w:pStyle w:val="BodyText"/>
              <w:spacing w:after="0"/>
            </w:pPr>
            <w:r>
              <w:rPr>
                <w:sz w:val="15"/>
              </w:rPr>
              <w:t>The system stores an immutable snapshot with source values, final status, reasons, and the exact rule, model, feature, template, and application versions.</w:t>
            </w:r>
          </w:p>
        </w:tc>
      </w:tr>
      <w:tr>
        <w:tc>
          <w:tcPr>
            <w:tcW w:type="dxa" w:w="3240"/>
            <w:tcMar>
              <w:top w:w="90" w:type="dxa"/>
              <w:start w:w="90" w:type="dxa"/>
              <w:bottom w:w="90" w:type="dxa"/>
              <w:end w:w="90" w:type="dxa"/>
            </w:tcMar>
            <w:vAlign w:val="top"/>
          </w:tcPr>
          <w:p>
            <w:pPr>
              <w:pStyle w:val="BodyText"/>
              <w:spacing w:after="0"/>
            </w:pPr>
            <w:r>
              <w:rPr>
                <w:sz w:val="15"/>
              </w:rPr>
              <w:t>What happens when the model file is changed?</w:t>
            </w:r>
          </w:p>
        </w:tc>
        <w:tc>
          <w:tcPr>
            <w:tcW w:type="dxa" w:w="6120"/>
            <w:tcMar>
              <w:top w:w="90" w:type="dxa"/>
              <w:start w:w="90" w:type="dxa"/>
              <w:bottom w:w="90" w:type="dxa"/>
              <w:end w:w="90" w:type="dxa"/>
            </w:tcMar>
            <w:vAlign w:val="top"/>
          </w:tcPr>
          <w:p>
            <w:pPr>
              <w:pStyle w:val="BodyText"/>
              <w:spacing w:after="0"/>
            </w:pPr>
            <w:r>
              <w:rPr>
                <w:sz w:val="15"/>
              </w:rPr>
              <w:t>The deployed file hash is checked against the approved release manifest. A mismatch disables the ML contribution and raises a configuration incident.</w:t>
            </w:r>
          </w:p>
        </w:tc>
      </w:tr>
      <w:tr>
        <w:tc>
          <w:tcPr>
            <w:tcW w:type="dxa" w:w="3240"/>
            <w:tcMar>
              <w:top w:w="90" w:type="dxa"/>
              <w:start w:w="90" w:type="dxa"/>
              <w:bottom w:w="90" w:type="dxa"/>
              <w:end w:w="90" w:type="dxa"/>
            </w:tcMar>
            <w:vAlign w:val="top"/>
            <w:shd w:fill="F8FBFD"/>
          </w:tcPr>
          <w:p>
            <w:pPr>
              <w:pStyle w:val="BodyText"/>
              <w:spacing w:after="0"/>
            </w:pPr>
            <w:r>
              <w:rPr>
                <w:sz w:val="15"/>
              </w:rPr>
              <w:t>Does your model learn continuously?</w:t>
            </w:r>
          </w:p>
        </w:tc>
        <w:tc>
          <w:tcPr>
            <w:tcW w:type="dxa" w:w="6120"/>
            <w:tcMar>
              <w:top w:w="90" w:type="dxa"/>
              <w:start w:w="90" w:type="dxa"/>
              <w:bottom w:w="90" w:type="dxa"/>
              <w:end w:w="90" w:type="dxa"/>
            </w:tcMar>
            <w:vAlign w:val="top"/>
            <w:shd w:fill="F8FBFD"/>
          </w:tcPr>
          <w:p>
            <w:pPr>
              <w:pStyle w:val="BodyText"/>
              <w:spacing w:after="0"/>
            </w:pPr>
            <w:r>
              <w:rPr>
                <w:sz w:val="15"/>
              </w:rPr>
              <w:t>No. Continuous learning is intentionally excluded. A new model requires separate validation, versioning, approval, and deployment.</w:t>
            </w:r>
          </w:p>
        </w:tc>
      </w:tr>
      <w:tr>
        <w:tc>
          <w:tcPr>
            <w:tcW w:type="dxa" w:w="3240"/>
            <w:tcMar>
              <w:top w:w="90" w:type="dxa"/>
              <w:start w:w="90" w:type="dxa"/>
              <w:bottom w:w="90" w:type="dxa"/>
              <w:end w:w="90" w:type="dxa"/>
            </w:tcMar>
            <w:vAlign w:val="top"/>
          </w:tcPr>
          <w:p>
            <w:pPr>
              <w:pStyle w:val="BodyText"/>
              <w:spacing w:after="0"/>
            </w:pPr>
            <w:r>
              <w:rPr>
                <w:sz w:val="15"/>
              </w:rPr>
              <w:t>How do you manage urgent fixes?</w:t>
            </w:r>
          </w:p>
        </w:tc>
        <w:tc>
          <w:tcPr>
            <w:tcW w:type="dxa" w:w="6120"/>
            <w:tcMar>
              <w:top w:w="90" w:type="dxa"/>
              <w:start w:w="90" w:type="dxa"/>
              <w:bottom w:w="90" w:type="dxa"/>
              <w:end w:w="90" w:type="dxa"/>
            </w:tcMar>
            <w:vAlign w:val="top"/>
          </w:tcPr>
          <w:p>
            <w:pPr>
              <w:pStyle w:val="BodyText"/>
              <w:spacing w:after="0"/>
            </w:pPr>
            <w:r>
              <w:rPr>
                <w:sz w:val="15"/>
              </w:rPr>
              <w:t>Emergency change may shorten scheduling, but containment, approval, evidence preservation, rollback, and retrospective review remain mandatory.</w:t>
            </w:r>
          </w:p>
        </w:tc>
      </w:tr>
      <w:tr>
        <w:tc>
          <w:tcPr>
            <w:tcW w:type="dxa" w:w="3240"/>
            <w:tcMar>
              <w:top w:w="90" w:type="dxa"/>
              <w:start w:w="90" w:type="dxa"/>
              <w:bottom w:w="90" w:type="dxa"/>
              <w:end w:w="90" w:type="dxa"/>
            </w:tcMar>
            <w:vAlign w:val="top"/>
            <w:shd w:fill="F8FBFD"/>
          </w:tcPr>
          <w:p>
            <w:pPr>
              <w:pStyle w:val="BodyText"/>
              <w:spacing w:after="0"/>
            </w:pPr>
            <w:r>
              <w:rPr>
                <w:sz w:val="15"/>
              </w:rPr>
              <w:t>How do you protect patient information?</w:t>
            </w:r>
          </w:p>
        </w:tc>
        <w:tc>
          <w:tcPr>
            <w:tcW w:type="dxa" w:w="6120"/>
            <w:tcMar>
              <w:top w:w="90" w:type="dxa"/>
              <w:start w:w="90" w:type="dxa"/>
              <w:bottom w:w="90" w:type="dxa"/>
              <w:end w:w="90" w:type="dxa"/>
            </w:tcMar>
            <w:vAlign w:val="top"/>
            <w:shd w:fill="F8FBFD"/>
          </w:tcPr>
          <w:p>
            <w:pPr>
              <w:pStyle w:val="BodyText"/>
              <w:spacing w:after="0"/>
            </w:pPr>
            <w:r>
              <w:rPr>
                <w:sz w:val="15"/>
              </w:rPr>
              <w:t>Through role-based disclosure, minimum-necessary projections, confidentiality, logging, safe development data, controlled exports, and incident response aligned with Philippine privacy obligations.</w:t>
            </w:r>
          </w:p>
        </w:tc>
      </w:tr>
      <w:tr>
        <w:tc>
          <w:tcPr>
            <w:tcW w:type="dxa" w:w="3240"/>
            <w:tcMar>
              <w:top w:w="90" w:type="dxa"/>
              <w:start w:w="90" w:type="dxa"/>
              <w:bottom w:w="90" w:type="dxa"/>
              <w:end w:w="90" w:type="dxa"/>
            </w:tcMar>
            <w:vAlign w:val="top"/>
          </w:tcPr>
          <w:p>
            <w:pPr>
              <w:pStyle w:val="BodyText"/>
              <w:spacing w:after="0"/>
            </w:pPr>
            <w:r>
              <w:rPr>
                <w:sz w:val="15"/>
              </w:rPr>
              <w:t>What if the midwife disagrees with the result?</w:t>
            </w:r>
          </w:p>
        </w:tc>
        <w:tc>
          <w:tcPr>
            <w:tcW w:type="dxa" w:w="6120"/>
            <w:tcMar>
              <w:top w:w="90" w:type="dxa"/>
              <w:start w:w="90" w:type="dxa"/>
              <w:bottom w:w="90" w:type="dxa"/>
              <w:end w:w="90" w:type="dxa"/>
            </w:tcMar>
            <w:vAlign w:val="top"/>
          </w:tcPr>
          <w:p>
            <w:pPr>
              <w:pStyle w:val="BodyText"/>
              <w:spacing w:after="0"/>
            </w:pPr>
            <w:r>
              <w:rPr>
                <w:sz w:val="15"/>
              </w:rPr>
              <w:t>Human judgment remains authoritative. The action and rationale can be documented without deleting the original result, and repeated disagreement is reviewed as a governance signal.</w:t>
            </w:r>
          </w:p>
        </w:tc>
      </w:tr>
      <w:tr>
        <w:tc>
          <w:tcPr>
            <w:tcW w:type="dxa" w:w="3240"/>
            <w:tcMar>
              <w:top w:w="90" w:type="dxa"/>
              <w:start w:w="90" w:type="dxa"/>
              <w:bottom w:w="90" w:type="dxa"/>
              <w:end w:w="90" w:type="dxa"/>
            </w:tcMar>
            <w:vAlign w:val="top"/>
            <w:shd w:fill="F8FBFD"/>
          </w:tcPr>
          <w:p>
            <w:pPr>
              <w:pStyle w:val="BodyText"/>
              <w:spacing w:after="0"/>
            </w:pPr>
            <w:r>
              <w:rPr>
                <w:sz w:val="15"/>
              </w:rPr>
              <w:t>When should the system be retired?</w:t>
            </w:r>
          </w:p>
        </w:tc>
        <w:tc>
          <w:tcPr>
            <w:tcW w:type="dxa" w:w="6120"/>
            <w:tcMar>
              <w:top w:w="90" w:type="dxa"/>
              <w:start w:w="90" w:type="dxa"/>
              <w:bottom w:w="90" w:type="dxa"/>
              <w:end w:w="90" w:type="dxa"/>
            </w:tcMar>
            <w:vAlign w:val="top"/>
            <w:shd w:fill="F8FBFD"/>
          </w:tcPr>
          <w:p>
            <w:pPr>
              <w:pStyle w:val="BodyText"/>
              <w:spacing w:after="0"/>
            </w:pPr>
            <w:r>
              <w:rPr>
                <w:sz w:val="15"/>
              </w:rPr>
              <w:t>When its clinical basis, model, dependencies, security, ownership, or monitoring can no longer be maintained safely. New use stops while historical evidence remains preserved.</w:t>
            </w:r>
          </w:p>
        </w:tc>
      </w:tr>
      <w:tr>
        <w:tc>
          <w:tcPr>
            <w:tcW w:type="dxa" w:w="3240"/>
            <w:tcMar>
              <w:top w:w="90" w:type="dxa"/>
              <w:start w:w="90" w:type="dxa"/>
              <w:bottom w:w="90" w:type="dxa"/>
              <w:end w:w="90" w:type="dxa"/>
            </w:tcMar>
            <w:vAlign w:val="top"/>
          </w:tcPr>
          <w:p>
            <w:pPr>
              <w:pStyle w:val="BodyText"/>
              <w:spacing w:after="0"/>
            </w:pPr>
            <w:r>
              <w:rPr>
                <w:sz w:val="15"/>
              </w:rPr>
              <w:t>Is this regulatory certification?</w:t>
            </w:r>
          </w:p>
        </w:tc>
        <w:tc>
          <w:tcPr>
            <w:tcW w:type="dxa" w:w="6120"/>
            <w:tcMar>
              <w:top w:w="90" w:type="dxa"/>
              <w:start w:w="90" w:type="dxa"/>
              <w:bottom w:w="90" w:type="dxa"/>
              <w:end w:w="90" w:type="dxa"/>
            </w:tcMar>
            <w:vAlign w:val="top"/>
          </w:tcPr>
          <w:p>
            <w:pPr>
              <w:pStyle w:val="BodyText"/>
              <w:spacing w:after="0"/>
            </w:pPr>
            <w:r>
              <w:rPr>
                <w:sz w:val="15"/>
              </w:rPr>
              <w:t>No. The framework is a research and engineering governance specification. It does not claim FDA clearance, Philippine regulatory approval, or clinical certification.</w:t>
            </w:r>
          </w:p>
        </w:tc>
      </w:tr>
      <w:tr>
        <w:tc>
          <w:tcPr>
            <w:tcW w:type="dxa" w:w="3240"/>
            <w:tcMar>
              <w:top w:w="90" w:type="dxa"/>
              <w:start w:w="90" w:type="dxa"/>
              <w:bottom w:w="90" w:type="dxa"/>
              <w:end w:w="90" w:type="dxa"/>
            </w:tcMar>
            <w:vAlign w:val="top"/>
            <w:shd w:fill="F8FBFD"/>
          </w:tcPr>
          <w:p>
            <w:pPr>
              <w:pStyle w:val="BodyText"/>
              <w:spacing w:after="0"/>
            </w:pPr>
            <w:r>
              <w:rPr>
                <w:sz w:val="15"/>
              </w:rPr>
              <w:t>Why reference international frameworks?</w:t>
            </w:r>
          </w:p>
        </w:tc>
        <w:tc>
          <w:tcPr>
            <w:tcW w:type="dxa" w:w="6120"/>
            <w:tcMar>
              <w:top w:w="90" w:type="dxa"/>
              <w:start w:w="90" w:type="dxa"/>
              <w:bottom w:w="90" w:type="dxa"/>
              <w:end w:w="90" w:type="dxa"/>
            </w:tcMar>
            <w:vAlign w:val="top"/>
            <w:shd w:fill="F8FBFD"/>
          </w:tcPr>
          <w:p>
            <w:pPr>
              <w:pStyle w:val="BodyText"/>
              <w:spacing w:after="0"/>
            </w:pPr>
            <w:r>
              <w:rPr>
                <w:sz w:val="15"/>
              </w:rPr>
              <w:t>WHO and NIST provide widely recognized principles and lifecycle practices. They are adapted to the local capstone context rather than treated as automatic legal compliance.</w:t>
            </w:r>
          </w:p>
        </w:tc>
      </w:tr>
    </w:tbl>
    <w:p>
      <w:pPr>
        <w:spacing w:after="0"/>
      </w:pPr>
    </w:p>
    <w:p>
      <w:pPr>
        <w:pStyle w:val="Heading1"/>
        <w:keepNext/>
      </w:pPr>
      <w:r>
        <w:t>20. Consolidated Explainability Governance Requirements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1224"/>
            <w:shd w:fill="1F4E79"/>
            <w:tcMar>
              <w:top w:w="90" w:type="dxa"/>
              <w:start w:w="90" w:type="dxa"/>
              <w:bottom w:w="90" w:type="dxa"/>
              <w:end w:w="90" w:type="dxa"/>
            </w:tcMar>
            <w:vAlign w:val="center"/>
          </w:tcPr>
          <w:p>
            <w:pPr>
              <w:jc w:val="center"/>
            </w:pPr>
            <w:r>
              <w:rPr>
                <w:b/>
                <w:color w:val="FFFFFF"/>
                <w:sz w:val="15"/>
              </w:rPr>
              <w:t>ID</w:t>
            </w:r>
          </w:p>
        </w:tc>
        <w:tc>
          <w:tcPr>
            <w:tcW w:type="dxa" w:w="8136"/>
            <w:shd w:fill="1F4E79"/>
            <w:tcMar>
              <w:top w:w="90" w:type="dxa"/>
              <w:start w:w="90" w:type="dxa"/>
              <w:bottom w:w="90" w:type="dxa"/>
              <w:end w:w="90" w:type="dxa"/>
            </w:tcMar>
            <w:vAlign w:val="center"/>
          </w:tcPr>
          <w:p>
            <w:pPr>
              <w:jc w:val="center"/>
            </w:pPr>
            <w:r>
              <w:rPr>
                <w:b/>
                <w:color w:val="FFFFFF"/>
                <w:sz w:val="15"/>
              </w:rPr>
              <w:t>Requirement</w:t>
            </w:r>
          </w:p>
        </w:tc>
      </w:tr>
      <w:tr>
        <w:tc>
          <w:tcPr>
            <w:tcW w:type="dxa" w:w="1224"/>
            <w:tcMar>
              <w:top w:w="90" w:type="dxa"/>
              <w:start w:w="90" w:type="dxa"/>
              <w:bottom w:w="90" w:type="dxa"/>
              <w:end w:w="90" w:type="dxa"/>
            </w:tcMar>
            <w:vAlign w:val="top"/>
          </w:tcPr>
          <w:p>
            <w:pPr>
              <w:pStyle w:val="BodyText"/>
              <w:spacing w:after="0"/>
            </w:pPr>
            <w:r>
              <w:rPr>
                <w:sz w:val="15"/>
              </w:rPr>
              <w:t>EGR-01</w:t>
            </w:r>
          </w:p>
        </w:tc>
        <w:tc>
          <w:tcPr>
            <w:tcW w:type="dxa" w:w="8136"/>
            <w:tcMar>
              <w:top w:w="90" w:type="dxa"/>
              <w:start w:w="90" w:type="dxa"/>
              <w:bottom w:w="90" w:type="dxa"/>
              <w:end w:w="90" w:type="dxa"/>
            </w:tcMar>
            <w:vAlign w:val="top"/>
          </w:tcPr>
          <w:p>
            <w:pPr>
              <w:pStyle w:val="BodyText"/>
              <w:spacing w:after="0"/>
            </w:pPr>
            <w:r>
              <w:rPr>
                <w:sz w:val="15"/>
              </w:rPr>
              <w:t>The system shall assign accountable owners for clinical logic, model artifacts, explanations, operations, privacy, testing, and releases.</w:t>
            </w:r>
          </w:p>
        </w:tc>
      </w:tr>
      <w:tr>
        <w:tc>
          <w:tcPr>
            <w:tcW w:type="dxa" w:w="1224"/>
            <w:tcMar>
              <w:top w:w="90" w:type="dxa"/>
              <w:start w:w="90" w:type="dxa"/>
              <w:bottom w:w="90" w:type="dxa"/>
              <w:end w:w="90" w:type="dxa"/>
            </w:tcMar>
            <w:vAlign w:val="top"/>
            <w:shd w:fill="F8FBFD"/>
          </w:tcPr>
          <w:p>
            <w:pPr>
              <w:pStyle w:val="BodyText"/>
              <w:spacing w:after="0"/>
            </w:pPr>
            <w:r>
              <w:rPr>
                <w:sz w:val="15"/>
              </w:rPr>
              <w:t>EGR-02</w:t>
            </w:r>
          </w:p>
        </w:tc>
        <w:tc>
          <w:tcPr>
            <w:tcW w:type="dxa" w:w="8136"/>
            <w:tcMar>
              <w:top w:w="90" w:type="dxa"/>
              <w:start w:w="90" w:type="dxa"/>
              <w:bottom w:w="90" w:type="dxa"/>
              <w:end w:w="90" w:type="dxa"/>
            </w:tcMar>
            <w:vAlign w:val="top"/>
            <w:shd w:fill="F8FBFD"/>
          </w:tcPr>
          <w:p>
            <w:pPr>
              <w:pStyle w:val="BodyText"/>
              <w:spacing w:after="0"/>
            </w:pPr>
            <w:r>
              <w:rPr>
                <w:sz w:val="15"/>
              </w:rPr>
              <w:t>Every material explainability asset shall have a unique identifier, version, owner, status, and approval record.</w:t>
            </w:r>
          </w:p>
        </w:tc>
      </w:tr>
      <w:tr>
        <w:tc>
          <w:tcPr>
            <w:tcW w:type="dxa" w:w="1224"/>
            <w:tcMar>
              <w:top w:w="90" w:type="dxa"/>
              <w:start w:w="90" w:type="dxa"/>
              <w:bottom w:w="90" w:type="dxa"/>
              <w:end w:w="90" w:type="dxa"/>
            </w:tcMar>
            <w:vAlign w:val="top"/>
          </w:tcPr>
          <w:p>
            <w:pPr>
              <w:pStyle w:val="BodyText"/>
              <w:spacing w:after="0"/>
            </w:pPr>
            <w:r>
              <w:rPr>
                <w:sz w:val="15"/>
              </w:rPr>
              <w:t>EGR-03</w:t>
            </w:r>
          </w:p>
        </w:tc>
        <w:tc>
          <w:tcPr>
            <w:tcW w:type="dxa" w:w="8136"/>
            <w:tcMar>
              <w:top w:w="90" w:type="dxa"/>
              <w:start w:w="90" w:type="dxa"/>
              <w:bottom w:w="90" w:type="dxa"/>
              <w:end w:w="90" w:type="dxa"/>
            </w:tcMar>
            <w:vAlign w:val="top"/>
          </w:tcPr>
          <w:p>
            <w:pPr>
              <w:pStyle w:val="BodyText"/>
              <w:spacing w:after="0"/>
            </w:pPr>
            <w:r>
              <w:rPr>
                <w:sz w:val="15"/>
              </w:rPr>
              <w:t>The deployed application shall validate the approved release manifest and model hash before accepting ML output.</w:t>
            </w:r>
          </w:p>
        </w:tc>
      </w:tr>
      <w:tr>
        <w:tc>
          <w:tcPr>
            <w:tcW w:type="dxa" w:w="1224"/>
            <w:tcMar>
              <w:top w:w="90" w:type="dxa"/>
              <w:start w:w="90" w:type="dxa"/>
              <w:bottom w:w="90" w:type="dxa"/>
              <w:end w:w="90" w:type="dxa"/>
            </w:tcMar>
            <w:vAlign w:val="top"/>
            <w:shd w:fill="F8FBFD"/>
          </w:tcPr>
          <w:p>
            <w:pPr>
              <w:pStyle w:val="BodyText"/>
              <w:spacing w:after="0"/>
            </w:pPr>
            <w:r>
              <w:rPr>
                <w:sz w:val="15"/>
              </w:rPr>
              <w:t>EGR-04</w:t>
            </w:r>
          </w:p>
        </w:tc>
        <w:tc>
          <w:tcPr>
            <w:tcW w:type="dxa" w:w="8136"/>
            <w:tcMar>
              <w:top w:w="90" w:type="dxa"/>
              <w:start w:w="90" w:type="dxa"/>
              <w:bottom w:w="90" w:type="dxa"/>
              <w:end w:w="90" w:type="dxa"/>
            </w:tcMar>
            <w:vAlign w:val="top"/>
            <w:shd w:fill="F8FBFD"/>
          </w:tcPr>
          <w:p>
            <w:pPr>
              <w:pStyle w:val="BodyText"/>
              <w:spacing w:after="0"/>
            </w:pPr>
            <w:r>
              <w:rPr>
                <w:sz w:val="15"/>
              </w:rPr>
              <w:t>Clinical thresholds and decision-policy changes shall require documented clinical approval and boundary regression tests.</w:t>
            </w:r>
          </w:p>
        </w:tc>
      </w:tr>
      <w:tr>
        <w:tc>
          <w:tcPr>
            <w:tcW w:type="dxa" w:w="1224"/>
            <w:tcMar>
              <w:top w:w="90" w:type="dxa"/>
              <w:start w:w="90" w:type="dxa"/>
              <w:bottom w:w="90" w:type="dxa"/>
              <w:end w:w="90" w:type="dxa"/>
            </w:tcMar>
            <w:vAlign w:val="top"/>
          </w:tcPr>
          <w:p>
            <w:pPr>
              <w:pStyle w:val="BodyText"/>
              <w:spacing w:after="0"/>
            </w:pPr>
            <w:r>
              <w:rPr>
                <w:sz w:val="15"/>
              </w:rPr>
              <w:t>EGR-05</w:t>
            </w:r>
          </w:p>
        </w:tc>
        <w:tc>
          <w:tcPr>
            <w:tcW w:type="dxa" w:w="8136"/>
            <w:tcMar>
              <w:top w:w="90" w:type="dxa"/>
              <w:start w:w="90" w:type="dxa"/>
              <w:bottom w:w="90" w:type="dxa"/>
              <w:end w:w="90" w:type="dxa"/>
            </w:tcMar>
            <w:vAlign w:val="top"/>
          </w:tcPr>
          <w:p>
            <w:pPr>
              <w:pStyle w:val="BodyText"/>
              <w:spacing w:after="0"/>
            </w:pPr>
            <w:r>
              <w:rPr>
                <w:sz w:val="15"/>
              </w:rPr>
              <w:t>The system shall not silently modify historical assessment snapshots when a rule, model, or template changes.</w:t>
            </w:r>
          </w:p>
        </w:tc>
      </w:tr>
      <w:tr>
        <w:tc>
          <w:tcPr>
            <w:tcW w:type="dxa" w:w="1224"/>
            <w:tcMar>
              <w:top w:w="90" w:type="dxa"/>
              <w:start w:w="90" w:type="dxa"/>
              <w:bottom w:w="90" w:type="dxa"/>
              <w:end w:w="90" w:type="dxa"/>
            </w:tcMar>
            <w:vAlign w:val="top"/>
            <w:shd w:fill="F8FBFD"/>
          </w:tcPr>
          <w:p>
            <w:pPr>
              <w:pStyle w:val="BodyText"/>
              <w:spacing w:after="0"/>
            </w:pPr>
            <w:r>
              <w:rPr>
                <w:sz w:val="15"/>
              </w:rPr>
              <w:t>EGR-06</w:t>
            </w:r>
          </w:p>
        </w:tc>
        <w:tc>
          <w:tcPr>
            <w:tcW w:type="dxa" w:w="8136"/>
            <w:tcMar>
              <w:top w:w="90" w:type="dxa"/>
              <w:start w:w="90" w:type="dxa"/>
              <w:bottom w:w="90" w:type="dxa"/>
              <w:end w:w="90" w:type="dxa"/>
            </w:tcMar>
            <w:vAlign w:val="top"/>
            <w:shd w:fill="F8FBFD"/>
          </w:tcPr>
          <w:p>
            <w:pPr>
              <w:pStyle w:val="BodyText"/>
              <w:spacing w:after="0"/>
            </w:pPr>
            <w:r>
              <w:rPr>
                <w:sz w:val="15"/>
              </w:rPr>
              <w:t>Every assessment shall record the rule, model, feature, reason, template, audit, and application versions necessary for reconstruction.</w:t>
            </w:r>
          </w:p>
        </w:tc>
      </w:tr>
      <w:tr>
        <w:tc>
          <w:tcPr>
            <w:tcW w:type="dxa" w:w="1224"/>
            <w:tcMar>
              <w:top w:w="90" w:type="dxa"/>
              <w:start w:w="90" w:type="dxa"/>
              <w:bottom w:w="90" w:type="dxa"/>
              <w:end w:w="90" w:type="dxa"/>
            </w:tcMar>
            <w:vAlign w:val="top"/>
          </w:tcPr>
          <w:p>
            <w:pPr>
              <w:pStyle w:val="BodyText"/>
              <w:spacing w:after="0"/>
            </w:pPr>
            <w:r>
              <w:rPr>
                <w:sz w:val="15"/>
              </w:rPr>
              <w:t>EGR-07</w:t>
            </w:r>
          </w:p>
        </w:tc>
        <w:tc>
          <w:tcPr>
            <w:tcW w:type="dxa" w:w="8136"/>
            <w:tcMar>
              <w:top w:w="90" w:type="dxa"/>
              <w:start w:w="90" w:type="dxa"/>
              <w:bottom w:w="90" w:type="dxa"/>
              <w:end w:w="90" w:type="dxa"/>
            </w:tcMar>
            <w:vAlign w:val="top"/>
          </w:tcPr>
          <w:p>
            <w:pPr>
              <w:pStyle w:val="BodyText"/>
              <w:spacing w:after="0"/>
            </w:pPr>
            <w:r>
              <w:rPr>
                <w:sz w:val="15"/>
              </w:rPr>
              <w:t>Unknown or incompatible component combinations shall fail safely and shall not produce fabricated explanations.</w:t>
            </w:r>
          </w:p>
        </w:tc>
      </w:tr>
      <w:tr>
        <w:tc>
          <w:tcPr>
            <w:tcW w:type="dxa" w:w="1224"/>
            <w:tcMar>
              <w:top w:w="90" w:type="dxa"/>
              <w:start w:w="90" w:type="dxa"/>
              <w:bottom w:w="90" w:type="dxa"/>
              <w:end w:w="90" w:type="dxa"/>
            </w:tcMar>
            <w:vAlign w:val="top"/>
            <w:shd w:fill="F8FBFD"/>
          </w:tcPr>
          <w:p>
            <w:pPr>
              <w:pStyle w:val="BodyText"/>
              <w:spacing w:after="0"/>
            </w:pPr>
            <w:r>
              <w:rPr>
                <w:sz w:val="15"/>
              </w:rPr>
              <w:t>EGR-08</w:t>
            </w:r>
          </w:p>
        </w:tc>
        <w:tc>
          <w:tcPr>
            <w:tcW w:type="dxa" w:w="8136"/>
            <w:tcMar>
              <w:top w:w="90" w:type="dxa"/>
              <w:start w:w="90" w:type="dxa"/>
              <w:bottom w:w="90" w:type="dxa"/>
              <w:end w:w="90" w:type="dxa"/>
            </w:tcMar>
            <w:vAlign w:val="top"/>
            <w:shd w:fill="F8FBFD"/>
          </w:tcPr>
          <w:p>
            <w:pPr>
              <w:pStyle w:val="BodyText"/>
              <w:spacing w:after="0"/>
            </w:pPr>
            <w:r>
              <w:rPr>
                <w:sz w:val="15"/>
              </w:rPr>
              <w:t>Material changes shall have an impact assessment covering safety, workflow, privacy, equity, traceability, testing, training, and rollback.</w:t>
            </w:r>
          </w:p>
        </w:tc>
      </w:tr>
      <w:tr>
        <w:tc>
          <w:tcPr>
            <w:tcW w:type="dxa" w:w="1224"/>
            <w:tcMar>
              <w:top w:w="90" w:type="dxa"/>
              <w:start w:w="90" w:type="dxa"/>
              <w:bottom w:w="90" w:type="dxa"/>
              <w:end w:w="90" w:type="dxa"/>
            </w:tcMar>
            <w:vAlign w:val="top"/>
          </w:tcPr>
          <w:p>
            <w:pPr>
              <w:pStyle w:val="BodyText"/>
              <w:spacing w:after="0"/>
            </w:pPr>
            <w:r>
              <w:rPr>
                <w:sz w:val="15"/>
              </w:rPr>
              <w:t>EGR-09</w:t>
            </w:r>
          </w:p>
        </w:tc>
        <w:tc>
          <w:tcPr>
            <w:tcW w:type="dxa" w:w="8136"/>
            <w:tcMar>
              <w:top w:w="90" w:type="dxa"/>
              <w:start w:w="90" w:type="dxa"/>
              <w:bottom w:w="90" w:type="dxa"/>
              <w:end w:w="90" w:type="dxa"/>
            </w:tcMar>
            <w:vAlign w:val="top"/>
          </w:tcPr>
          <w:p>
            <w:pPr>
              <w:pStyle w:val="BodyText"/>
              <w:spacing w:after="0"/>
            </w:pPr>
            <w:r>
              <w:rPr>
                <w:sz w:val="15"/>
              </w:rPr>
              <w:t>Safety-critical release blockers shall prevent deployment regardless of aggregate test-pass percentage.</w:t>
            </w:r>
          </w:p>
        </w:tc>
      </w:tr>
      <w:tr>
        <w:tc>
          <w:tcPr>
            <w:tcW w:type="dxa" w:w="1224"/>
            <w:tcMar>
              <w:top w:w="90" w:type="dxa"/>
              <w:start w:w="90" w:type="dxa"/>
              <w:bottom w:w="90" w:type="dxa"/>
              <w:end w:w="90" w:type="dxa"/>
            </w:tcMar>
            <w:vAlign w:val="top"/>
            <w:shd w:fill="F8FBFD"/>
          </w:tcPr>
          <w:p>
            <w:pPr>
              <w:pStyle w:val="BodyText"/>
              <w:spacing w:after="0"/>
            </w:pPr>
            <w:r>
              <w:rPr>
                <w:sz w:val="15"/>
              </w:rPr>
              <w:t>EGR-10</w:t>
            </w:r>
          </w:p>
        </w:tc>
        <w:tc>
          <w:tcPr>
            <w:tcW w:type="dxa" w:w="8136"/>
            <w:tcMar>
              <w:top w:w="90" w:type="dxa"/>
              <w:start w:w="90" w:type="dxa"/>
              <w:bottom w:w="90" w:type="dxa"/>
              <w:end w:w="90" w:type="dxa"/>
            </w:tcMar>
            <w:vAlign w:val="top"/>
            <w:shd w:fill="F8FBFD"/>
          </w:tcPr>
          <w:p>
            <w:pPr>
              <w:pStyle w:val="BodyText"/>
              <w:spacing w:after="0"/>
            </w:pPr>
            <w:r>
              <w:rPr>
                <w:sz w:val="15"/>
              </w:rPr>
              <w:t>Every material release shall have a manifest, approval evidence, migration plan, smoke test, monitoring plan, and rollback method.</w:t>
            </w:r>
          </w:p>
        </w:tc>
      </w:tr>
      <w:tr>
        <w:tc>
          <w:tcPr>
            <w:tcW w:type="dxa" w:w="1224"/>
            <w:tcMar>
              <w:top w:w="90" w:type="dxa"/>
              <w:start w:w="90" w:type="dxa"/>
              <w:bottom w:w="90" w:type="dxa"/>
              <w:end w:w="90" w:type="dxa"/>
            </w:tcMar>
            <w:vAlign w:val="top"/>
          </w:tcPr>
          <w:p>
            <w:pPr>
              <w:pStyle w:val="BodyText"/>
              <w:spacing w:after="0"/>
            </w:pPr>
            <w:r>
              <w:rPr>
                <w:sz w:val="15"/>
              </w:rPr>
              <w:t>EGR-11</w:t>
            </w:r>
          </w:p>
        </w:tc>
        <w:tc>
          <w:tcPr>
            <w:tcW w:type="dxa" w:w="8136"/>
            <w:tcMar>
              <w:top w:w="90" w:type="dxa"/>
              <w:start w:w="90" w:type="dxa"/>
              <w:bottom w:w="90" w:type="dxa"/>
              <w:end w:w="90" w:type="dxa"/>
            </w:tcMar>
            <w:vAlign w:val="top"/>
          </w:tcPr>
          <w:p>
            <w:pPr>
              <w:pStyle w:val="BodyText"/>
              <w:spacing w:after="0"/>
            </w:pPr>
            <w:r>
              <w:rPr>
                <w:sz w:val="15"/>
              </w:rPr>
              <w:t>Emergency changes shall retain minimum documentation, approval, evidence preservation, rollback, and retrospective review.</w:t>
            </w:r>
          </w:p>
        </w:tc>
      </w:tr>
      <w:tr>
        <w:tc>
          <w:tcPr>
            <w:tcW w:type="dxa" w:w="1224"/>
            <w:tcMar>
              <w:top w:w="90" w:type="dxa"/>
              <w:start w:w="90" w:type="dxa"/>
              <w:bottom w:w="90" w:type="dxa"/>
              <w:end w:w="90" w:type="dxa"/>
            </w:tcMar>
            <w:vAlign w:val="top"/>
            <w:shd w:fill="F8FBFD"/>
          </w:tcPr>
          <w:p>
            <w:pPr>
              <w:pStyle w:val="BodyText"/>
              <w:spacing w:after="0"/>
            </w:pPr>
            <w:r>
              <w:rPr>
                <w:sz w:val="15"/>
              </w:rPr>
              <w:t>EGR-12</w:t>
            </w:r>
          </w:p>
        </w:tc>
        <w:tc>
          <w:tcPr>
            <w:tcW w:type="dxa" w:w="8136"/>
            <w:tcMar>
              <w:top w:w="90" w:type="dxa"/>
              <w:start w:w="90" w:type="dxa"/>
              <w:bottom w:w="90" w:type="dxa"/>
              <w:end w:w="90" w:type="dxa"/>
            </w:tcMar>
            <w:vAlign w:val="top"/>
            <w:shd w:fill="F8FBFD"/>
          </w:tcPr>
          <w:p>
            <w:pPr>
              <w:pStyle w:val="BodyText"/>
              <w:spacing w:after="0"/>
            </w:pPr>
            <w:r>
              <w:rPr>
                <w:sz w:val="15"/>
              </w:rPr>
              <w:t>The system shall monitor explanation failures, staleness, version mismatch, access anomalies, and other defined lifecycle indicators.</w:t>
            </w:r>
          </w:p>
        </w:tc>
      </w:tr>
      <w:tr>
        <w:tc>
          <w:tcPr>
            <w:tcW w:type="dxa" w:w="1224"/>
            <w:tcMar>
              <w:top w:w="90" w:type="dxa"/>
              <w:start w:w="90" w:type="dxa"/>
              <w:bottom w:w="90" w:type="dxa"/>
              <w:end w:w="90" w:type="dxa"/>
            </w:tcMar>
            <w:vAlign w:val="top"/>
          </w:tcPr>
          <w:p>
            <w:pPr>
              <w:pStyle w:val="BodyText"/>
              <w:spacing w:after="0"/>
            </w:pPr>
            <w:r>
              <w:rPr>
                <w:sz w:val="15"/>
              </w:rPr>
              <w:t>EGR-13</w:t>
            </w:r>
          </w:p>
        </w:tc>
        <w:tc>
          <w:tcPr>
            <w:tcW w:type="dxa" w:w="8136"/>
            <w:tcMar>
              <w:top w:w="90" w:type="dxa"/>
              <w:start w:w="90" w:type="dxa"/>
              <w:bottom w:w="90" w:type="dxa"/>
              <w:end w:w="90" w:type="dxa"/>
            </w:tcMar>
            <w:vAlign w:val="top"/>
          </w:tcPr>
          <w:p>
            <w:pPr>
              <w:pStyle w:val="BodyText"/>
              <w:spacing w:after="0"/>
            </w:pPr>
            <w:r>
              <w:rPr>
                <w:sz w:val="15"/>
              </w:rPr>
              <w:t>Critical and high incidents shall trigger containment, scope analysis, corrective action, regression testing, and governance review.</w:t>
            </w:r>
          </w:p>
        </w:tc>
      </w:tr>
      <w:tr>
        <w:tc>
          <w:tcPr>
            <w:tcW w:type="dxa" w:w="1224"/>
            <w:tcMar>
              <w:top w:w="90" w:type="dxa"/>
              <w:start w:w="90" w:type="dxa"/>
              <w:bottom w:w="90" w:type="dxa"/>
              <w:end w:w="90" w:type="dxa"/>
            </w:tcMar>
            <w:vAlign w:val="top"/>
            <w:shd w:fill="F8FBFD"/>
          </w:tcPr>
          <w:p>
            <w:pPr>
              <w:pStyle w:val="BodyText"/>
              <w:spacing w:after="0"/>
            </w:pPr>
            <w:r>
              <w:rPr>
                <w:sz w:val="15"/>
              </w:rPr>
              <w:t>EGR-14</w:t>
            </w:r>
          </w:p>
        </w:tc>
        <w:tc>
          <w:tcPr>
            <w:tcW w:type="dxa" w:w="8136"/>
            <w:tcMar>
              <w:top w:w="90" w:type="dxa"/>
              <w:start w:w="90" w:type="dxa"/>
              <w:bottom w:w="90" w:type="dxa"/>
              <w:end w:w="90" w:type="dxa"/>
            </w:tcMar>
            <w:vAlign w:val="top"/>
            <w:shd w:fill="F8FBFD"/>
          </w:tcPr>
          <w:p>
            <w:pPr>
              <w:pStyle w:val="BodyText"/>
              <w:spacing w:after="0"/>
            </w:pPr>
            <w:r>
              <w:rPr>
                <w:sz w:val="15"/>
              </w:rPr>
              <w:t>Audience projections shall enforce role-based and minimum-necessary disclosure of sensitive information.</w:t>
            </w:r>
          </w:p>
        </w:tc>
      </w:tr>
      <w:tr>
        <w:tc>
          <w:tcPr>
            <w:tcW w:type="dxa" w:w="1224"/>
            <w:tcMar>
              <w:top w:w="90" w:type="dxa"/>
              <w:start w:w="90" w:type="dxa"/>
              <w:bottom w:w="90" w:type="dxa"/>
              <w:end w:w="90" w:type="dxa"/>
            </w:tcMar>
            <w:vAlign w:val="top"/>
          </w:tcPr>
          <w:p>
            <w:pPr>
              <w:pStyle w:val="BodyText"/>
              <w:spacing w:after="0"/>
            </w:pPr>
            <w:r>
              <w:rPr>
                <w:sz w:val="15"/>
              </w:rPr>
              <w:t>EGR-15</w:t>
            </w:r>
          </w:p>
        </w:tc>
        <w:tc>
          <w:tcPr>
            <w:tcW w:type="dxa" w:w="8136"/>
            <w:tcMar>
              <w:top w:w="90" w:type="dxa"/>
              <w:start w:w="90" w:type="dxa"/>
              <w:bottom w:w="90" w:type="dxa"/>
              <w:end w:w="90" w:type="dxa"/>
            </w:tcMar>
            <w:vAlign w:val="top"/>
          </w:tcPr>
          <w:p>
            <w:pPr>
              <w:pStyle w:val="BodyText"/>
              <w:spacing w:after="0"/>
            </w:pPr>
            <w:r>
              <w:rPr>
                <w:sz w:val="15"/>
              </w:rPr>
              <w:t>Development, testing, screenshots, and demonstrations shall use synthetic or appropriately de-identified data by default.</w:t>
            </w:r>
          </w:p>
        </w:tc>
      </w:tr>
      <w:tr>
        <w:tc>
          <w:tcPr>
            <w:tcW w:type="dxa" w:w="1224"/>
            <w:tcMar>
              <w:top w:w="90" w:type="dxa"/>
              <w:start w:w="90" w:type="dxa"/>
              <w:bottom w:w="90" w:type="dxa"/>
              <w:end w:w="90" w:type="dxa"/>
            </w:tcMar>
            <w:vAlign w:val="top"/>
            <w:shd w:fill="F8FBFD"/>
          </w:tcPr>
          <w:p>
            <w:pPr>
              <w:pStyle w:val="BodyText"/>
              <w:spacing w:after="0"/>
            </w:pPr>
            <w:r>
              <w:rPr>
                <w:sz w:val="15"/>
              </w:rPr>
              <w:t>EGR-16</w:t>
            </w:r>
          </w:p>
        </w:tc>
        <w:tc>
          <w:tcPr>
            <w:tcW w:type="dxa" w:w="8136"/>
            <w:tcMar>
              <w:top w:w="90" w:type="dxa"/>
              <w:start w:w="90" w:type="dxa"/>
              <w:bottom w:w="90" w:type="dxa"/>
              <w:end w:w="90" w:type="dxa"/>
            </w:tcMar>
            <w:vAlign w:val="top"/>
            <w:shd w:fill="F8FBFD"/>
          </w:tcPr>
          <w:p>
            <w:pPr>
              <w:pStyle w:val="BodyText"/>
              <w:spacing w:after="0"/>
            </w:pPr>
            <w:r>
              <w:rPr>
                <w:sz w:val="15"/>
              </w:rPr>
              <w:t>Users shall be trained on system purpose, limitations, incomplete states, urgent escalation, disagreement, and confidentiality.</w:t>
            </w:r>
          </w:p>
        </w:tc>
      </w:tr>
      <w:tr>
        <w:tc>
          <w:tcPr>
            <w:tcW w:type="dxa" w:w="1224"/>
            <w:tcMar>
              <w:top w:w="90" w:type="dxa"/>
              <w:start w:w="90" w:type="dxa"/>
              <w:bottom w:w="90" w:type="dxa"/>
              <w:end w:w="90" w:type="dxa"/>
            </w:tcMar>
            <w:vAlign w:val="top"/>
          </w:tcPr>
          <w:p>
            <w:pPr>
              <w:pStyle w:val="BodyText"/>
              <w:spacing w:after="0"/>
            </w:pPr>
            <w:r>
              <w:rPr>
                <w:sz w:val="15"/>
              </w:rPr>
              <w:t>EGR-17</w:t>
            </w:r>
          </w:p>
        </w:tc>
        <w:tc>
          <w:tcPr>
            <w:tcW w:type="dxa" w:w="8136"/>
            <w:tcMar>
              <w:top w:w="90" w:type="dxa"/>
              <w:start w:w="90" w:type="dxa"/>
              <w:bottom w:w="90" w:type="dxa"/>
              <w:end w:w="90" w:type="dxa"/>
            </w:tcMar>
            <w:vAlign w:val="top"/>
          </w:tcPr>
          <w:p>
            <w:pPr>
              <w:pStyle w:val="BodyText"/>
              <w:spacing w:after="0"/>
            </w:pPr>
            <w:r>
              <w:rPr>
                <w:sz w:val="15"/>
              </w:rPr>
              <w:t>Human users shall retain authority to act on professional judgment and document disagreement without deleting the original CDSS evidence.</w:t>
            </w:r>
          </w:p>
        </w:tc>
      </w:tr>
      <w:tr>
        <w:tc>
          <w:tcPr>
            <w:tcW w:type="dxa" w:w="1224"/>
            <w:tcMar>
              <w:top w:w="90" w:type="dxa"/>
              <w:start w:w="90" w:type="dxa"/>
              <w:bottom w:w="90" w:type="dxa"/>
              <w:end w:w="90" w:type="dxa"/>
            </w:tcMar>
            <w:vAlign w:val="top"/>
            <w:shd w:fill="F8FBFD"/>
          </w:tcPr>
          <w:p>
            <w:pPr>
              <w:pStyle w:val="BodyText"/>
              <w:spacing w:after="0"/>
            </w:pPr>
            <w:r>
              <w:rPr>
                <w:sz w:val="15"/>
              </w:rPr>
              <w:t>EGR-18</w:t>
            </w:r>
          </w:p>
        </w:tc>
        <w:tc>
          <w:tcPr>
            <w:tcW w:type="dxa" w:w="8136"/>
            <w:tcMar>
              <w:top w:w="90" w:type="dxa"/>
              <w:start w:w="90" w:type="dxa"/>
              <w:bottom w:w="90" w:type="dxa"/>
              <w:end w:w="90" w:type="dxa"/>
            </w:tcMar>
            <w:vAlign w:val="top"/>
            <w:shd w:fill="F8FBFD"/>
          </w:tcPr>
          <w:p>
            <w:pPr>
              <w:pStyle w:val="BodyText"/>
              <w:spacing w:after="0"/>
            </w:pPr>
            <w:r>
              <w:rPr>
                <w:sz w:val="15"/>
              </w:rPr>
              <w:t>Model updates shall be treated as new governed artifacts and shall not be deployed through unversioned file replacement.</w:t>
            </w:r>
          </w:p>
        </w:tc>
      </w:tr>
      <w:tr>
        <w:tc>
          <w:tcPr>
            <w:tcW w:type="dxa" w:w="1224"/>
            <w:tcMar>
              <w:top w:w="90" w:type="dxa"/>
              <w:start w:w="90" w:type="dxa"/>
              <w:bottom w:w="90" w:type="dxa"/>
              <w:end w:w="90" w:type="dxa"/>
            </w:tcMar>
            <w:vAlign w:val="top"/>
          </w:tcPr>
          <w:p>
            <w:pPr>
              <w:pStyle w:val="BodyText"/>
              <w:spacing w:after="0"/>
            </w:pPr>
            <w:r>
              <w:rPr>
                <w:sz w:val="15"/>
              </w:rPr>
              <w:t>EGR-19</w:t>
            </w:r>
          </w:p>
        </w:tc>
        <w:tc>
          <w:tcPr>
            <w:tcW w:type="dxa" w:w="8136"/>
            <w:tcMar>
              <w:top w:w="90" w:type="dxa"/>
              <w:start w:w="90" w:type="dxa"/>
              <w:bottom w:w="90" w:type="dxa"/>
              <w:end w:w="90" w:type="dxa"/>
            </w:tcMar>
            <w:vAlign w:val="top"/>
          </w:tcPr>
          <w:p>
            <w:pPr>
              <w:pStyle w:val="BodyText"/>
              <w:spacing w:after="0"/>
            </w:pPr>
            <w:r>
              <w:rPr>
                <w:sz w:val="15"/>
              </w:rPr>
              <w:t>Governance documentation and thesis claims shall distinguish implemented, evaluated, pilot, and future capabilities.</w:t>
            </w:r>
          </w:p>
        </w:tc>
      </w:tr>
      <w:tr>
        <w:tc>
          <w:tcPr>
            <w:tcW w:type="dxa" w:w="1224"/>
            <w:tcMar>
              <w:top w:w="90" w:type="dxa"/>
              <w:start w:w="90" w:type="dxa"/>
              <w:bottom w:w="90" w:type="dxa"/>
              <w:end w:w="90" w:type="dxa"/>
            </w:tcMar>
            <w:vAlign w:val="top"/>
            <w:shd w:fill="F8FBFD"/>
          </w:tcPr>
          <w:p>
            <w:pPr>
              <w:pStyle w:val="BodyText"/>
              <w:spacing w:after="0"/>
            </w:pPr>
            <w:r>
              <w:rPr>
                <w:sz w:val="15"/>
              </w:rPr>
              <w:t>EGR-20</w:t>
            </w:r>
          </w:p>
        </w:tc>
        <w:tc>
          <w:tcPr>
            <w:tcW w:type="dxa" w:w="8136"/>
            <w:tcMar>
              <w:top w:w="90" w:type="dxa"/>
              <w:start w:w="90" w:type="dxa"/>
              <w:bottom w:w="90" w:type="dxa"/>
              <w:end w:w="90" w:type="dxa"/>
            </w:tcMar>
            <w:vAlign w:val="top"/>
            <w:shd w:fill="F8FBFD"/>
          </w:tcPr>
          <w:p>
            <w:pPr>
              <w:pStyle w:val="BodyText"/>
              <w:spacing w:after="0"/>
            </w:pPr>
            <w:r>
              <w:rPr>
                <w:sz w:val="15"/>
              </w:rPr>
              <w:t>Retired components shall be disabled for new use while required historical provenance and audit records are preserved.</w:t>
            </w:r>
          </w:p>
        </w:tc>
      </w:tr>
      <w:tr>
        <w:tc>
          <w:tcPr>
            <w:tcW w:type="dxa" w:w="1224"/>
            <w:tcMar>
              <w:top w:w="90" w:type="dxa"/>
              <w:start w:w="90" w:type="dxa"/>
              <w:bottom w:w="90" w:type="dxa"/>
              <w:end w:w="90" w:type="dxa"/>
            </w:tcMar>
            <w:vAlign w:val="top"/>
          </w:tcPr>
          <w:p>
            <w:pPr>
              <w:pStyle w:val="BodyText"/>
              <w:spacing w:after="0"/>
            </w:pPr>
            <w:r>
              <w:rPr>
                <w:sz w:val="15"/>
              </w:rPr>
              <w:t>EGR-21</w:t>
            </w:r>
          </w:p>
        </w:tc>
        <w:tc>
          <w:tcPr>
            <w:tcW w:type="dxa" w:w="8136"/>
            <w:tcMar>
              <w:top w:w="90" w:type="dxa"/>
              <w:start w:w="90" w:type="dxa"/>
              <w:bottom w:w="90" w:type="dxa"/>
              <w:end w:w="90" w:type="dxa"/>
            </w:tcMar>
            <w:vAlign w:val="top"/>
          </w:tcPr>
          <w:p>
            <w:pPr>
              <w:pStyle w:val="BodyText"/>
              <w:spacing w:after="0"/>
            </w:pPr>
            <w:r>
              <w:rPr>
                <w:sz w:val="15"/>
              </w:rPr>
              <w:t>Privacy and security incidents involving health data shall be handled under the organization’s applicable Philippine privacy and breach procedures.</w:t>
            </w:r>
          </w:p>
        </w:tc>
      </w:tr>
      <w:tr>
        <w:tc>
          <w:tcPr>
            <w:tcW w:type="dxa" w:w="1224"/>
            <w:tcMar>
              <w:top w:w="90" w:type="dxa"/>
              <w:start w:w="90" w:type="dxa"/>
              <w:bottom w:w="90" w:type="dxa"/>
              <w:end w:w="90" w:type="dxa"/>
            </w:tcMar>
            <w:vAlign w:val="top"/>
            <w:shd w:fill="F8FBFD"/>
          </w:tcPr>
          <w:p>
            <w:pPr>
              <w:pStyle w:val="BodyText"/>
              <w:spacing w:after="0"/>
            </w:pPr>
            <w:r>
              <w:rPr>
                <w:sz w:val="15"/>
              </w:rPr>
              <w:t>EGR-22</w:t>
            </w:r>
          </w:p>
        </w:tc>
        <w:tc>
          <w:tcPr>
            <w:tcW w:type="dxa" w:w="8136"/>
            <w:tcMar>
              <w:top w:w="90" w:type="dxa"/>
              <w:start w:w="90" w:type="dxa"/>
              <w:bottom w:w="90" w:type="dxa"/>
              <w:end w:w="90" w:type="dxa"/>
            </w:tcMar>
            <w:vAlign w:val="top"/>
            <w:shd w:fill="F8FBFD"/>
          </w:tcPr>
          <w:p>
            <w:pPr>
              <w:pStyle w:val="BodyText"/>
              <w:spacing w:after="0"/>
            </w:pPr>
            <w:r>
              <w:rPr>
                <w:sz w:val="15"/>
              </w:rPr>
              <w:t>The complete governance framework shall be reviewed at least annually and after major system, clinical, population, or regulatory changes.</w:t>
            </w:r>
          </w:p>
        </w:tc>
      </w:tr>
    </w:tbl>
    <w:p>
      <w:pPr>
        <w:spacing w:after="0"/>
      </w:pPr>
    </w:p>
    <w:p>
      <w:pPr>
        <w:pStyle w:val="Heading1"/>
        <w:keepNext/>
      </w:pPr>
      <w:r>
        <w:t>21. Limitations and Transition to Part 8</w:t>
      </w:r>
    </w:p>
    <w:p>
      <w:pPr>
        <w:pStyle w:val="BodyText"/>
      </w:pPr>
      <w:r>
        <w:t>This governance specification is designed for a research prototype and supervised clinic context. It does not create a licensed clinical governance body, guarantee regulatory compliance, establish legal retention periods, or prove clinical effectiveness. The availability of qualified reviewers, real-world monitoring duration, sample size, clinic policies, and institutional resources may limit how fully every control can be implemented during the capstone. These limitations must be reported rather than concealed.</w:t>
      </w:r>
    </w:p>
    <w:p>
      <w:pPr>
        <w:pStyle w:val="BodyText"/>
      </w:pPr>
      <w:r>
        <w:t>Part 8 will consolidate the complete Explainability Framework into a master specification. It will connect philosophy, architecture, deterministic rules, ML explainability, audience design, quality evaluation, and lifecycle governance through an end-to-end workflow, requirement traceability matrix, implementation checklist, master verification set, deployment-readiness assessment, and defense summary.</w:t>
      </w:r>
    </w:p>
    <w:tbl>
      <w:tblPr>
        <w:tblStyle w:val="TableGrid"/>
        <w:tblW w:type="auto" w:w="0"/>
        <w:jc w:val="center"/>
        <w:tblLook w:firstColumn="1" w:firstRow="1" w:lastColumn="0" w:lastRow="0" w:noHBand="0" w:noVBand="1" w:val="04A0"/>
      </w:tblPr>
      <w:tblGrid>
        <w:gridCol w:w="10080"/>
      </w:tblGrid>
      <w:tr>
        <w:tc>
          <w:tcPr>
            <w:tcW w:type="dxa" w:w="10080"/>
            <w:shd w:fill="E2F0D9"/>
            <w:tcMar>
              <w:top w:w="140" w:type="dxa"/>
              <w:start w:w="160" w:type="dxa"/>
              <w:bottom w:w="140" w:type="dxa"/>
              <w:end w:w="160" w:type="dxa"/>
            </w:tcMar>
          </w:tcPr>
          <w:p>
            <w:r>
              <w:rPr>
                <w:b/>
                <w:color w:val="375623"/>
              </w:rPr>
              <w:t>Part 7 completion statement</w:t>
            </w:r>
            <w:r>
              <w:br/>
              <w:t>Explainability governance is complete when the project can identify what is deployed, why it was approved, who is accountable, how it is monitored, how an incident is handled, how an old assessment is reconstructed, and when the capability must be suspended or retired.</w:t>
            </w:r>
          </w:p>
        </w:tc>
      </w:tr>
    </w:tbl>
    <w:p>
      <w:pPr>
        <w:spacing w:after="0"/>
      </w:pPr>
    </w:p>
    <w:p>
      <w:pPr>
        <w:pStyle w:val="Heading1"/>
        <w:keepNext/>
      </w:pPr>
      <w:r>
        <w:t>References</w:t>
      </w:r>
    </w:p>
    <w:p>
      <w:pPr>
        <w:pStyle w:val="BodyText"/>
      </w:pPr>
      <w:r>
        <w:t>Food and Drug Administration. (2026). Clinical Decision Support Software: Guidance for Industry and Food and Drug Administration Staff. U.S. Department of Health and Human Services.</w:t>
      </w:r>
    </w:p>
    <w:p>
      <w:pPr>
        <w:pStyle w:val="BodyText"/>
      </w:pPr>
      <w:r>
        <w:t>National Institute of Standards and Technology. (2023). Artificial Intelligence Risk Management Framework (AI RMF 1.0), NIST AI 100-1.</w:t>
      </w:r>
    </w:p>
    <w:p>
      <w:pPr>
        <w:pStyle w:val="BodyText"/>
      </w:pPr>
      <w:r>
        <w:t>National Institute of Standards and Technology. (2023-2026). NIST AI RMF Playbook: Govern, Map, Measure, and Manage.</w:t>
      </w:r>
    </w:p>
    <w:p>
      <w:pPr>
        <w:pStyle w:val="BodyText"/>
      </w:pPr>
      <w:r>
        <w:t>National Privacy Commission. (2012). Republic Act No. 10173: Data Privacy Act of 2012, including security and confidentiality requirements for personal and sensitive personal information.</w:t>
      </w:r>
    </w:p>
    <w:p>
      <w:pPr>
        <w:pStyle w:val="BodyText"/>
      </w:pPr>
      <w:r>
        <w:t>World Health Organization. (2021). Ethics and Governance of Artificial Intelligence for Health: WHO Guidance. Geneva: World Health Organization.</w:t>
      </w:r>
    </w:p>
    <w:p>
      <w:pPr>
        <w:pStyle w:val="BodyText"/>
      </w:pPr>
      <w:r>
        <w:t>World Health Organization. (2023). Regulatory Considerations on Artificial Intelligence for Health.</w:t>
      </w:r>
    </w:p>
    <w:p>
      <w:pPr>
        <w:pStyle w:val="BodyText"/>
      </w:pPr>
      <w:r>
        <w:t>World Health Organization Regional Office for Europe. (2021). Guidance for Health Information System Governance.</w:t>
      </w:r>
    </w:p>
    <w:p>
      <w:pPr>
        <w:pStyle w:val="BodyText"/>
      </w:pPr>
      <w:r>
        <w:t>Project-specific sources: approved maternity CDSS rule matrix, Laravel controller and service behavior, Random Forest integration contract, patient workflow, referral workflow, audit requirements, and Documents 7 Parts 1-6.</w:t>
      </w:r>
    </w:p>
    <w:sectPr w:rsidR="00FC693F" w:rsidRPr="0006063C" w:rsidSect="00034616">
      <w:headerReference w:type="default" r:id="rId9"/>
      <w:footerReference w:type="default" r:id="rId10"/>
      <w:headerReference w:type="first" r:id="rId11"/>
      <w:headerReference w:type="even" r:id="rId12"/>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595959"/>
        <w:sz w:val="16"/>
      </w:rPr>
      <w:t>Explainability Governance and Lifecycle |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6"/>
      </w:rPr>
      <w:t>DOCUMENT 7 | PART 7 — EXPLAINABILITY GOVERNANCE AND LIFECYCLE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3F6F8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Aptos" w:hAnsi="Aptos"/>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19"/>
    </w:rPr>
  </w:style>
  <w:style w:type="paragraph" w:styleId="ListBullet2">
    <w:name w:val="List Bullet 2"/>
    <w:basedOn w:val="Normal"/>
    <w:uiPriority w:val="99"/>
    <w:unhideWhenUsed/>
    <w:rsid w:val="00326F90"/>
    <w:pPr>
      <w:numPr>
        <w:numId w:val="2"/>
      </w:numPr>
      <w:spacing w:after="40"/>
      <w:contextualSpacing/>
    </w:pPr>
    <w:rPr>
      <w:rFonts w:ascii="Aptos" w:hAnsi="Apto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7 Part 7 - Explainability Governance and Lifecycle</dc:title>
  <dc:subject>Governance, versioning, change control, monitoring, incidents, and retirement for the maternity CDSS explainability framework</dc:subject>
  <dc:creator>Capstone Project Team</dc:creator>
  <cp:keywords>CDSS, explainability, evaluation, quality, maternity, Laravel, Random Forest, clinical decision support</cp:keywords>
  <dc:description>Prepared as a system-specific capstone architecture specification.</dc:description>
  <cp:lastModifiedBy/>
  <cp:revision>1</cp:revision>
  <dcterms:created xsi:type="dcterms:W3CDTF">2013-12-23T23:15:00Z</dcterms:created>
  <dcterms:modified xsi:type="dcterms:W3CDTF">2013-12-23T23:15:00Z</dcterms:modified>
  <cp:category/>
</cp:coreProperties>
</file>