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F5496"/>
          <w:sz w:val="26"/>
        </w:rPr>
        <w:t>DOCUMENT 7</w:t>
      </w:r>
    </w:p>
    <w:p>
      <w:pPr>
        <w:spacing w:after="160"/>
        <w:jc w:val="center"/>
      </w:pPr>
      <w:r>
        <w:rPr>
          <w:rFonts w:ascii="Arial" w:hAnsi="Arial"/>
          <w:b/>
          <w:color w:val="1F4E79"/>
          <w:sz w:val="40"/>
        </w:rPr>
        <w:t>Explainability Framework</w:t>
      </w:r>
    </w:p>
    <w:p>
      <w:pPr>
        <w:spacing w:after="40"/>
        <w:jc w:val="center"/>
      </w:pPr>
      <w:r>
        <w:rPr>
          <w:rFonts w:ascii="Arial" w:hAnsi="Arial"/>
          <w:b/>
          <w:color w:val="2F5496"/>
          <w:sz w:val="28"/>
        </w:rPr>
        <w:t>PART 8</w:t>
      </w:r>
    </w:p>
    <w:p>
      <w:pPr>
        <w:spacing w:after="160"/>
        <w:jc w:val="center"/>
      </w:pPr>
      <w:r>
        <w:rPr>
          <w:rFonts w:ascii="Arial" w:hAnsi="Arial"/>
          <w:b/>
          <w:color w:val="1F4E79"/>
          <w:sz w:val="48"/>
        </w:rPr>
        <w:t>Complete Explainability Specification</w:t>
      </w:r>
    </w:p>
    <w:p>
      <w:pPr>
        <w:spacing w:after="400"/>
        <w:jc w:val="center"/>
      </w:pPr>
      <w:r>
        <w:rPr>
          <w:rFonts w:ascii="Arial" w:hAnsi="Arial"/>
          <w:b w:val="0"/>
          <w:color w:val="464646"/>
          <w:sz w:val="24"/>
        </w:rPr>
        <w:t>Master Architecture, Requirements, Traceability, Verification,</w:t>
        <w:br/>
        <w:t>Deployment Readiness, Operations, and Defense Synthesis</w:t>
      </w:r>
    </w:p>
    <w:p/>
    <w:p/>
    <w:p/>
    <w:p/>
    <w:p>
      <w:pPr>
        <w:jc w:val="center"/>
      </w:pPr>
      <w:r>
        <w:rPr>
          <w:rFonts w:ascii="Arial" w:hAnsi="Arial"/>
          <w:b/>
          <w:color w:val="2F5496"/>
          <w:sz w:val="22"/>
        </w:rPr>
        <w:t>Capstone Project</w:t>
      </w:r>
    </w:p>
    <w:p>
      <w:pPr>
        <w:jc w:val="center"/>
      </w:pPr>
      <w:r>
        <w:rPr>
          <w:rFonts w:ascii="Arial" w:hAnsi="Arial"/>
          <w:b/>
          <w:sz w:val="24"/>
        </w:rPr>
        <w:t>Development of an Explainable Clinical Decision Support System (CDSS)</w:t>
        <w:br/>
        <w:t>for a Web-Based Maternity Management System in a Philippine Lying-in Clinic</w:t>
      </w:r>
    </w:p>
    <w:p/>
    <w:p/>
    <w:p/>
    <w:p>
      <w:pPr>
        <w:jc w:val="center"/>
      </w:pPr>
      <w:r>
        <w:rPr>
          <w:rFonts w:ascii="Arial" w:hAnsi="Arial"/>
          <w:i/>
          <w:color w:val="5A5A5A"/>
          <w:sz w:val="18"/>
        </w:rPr>
        <w:t>System-specific master specification | July 2026</w:t>
      </w:r>
    </w:p>
    <w:p>
      <w:r>
        <w:br w:type="page"/>
      </w:r>
    </w:p>
    <w:p>
      <w:pPr>
        <w:pStyle w:val="Heading1"/>
      </w:pPr>
      <w:r>
        <w:t>Executive Summary</w:t>
      </w:r>
    </w:p>
    <w:p>
      <w:pPr>
        <w:pStyle w:val="BodyText"/>
      </w:pPr>
      <w:r>
        <w:t>Part 8 consolidates the complete explainability subsystem of the maternity Clinical Decision Support System into one authoritative implementation and assurance specification. It integrates the philosophy, architecture, deterministic reasoning, machine-learning contribution, audience-specific presentation, quality evaluation, and governance controls defined in Parts 1-7. This part is intentionally written so that an adviser, panel member, developer, evaluator, or future maintainer can understand the entire explainability capability without reconstructing it from separate chapters.</w:t>
      </w:r>
    </w:p>
    <w:p>
      <w:pPr>
        <w:pStyle w:val="BodyText"/>
      </w:pPr>
      <w:r>
        <w:t>The system uses a safety-oriented hybrid decision process. Deterministic clinical rules can force a HIGH result when configured high-risk findings are present. The Random Forest contributes a validated LOW or HIGH output but does not cancel deterministic HIGH evidence. A LOW result is permitted only when the required records are complete, the model output is valid and LOW, and no deterministic HIGH factor is active. Missing required records or invalid model execution produces ASSESSMENT INCOMPLETE rather than a fabricated clinical conclusion.</w:t>
      </w:r>
    </w:p>
    <w:p>
      <w:pPr>
        <w:pStyle w:val="BodyText"/>
      </w:pPr>
      <w:r>
        <w:t>Explainability is generated from the same assessment snapshot and decision evidence used to produce the final result. The explanation therefore states what data were evaluated, which deterministic rules triggered, how the model contributed, why the final status was selected, what action is recommended, what information is missing or uncertain, and which rule, template, model, and policy versions were active. Audience projections adapt wording and detail for midwives, patients, referral facilities, administrators, developers, researchers, and auditors without changing the underlying decision facts.</w:t>
      </w:r>
    </w:p>
    <w:p>
      <w:pPr>
        <w:pStyle w:val="BodyText"/>
      </w:pPr>
      <w:r>
        <w:t>The specification treats explainability as a clinical-safety asset. It defines canonical objects, reason codes, evidence provenance, compatibility rules, requirements, verification scenarios, release gates, rollback conditions, monitoring indicators, incident procedures, privacy controls, and lifecycle ownership. It also distinguishes current implemented behavior from future enhancements such as SHAP values, probability displays, counterfactual explanations, multilingual delivery, and model drift automation.</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D9EAF7"/>
          </w:tcPr>
          <w:p>
            <w:pPr>
              <w:spacing w:after="40"/>
            </w:pPr>
            <w:r/>
            <w:r>
              <w:rPr>
                <w:rFonts w:ascii="Arial" w:hAnsi="Arial"/>
                <w:b/>
                <w:color w:val="1F4E79"/>
                <w:sz w:val="18"/>
              </w:rPr>
              <w:t>Master safety position</w:t>
              <w:br/>
            </w:r>
            <w:r>
              <w:rPr>
                <w:rFonts w:ascii="Arial" w:hAnsi="Arial"/>
                <w:sz w:val="17"/>
              </w:rPr>
              <w:t>The system supports—not replaces—professional judgment. It does not diagnose, prescribe treatment, interpret raw ultrasound images, or guarantee outcomes. HIGH means that identified findings require closer review and may exceed the lying-in clinic’s capability. LOW means that no configured high-risk factor was found from the available records; it is not a guarantee of safety. ASSESSMENT INCOMPLETE means that a reliable conclusion cannot yet be produced.</w:t>
            </w:r>
          </w:p>
        </w:tc>
      </w:tr>
    </w:tbl>
    <w:p>
      <w:pPr/>
    </w:p>
    <w:p>
      <w:pPr>
        <w:pStyle w:val="Heading1"/>
      </w:pPr>
      <w:r>
        <w:t>1. Purpose, Scope, and System Position</w:t>
      </w:r>
    </w:p>
    <w:p>
      <w:pPr>
        <w:pStyle w:val="Heading2"/>
      </w:pPr>
      <w:r>
        <w:t>1.1 Purpose</w:t>
      </w:r>
    </w:p>
    <w:p>
      <w:pPr>
        <w:pStyle w:val="BodyText"/>
      </w:pPr>
      <w:r>
        <w:t>The purpose of this master specification is to define the complete behavior, structure, assurance, and lifecycle of explanations produced by the hybrid CDSS. It establishes one source of truth for how explanations are generated, stored, presented, tested, approved, monitored, and reconstructed.</w:t>
      </w:r>
    </w:p>
    <w:p>
      <w:pPr>
        <w:pStyle w:val="Heading2"/>
      </w:pPr>
      <w:r>
        <w:t>1.2 Scope</w:t>
      </w:r>
    </w:p>
    <w:p>
      <w:pPr>
        <w:pStyle w:val="ListBullet"/>
      </w:pPr>
      <w:r>
        <w:t>Prenatal risk assessments with final states HIGH, LOW, and ASSESSMENT INCOMPLETE.</w:t>
      </w:r>
    </w:p>
    <w:p>
      <w:pPr>
        <w:pStyle w:val="ListBullet"/>
      </w:pPr>
      <w:r>
        <w:t>Deterministic clinical rules implemented in the Laravel decision workflow.</w:t>
      </w:r>
    </w:p>
    <w:p>
      <w:pPr>
        <w:pStyle w:val="ListBullet"/>
      </w:pPr>
      <w:r>
        <w:t>Validated Random Forest output obtained through the Python integration.</w:t>
      </w:r>
    </w:p>
    <w:p>
      <w:pPr>
        <w:pStyle w:val="ListBullet"/>
      </w:pPr>
      <w:r>
        <w:t>Explanation generation, audience transformation, user-interface display, referral summaries, and audit evidence.</w:t>
      </w:r>
    </w:p>
    <w:p>
      <w:pPr>
        <w:pStyle w:val="ListBullet"/>
      </w:pPr>
      <w:r>
        <w:t>Quality evaluation, release readiness, incident response, version control, and retirement of explainability assets.</w:t>
      </w:r>
    </w:p>
    <w:p>
      <w:pPr>
        <w:pStyle w:val="Heading2"/>
      </w:pPr>
      <w:r>
        <w:t>1.3 Explicit exclusions</w:t>
      </w:r>
    </w:p>
    <w:p>
      <w:pPr>
        <w:pStyle w:val="ListBullet"/>
      </w:pPr>
      <w:r>
        <w:t>No autonomous diagnosis, treatment prescription, medication recommendation, or replacement of a licensed professional.</w:t>
      </w:r>
    </w:p>
    <w:p>
      <w:pPr>
        <w:pStyle w:val="ListBullet"/>
      </w:pPr>
      <w:r>
        <w:t>No interpretation of raw ultrasound images; ultrasound values are recorded findings supplied by authorized users.</w:t>
      </w:r>
    </w:p>
    <w:p>
      <w:pPr>
        <w:pStyle w:val="ListBullet"/>
      </w:pPr>
      <w:r>
        <w:t>No claim that a LOW classification guarantees the absence of pregnancy complications.</w:t>
      </w:r>
    </w:p>
    <w:p>
      <w:pPr>
        <w:pStyle w:val="ListBullet"/>
      </w:pPr>
      <w:r>
        <w:t>No display of model probability, feature attribution, SHAP, LIME, or counterfactual reasoning unless separately implemented, validated, and approved.</w:t>
      </w:r>
    </w:p>
    <w:p>
      <w:pPr>
        <w:pStyle w:val="ListBullet"/>
      </w:pPr>
      <w:r>
        <w:t>No automatic referral acceptance or refusal; the responsible healthcare worker retains authority and documents patient decisions.</w:t>
      </w:r>
    </w:p>
    <w:p>
      <w:pPr>
        <w:pStyle w:val="Heading2"/>
      </w:pPr>
      <w:r>
        <w:t>1.4 Normative foundation</w:t>
      </w:r>
    </w:p>
    <w:p>
      <w:pPr>
        <w:pStyle w:val="BodyText"/>
      </w:pPr>
      <w:r>
        <w:t>The specification is informed by the World Health Organization’s principles for autonomy, safety, transparency, accountability, inclusion, and sustainability; the NIST AI Risk Management Framework emphasis on governing, mapping, measuring, and managing AI risk; FDA clinical decision support guidance concerning the ability of healthcare professionals to independently review the basis of recommendations; and Philippine privacy obligations for sensitive personal and health information. These sources guide the architecture but do not convert this capstone into a certified medical device or a substitute for local clinical policy.</w:t>
      </w:r>
    </w:p>
    <w:p>
      <w:pPr>
        <w:pStyle w:val="Heading1"/>
      </w:pPr>
      <w:r>
        <w:t>2. Consolidated Design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2F5597"/>
          </w:tcPr>
          <w:p>
            <w:pPr>
              <w:spacing w:after="0" w:line="240" w:lineRule="auto"/>
            </w:pPr>
            <w:r/>
            <w:r>
              <w:rPr>
                <w:rFonts w:ascii="Arial" w:hAnsi="Arial"/>
                <w:b/>
                <w:color w:val="FFFFFF"/>
                <w:sz w:val="16"/>
              </w:rPr>
              <w:t>Principle</w:t>
            </w:r>
          </w:p>
        </w:tc>
        <w:tc>
          <w:tcPr>
            <w:tcW w:type="dxa" w:w="8352"/>
            <w:vAlign w:val="center"/>
            <w:shd w:fill="2F5597"/>
          </w:tcPr>
          <w:p>
            <w:pPr>
              <w:spacing w:after="0" w:line="240" w:lineRule="auto"/>
            </w:pPr>
            <w:r/>
            <w:r>
              <w:rPr>
                <w:rFonts w:ascii="Arial" w:hAnsi="Arial"/>
                <w:b/>
                <w:color w:val="FFFFFF"/>
                <w:sz w:val="16"/>
              </w:rPr>
              <w:t>Master requirement</w:t>
            </w:r>
          </w:p>
        </w:tc>
      </w:tr>
      <w:tr>
        <w:trPr>
          <w:cantSplit/>
        </w:trPr>
        <w:tc>
          <w:tcPr>
            <w:tcW w:type="dxa" w:w="2592"/>
            <w:vAlign w:val="center"/>
          </w:tcPr>
          <w:p>
            <w:pPr>
              <w:spacing w:after="0" w:line="240" w:lineRule="auto"/>
            </w:pPr>
            <w:r/>
            <w:r>
              <w:rPr>
                <w:rFonts w:ascii="Arial" w:hAnsi="Arial"/>
                <w:b w:val="0"/>
                <w:sz w:val="16"/>
              </w:rPr>
              <w:t>Single factual source</w:t>
            </w:r>
          </w:p>
        </w:tc>
        <w:tc>
          <w:tcPr>
            <w:tcW w:type="dxa" w:w="8352"/>
            <w:vAlign w:val="center"/>
          </w:tcPr>
          <w:p>
            <w:pPr>
              <w:spacing w:after="0" w:line="240" w:lineRule="auto"/>
            </w:pPr>
            <w:r/>
            <w:r>
              <w:rPr>
                <w:rFonts w:ascii="Arial" w:hAnsi="Arial"/>
                <w:b w:val="0"/>
                <w:sz w:val="16"/>
              </w:rPr>
              <w:t>Every audience explanation must be derived from the same immutable assessment snapshot, decision evidence, and final decision record.</w:t>
            </w:r>
          </w:p>
        </w:tc>
      </w:tr>
      <w:tr>
        <w:trPr>
          <w:cantSplit/>
        </w:trPr>
        <w:tc>
          <w:tcPr>
            <w:tcW w:type="dxa" w:w="2592"/>
            <w:vAlign w:val="center"/>
            <w:shd w:fill="EAF0F8"/>
          </w:tcPr>
          <w:p>
            <w:pPr>
              <w:spacing w:after="0" w:line="240" w:lineRule="auto"/>
            </w:pPr>
            <w:r/>
            <w:r>
              <w:rPr>
                <w:rFonts w:ascii="Arial" w:hAnsi="Arial"/>
                <w:b w:val="0"/>
                <w:sz w:val="16"/>
              </w:rPr>
              <w:t>Deterministic safety precedence</w:t>
            </w:r>
          </w:p>
        </w:tc>
        <w:tc>
          <w:tcPr>
            <w:tcW w:type="dxa" w:w="8352"/>
            <w:vAlign w:val="center"/>
            <w:shd w:fill="EAF0F8"/>
          </w:tcPr>
          <w:p>
            <w:pPr>
              <w:spacing w:after="0" w:line="240" w:lineRule="auto"/>
            </w:pPr>
            <w:r/>
            <w:r>
              <w:rPr>
                <w:rFonts w:ascii="Arial" w:hAnsi="Arial"/>
                <w:b w:val="0"/>
                <w:sz w:val="16"/>
              </w:rPr>
              <w:t>A triggered deterministic HIGH rule cannot be downgraded by an ML LOW result.</w:t>
            </w:r>
          </w:p>
        </w:tc>
      </w:tr>
      <w:tr>
        <w:trPr>
          <w:cantSplit/>
        </w:trPr>
        <w:tc>
          <w:tcPr>
            <w:tcW w:type="dxa" w:w="2592"/>
            <w:vAlign w:val="center"/>
          </w:tcPr>
          <w:p>
            <w:pPr>
              <w:spacing w:after="0" w:line="240" w:lineRule="auto"/>
            </w:pPr>
            <w:r/>
            <w:r>
              <w:rPr>
                <w:rFonts w:ascii="Arial" w:hAnsi="Arial"/>
                <w:b w:val="0"/>
                <w:sz w:val="16"/>
              </w:rPr>
              <w:t>Explicit incompleteness</w:t>
            </w:r>
          </w:p>
        </w:tc>
        <w:tc>
          <w:tcPr>
            <w:tcW w:type="dxa" w:w="8352"/>
            <w:vAlign w:val="center"/>
          </w:tcPr>
          <w:p>
            <w:pPr>
              <w:spacing w:after="0" w:line="240" w:lineRule="auto"/>
            </w:pPr>
            <w:r/>
            <w:r>
              <w:rPr>
                <w:rFonts w:ascii="Arial" w:hAnsi="Arial"/>
                <w:b w:val="0"/>
                <w:sz w:val="16"/>
              </w:rPr>
              <w:t>Missing required records, invalid model output, timeout, malformed response, or contract mismatch must be disclosed as ASSESSMENT INCOMPLETE.</w:t>
            </w:r>
          </w:p>
        </w:tc>
      </w:tr>
      <w:tr>
        <w:trPr>
          <w:cantSplit/>
        </w:trPr>
        <w:tc>
          <w:tcPr>
            <w:tcW w:type="dxa" w:w="2592"/>
            <w:vAlign w:val="center"/>
            <w:shd w:fill="EAF0F8"/>
          </w:tcPr>
          <w:p>
            <w:pPr>
              <w:spacing w:after="0" w:line="240" w:lineRule="auto"/>
            </w:pPr>
            <w:r/>
            <w:r>
              <w:rPr>
                <w:rFonts w:ascii="Arial" w:hAnsi="Arial"/>
                <w:b w:val="0"/>
                <w:sz w:val="16"/>
              </w:rPr>
              <w:t>Human authority</w:t>
            </w:r>
          </w:p>
        </w:tc>
        <w:tc>
          <w:tcPr>
            <w:tcW w:type="dxa" w:w="8352"/>
            <w:vAlign w:val="center"/>
            <w:shd w:fill="EAF0F8"/>
          </w:tcPr>
          <w:p>
            <w:pPr>
              <w:spacing w:after="0" w:line="240" w:lineRule="auto"/>
            </w:pPr>
            <w:r/>
            <w:r>
              <w:rPr>
                <w:rFonts w:ascii="Arial" w:hAnsi="Arial"/>
                <w:b w:val="0"/>
                <w:sz w:val="16"/>
              </w:rPr>
              <w:t>The output supports the midwife or responsible professional; it does not independently diagnose, treat, or compel referral.</w:t>
            </w:r>
          </w:p>
        </w:tc>
      </w:tr>
      <w:tr>
        <w:trPr>
          <w:cantSplit/>
        </w:trPr>
        <w:tc>
          <w:tcPr>
            <w:tcW w:type="dxa" w:w="2592"/>
            <w:vAlign w:val="center"/>
          </w:tcPr>
          <w:p>
            <w:pPr>
              <w:spacing w:after="0" w:line="240" w:lineRule="auto"/>
            </w:pPr>
            <w:r/>
            <w:r>
              <w:rPr>
                <w:rFonts w:ascii="Arial" w:hAnsi="Arial"/>
                <w:b w:val="0"/>
                <w:sz w:val="16"/>
              </w:rPr>
              <w:t>Audience appropriateness</w:t>
            </w:r>
          </w:p>
        </w:tc>
        <w:tc>
          <w:tcPr>
            <w:tcW w:type="dxa" w:w="8352"/>
            <w:vAlign w:val="center"/>
          </w:tcPr>
          <w:p>
            <w:pPr>
              <w:spacing w:after="0" w:line="240" w:lineRule="auto"/>
            </w:pPr>
            <w:r/>
            <w:r>
              <w:rPr>
                <w:rFonts w:ascii="Arial" w:hAnsi="Arial"/>
                <w:b w:val="0"/>
                <w:sz w:val="16"/>
              </w:rPr>
              <w:t>Detail and language may vary by audience, but facts, status, reason codes, and recommended safety direction must remain consistent.</w:t>
            </w:r>
          </w:p>
        </w:tc>
      </w:tr>
      <w:tr>
        <w:trPr>
          <w:cantSplit/>
        </w:trPr>
        <w:tc>
          <w:tcPr>
            <w:tcW w:type="dxa" w:w="2592"/>
            <w:vAlign w:val="center"/>
            <w:shd w:fill="EAF0F8"/>
          </w:tcPr>
          <w:p>
            <w:pPr>
              <w:spacing w:after="0" w:line="240" w:lineRule="auto"/>
            </w:pPr>
            <w:r/>
            <w:r>
              <w:rPr>
                <w:rFonts w:ascii="Arial" w:hAnsi="Arial"/>
                <w:b w:val="0"/>
                <w:sz w:val="16"/>
              </w:rPr>
              <w:t>Traceable evidence</w:t>
            </w:r>
          </w:p>
        </w:tc>
        <w:tc>
          <w:tcPr>
            <w:tcW w:type="dxa" w:w="8352"/>
            <w:vAlign w:val="center"/>
            <w:shd w:fill="EAF0F8"/>
          </w:tcPr>
          <w:p>
            <w:pPr>
              <w:spacing w:after="0" w:line="240" w:lineRule="auto"/>
            </w:pPr>
            <w:r/>
            <w:r>
              <w:rPr>
                <w:rFonts w:ascii="Arial" w:hAnsi="Arial"/>
                <w:b w:val="0"/>
                <w:sz w:val="16"/>
              </w:rPr>
              <w:t>Each reason must identify its source field, observed value, threshold or category, record date, and relevant version identifiers.</w:t>
            </w:r>
          </w:p>
        </w:tc>
      </w:tr>
      <w:tr>
        <w:trPr>
          <w:cantSplit/>
        </w:trPr>
        <w:tc>
          <w:tcPr>
            <w:tcW w:type="dxa" w:w="2592"/>
            <w:vAlign w:val="center"/>
          </w:tcPr>
          <w:p>
            <w:pPr>
              <w:spacing w:after="0" w:line="240" w:lineRule="auto"/>
            </w:pPr>
            <w:r/>
            <w:r>
              <w:rPr>
                <w:rFonts w:ascii="Arial" w:hAnsi="Arial"/>
                <w:b w:val="0"/>
                <w:sz w:val="16"/>
              </w:rPr>
              <w:t>Minimum necessary disclosure</w:t>
            </w:r>
          </w:p>
        </w:tc>
        <w:tc>
          <w:tcPr>
            <w:tcW w:type="dxa" w:w="8352"/>
            <w:vAlign w:val="center"/>
          </w:tcPr>
          <w:p>
            <w:pPr>
              <w:spacing w:after="0" w:line="240" w:lineRule="auto"/>
            </w:pPr>
            <w:r/>
            <w:r>
              <w:rPr>
                <w:rFonts w:ascii="Arial" w:hAnsi="Arial"/>
                <w:b w:val="0"/>
                <w:sz w:val="16"/>
              </w:rPr>
              <w:t>Users receive only the clinical and technical detail required for their authorized role and task.</w:t>
            </w:r>
          </w:p>
        </w:tc>
      </w:tr>
      <w:tr>
        <w:trPr>
          <w:cantSplit/>
        </w:trPr>
        <w:tc>
          <w:tcPr>
            <w:tcW w:type="dxa" w:w="2592"/>
            <w:vAlign w:val="center"/>
            <w:shd w:fill="EAF0F8"/>
          </w:tcPr>
          <w:p>
            <w:pPr>
              <w:spacing w:after="0" w:line="240" w:lineRule="auto"/>
            </w:pPr>
            <w:r/>
            <w:r>
              <w:rPr>
                <w:rFonts w:ascii="Arial" w:hAnsi="Arial"/>
                <w:b w:val="0"/>
                <w:sz w:val="16"/>
              </w:rPr>
              <w:t>Versioned behavior</w:t>
            </w:r>
          </w:p>
        </w:tc>
        <w:tc>
          <w:tcPr>
            <w:tcW w:type="dxa" w:w="8352"/>
            <w:vAlign w:val="center"/>
            <w:shd w:fill="EAF0F8"/>
          </w:tcPr>
          <w:p>
            <w:pPr>
              <w:spacing w:after="0" w:line="240" w:lineRule="auto"/>
            </w:pPr>
            <w:r/>
            <w:r>
              <w:rPr>
                <w:rFonts w:ascii="Arial" w:hAnsi="Arial"/>
                <w:b w:val="0"/>
                <w:sz w:val="16"/>
              </w:rPr>
              <w:t>Rules, decision policy, model artifact, preprocessing contract, reason catalog, templates, and recommendations must be versioned.</w:t>
            </w:r>
          </w:p>
        </w:tc>
      </w:tr>
      <w:tr>
        <w:trPr>
          <w:cantSplit/>
        </w:trPr>
        <w:tc>
          <w:tcPr>
            <w:tcW w:type="dxa" w:w="2592"/>
            <w:vAlign w:val="center"/>
          </w:tcPr>
          <w:p>
            <w:pPr>
              <w:spacing w:after="0" w:line="240" w:lineRule="auto"/>
            </w:pPr>
            <w:r/>
            <w:r>
              <w:rPr>
                <w:rFonts w:ascii="Arial" w:hAnsi="Arial"/>
                <w:b w:val="0"/>
                <w:sz w:val="16"/>
              </w:rPr>
              <w:t>Fail-safe communication</w:t>
            </w:r>
          </w:p>
        </w:tc>
        <w:tc>
          <w:tcPr>
            <w:tcW w:type="dxa" w:w="8352"/>
            <w:vAlign w:val="center"/>
          </w:tcPr>
          <w:p>
            <w:pPr>
              <w:spacing w:after="0" w:line="240" w:lineRule="auto"/>
            </w:pPr>
            <w:r/>
            <w:r>
              <w:rPr>
                <w:rFonts w:ascii="Arial" w:hAnsi="Arial"/>
                <w:b w:val="0"/>
                <w:sz w:val="16"/>
              </w:rPr>
              <w:t>The system must never transform unavailable evidence into false certainty or display LOW when required decision inputs are invalid.</w:t>
            </w:r>
          </w:p>
        </w:tc>
      </w:tr>
      <w:tr>
        <w:trPr>
          <w:cantSplit/>
        </w:trPr>
        <w:tc>
          <w:tcPr>
            <w:tcW w:type="dxa" w:w="2592"/>
            <w:vAlign w:val="center"/>
            <w:shd w:fill="EAF0F8"/>
          </w:tcPr>
          <w:p>
            <w:pPr>
              <w:spacing w:after="0" w:line="240" w:lineRule="auto"/>
            </w:pPr>
            <w:r/>
            <w:r>
              <w:rPr>
                <w:rFonts w:ascii="Arial" w:hAnsi="Arial"/>
                <w:b w:val="0"/>
                <w:sz w:val="16"/>
              </w:rPr>
              <w:t>Testable explanations</w:t>
            </w:r>
          </w:p>
        </w:tc>
        <w:tc>
          <w:tcPr>
            <w:tcW w:type="dxa" w:w="8352"/>
            <w:vAlign w:val="center"/>
            <w:shd w:fill="EAF0F8"/>
          </w:tcPr>
          <w:p>
            <w:pPr>
              <w:spacing w:after="0" w:line="240" w:lineRule="auto"/>
            </w:pPr>
            <w:r/>
            <w:r>
              <w:rPr>
                <w:rFonts w:ascii="Arial" w:hAnsi="Arial"/>
                <w:b w:val="0"/>
                <w:sz w:val="16"/>
              </w:rPr>
              <w:t>Explanation quality must be independently verified for fidelity, completeness, consistency, usability, actionability, uncertainty disclosure, traceability, and robustness.</w:t>
            </w:r>
          </w:p>
        </w:tc>
      </w:tr>
    </w:tbl>
    <w:p>
      <w:pPr/>
    </w:p>
    <w:p>
      <w:pPr>
        <w:pStyle w:val="Heading1"/>
      </w:pPr>
      <w:r>
        <w:t>3. End-to-End Explainability Workflow</w:t>
      </w:r>
    </w:p>
    <w:p>
      <w:pPr>
        <w:pStyle w:val="BodyText"/>
      </w:pPr>
      <w:r>
        <w:t>The complete workflow is a controlled sequence. Each stage produces evidence consumed by the next stage, and no presentation layer is allowed to invent or reinterpret clinical facts independently.</w:t>
      </w:r>
    </w:p>
    <w:p>
      <w:pPr>
        <w:pStyle w:val="CodeBlock"/>
        <w:shd w:fill="F2F2F2"/>
      </w:pPr>
      <w:r>
        <w:t>Patient and visit records</w:t>
        <w:br/>
        <w:t xml:space="preserve">        ↓</w:t>
        <w:br/>
        <w:t>Required-record and field validation</w:t>
        <w:br/>
        <w:t xml:space="preserve">        ↓</w:t>
        <w:br/>
        <w:t>Immutable AssessmentSnapshot</w:t>
        <w:br/>
        <w:t xml:space="preserve">        ↓</w:t>
        <w:br/>
        <w:t>Deterministic rule evaluation + Python model execution</w:t>
        <w:br/>
        <w:t xml:space="preserve">        ↓</w:t>
        <w:br/>
        <w:t>DecisionEvidence collection</w:t>
        <w:br/>
        <w:t xml:space="preserve">        ↓</w:t>
        <w:br/>
        <w:t>Decision policy integration</w:t>
        <w:br/>
        <w:t xml:space="preserve">        ↓</w:t>
        <w:br/>
        <w:t>Final result: HIGH | LOW | ASSESSMENT INCOMPLETE</w:t>
        <w:br/>
        <w:t xml:space="preserve">        ↓</w:t>
        <w:br/>
        <w:t>Canonical ExplanationBundle</w:t>
        <w:br/>
        <w:t xml:space="preserve">        ↓</w:t>
        <w:br/>
        <w:t>Audience-specific projection</w:t>
        <w:br/>
        <w:t xml:space="preserve">        ↓</w:t>
        <w:br/>
        <w:t>UI / print / referral / audit output</w:t>
        <w:br/>
        <w:t xml:space="preserve">        ↓</w:t>
        <w:br/>
        <w:t>Monitoring, feedback, incident handling, and governance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656"/>
            <w:vAlign w:val="center"/>
            <w:shd w:fill="2F5597"/>
          </w:tcPr>
          <w:p>
            <w:pPr>
              <w:spacing w:after="0" w:line="240" w:lineRule="auto"/>
            </w:pPr>
            <w:r/>
            <w:r>
              <w:rPr>
                <w:rFonts w:ascii="Arial" w:hAnsi="Arial"/>
                <w:b/>
                <w:color w:val="FFFFFF"/>
                <w:sz w:val="15"/>
              </w:rPr>
              <w:t>Stage</w:t>
            </w:r>
          </w:p>
        </w:tc>
        <w:tc>
          <w:tcPr>
            <w:tcW w:type="dxa" w:w="2304"/>
            <w:vAlign w:val="center"/>
            <w:shd w:fill="2F5597"/>
          </w:tcPr>
          <w:p>
            <w:pPr>
              <w:spacing w:after="0" w:line="240" w:lineRule="auto"/>
            </w:pPr>
            <w:r/>
            <w:r>
              <w:rPr>
                <w:rFonts w:ascii="Arial" w:hAnsi="Arial"/>
                <w:b/>
                <w:color w:val="FFFFFF"/>
                <w:sz w:val="15"/>
              </w:rPr>
              <w:t>Input</w:t>
            </w:r>
          </w:p>
        </w:tc>
        <w:tc>
          <w:tcPr>
            <w:tcW w:type="dxa" w:w="2880"/>
            <w:vAlign w:val="center"/>
            <w:shd w:fill="2F5597"/>
          </w:tcPr>
          <w:p>
            <w:pPr>
              <w:spacing w:after="0" w:line="240" w:lineRule="auto"/>
            </w:pPr>
            <w:r/>
            <w:r>
              <w:rPr>
                <w:rFonts w:ascii="Arial" w:hAnsi="Arial"/>
                <w:b/>
                <w:color w:val="FFFFFF"/>
                <w:sz w:val="15"/>
              </w:rPr>
              <w:t>Output</w:t>
            </w:r>
          </w:p>
        </w:tc>
        <w:tc>
          <w:tcPr>
            <w:tcW w:type="dxa" w:w="4176"/>
            <w:vAlign w:val="center"/>
            <w:shd w:fill="2F5597"/>
          </w:tcPr>
          <w:p>
            <w:pPr>
              <w:spacing w:after="0" w:line="240" w:lineRule="auto"/>
            </w:pPr>
            <w:r/>
            <w:r>
              <w:rPr>
                <w:rFonts w:ascii="Arial" w:hAnsi="Arial"/>
                <w:b/>
                <w:color w:val="FFFFFF"/>
                <w:sz w:val="15"/>
              </w:rPr>
              <w:t>Failure behavior</w:t>
            </w:r>
          </w:p>
        </w:tc>
      </w:tr>
      <w:tr>
        <w:trPr>
          <w:cantSplit/>
        </w:trPr>
        <w:tc>
          <w:tcPr>
            <w:tcW w:type="dxa" w:w="1656"/>
            <w:vAlign w:val="center"/>
          </w:tcPr>
          <w:p>
            <w:pPr>
              <w:spacing w:after="0" w:line="240" w:lineRule="auto"/>
            </w:pPr>
            <w:r/>
            <w:r>
              <w:rPr>
                <w:rFonts w:ascii="Arial" w:hAnsi="Arial"/>
                <w:b w:val="0"/>
                <w:sz w:val="15"/>
              </w:rPr>
              <w:t>1. Data acquisition</w:t>
            </w:r>
          </w:p>
        </w:tc>
        <w:tc>
          <w:tcPr>
            <w:tcW w:type="dxa" w:w="2304"/>
            <w:vAlign w:val="center"/>
          </w:tcPr>
          <w:p>
            <w:pPr>
              <w:spacing w:after="0" w:line="240" w:lineRule="auto"/>
            </w:pPr>
            <w:r/>
            <w:r>
              <w:rPr>
                <w:rFonts w:ascii="Arial" w:hAnsi="Arial"/>
                <w:b w:val="0"/>
                <w:sz w:val="15"/>
              </w:rPr>
              <w:t>Patient, prenatal visit, medical history, ultrasound, and birth-plan records</w:t>
            </w:r>
          </w:p>
        </w:tc>
        <w:tc>
          <w:tcPr>
            <w:tcW w:type="dxa" w:w="2880"/>
            <w:vAlign w:val="center"/>
          </w:tcPr>
          <w:p>
            <w:pPr>
              <w:spacing w:after="0" w:line="240" w:lineRule="auto"/>
            </w:pPr>
            <w:r/>
            <w:r>
              <w:rPr>
                <w:rFonts w:ascii="Arial" w:hAnsi="Arial"/>
                <w:b w:val="0"/>
                <w:sz w:val="15"/>
              </w:rPr>
              <w:t>Candidate assessment data</w:t>
            </w:r>
          </w:p>
        </w:tc>
        <w:tc>
          <w:tcPr>
            <w:tcW w:type="dxa" w:w="4176"/>
            <w:vAlign w:val="center"/>
          </w:tcPr>
          <w:p>
            <w:pPr>
              <w:spacing w:after="0" w:line="240" w:lineRule="auto"/>
            </w:pPr>
            <w:r/>
            <w:r>
              <w:rPr>
                <w:rFonts w:ascii="Arial" w:hAnsi="Arial"/>
                <w:b w:val="0"/>
                <w:sz w:val="15"/>
              </w:rPr>
              <w:t>Do not infer absent fields.</w:t>
            </w:r>
          </w:p>
        </w:tc>
      </w:tr>
      <w:tr>
        <w:trPr>
          <w:cantSplit/>
        </w:trPr>
        <w:tc>
          <w:tcPr>
            <w:tcW w:type="dxa" w:w="1656"/>
            <w:vAlign w:val="center"/>
            <w:shd w:fill="EAF0F8"/>
          </w:tcPr>
          <w:p>
            <w:pPr>
              <w:spacing w:after="0" w:line="240" w:lineRule="auto"/>
            </w:pPr>
            <w:r/>
            <w:r>
              <w:rPr>
                <w:rFonts w:ascii="Arial" w:hAnsi="Arial"/>
                <w:b w:val="0"/>
                <w:sz w:val="15"/>
              </w:rPr>
              <w:t>2. Completeness validation</w:t>
            </w:r>
          </w:p>
        </w:tc>
        <w:tc>
          <w:tcPr>
            <w:tcW w:type="dxa" w:w="2304"/>
            <w:vAlign w:val="center"/>
            <w:shd w:fill="EAF0F8"/>
          </w:tcPr>
          <w:p>
            <w:pPr>
              <w:spacing w:after="0" w:line="240" w:lineRule="auto"/>
            </w:pPr>
            <w:r/>
            <w:r>
              <w:rPr>
                <w:rFonts w:ascii="Arial" w:hAnsi="Arial"/>
                <w:b w:val="0"/>
                <w:sz w:val="15"/>
              </w:rPr>
              <w:t>Required record identifiers and required values</w:t>
            </w:r>
          </w:p>
        </w:tc>
        <w:tc>
          <w:tcPr>
            <w:tcW w:type="dxa" w:w="2880"/>
            <w:vAlign w:val="center"/>
            <w:shd w:fill="EAF0F8"/>
          </w:tcPr>
          <w:p>
            <w:pPr>
              <w:spacing w:after="0" w:line="240" w:lineRule="auto"/>
            </w:pPr>
            <w:r/>
            <w:r>
              <w:rPr>
                <w:rFonts w:ascii="Arial" w:hAnsi="Arial"/>
                <w:b w:val="0"/>
                <w:sz w:val="15"/>
              </w:rPr>
              <w:t>Completeness report</w:t>
            </w:r>
          </w:p>
        </w:tc>
        <w:tc>
          <w:tcPr>
            <w:tcW w:type="dxa" w:w="4176"/>
            <w:vAlign w:val="center"/>
            <w:shd w:fill="EAF0F8"/>
          </w:tcPr>
          <w:p>
            <w:pPr>
              <w:spacing w:after="0" w:line="240" w:lineRule="auto"/>
            </w:pPr>
            <w:r/>
            <w:r>
              <w:rPr>
                <w:rFonts w:ascii="Arial" w:hAnsi="Arial"/>
                <w:b w:val="0"/>
                <w:sz w:val="15"/>
              </w:rPr>
              <w:t>Missing required records lead to INCOMPLETE.</w:t>
            </w:r>
          </w:p>
        </w:tc>
      </w:tr>
      <w:tr>
        <w:trPr>
          <w:cantSplit/>
        </w:trPr>
        <w:tc>
          <w:tcPr>
            <w:tcW w:type="dxa" w:w="1656"/>
            <w:vAlign w:val="center"/>
          </w:tcPr>
          <w:p>
            <w:pPr>
              <w:spacing w:after="0" w:line="240" w:lineRule="auto"/>
            </w:pPr>
            <w:r/>
            <w:r>
              <w:rPr>
                <w:rFonts w:ascii="Arial" w:hAnsi="Arial"/>
                <w:b w:val="0"/>
                <w:sz w:val="15"/>
              </w:rPr>
              <w:t>3. Snapshot creation</w:t>
            </w:r>
          </w:p>
        </w:tc>
        <w:tc>
          <w:tcPr>
            <w:tcW w:type="dxa" w:w="2304"/>
            <w:vAlign w:val="center"/>
          </w:tcPr>
          <w:p>
            <w:pPr>
              <w:spacing w:after="0" w:line="240" w:lineRule="auto"/>
            </w:pPr>
            <w:r/>
            <w:r>
              <w:rPr>
                <w:rFonts w:ascii="Arial" w:hAnsi="Arial"/>
                <w:b w:val="0"/>
                <w:sz w:val="15"/>
              </w:rPr>
              <w:t>Validated available values</w:t>
            </w:r>
          </w:p>
        </w:tc>
        <w:tc>
          <w:tcPr>
            <w:tcW w:type="dxa" w:w="2880"/>
            <w:vAlign w:val="center"/>
          </w:tcPr>
          <w:p>
            <w:pPr>
              <w:spacing w:after="0" w:line="240" w:lineRule="auto"/>
            </w:pPr>
            <w:r/>
            <w:r>
              <w:rPr>
                <w:rFonts w:ascii="Arial" w:hAnsi="Arial"/>
                <w:b w:val="0"/>
                <w:sz w:val="15"/>
              </w:rPr>
              <w:t>Immutable AssessmentSnapshot</w:t>
            </w:r>
          </w:p>
        </w:tc>
        <w:tc>
          <w:tcPr>
            <w:tcW w:type="dxa" w:w="4176"/>
            <w:vAlign w:val="center"/>
          </w:tcPr>
          <w:p>
            <w:pPr>
              <w:spacing w:after="0" w:line="240" w:lineRule="auto"/>
            </w:pPr>
            <w:r/>
            <w:r>
              <w:rPr>
                <w:rFonts w:ascii="Arial" w:hAnsi="Arial"/>
                <w:b w:val="0"/>
                <w:sz w:val="15"/>
              </w:rPr>
              <w:t>Snapshot creation failure blocks assessment.</w:t>
            </w:r>
          </w:p>
        </w:tc>
      </w:tr>
      <w:tr>
        <w:trPr>
          <w:cantSplit/>
        </w:trPr>
        <w:tc>
          <w:tcPr>
            <w:tcW w:type="dxa" w:w="1656"/>
            <w:vAlign w:val="center"/>
            <w:shd w:fill="EAF0F8"/>
          </w:tcPr>
          <w:p>
            <w:pPr>
              <w:spacing w:after="0" w:line="240" w:lineRule="auto"/>
            </w:pPr>
            <w:r/>
            <w:r>
              <w:rPr>
                <w:rFonts w:ascii="Arial" w:hAnsi="Arial"/>
                <w:b w:val="0"/>
                <w:sz w:val="15"/>
              </w:rPr>
              <w:t>4. Rule evaluation</w:t>
            </w:r>
          </w:p>
        </w:tc>
        <w:tc>
          <w:tcPr>
            <w:tcW w:type="dxa" w:w="2304"/>
            <w:vAlign w:val="center"/>
            <w:shd w:fill="EAF0F8"/>
          </w:tcPr>
          <w:p>
            <w:pPr>
              <w:spacing w:after="0" w:line="240" w:lineRule="auto"/>
            </w:pPr>
            <w:r/>
            <w:r>
              <w:rPr>
                <w:rFonts w:ascii="Arial" w:hAnsi="Arial"/>
                <w:b w:val="0"/>
                <w:sz w:val="15"/>
              </w:rPr>
              <w:t>Snapshot + rule catalog</w:t>
            </w:r>
          </w:p>
        </w:tc>
        <w:tc>
          <w:tcPr>
            <w:tcW w:type="dxa" w:w="2880"/>
            <w:vAlign w:val="center"/>
            <w:shd w:fill="EAF0F8"/>
          </w:tcPr>
          <w:p>
            <w:pPr>
              <w:spacing w:after="0" w:line="240" w:lineRule="auto"/>
            </w:pPr>
            <w:r/>
            <w:r>
              <w:rPr>
                <w:rFonts w:ascii="Arial" w:hAnsi="Arial"/>
                <w:b w:val="0"/>
                <w:sz w:val="15"/>
              </w:rPr>
              <w:t>Triggered RuleReason objects</w:t>
            </w:r>
          </w:p>
        </w:tc>
        <w:tc>
          <w:tcPr>
            <w:tcW w:type="dxa" w:w="4176"/>
            <w:vAlign w:val="center"/>
            <w:shd w:fill="EAF0F8"/>
          </w:tcPr>
          <w:p>
            <w:pPr>
              <w:spacing w:after="0" w:line="240" w:lineRule="auto"/>
            </w:pPr>
            <w:r/>
            <w:r>
              <w:rPr>
                <w:rFonts w:ascii="Arial" w:hAnsi="Arial"/>
                <w:b w:val="0"/>
                <w:sz w:val="15"/>
              </w:rPr>
              <w:t>Rule-engine error blocks safe LOW and is logged.</w:t>
            </w:r>
          </w:p>
        </w:tc>
      </w:tr>
      <w:tr>
        <w:trPr>
          <w:cantSplit/>
        </w:trPr>
        <w:tc>
          <w:tcPr>
            <w:tcW w:type="dxa" w:w="1656"/>
            <w:vAlign w:val="center"/>
          </w:tcPr>
          <w:p>
            <w:pPr>
              <w:spacing w:after="0" w:line="240" w:lineRule="auto"/>
            </w:pPr>
            <w:r/>
            <w:r>
              <w:rPr>
                <w:rFonts w:ascii="Arial" w:hAnsi="Arial"/>
                <w:b w:val="0"/>
                <w:sz w:val="15"/>
              </w:rPr>
              <w:t>5. ML execution</w:t>
            </w:r>
          </w:p>
        </w:tc>
        <w:tc>
          <w:tcPr>
            <w:tcW w:type="dxa" w:w="2304"/>
            <w:vAlign w:val="center"/>
          </w:tcPr>
          <w:p>
            <w:pPr>
              <w:spacing w:after="0" w:line="240" w:lineRule="auto"/>
            </w:pPr>
            <w:r/>
            <w:r>
              <w:rPr>
                <w:rFonts w:ascii="Arial" w:hAnsi="Arial"/>
                <w:b w:val="0"/>
                <w:sz w:val="15"/>
              </w:rPr>
              <w:t>Versioned feature vector + preprocessing contract</w:t>
            </w:r>
          </w:p>
        </w:tc>
        <w:tc>
          <w:tcPr>
            <w:tcW w:type="dxa" w:w="2880"/>
            <w:vAlign w:val="center"/>
          </w:tcPr>
          <w:p>
            <w:pPr>
              <w:spacing w:after="0" w:line="240" w:lineRule="auto"/>
            </w:pPr>
            <w:r/>
            <w:r>
              <w:rPr>
                <w:rFonts w:ascii="Arial" w:hAnsi="Arial"/>
                <w:b w:val="0"/>
                <w:sz w:val="15"/>
              </w:rPr>
              <w:t>Validated LOW/HIGH MLContribution</w:t>
            </w:r>
          </w:p>
        </w:tc>
        <w:tc>
          <w:tcPr>
            <w:tcW w:type="dxa" w:w="4176"/>
            <w:vAlign w:val="center"/>
          </w:tcPr>
          <w:p>
            <w:pPr>
              <w:spacing w:after="0" w:line="240" w:lineRule="auto"/>
            </w:pPr>
            <w:r/>
            <w:r>
              <w:rPr>
                <w:rFonts w:ascii="Arial" w:hAnsi="Arial"/>
                <w:b w:val="0"/>
                <w:sz w:val="15"/>
              </w:rPr>
              <w:t>Timeout, malformed, unknown, or mismatched result becomes invalid.</w:t>
            </w:r>
          </w:p>
        </w:tc>
      </w:tr>
      <w:tr>
        <w:trPr>
          <w:cantSplit/>
        </w:trPr>
        <w:tc>
          <w:tcPr>
            <w:tcW w:type="dxa" w:w="1656"/>
            <w:vAlign w:val="center"/>
            <w:shd w:fill="EAF0F8"/>
          </w:tcPr>
          <w:p>
            <w:pPr>
              <w:spacing w:after="0" w:line="240" w:lineRule="auto"/>
            </w:pPr>
            <w:r/>
            <w:r>
              <w:rPr>
                <w:rFonts w:ascii="Arial" w:hAnsi="Arial"/>
                <w:b w:val="0"/>
                <w:sz w:val="15"/>
              </w:rPr>
              <w:t>6. Decision integration</w:t>
            </w:r>
          </w:p>
        </w:tc>
        <w:tc>
          <w:tcPr>
            <w:tcW w:type="dxa" w:w="2304"/>
            <w:vAlign w:val="center"/>
            <w:shd w:fill="EAF0F8"/>
          </w:tcPr>
          <w:p>
            <w:pPr>
              <w:spacing w:after="0" w:line="240" w:lineRule="auto"/>
            </w:pPr>
            <w:r/>
            <w:r>
              <w:rPr>
                <w:rFonts w:ascii="Arial" w:hAnsi="Arial"/>
                <w:b w:val="0"/>
                <w:sz w:val="15"/>
              </w:rPr>
              <w:t>Rule reasons + model contribution + completeness state</w:t>
            </w:r>
          </w:p>
        </w:tc>
        <w:tc>
          <w:tcPr>
            <w:tcW w:type="dxa" w:w="2880"/>
            <w:vAlign w:val="center"/>
            <w:shd w:fill="EAF0F8"/>
          </w:tcPr>
          <w:p>
            <w:pPr>
              <w:spacing w:after="0" w:line="240" w:lineRule="auto"/>
            </w:pPr>
            <w:r/>
            <w:r>
              <w:rPr>
                <w:rFonts w:ascii="Arial" w:hAnsi="Arial"/>
                <w:b w:val="0"/>
                <w:sz w:val="15"/>
              </w:rPr>
              <w:t>Final result and decision rationale</w:t>
            </w:r>
          </w:p>
        </w:tc>
        <w:tc>
          <w:tcPr>
            <w:tcW w:type="dxa" w:w="4176"/>
            <w:vAlign w:val="center"/>
            <w:shd w:fill="EAF0F8"/>
          </w:tcPr>
          <w:p>
            <w:pPr>
              <w:spacing w:after="0" w:line="240" w:lineRule="auto"/>
            </w:pPr>
            <w:r/>
            <w:r>
              <w:rPr>
                <w:rFonts w:ascii="Arial" w:hAnsi="Arial"/>
                <w:b w:val="0"/>
                <w:sz w:val="15"/>
              </w:rPr>
              <w:t>Deterministic HIGH overrides ML LOW; invalid ML prevents LOW.</w:t>
            </w:r>
          </w:p>
        </w:tc>
      </w:tr>
      <w:tr>
        <w:trPr>
          <w:cantSplit/>
        </w:trPr>
        <w:tc>
          <w:tcPr>
            <w:tcW w:type="dxa" w:w="1656"/>
            <w:vAlign w:val="center"/>
          </w:tcPr>
          <w:p>
            <w:pPr>
              <w:spacing w:after="0" w:line="240" w:lineRule="auto"/>
            </w:pPr>
            <w:r/>
            <w:r>
              <w:rPr>
                <w:rFonts w:ascii="Arial" w:hAnsi="Arial"/>
                <w:b w:val="0"/>
                <w:sz w:val="15"/>
              </w:rPr>
              <w:t>7. Explanation construction</w:t>
            </w:r>
          </w:p>
        </w:tc>
        <w:tc>
          <w:tcPr>
            <w:tcW w:type="dxa" w:w="2304"/>
            <w:vAlign w:val="center"/>
          </w:tcPr>
          <w:p>
            <w:pPr>
              <w:spacing w:after="0" w:line="240" w:lineRule="auto"/>
            </w:pPr>
            <w:r/>
            <w:r>
              <w:rPr>
                <w:rFonts w:ascii="Arial" w:hAnsi="Arial"/>
                <w:b w:val="0"/>
                <w:sz w:val="15"/>
              </w:rPr>
              <w:t>Final result + complete evidence</w:t>
            </w:r>
          </w:p>
        </w:tc>
        <w:tc>
          <w:tcPr>
            <w:tcW w:type="dxa" w:w="2880"/>
            <w:vAlign w:val="center"/>
          </w:tcPr>
          <w:p>
            <w:pPr>
              <w:spacing w:after="0" w:line="240" w:lineRule="auto"/>
            </w:pPr>
            <w:r/>
            <w:r>
              <w:rPr>
                <w:rFonts w:ascii="Arial" w:hAnsi="Arial"/>
                <w:b w:val="0"/>
                <w:sz w:val="15"/>
              </w:rPr>
              <w:t>Canonical ExplanationBundle</w:t>
            </w:r>
          </w:p>
        </w:tc>
        <w:tc>
          <w:tcPr>
            <w:tcW w:type="dxa" w:w="4176"/>
            <w:vAlign w:val="center"/>
          </w:tcPr>
          <w:p>
            <w:pPr>
              <w:spacing w:after="0" w:line="240" w:lineRule="auto"/>
            </w:pPr>
            <w:r/>
            <w:r>
              <w:rPr>
                <w:rFonts w:ascii="Arial" w:hAnsi="Arial"/>
                <w:b w:val="0"/>
                <w:sz w:val="15"/>
              </w:rPr>
              <w:t>Generation mismatch blocks user-facing finalization.</w:t>
            </w:r>
          </w:p>
        </w:tc>
      </w:tr>
      <w:tr>
        <w:trPr>
          <w:cantSplit/>
        </w:trPr>
        <w:tc>
          <w:tcPr>
            <w:tcW w:type="dxa" w:w="1656"/>
            <w:vAlign w:val="center"/>
            <w:shd w:fill="EAF0F8"/>
          </w:tcPr>
          <w:p>
            <w:pPr>
              <w:spacing w:after="0" w:line="240" w:lineRule="auto"/>
            </w:pPr>
            <w:r/>
            <w:r>
              <w:rPr>
                <w:rFonts w:ascii="Arial" w:hAnsi="Arial"/>
                <w:b w:val="0"/>
                <w:sz w:val="15"/>
              </w:rPr>
              <w:t>8. Audience projection</w:t>
            </w:r>
          </w:p>
        </w:tc>
        <w:tc>
          <w:tcPr>
            <w:tcW w:type="dxa" w:w="2304"/>
            <w:vAlign w:val="center"/>
            <w:shd w:fill="EAF0F8"/>
          </w:tcPr>
          <w:p>
            <w:pPr>
              <w:spacing w:after="0" w:line="240" w:lineRule="auto"/>
            </w:pPr>
            <w:r/>
            <w:r>
              <w:rPr>
                <w:rFonts w:ascii="Arial" w:hAnsi="Arial"/>
                <w:b w:val="0"/>
                <w:sz w:val="15"/>
              </w:rPr>
              <w:t>Bundle + audience/role policy</w:t>
            </w:r>
          </w:p>
        </w:tc>
        <w:tc>
          <w:tcPr>
            <w:tcW w:type="dxa" w:w="2880"/>
            <w:vAlign w:val="center"/>
            <w:shd w:fill="EAF0F8"/>
          </w:tcPr>
          <w:p>
            <w:pPr>
              <w:spacing w:after="0" w:line="240" w:lineRule="auto"/>
            </w:pPr>
            <w:r/>
            <w:r>
              <w:rPr>
                <w:rFonts w:ascii="Arial" w:hAnsi="Arial"/>
                <w:b w:val="0"/>
                <w:sz w:val="15"/>
              </w:rPr>
              <w:t>Midwife, patient, referral, admin, developer, or audit view</w:t>
            </w:r>
          </w:p>
        </w:tc>
        <w:tc>
          <w:tcPr>
            <w:tcW w:type="dxa" w:w="4176"/>
            <w:vAlign w:val="center"/>
            <w:shd w:fill="EAF0F8"/>
          </w:tcPr>
          <w:p>
            <w:pPr>
              <w:spacing w:after="0" w:line="240" w:lineRule="auto"/>
            </w:pPr>
            <w:r/>
            <w:r>
              <w:rPr>
                <w:rFonts w:ascii="Arial" w:hAnsi="Arial"/>
                <w:b w:val="0"/>
                <w:sz w:val="15"/>
              </w:rPr>
              <w:t>Unauthorized fields are omitted; projection failure falls back to safe minimal wording.</w:t>
            </w:r>
          </w:p>
        </w:tc>
      </w:tr>
      <w:tr>
        <w:trPr>
          <w:cantSplit/>
        </w:trPr>
        <w:tc>
          <w:tcPr>
            <w:tcW w:type="dxa" w:w="1656"/>
            <w:vAlign w:val="center"/>
          </w:tcPr>
          <w:p>
            <w:pPr>
              <w:spacing w:after="0" w:line="240" w:lineRule="auto"/>
            </w:pPr>
            <w:r/>
            <w:r>
              <w:rPr>
                <w:rFonts w:ascii="Arial" w:hAnsi="Arial"/>
                <w:b w:val="0"/>
                <w:sz w:val="15"/>
              </w:rPr>
              <w:t>9. Persistence and audit</w:t>
            </w:r>
          </w:p>
        </w:tc>
        <w:tc>
          <w:tcPr>
            <w:tcW w:type="dxa" w:w="2304"/>
            <w:vAlign w:val="center"/>
          </w:tcPr>
          <w:p>
            <w:pPr>
              <w:spacing w:after="0" w:line="240" w:lineRule="auto"/>
            </w:pPr>
            <w:r/>
            <w:r>
              <w:rPr>
                <w:rFonts w:ascii="Arial" w:hAnsi="Arial"/>
                <w:b w:val="0"/>
                <w:sz w:val="15"/>
              </w:rPr>
              <w:t>Bundle + versions + actor + timestamps</w:t>
            </w:r>
          </w:p>
        </w:tc>
        <w:tc>
          <w:tcPr>
            <w:tcW w:type="dxa" w:w="2880"/>
            <w:vAlign w:val="center"/>
          </w:tcPr>
          <w:p>
            <w:pPr>
              <w:spacing w:after="0" w:line="240" w:lineRule="auto"/>
            </w:pPr>
            <w:r/>
            <w:r>
              <w:rPr>
                <w:rFonts w:ascii="Arial" w:hAnsi="Arial"/>
                <w:b w:val="0"/>
                <w:sz w:val="15"/>
              </w:rPr>
              <w:t>Reconstructable assessment record</w:t>
            </w:r>
          </w:p>
        </w:tc>
        <w:tc>
          <w:tcPr>
            <w:tcW w:type="dxa" w:w="4176"/>
            <w:vAlign w:val="center"/>
          </w:tcPr>
          <w:p>
            <w:pPr>
              <w:spacing w:after="0" w:line="240" w:lineRule="auto"/>
            </w:pPr>
            <w:r/>
            <w:r>
              <w:rPr>
                <w:rFonts w:ascii="Arial" w:hAnsi="Arial"/>
                <w:b w:val="0"/>
                <w:sz w:val="15"/>
              </w:rPr>
              <w:t>Persistence failure is surfaced and logged.</w:t>
            </w:r>
          </w:p>
        </w:tc>
      </w:tr>
      <w:tr>
        <w:trPr>
          <w:cantSplit/>
        </w:trPr>
        <w:tc>
          <w:tcPr>
            <w:tcW w:type="dxa" w:w="1656"/>
            <w:vAlign w:val="center"/>
            <w:shd w:fill="EAF0F8"/>
          </w:tcPr>
          <w:p>
            <w:pPr>
              <w:spacing w:after="0" w:line="240" w:lineRule="auto"/>
            </w:pPr>
            <w:r/>
            <w:r>
              <w:rPr>
                <w:rFonts w:ascii="Arial" w:hAnsi="Arial"/>
                <w:b w:val="0"/>
                <w:sz w:val="15"/>
              </w:rPr>
              <w:t>10. Monitoring and governance</w:t>
            </w:r>
          </w:p>
        </w:tc>
        <w:tc>
          <w:tcPr>
            <w:tcW w:type="dxa" w:w="2304"/>
            <w:vAlign w:val="center"/>
            <w:shd w:fill="EAF0F8"/>
          </w:tcPr>
          <w:p>
            <w:pPr>
              <w:spacing w:after="0" w:line="240" w:lineRule="auto"/>
            </w:pPr>
            <w:r/>
            <w:r>
              <w:rPr>
                <w:rFonts w:ascii="Arial" w:hAnsi="Arial"/>
                <w:b w:val="0"/>
                <w:sz w:val="15"/>
              </w:rPr>
              <w:t>Operational events and feedback</w:t>
            </w:r>
          </w:p>
        </w:tc>
        <w:tc>
          <w:tcPr>
            <w:tcW w:type="dxa" w:w="2880"/>
            <w:vAlign w:val="center"/>
            <w:shd w:fill="EAF0F8"/>
          </w:tcPr>
          <w:p>
            <w:pPr>
              <w:spacing w:after="0" w:line="240" w:lineRule="auto"/>
            </w:pPr>
            <w:r/>
            <w:r>
              <w:rPr>
                <w:rFonts w:ascii="Arial" w:hAnsi="Arial"/>
                <w:b w:val="0"/>
                <w:sz w:val="15"/>
              </w:rPr>
              <w:t>Metrics, incidents, changes, and approvals</w:t>
            </w:r>
          </w:p>
        </w:tc>
        <w:tc>
          <w:tcPr>
            <w:tcW w:type="dxa" w:w="4176"/>
            <w:vAlign w:val="center"/>
            <w:shd w:fill="EAF0F8"/>
          </w:tcPr>
          <w:p>
            <w:pPr>
              <w:spacing w:after="0" w:line="240" w:lineRule="auto"/>
            </w:pPr>
            <w:r/>
            <w:r>
              <w:rPr>
                <w:rFonts w:ascii="Arial" w:hAnsi="Arial"/>
                <w:b w:val="0"/>
                <w:sz w:val="15"/>
              </w:rPr>
              <w:t>Material defects trigger containment, correction, rollback, or suspension.</w:t>
            </w:r>
          </w:p>
        </w:tc>
      </w:tr>
    </w:tbl>
    <w:p>
      <w:pPr/>
    </w:p>
    <w:p>
      <w:pPr>
        <w:pStyle w:val="Heading1"/>
      </w:pPr>
      <w:r>
        <w:t>4. Unified Explainability Architecture</w:t>
      </w:r>
    </w:p>
    <w:p>
      <w:pPr>
        <w:pStyle w:val="Heading2"/>
      </w:pPr>
      <w:r>
        <w:t>4.1 Logical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2F5597"/>
          </w:tcPr>
          <w:p>
            <w:pPr>
              <w:spacing w:after="0" w:line="240" w:lineRule="auto"/>
            </w:pPr>
            <w:r/>
            <w:r>
              <w:rPr>
                <w:rFonts w:ascii="Arial" w:hAnsi="Arial"/>
                <w:b/>
                <w:color w:val="FFFFFF"/>
                <w:sz w:val="15"/>
              </w:rPr>
              <w:t>Component</w:t>
            </w:r>
          </w:p>
        </w:tc>
        <w:tc>
          <w:tcPr>
            <w:tcW w:type="dxa" w:w="4608"/>
            <w:vAlign w:val="center"/>
            <w:shd w:fill="2F5597"/>
          </w:tcPr>
          <w:p>
            <w:pPr>
              <w:spacing w:after="0" w:line="240" w:lineRule="auto"/>
            </w:pPr>
            <w:r/>
            <w:r>
              <w:rPr>
                <w:rFonts w:ascii="Arial" w:hAnsi="Arial"/>
                <w:b/>
                <w:color w:val="FFFFFF"/>
                <w:sz w:val="15"/>
              </w:rPr>
              <w:t>Responsibility</w:t>
            </w:r>
          </w:p>
        </w:tc>
        <w:tc>
          <w:tcPr>
            <w:tcW w:type="dxa" w:w="3960"/>
            <w:vAlign w:val="center"/>
            <w:shd w:fill="2F5597"/>
          </w:tcPr>
          <w:p>
            <w:pPr>
              <w:spacing w:after="0" w:line="240" w:lineRule="auto"/>
            </w:pPr>
            <w:r/>
            <w:r>
              <w:rPr>
                <w:rFonts w:ascii="Arial" w:hAnsi="Arial"/>
                <w:b/>
                <w:color w:val="FFFFFF"/>
                <w:sz w:val="15"/>
              </w:rPr>
              <w:t>Must not do</w:t>
            </w:r>
          </w:p>
        </w:tc>
      </w:tr>
      <w:tr>
        <w:trPr>
          <w:cantSplit/>
        </w:trPr>
        <w:tc>
          <w:tcPr>
            <w:tcW w:type="dxa" w:w="2088"/>
            <w:vAlign w:val="center"/>
          </w:tcPr>
          <w:p>
            <w:pPr>
              <w:spacing w:after="0" w:line="240" w:lineRule="auto"/>
            </w:pPr>
            <w:r/>
            <w:r>
              <w:rPr>
                <w:rFonts w:ascii="Arial" w:hAnsi="Arial"/>
                <w:b w:val="0"/>
                <w:sz w:val="15"/>
              </w:rPr>
              <w:t>Laravel controllers</w:t>
            </w:r>
          </w:p>
        </w:tc>
        <w:tc>
          <w:tcPr>
            <w:tcW w:type="dxa" w:w="4608"/>
            <w:vAlign w:val="center"/>
          </w:tcPr>
          <w:p>
            <w:pPr>
              <w:spacing w:after="0" w:line="240" w:lineRule="auto"/>
            </w:pPr>
            <w:r/>
            <w:r>
              <w:rPr>
                <w:rFonts w:ascii="Arial" w:hAnsi="Arial"/>
                <w:b w:val="0"/>
                <w:sz w:val="15"/>
              </w:rPr>
              <w:t>Receive authorized actions, validate requests, invoke domain services, redirect, and display results.</w:t>
            </w:r>
          </w:p>
        </w:tc>
        <w:tc>
          <w:tcPr>
            <w:tcW w:type="dxa" w:w="3960"/>
            <w:vAlign w:val="center"/>
          </w:tcPr>
          <w:p>
            <w:pPr>
              <w:spacing w:after="0" w:line="240" w:lineRule="auto"/>
            </w:pPr>
            <w:r/>
            <w:r>
              <w:rPr>
                <w:rFonts w:ascii="Arial" w:hAnsi="Arial"/>
                <w:b w:val="0"/>
                <w:sz w:val="15"/>
              </w:rPr>
              <w:t>Contain duplicated or hidden clinical thresholds.</w:t>
            </w:r>
          </w:p>
        </w:tc>
      </w:tr>
      <w:tr>
        <w:trPr>
          <w:cantSplit/>
        </w:trPr>
        <w:tc>
          <w:tcPr>
            <w:tcW w:type="dxa" w:w="2088"/>
            <w:vAlign w:val="center"/>
            <w:shd w:fill="EAF0F8"/>
          </w:tcPr>
          <w:p>
            <w:pPr>
              <w:spacing w:after="0" w:line="240" w:lineRule="auto"/>
            </w:pPr>
            <w:r/>
            <w:r>
              <w:rPr>
                <w:rFonts w:ascii="Arial" w:hAnsi="Arial"/>
                <w:b w:val="0"/>
                <w:sz w:val="15"/>
              </w:rPr>
              <w:t>Assessment orchestration service</w:t>
            </w:r>
          </w:p>
        </w:tc>
        <w:tc>
          <w:tcPr>
            <w:tcW w:type="dxa" w:w="4608"/>
            <w:vAlign w:val="center"/>
            <w:shd w:fill="EAF0F8"/>
          </w:tcPr>
          <w:p>
            <w:pPr>
              <w:spacing w:after="0" w:line="240" w:lineRule="auto"/>
            </w:pPr>
            <w:r/>
            <w:r>
              <w:rPr>
                <w:rFonts w:ascii="Arial" w:hAnsi="Arial"/>
                <w:b w:val="0"/>
                <w:sz w:val="15"/>
              </w:rPr>
              <w:t>Loads required records, creates snapshot, coordinates rule and ML evaluation, and persists the result.</w:t>
            </w:r>
          </w:p>
        </w:tc>
        <w:tc>
          <w:tcPr>
            <w:tcW w:type="dxa" w:w="3960"/>
            <w:vAlign w:val="center"/>
            <w:shd w:fill="EAF0F8"/>
          </w:tcPr>
          <w:p>
            <w:pPr>
              <w:spacing w:after="0" w:line="240" w:lineRule="auto"/>
            </w:pPr>
            <w:r/>
            <w:r>
              <w:rPr>
                <w:rFonts w:ascii="Arial" w:hAnsi="Arial"/>
                <w:b w:val="0"/>
                <w:sz w:val="15"/>
              </w:rPr>
              <w:t>Generate audience wording directly.</w:t>
            </w:r>
          </w:p>
        </w:tc>
      </w:tr>
      <w:tr>
        <w:trPr>
          <w:cantSplit/>
        </w:trPr>
        <w:tc>
          <w:tcPr>
            <w:tcW w:type="dxa" w:w="2088"/>
            <w:vAlign w:val="center"/>
          </w:tcPr>
          <w:p>
            <w:pPr>
              <w:spacing w:after="0" w:line="240" w:lineRule="auto"/>
            </w:pPr>
            <w:r/>
            <w:r>
              <w:rPr>
                <w:rFonts w:ascii="Arial" w:hAnsi="Arial"/>
                <w:b w:val="0"/>
                <w:sz w:val="15"/>
              </w:rPr>
              <w:t>Rule engine</w:t>
            </w:r>
          </w:p>
        </w:tc>
        <w:tc>
          <w:tcPr>
            <w:tcW w:type="dxa" w:w="4608"/>
            <w:vAlign w:val="center"/>
          </w:tcPr>
          <w:p>
            <w:pPr>
              <w:spacing w:after="0" w:line="240" w:lineRule="auto"/>
            </w:pPr>
            <w:r/>
            <w:r>
              <w:rPr>
                <w:rFonts w:ascii="Arial" w:hAnsi="Arial"/>
                <w:b w:val="0"/>
                <w:sz w:val="15"/>
              </w:rPr>
              <w:t>Evaluates deterministic clinical conditions and returns structured RuleReason objects.</w:t>
            </w:r>
          </w:p>
        </w:tc>
        <w:tc>
          <w:tcPr>
            <w:tcW w:type="dxa" w:w="3960"/>
            <w:vAlign w:val="center"/>
          </w:tcPr>
          <w:p>
            <w:pPr>
              <w:spacing w:after="0" w:line="240" w:lineRule="auto"/>
            </w:pPr>
            <w:r/>
            <w:r>
              <w:rPr>
                <w:rFonts w:ascii="Arial" w:hAnsi="Arial"/>
                <w:b w:val="0"/>
                <w:sz w:val="15"/>
              </w:rPr>
              <w:t>Silently change result labels or templates.</w:t>
            </w:r>
          </w:p>
        </w:tc>
      </w:tr>
      <w:tr>
        <w:trPr>
          <w:cantSplit/>
        </w:trPr>
        <w:tc>
          <w:tcPr>
            <w:tcW w:type="dxa" w:w="2088"/>
            <w:vAlign w:val="center"/>
            <w:shd w:fill="EAF0F8"/>
          </w:tcPr>
          <w:p>
            <w:pPr>
              <w:spacing w:after="0" w:line="240" w:lineRule="auto"/>
            </w:pPr>
            <w:r/>
            <w:r>
              <w:rPr>
                <w:rFonts w:ascii="Arial" w:hAnsi="Arial"/>
                <w:b w:val="0"/>
                <w:sz w:val="15"/>
              </w:rPr>
              <w:t>Python model adapter</w:t>
            </w:r>
          </w:p>
        </w:tc>
        <w:tc>
          <w:tcPr>
            <w:tcW w:type="dxa" w:w="4608"/>
            <w:vAlign w:val="center"/>
            <w:shd w:fill="EAF0F8"/>
          </w:tcPr>
          <w:p>
            <w:pPr>
              <w:spacing w:after="0" w:line="240" w:lineRule="auto"/>
            </w:pPr>
            <w:r/>
            <w:r>
              <w:rPr>
                <w:rFonts w:ascii="Arial" w:hAnsi="Arial"/>
                <w:b w:val="0"/>
                <w:sz w:val="15"/>
              </w:rPr>
              <w:t>Builds the feature vector, invokes the Random Forest process, validates the response, and records provenance.</w:t>
            </w:r>
          </w:p>
        </w:tc>
        <w:tc>
          <w:tcPr>
            <w:tcW w:type="dxa" w:w="3960"/>
            <w:vAlign w:val="center"/>
            <w:shd w:fill="EAF0F8"/>
          </w:tcPr>
          <w:p>
            <w:pPr>
              <w:spacing w:after="0" w:line="240" w:lineRule="auto"/>
            </w:pPr>
            <w:r/>
            <w:r>
              <w:rPr>
                <w:rFonts w:ascii="Arial" w:hAnsi="Arial"/>
                <w:b w:val="0"/>
                <w:sz w:val="15"/>
              </w:rPr>
              <w:t>Treat error text, blank output, or unknown labels as LOW.</w:t>
            </w:r>
          </w:p>
        </w:tc>
      </w:tr>
      <w:tr>
        <w:trPr>
          <w:cantSplit/>
        </w:trPr>
        <w:tc>
          <w:tcPr>
            <w:tcW w:type="dxa" w:w="2088"/>
            <w:vAlign w:val="center"/>
          </w:tcPr>
          <w:p>
            <w:pPr>
              <w:spacing w:after="0" w:line="240" w:lineRule="auto"/>
            </w:pPr>
            <w:r/>
            <w:r>
              <w:rPr>
                <w:rFonts w:ascii="Arial" w:hAnsi="Arial"/>
                <w:b w:val="0"/>
                <w:sz w:val="15"/>
              </w:rPr>
              <w:t>Decision policy service</w:t>
            </w:r>
          </w:p>
        </w:tc>
        <w:tc>
          <w:tcPr>
            <w:tcW w:type="dxa" w:w="4608"/>
            <w:vAlign w:val="center"/>
          </w:tcPr>
          <w:p>
            <w:pPr>
              <w:spacing w:after="0" w:line="240" w:lineRule="auto"/>
            </w:pPr>
            <w:r/>
            <w:r>
              <w:rPr>
                <w:rFonts w:ascii="Arial" w:hAnsi="Arial"/>
                <w:b w:val="0"/>
                <w:sz w:val="15"/>
              </w:rPr>
              <w:t>Applies completeness and precedence rules to produce HIGH, LOW, or INCOMPLETE.</w:t>
            </w:r>
          </w:p>
        </w:tc>
        <w:tc>
          <w:tcPr>
            <w:tcW w:type="dxa" w:w="3960"/>
            <w:vAlign w:val="center"/>
          </w:tcPr>
          <w:p>
            <w:pPr>
              <w:spacing w:after="0" w:line="240" w:lineRule="auto"/>
            </w:pPr>
            <w:r/>
            <w:r>
              <w:rPr>
                <w:rFonts w:ascii="Arial" w:hAnsi="Arial"/>
                <w:b w:val="0"/>
                <w:sz w:val="15"/>
              </w:rPr>
              <w:t>Allow ML LOW to cancel deterministic HIGH.</w:t>
            </w:r>
          </w:p>
        </w:tc>
      </w:tr>
      <w:tr>
        <w:trPr>
          <w:cantSplit/>
        </w:trPr>
        <w:tc>
          <w:tcPr>
            <w:tcW w:type="dxa" w:w="2088"/>
            <w:vAlign w:val="center"/>
            <w:shd w:fill="EAF0F8"/>
          </w:tcPr>
          <w:p>
            <w:pPr>
              <w:spacing w:after="0" w:line="240" w:lineRule="auto"/>
            </w:pPr>
            <w:r/>
            <w:r>
              <w:rPr>
                <w:rFonts w:ascii="Arial" w:hAnsi="Arial"/>
                <w:b w:val="0"/>
                <w:sz w:val="15"/>
              </w:rPr>
              <w:t>Explanation engine</w:t>
            </w:r>
          </w:p>
        </w:tc>
        <w:tc>
          <w:tcPr>
            <w:tcW w:type="dxa" w:w="4608"/>
            <w:vAlign w:val="center"/>
            <w:shd w:fill="EAF0F8"/>
          </w:tcPr>
          <w:p>
            <w:pPr>
              <w:spacing w:after="0" w:line="240" w:lineRule="auto"/>
            </w:pPr>
            <w:r/>
            <w:r>
              <w:rPr>
                <w:rFonts w:ascii="Arial" w:hAnsi="Arial"/>
                <w:b w:val="0"/>
                <w:sz w:val="15"/>
              </w:rPr>
              <w:t>Builds the canonical ExplanationBundle from decision evidence.</w:t>
            </w:r>
          </w:p>
        </w:tc>
        <w:tc>
          <w:tcPr>
            <w:tcW w:type="dxa" w:w="3960"/>
            <w:vAlign w:val="center"/>
            <w:shd w:fill="EAF0F8"/>
          </w:tcPr>
          <w:p>
            <w:pPr>
              <w:spacing w:after="0" w:line="240" w:lineRule="auto"/>
            </w:pPr>
            <w:r/>
            <w:r>
              <w:rPr>
                <w:rFonts w:ascii="Arial" w:hAnsi="Arial"/>
                <w:b w:val="0"/>
                <w:sz w:val="15"/>
              </w:rPr>
              <w:t>Recalculate clinical rules independently from the decision engine.</w:t>
            </w:r>
          </w:p>
        </w:tc>
      </w:tr>
      <w:tr>
        <w:trPr>
          <w:cantSplit/>
        </w:trPr>
        <w:tc>
          <w:tcPr>
            <w:tcW w:type="dxa" w:w="2088"/>
            <w:vAlign w:val="center"/>
          </w:tcPr>
          <w:p>
            <w:pPr>
              <w:spacing w:after="0" w:line="240" w:lineRule="auto"/>
            </w:pPr>
            <w:r/>
            <w:r>
              <w:rPr>
                <w:rFonts w:ascii="Arial" w:hAnsi="Arial"/>
                <w:b w:val="0"/>
                <w:sz w:val="15"/>
              </w:rPr>
              <w:t>Audience projection service</w:t>
            </w:r>
          </w:p>
        </w:tc>
        <w:tc>
          <w:tcPr>
            <w:tcW w:type="dxa" w:w="4608"/>
            <w:vAlign w:val="center"/>
          </w:tcPr>
          <w:p>
            <w:pPr>
              <w:spacing w:after="0" w:line="240" w:lineRule="auto"/>
            </w:pPr>
            <w:r/>
            <w:r>
              <w:rPr>
                <w:rFonts w:ascii="Arial" w:hAnsi="Arial"/>
                <w:b w:val="0"/>
                <w:sz w:val="15"/>
              </w:rPr>
              <w:t>Selects approved fields and templates for each role and channel.</w:t>
            </w:r>
          </w:p>
        </w:tc>
        <w:tc>
          <w:tcPr>
            <w:tcW w:type="dxa" w:w="3960"/>
            <w:vAlign w:val="center"/>
          </w:tcPr>
          <w:p>
            <w:pPr>
              <w:spacing w:after="0" w:line="240" w:lineRule="auto"/>
            </w:pPr>
            <w:r/>
            <w:r>
              <w:rPr>
                <w:rFonts w:ascii="Arial" w:hAnsi="Arial"/>
                <w:b w:val="0"/>
                <w:sz w:val="15"/>
              </w:rPr>
              <w:t>Change the final status or omit safety-critical action.</w:t>
            </w:r>
          </w:p>
        </w:tc>
      </w:tr>
      <w:tr>
        <w:trPr>
          <w:cantSplit/>
        </w:trPr>
        <w:tc>
          <w:tcPr>
            <w:tcW w:type="dxa" w:w="2088"/>
            <w:vAlign w:val="center"/>
            <w:shd w:fill="EAF0F8"/>
          </w:tcPr>
          <w:p>
            <w:pPr>
              <w:spacing w:after="0" w:line="240" w:lineRule="auto"/>
            </w:pPr>
            <w:r/>
            <w:r>
              <w:rPr>
                <w:rFonts w:ascii="Arial" w:hAnsi="Arial"/>
                <w:b w:val="0"/>
                <w:sz w:val="15"/>
              </w:rPr>
              <w:t>Template catalog</w:t>
            </w:r>
          </w:p>
        </w:tc>
        <w:tc>
          <w:tcPr>
            <w:tcW w:type="dxa" w:w="4608"/>
            <w:vAlign w:val="center"/>
            <w:shd w:fill="EAF0F8"/>
          </w:tcPr>
          <w:p>
            <w:pPr>
              <w:spacing w:after="0" w:line="240" w:lineRule="auto"/>
            </w:pPr>
            <w:r/>
            <w:r>
              <w:rPr>
                <w:rFonts w:ascii="Arial" w:hAnsi="Arial"/>
                <w:b w:val="0"/>
                <w:sz w:val="15"/>
              </w:rPr>
              <w:t>Stores versioned approved wording and localization keys.</w:t>
            </w:r>
          </w:p>
        </w:tc>
        <w:tc>
          <w:tcPr>
            <w:tcW w:type="dxa" w:w="3960"/>
            <w:vAlign w:val="center"/>
            <w:shd w:fill="EAF0F8"/>
          </w:tcPr>
          <w:p>
            <w:pPr>
              <w:spacing w:after="0" w:line="240" w:lineRule="auto"/>
            </w:pPr>
            <w:r/>
            <w:r>
              <w:rPr>
                <w:rFonts w:ascii="Arial" w:hAnsi="Arial"/>
                <w:b w:val="0"/>
                <w:sz w:val="15"/>
              </w:rPr>
              <w:t>Embed clinical logic in presentation text.</w:t>
            </w:r>
          </w:p>
        </w:tc>
      </w:tr>
      <w:tr>
        <w:trPr>
          <w:cantSplit/>
        </w:trPr>
        <w:tc>
          <w:tcPr>
            <w:tcW w:type="dxa" w:w="2088"/>
            <w:vAlign w:val="center"/>
          </w:tcPr>
          <w:p>
            <w:pPr>
              <w:spacing w:after="0" w:line="240" w:lineRule="auto"/>
            </w:pPr>
            <w:r/>
            <w:r>
              <w:rPr>
                <w:rFonts w:ascii="Arial" w:hAnsi="Arial"/>
                <w:b w:val="0"/>
                <w:sz w:val="15"/>
              </w:rPr>
              <w:t>Audit and provenance service</w:t>
            </w:r>
          </w:p>
        </w:tc>
        <w:tc>
          <w:tcPr>
            <w:tcW w:type="dxa" w:w="4608"/>
            <w:vAlign w:val="center"/>
          </w:tcPr>
          <w:p>
            <w:pPr>
              <w:spacing w:after="0" w:line="240" w:lineRule="auto"/>
            </w:pPr>
            <w:r/>
            <w:r>
              <w:rPr>
                <w:rFonts w:ascii="Arial" w:hAnsi="Arial"/>
                <w:b w:val="0"/>
                <w:sz w:val="15"/>
              </w:rPr>
              <w:t>Stores snapshots, reasons, versions, actors, timestamps, and correlation identifiers.</w:t>
            </w:r>
          </w:p>
        </w:tc>
        <w:tc>
          <w:tcPr>
            <w:tcW w:type="dxa" w:w="3960"/>
            <w:vAlign w:val="center"/>
          </w:tcPr>
          <w:p>
            <w:pPr>
              <w:spacing w:after="0" w:line="240" w:lineRule="auto"/>
            </w:pPr>
            <w:r/>
            <w:r>
              <w:rPr>
                <w:rFonts w:ascii="Arial" w:hAnsi="Arial"/>
                <w:b w:val="0"/>
                <w:sz w:val="15"/>
              </w:rPr>
              <w:t>Permit destructive editing of historical evidence.</w:t>
            </w:r>
          </w:p>
        </w:tc>
      </w:tr>
      <w:tr>
        <w:trPr>
          <w:cantSplit/>
        </w:trPr>
        <w:tc>
          <w:tcPr>
            <w:tcW w:type="dxa" w:w="2088"/>
            <w:vAlign w:val="center"/>
            <w:shd w:fill="EAF0F8"/>
          </w:tcPr>
          <w:p>
            <w:pPr>
              <w:spacing w:after="0" w:line="240" w:lineRule="auto"/>
            </w:pPr>
            <w:r/>
            <w:r>
              <w:rPr>
                <w:rFonts w:ascii="Arial" w:hAnsi="Arial"/>
                <w:b w:val="0"/>
                <w:sz w:val="15"/>
              </w:rPr>
              <w:t>Monitoring service</w:t>
            </w:r>
          </w:p>
        </w:tc>
        <w:tc>
          <w:tcPr>
            <w:tcW w:type="dxa" w:w="4608"/>
            <w:vAlign w:val="center"/>
            <w:shd w:fill="EAF0F8"/>
          </w:tcPr>
          <w:p>
            <w:pPr>
              <w:spacing w:after="0" w:line="240" w:lineRule="auto"/>
            </w:pPr>
            <w:r/>
            <w:r>
              <w:rPr>
                <w:rFonts w:ascii="Arial" w:hAnsi="Arial"/>
                <w:b w:val="0"/>
                <w:sz w:val="15"/>
              </w:rPr>
              <w:t>Measures generation failures, mismatches, drift indicators, and incidents.</w:t>
            </w:r>
          </w:p>
        </w:tc>
        <w:tc>
          <w:tcPr>
            <w:tcW w:type="dxa" w:w="3960"/>
            <w:vAlign w:val="center"/>
            <w:shd w:fill="EAF0F8"/>
          </w:tcPr>
          <w:p>
            <w:pPr>
              <w:spacing w:after="0" w:line="240" w:lineRule="auto"/>
            </w:pPr>
            <w:r/>
            <w:r>
              <w:rPr>
                <w:rFonts w:ascii="Arial" w:hAnsi="Arial"/>
                <w:b w:val="0"/>
                <w:sz w:val="15"/>
              </w:rPr>
              <w:t>Automatically redefine clinical thresholds.</w:t>
            </w:r>
          </w:p>
        </w:tc>
      </w:tr>
      <w:tr>
        <w:trPr>
          <w:cantSplit/>
        </w:trPr>
        <w:tc>
          <w:tcPr>
            <w:tcW w:type="dxa" w:w="2088"/>
            <w:vAlign w:val="center"/>
          </w:tcPr>
          <w:p>
            <w:pPr>
              <w:spacing w:after="0" w:line="240" w:lineRule="auto"/>
            </w:pPr>
            <w:r/>
            <w:r>
              <w:rPr>
                <w:rFonts w:ascii="Arial" w:hAnsi="Arial"/>
                <w:b w:val="0"/>
                <w:sz w:val="15"/>
              </w:rPr>
              <w:t>Referral and notification modules</w:t>
            </w:r>
          </w:p>
        </w:tc>
        <w:tc>
          <w:tcPr>
            <w:tcW w:type="dxa" w:w="4608"/>
            <w:vAlign w:val="center"/>
          </w:tcPr>
          <w:p>
            <w:pPr>
              <w:spacing w:after="0" w:line="240" w:lineRule="auto"/>
            </w:pPr>
            <w:r/>
            <w:r>
              <w:rPr>
                <w:rFonts w:ascii="Arial" w:hAnsi="Arial"/>
                <w:b w:val="0"/>
                <w:sz w:val="15"/>
              </w:rPr>
              <w:t>Consume the approved result and relevant explanation projection.</w:t>
            </w:r>
          </w:p>
        </w:tc>
        <w:tc>
          <w:tcPr>
            <w:tcW w:type="dxa" w:w="3960"/>
            <w:vAlign w:val="center"/>
          </w:tcPr>
          <w:p>
            <w:pPr>
              <w:spacing w:after="0" w:line="240" w:lineRule="auto"/>
            </w:pPr>
            <w:r/>
            <w:r>
              <w:rPr>
                <w:rFonts w:ascii="Arial" w:hAnsi="Arial"/>
                <w:b w:val="0"/>
                <w:sz w:val="15"/>
              </w:rPr>
              <w:t>Create an unsupported diagnosis or conceal reason evidence.</w:t>
            </w:r>
          </w:p>
        </w:tc>
      </w:tr>
    </w:tbl>
    <w:p>
      <w:pPr/>
    </w:p>
    <w:p>
      <w:pPr>
        <w:pStyle w:val="Heading2"/>
      </w:pPr>
      <w:r>
        <w:t>4.2 Integration boundary</w:t>
      </w:r>
    </w:p>
    <w:p>
      <w:pPr>
        <w:pStyle w:val="BodyText"/>
      </w:pPr>
      <w:r>
        <w:t>The Python process is an external model-execution boundary, not the owner of the final clinical decision. Laravel remains responsible for validating the model response, applying deterministic rules, determining incompleteness, generating explanations, and maintaining the audit trail. The Python response contract should remain small and machine-readable, for example a status, model version, contract version, and optional execution metadata.</w:t>
      </w:r>
    </w:p>
    <w:p>
      <w:pPr>
        <w:pStyle w:val="CodeBlock"/>
        <w:shd w:fill="F2F2F2"/>
      </w:pPr>
      <w:r>
        <w:t>{</w:t>
        <w:br/>
        <w:t xml:space="preserve">  "status": "LOW" | "HIGH",</w:t>
        <w:br/>
        <w:t xml:space="preserve">  "model_version": "rf-YYYY.MM.release",</w:t>
        <w:br/>
        <w:t xml:space="preserve">  "feature_contract_version": "features-vN",</w:t>
        <w:br/>
        <w:t xml:space="preserve">  "execution_id": "uuid",</w:t>
        <w:br/>
        <w:t xml:space="preserve">  "warnings": []</w:t>
        <w:br/>
        <w:t>}</w:t>
      </w:r>
    </w:p>
    <w:p>
      <w:pPr>
        <w:pStyle w:val="Heading1"/>
      </w:pPr>
      <w:r>
        <w:t>5. Canonical Data Specification</w:t>
      </w:r>
    </w:p>
    <w:p>
      <w:pPr>
        <w:pStyle w:val="BodyText"/>
      </w:pPr>
      <w:r>
        <w:t>The following objects form the authoritative explanation data model. Exact database tables may vary, but the semantic fields must remain available either as columns, JSON, related records, or immutable serialized evidence.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2F5597"/>
          </w:tcPr>
          <w:p>
            <w:pPr>
              <w:spacing w:after="0" w:line="240" w:lineRule="auto"/>
            </w:pPr>
            <w:r/>
            <w:r>
              <w:rPr>
                <w:rFonts w:ascii="Arial" w:hAnsi="Arial"/>
                <w:b/>
                <w:color w:val="FFFFFF"/>
                <w:sz w:val="14"/>
              </w:rPr>
              <w:t>Object</w:t>
            </w:r>
          </w:p>
        </w:tc>
        <w:tc>
          <w:tcPr>
            <w:tcW w:type="dxa" w:w="3096"/>
            <w:vAlign w:val="center"/>
            <w:shd w:fill="2F5597"/>
          </w:tcPr>
          <w:p>
            <w:pPr>
              <w:spacing w:after="0" w:line="240" w:lineRule="auto"/>
            </w:pPr>
            <w:r/>
            <w:r>
              <w:rPr>
                <w:rFonts w:ascii="Arial" w:hAnsi="Arial"/>
                <w:b/>
                <w:color w:val="FFFFFF"/>
                <w:sz w:val="14"/>
              </w:rPr>
              <w:t>Purpose</w:t>
            </w:r>
          </w:p>
        </w:tc>
        <w:tc>
          <w:tcPr>
            <w:tcW w:type="dxa" w:w="5832"/>
            <w:vAlign w:val="center"/>
            <w:shd w:fill="2F5597"/>
          </w:tcPr>
          <w:p>
            <w:pPr>
              <w:spacing w:after="0" w:line="240" w:lineRule="auto"/>
            </w:pPr>
            <w:r/>
            <w:r>
              <w:rPr>
                <w:rFonts w:ascii="Arial" w:hAnsi="Arial"/>
                <w:b/>
                <w:color w:val="FFFFFF"/>
                <w:sz w:val="14"/>
              </w:rPr>
              <w:t>Minimum content</w:t>
            </w:r>
          </w:p>
        </w:tc>
      </w:tr>
      <w:tr>
        <w:trPr>
          <w:cantSplit/>
        </w:trPr>
        <w:tc>
          <w:tcPr>
            <w:tcW w:type="dxa" w:w="1944"/>
            <w:vAlign w:val="center"/>
          </w:tcPr>
          <w:p>
            <w:pPr>
              <w:spacing w:after="0" w:line="240" w:lineRule="auto"/>
            </w:pPr>
            <w:r/>
            <w:r>
              <w:rPr>
                <w:rFonts w:ascii="Arial" w:hAnsi="Arial"/>
                <w:b w:val="0"/>
                <w:sz w:val="14"/>
              </w:rPr>
              <w:t>AssessmentSnapshot</w:t>
            </w:r>
          </w:p>
        </w:tc>
        <w:tc>
          <w:tcPr>
            <w:tcW w:type="dxa" w:w="3096"/>
            <w:vAlign w:val="center"/>
          </w:tcPr>
          <w:p>
            <w:pPr>
              <w:spacing w:after="0" w:line="240" w:lineRule="auto"/>
            </w:pPr>
            <w:r/>
            <w:r>
              <w:rPr>
                <w:rFonts w:ascii="Arial" w:hAnsi="Arial"/>
                <w:b w:val="0"/>
                <w:sz w:val="14"/>
              </w:rPr>
              <w:t>Immutable copy of all values used for one assessment.</w:t>
            </w:r>
          </w:p>
        </w:tc>
        <w:tc>
          <w:tcPr>
            <w:tcW w:type="dxa" w:w="5832"/>
            <w:vAlign w:val="center"/>
          </w:tcPr>
          <w:p>
            <w:pPr>
              <w:spacing w:after="0" w:line="240" w:lineRule="auto"/>
            </w:pPr>
            <w:r/>
            <w:r>
              <w:rPr>
                <w:rFonts w:ascii="Arial" w:hAnsi="Arial"/>
                <w:b w:val="0"/>
                <w:sz w:val="14"/>
              </w:rPr>
              <w:t>assessment_id, patient_id, visit_id, collected_at, age, first_pregnancy indicator, blood-pressure values, medical-history flags, miscarriage count, ultrasound categories, required-record state, source record IDs, source timestamps, snapshot schema version.</w:t>
            </w:r>
          </w:p>
        </w:tc>
      </w:tr>
      <w:tr>
        <w:trPr>
          <w:cantSplit/>
        </w:trPr>
        <w:tc>
          <w:tcPr>
            <w:tcW w:type="dxa" w:w="1944"/>
            <w:vAlign w:val="center"/>
            <w:shd w:fill="EAF0F8"/>
          </w:tcPr>
          <w:p>
            <w:pPr>
              <w:spacing w:after="0" w:line="240" w:lineRule="auto"/>
            </w:pPr>
            <w:r/>
            <w:r>
              <w:rPr>
                <w:rFonts w:ascii="Arial" w:hAnsi="Arial"/>
                <w:b w:val="0"/>
                <w:sz w:val="14"/>
              </w:rPr>
              <w:t>DecisionEvidence</w:t>
            </w:r>
          </w:p>
        </w:tc>
        <w:tc>
          <w:tcPr>
            <w:tcW w:type="dxa" w:w="3096"/>
            <w:vAlign w:val="center"/>
            <w:shd w:fill="EAF0F8"/>
          </w:tcPr>
          <w:p>
            <w:pPr>
              <w:spacing w:after="0" w:line="240" w:lineRule="auto"/>
            </w:pPr>
            <w:r/>
            <w:r>
              <w:rPr>
                <w:rFonts w:ascii="Arial" w:hAnsi="Arial"/>
                <w:b w:val="0"/>
                <w:sz w:val="14"/>
              </w:rPr>
              <w:t>Container for all rule, model, completeness, and system evidence.</w:t>
            </w:r>
          </w:p>
        </w:tc>
        <w:tc>
          <w:tcPr>
            <w:tcW w:type="dxa" w:w="5832"/>
            <w:vAlign w:val="center"/>
            <w:shd w:fill="EAF0F8"/>
          </w:tcPr>
          <w:p>
            <w:pPr>
              <w:spacing w:after="0" w:line="240" w:lineRule="auto"/>
            </w:pPr>
            <w:r/>
            <w:r>
              <w:rPr>
                <w:rFonts w:ascii="Arial" w:hAnsi="Arial"/>
                <w:b w:val="0"/>
                <w:sz w:val="14"/>
              </w:rPr>
              <w:t>assessment_id, rule_reasons[], ml_contribution, missing_items[], validation_errors[], execution warnings, correlation_id.</w:t>
            </w:r>
          </w:p>
        </w:tc>
      </w:tr>
      <w:tr>
        <w:trPr>
          <w:cantSplit/>
        </w:trPr>
        <w:tc>
          <w:tcPr>
            <w:tcW w:type="dxa" w:w="1944"/>
            <w:vAlign w:val="center"/>
          </w:tcPr>
          <w:p>
            <w:pPr>
              <w:spacing w:after="0" w:line="240" w:lineRule="auto"/>
            </w:pPr>
            <w:r/>
            <w:r>
              <w:rPr>
                <w:rFonts w:ascii="Arial" w:hAnsi="Arial"/>
                <w:b w:val="0"/>
                <w:sz w:val="14"/>
              </w:rPr>
              <w:t>RuleReason</w:t>
            </w:r>
          </w:p>
        </w:tc>
        <w:tc>
          <w:tcPr>
            <w:tcW w:type="dxa" w:w="3096"/>
            <w:vAlign w:val="center"/>
          </w:tcPr>
          <w:p>
            <w:pPr>
              <w:spacing w:after="0" w:line="240" w:lineRule="auto"/>
            </w:pPr>
            <w:r/>
            <w:r>
              <w:rPr>
                <w:rFonts w:ascii="Arial" w:hAnsi="Arial"/>
                <w:b w:val="0"/>
                <w:sz w:val="14"/>
              </w:rPr>
              <w:t>One deterministic reason generated by the exact rule evaluation that influenced or contextualized the result.</w:t>
            </w:r>
          </w:p>
        </w:tc>
        <w:tc>
          <w:tcPr>
            <w:tcW w:type="dxa" w:w="5832"/>
            <w:vAlign w:val="center"/>
          </w:tcPr>
          <w:p>
            <w:pPr>
              <w:spacing w:after="0" w:line="240" w:lineRule="auto"/>
            </w:pPr>
            <w:r/>
            <w:r>
              <w:rPr>
                <w:rFonts w:ascii="Arial" w:hAnsi="Arial"/>
                <w:b w:val="0"/>
                <w:sz w:val="14"/>
              </w:rPr>
              <w:t>reason_code, rule_version, observed_field, observed_value, comparison/operator, threshold or category, severity/priority, source_record_id, source_record_date, active flag.</w:t>
            </w:r>
          </w:p>
        </w:tc>
      </w:tr>
      <w:tr>
        <w:trPr>
          <w:cantSplit/>
        </w:trPr>
        <w:tc>
          <w:tcPr>
            <w:tcW w:type="dxa" w:w="1944"/>
            <w:vAlign w:val="center"/>
            <w:shd w:fill="EAF0F8"/>
          </w:tcPr>
          <w:p>
            <w:pPr>
              <w:spacing w:after="0" w:line="240" w:lineRule="auto"/>
            </w:pPr>
            <w:r/>
            <w:r>
              <w:rPr>
                <w:rFonts w:ascii="Arial" w:hAnsi="Arial"/>
                <w:b w:val="0"/>
                <w:sz w:val="14"/>
              </w:rPr>
              <w:t>MLContribution</w:t>
            </w:r>
          </w:p>
        </w:tc>
        <w:tc>
          <w:tcPr>
            <w:tcW w:type="dxa" w:w="3096"/>
            <w:vAlign w:val="center"/>
            <w:shd w:fill="EAF0F8"/>
          </w:tcPr>
          <w:p>
            <w:pPr>
              <w:spacing w:after="0" w:line="240" w:lineRule="auto"/>
            </w:pPr>
            <w:r/>
            <w:r>
              <w:rPr>
                <w:rFonts w:ascii="Arial" w:hAnsi="Arial"/>
                <w:b w:val="0"/>
                <w:sz w:val="14"/>
              </w:rPr>
              <w:t>Validated representation of model participation.</w:t>
            </w:r>
          </w:p>
        </w:tc>
        <w:tc>
          <w:tcPr>
            <w:tcW w:type="dxa" w:w="5832"/>
            <w:vAlign w:val="center"/>
            <w:shd w:fill="EAF0F8"/>
          </w:tcPr>
          <w:p>
            <w:pPr>
              <w:spacing w:after="0" w:line="240" w:lineRule="auto"/>
            </w:pPr>
            <w:r/>
            <w:r>
              <w:rPr>
                <w:rFonts w:ascii="Arial" w:hAnsi="Arial"/>
                <w:b w:val="0"/>
                <w:sz w:val="14"/>
              </w:rPr>
              <w:t>status LOW/HIGH/INVALID, model_version, model_hash, feature_contract_version, preprocessing_version, execution_id, executed_at, validation outcome, failure reason, runtime metadata.</w:t>
            </w:r>
          </w:p>
        </w:tc>
      </w:tr>
      <w:tr>
        <w:trPr>
          <w:cantSplit/>
        </w:trPr>
        <w:tc>
          <w:tcPr>
            <w:tcW w:type="dxa" w:w="1944"/>
            <w:vAlign w:val="center"/>
          </w:tcPr>
          <w:p>
            <w:pPr>
              <w:spacing w:after="0" w:line="240" w:lineRule="auto"/>
            </w:pPr>
            <w:r/>
            <w:r>
              <w:rPr>
                <w:rFonts w:ascii="Arial" w:hAnsi="Arial"/>
                <w:b w:val="0"/>
                <w:sz w:val="14"/>
              </w:rPr>
              <w:t>DecisionRecord</w:t>
            </w:r>
          </w:p>
        </w:tc>
        <w:tc>
          <w:tcPr>
            <w:tcW w:type="dxa" w:w="3096"/>
            <w:vAlign w:val="center"/>
          </w:tcPr>
          <w:p>
            <w:pPr>
              <w:spacing w:after="0" w:line="240" w:lineRule="auto"/>
            </w:pPr>
            <w:r/>
            <w:r>
              <w:rPr>
                <w:rFonts w:ascii="Arial" w:hAnsi="Arial"/>
                <w:b w:val="0"/>
                <w:sz w:val="14"/>
              </w:rPr>
              <w:t>Authoritative final decision.</w:t>
            </w:r>
          </w:p>
        </w:tc>
        <w:tc>
          <w:tcPr>
            <w:tcW w:type="dxa" w:w="5832"/>
            <w:vAlign w:val="center"/>
          </w:tcPr>
          <w:p>
            <w:pPr>
              <w:spacing w:after="0" w:line="240" w:lineRule="auto"/>
            </w:pPr>
            <w:r/>
            <w:r>
              <w:rPr>
                <w:rFonts w:ascii="Arial" w:hAnsi="Arial"/>
                <w:b w:val="0"/>
                <w:sz w:val="14"/>
              </w:rPr>
              <w:t>final_status, decision_policy_version, decisive_basis, deterministic_override flag, completeness_state, recommendation_code, created_at.</w:t>
            </w:r>
          </w:p>
        </w:tc>
      </w:tr>
      <w:tr>
        <w:trPr>
          <w:cantSplit/>
        </w:trPr>
        <w:tc>
          <w:tcPr>
            <w:tcW w:type="dxa" w:w="1944"/>
            <w:vAlign w:val="center"/>
            <w:shd w:fill="EAF0F8"/>
          </w:tcPr>
          <w:p>
            <w:pPr>
              <w:spacing w:after="0" w:line="240" w:lineRule="auto"/>
            </w:pPr>
            <w:r/>
            <w:r>
              <w:rPr>
                <w:rFonts w:ascii="Arial" w:hAnsi="Arial"/>
                <w:b w:val="0"/>
                <w:sz w:val="14"/>
              </w:rPr>
              <w:t>ExplanationBundle</w:t>
            </w:r>
          </w:p>
        </w:tc>
        <w:tc>
          <w:tcPr>
            <w:tcW w:type="dxa" w:w="3096"/>
            <w:vAlign w:val="center"/>
            <w:shd w:fill="EAF0F8"/>
          </w:tcPr>
          <w:p>
            <w:pPr>
              <w:spacing w:after="0" w:line="240" w:lineRule="auto"/>
            </w:pPr>
            <w:r/>
            <w:r>
              <w:rPr>
                <w:rFonts w:ascii="Arial" w:hAnsi="Arial"/>
                <w:b w:val="0"/>
                <w:sz w:val="14"/>
              </w:rPr>
              <w:t>Canonical, audience-neutral explanation assembled from the authoritative decision evidence.</w:t>
            </w:r>
          </w:p>
        </w:tc>
        <w:tc>
          <w:tcPr>
            <w:tcW w:type="dxa" w:w="5832"/>
            <w:vAlign w:val="center"/>
            <w:shd w:fill="EAF0F8"/>
          </w:tcPr>
          <w:p>
            <w:pPr>
              <w:spacing w:after="0" w:line="240" w:lineRule="auto"/>
            </w:pPr>
            <w:r/>
            <w:r>
              <w:rPr>
                <w:rFonts w:ascii="Arial" w:hAnsi="Arial"/>
                <w:b w:val="0"/>
                <w:sz w:val="14"/>
              </w:rPr>
              <w:t>headline, summary, final_status, rule_reasons, ml_contribution, missing_items, limitation statements, recommended_action, urgency, provenance, template catalog version.</w:t>
            </w:r>
          </w:p>
        </w:tc>
      </w:tr>
      <w:tr>
        <w:trPr>
          <w:cantSplit/>
        </w:trPr>
        <w:tc>
          <w:tcPr>
            <w:tcW w:type="dxa" w:w="1944"/>
            <w:vAlign w:val="center"/>
          </w:tcPr>
          <w:p>
            <w:pPr>
              <w:spacing w:after="0" w:line="240" w:lineRule="auto"/>
            </w:pPr>
            <w:r/>
            <w:r>
              <w:rPr>
                <w:rFonts w:ascii="Arial" w:hAnsi="Arial"/>
                <w:b w:val="0"/>
                <w:sz w:val="14"/>
              </w:rPr>
              <w:t>AudienceProjection</w:t>
            </w:r>
          </w:p>
        </w:tc>
        <w:tc>
          <w:tcPr>
            <w:tcW w:type="dxa" w:w="3096"/>
            <w:vAlign w:val="center"/>
          </w:tcPr>
          <w:p>
            <w:pPr>
              <w:spacing w:after="0" w:line="240" w:lineRule="auto"/>
            </w:pPr>
            <w:r/>
            <w:r>
              <w:rPr>
                <w:rFonts w:ascii="Arial" w:hAnsi="Arial"/>
                <w:b w:val="0"/>
                <w:sz w:val="14"/>
              </w:rPr>
              <w:t>Controlled presentation generated from a bundle.</w:t>
            </w:r>
          </w:p>
        </w:tc>
        <w:tc>
          <w:tcPr>
            <w:tcW w:type="dxa" w:w="5832"/>
            <w:vAlign w:val="center"/>
          </w:tcPr>
          <w:p>
            <w:pPr>
              <w:spacing w:after="0" w:line="240" w:lineRule="auto"/>
            </w:pPr>
            <w:r/>
            <w:r>
              <w:rPr>
                <w:rFonts w:ascii="Arial" w:hAnsi="Arial"/>
                <w:b w:val="0"/>
                <w:sz w:val="14"/>
              </w:rPr>
              <w:t>audience_type, channel, locale, selected fields, rendered wording, redaction profile, projection version, generated_at.</w:t>
            </w:r>
          </w:p>
        </w:tc>
      </w:tr>
      <w:tr>
        <w:trPr>
          <w:cantSplit/>
        </w:trPr>
        <w:tc>
          <w:tcPr>
            <w:tcW w:type="dxa" w:w="1944"/>
            <w:vAlign w:val="center"/>
            <w:shd w:fill="EAF0F8"/>
          </w:tcPr>
          <w:p>
            <w:pPr>
              <w:spacing w:after="0" w:line="240" w:lineRule="auto"/>
            </w:pPr>
            <w:r/>
            <w:r>
              <w:rPr>
                <w:rFonts w:ascii="Arial" w:hAnsi="Arial"/>
                <w:b w:val="0"/>
                <w:sz w:val="14"/>
              </w:rPr>
              <w:t>VersionManifest</w:t>
            </w:r>
          </w:p>
        </w:tc>
        <w:tc>
          <w:tcPr>
            <w:tcW w:type="dxa" w:w="3096"/>
            <w:vAlign w:val="center"/>
            <w:shd w:fill="EAF0F8"/>
          </w:tcPr>
          <w:p>
            <w:pPr>
              <w:spacing w:after="0" w:line="240" w:lineRule="auto"/>
            </w:pPr>
            <w:r/>
            <w:r>
              <w:rPr>
                <w:rFonts w:ascii="Arial" w:hAnsi="Arial"/>
                <w:b w:val="0"/>
                <w:sz w:val="14"/>
              </w:rPr>
              <w:t>Compatibility record for all governed assets active for an assessment.</w:t>
            </w:r>
          </w:p>
        </w:tc>
        <w:tc>
          <w:tcPr>
            <w:tcW w:type="dxa" w:w="5832"/>
            <w:vAlign w:val="center"/>
            <w:shd w:fill="EAF0F8"/>
          </w:tcPr>
          <w:p>
            <w:pPr>
              <w:spacing w:after="0" w:line="240" w:lineRule="auto"/>
            </w:pPr>
            <w:r/>
            <w:r>
              <w:rPr>
                <w:rFonts w:ascii="Arial" w:hAnsi="Arial"/>
                <w:b w:val="0"/>
                <w:sz w:val="14"/>
              </w:rPr>
              <w:t>rule_catalog_version, decision_policy_version, model_version/hash, feature_contract_version, preprocessing_version, reason_catalog_version, template_catalog_version, schema version.</w:t>
            </w:r>
          </w:p>
        </w:tc>
      </w:tr>
      <w:tr>
        <w:trPr>
          <w:cantSplit/>
        </w:trPr>
        <w:tc>
          <w:tcPr>
            <w:tcW w:type="dxa" w:w="1944"/>
            <w:vAlign w:val="center"/>
          </w:tcPr>
          <w:p>
            <w:pPr>
              <w:spacing w:after="0" w:line="240" w:lineRule="auto"/>
            </w:pPr>
            <w:r/>
            <w:r>
              <w:rPr>
                <w:rFonts w:ascii="Arial" w:hAnsi="Arial"/>
                <w:b w:val="0"/>
                <w:sz w:val="14"/>
              </w:rPr>
              <w:t>AuditRecord</w:t>
            </w:r>
          </w:p>
        </w:tc>
        <w:tc>
          <w:tcPr>
            <w:tcW w:type="dxa" w:w="3096"/>
            <w:vAlign w:val="center"/>
          </w:tcPr>
          <w:p>
            <w:pPr>
              <w:spacing w:after="0" w:line="240" w:lineRule="auto"/>
            </w:pPr>
            <w:r/>
            <w:r>
              <w:rPr>
                <w:rFonts w:ascii="Arial" w:hAnsi="Arial"/>
                <w:b w:val="0"/>
                <w:sz w:val="14"/>
              </w:rPr>
              <w:t>Immutable event needed to reconstruct who performed or viewed a material action.</w:t>
            </w:r>
          </w:p>
        </w:tc>
        <w:tc>
          <w:tcPr>
            <w:tcW w:type="dxa" w:w="5832"/>
            <w:vAlign w:val="center"/>
          </w:tcPr>
          <w:p>
            <w:pPr>
              <w:spacing w:after="0" w:line="240" w:lineRule="auto"/>
            </w:pPr>
            <w:r/>
            <w:r>
              <w:rPr>
                <w:rFonts w:ascii="Arial" w:hAnsi="Arial"/>
                <w:b w:val="0"/>
                <w:sz w:val="14"/>
              </w:rPr>
              <w:t>event_type, actor_id/role, assessment_id, correlation_id, timestamp, previous/new status where relevant, version manifest, outcome, error code.</w:t>
            </w:r>
          </w:p>
        </w:tc>
      </w:tr>
      <w:tr>
        <w:trPr>
          <w:cantSplit/>
        </w:trPr>
        <w:tc>
          <w:tcPr>
            <w:tcW w:type="dxa" w:w="1944"/>
            <w:vAlign w:val="center"/>
            <w:shd w:fill="EAF0F8"/>
          </w:tcPr>
          <w:p>
            <w:pPr>
              <w:spacing w:after="0" w:line="240" w:lineRule="auto"/>
            </w:pPr>
            <w:r/>
            <w:r>
              <w:rPr>
                <w:rFonts w:ascii="Arial" w:hAnsi="Arial"/>
                <w:b w:val="0"/>
                <w:sz w:val="14"/>
              </w:rPr>
              <w:t>QualityEvaluationRecord</w:t>
            </w:r>
          </w:p>
        </w:tc>
        <w:tc>
          <w:tcPr>
            <w:tcW w:type="dxa" w:w="3096"/>
            <w:vAlign w:val="center"/>
            <w:shd w:fill="EAF0F8"/>
          </w:tcPr>
          <w:p>
            <w:pPr>
              <w:spacing w:after="0" w:line="240" w:lineRule="auto"/>
            </w:pPr>
            <w:r/>
            <w:r>
              <w:rPr>
                <w:rFonts w:ascii="Arial" w:hAnsi="Arial"/>
                <w:b w:val="0"/>
                <w:sz w:val="14"/>
              </w:rPr>
              <w:t>Evidence that an explanation or release passed defined tests.</w:t>
            </w:r>
          </w:p>
        </w:tc>
        <w:tc>
          <w:tcPr>
            <w:tcW w:type="dxa" w:w="5832"/>
            <w:vAlign w:val="center"/>
            <w:shd w:fill="EAF0F8"/>
          </w:tcPr>
          <w:p>
            <w:pPr>
              <w:spacing w:after="0" w:line="240" w:lineRule="auto"/>
            </w:pPr>
            <w:r/>
            <w:r>
              <w:rPr>
                <w:rFonts w:ascii="Arial" w:hAnsi="Arial"/>
                <w:b w:val="0"/>
                <w:sz w:val="14"/>
              </w:rPr>
              <w:t>test suite version, scenario IDs, metrics, reviewer role, defects, disposition, approval date.</w:t>
            </w:r>
          </w:p>
        </w:tc>
      </w:tr>
    </w:tbl>
    <w:p>
      <w:pPr/>
    </w:p>
    <w:p>
      <w:pPr>
        <w:pStyle w:val="Heading2"/>
      </w:pPr>
      <w:r>
        <w:t>5.1 Object invariants</w:t>
      </w:r>
    </w:p>
    <w:p>
      <w:pPr>
        <w:pStyle w:val="ListBullet"/>
      </w:pPr>
      <w:r>
        <w:t>Every DecisionRecord references exactly one AssessmentSnapshot and one VersionManifest.</w:t>
      </w:r>
    </w:p>
    <w:p>
      <w:pPr>
        <w:pStyle w:val="ListBullet"/>
      </w:pPr>
      <w:r>
        <w:t>Every displayed clinical reason must resolve to a RuleReason or validated MLContribution in DecisionEvidence.</w:t>
      </w:r>
    </w:p>
    <w:p>
      <w:pPr>
        <w:pStyle w:val="ListBullet"/>
      </w:pPr>
      <w:r>
        <w:t>No AudienceProjection may contain a reason absent from the canonical ExplanationBundle.</w:t>
      </w:r>
    </w:p>
    <w:p>
      <w:pPr>
        <w:pStyle w:val="ListBullet"/>
      </w:pPr>
      <w:r>
        <w:t>Historical snapshots, decision records, and version manifests are append-only or otherwise protected from silent mutation.</w:t>
      </w:r>
    </w:p>
    <w:p>
      <w:pPr>
        <w:pStyle w:val="ListBullet"/>
      </w:pPr>
      <w:r>
        <w:t>An INVALID MLContribution must include a machine-readable failure reason and cannot support LOW.</w:t>
      </w:r>
    </w:p>
    <w:p>
      <w:pPr>
        <w:pStyle w:val="ListBullet"/>
      </w:pPr>
      <w:r>
        <w:t>ASSESSMENT INCOMPLETE must list the missing or invalid conditions required to complete the assessment.</w:t>
      </w:r>
    </w:p>
    <w:p>
      <w:pPr>
        <w:pStyle w:val="Heading1"/>
      </w:pPr>
      <w:r>
        <w:t>6. Authoritative Decision and Explanation Logic</w:t>
      </w:r>
    </w:p>
    <w:p>
      <w:pPr>
        <w:pStyle w:val="Heading2"/>
      </w:pPr>
      <w:r>
        <w:t>6.1 Decision precedence</w:t>
      </w:r>
    </w:p>
    <w:p>
      <w:pPr>
        <w:pStyle w:val="ListNumber"/>
      </w:pPr>
      <w:r>
        <w:t>Validate the required records: Medical History, Ultrasound, and Birth Plan.</w:t>
      </w:r>
    </w:p>
    <w:p>
      <w:pPr>
        <w:pStyle w:val="ListNumber"/>
      </w:pPr>
      <w:r>
        <w:t>Build the assessment snapshot from available authorized records.</w:t>
      </w:r>
    </w:p>
    <w:p>
      <w:pPr>
        <w:pStyle w:val="ListNumber"/>
      </w:pPr>
      <w:r>
        <w:t>Evaluate every configured deterministic rule against that same snapshot.</w:t>
      </w:r>
    </w:p>
    <w:p>
      <w:pPr>
        <w:pStyle w:val="ListNumber"/>
      </w:pPr>
      <w:r>
        <w:t>Execute and validate the Random Forest output against the approved contract.</w:t>
      </w:r>
    </w:p>
    <w:p>
      <w:pPr>
        <w:pStyle w:val="ListNumber"/>
      </w:pPr>
      <w:r>
        <w:t>If required records are missing or the ML output is invalid, set ASSESSMENT INCOMPLETE unless the implementation’s approved safety policy explicitly preserves deterministic HIGH while also disclosing incompleteness. The current project specification uses INCOMPLETE for missing required records or invalid ML.</w:t>
      </w:r>
    </w:p>
    <w:p>
      <w:pPr>
        <w:pStyle w:val="ListNumber"/>
      </w:pPr>
      <w:r>
        <w:t>Otherwise, if one or more deterministic HIGH rules trigger, set HIGH regardless of ML LOW.</w:t>
      </w:r>
    </w:p>
    <w:p>
      <w:pPr>
        <w:pStyle w:val="ListNumber"/>
      </w:pPr>
      <w:r>
        <w:t>Otherwise, if the validated ML output is HIGH, set HIGH.</w:t>
      </w:r>
    </w:p>
    <w:p>
      <w:pPr>
        <w:pStyle w:val="ListNumber"/>
      </w:pPr>
      <w:r>
        <w:t>Otherwise, when records are complete, ML is valid LOW, and no deterministic HIGH factor exists, set LOW.</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D9EAF7"/>
          </w:tcPr>
          <w:p>
            <w:pPr>
              <w:spacing w:after="40"/>
            </w:pPr>
            <w:r/>
            <w:r>
              <w:rPr>
                <w:rFonts w:ascii="Arial" w:hAnsi="Arial"/>
                <w:b/>
                <w:color w:val="1F4E79"/>
                <w:sz w:val="18"/>
              </w:rPr>
              <w:t>Current project rule</w:t>
              <w:br/>
            </w:r>
            <w:r>
              <w:rPr>
                <w:rFonts w:ascii="Arial" w:hAnsi="Arial"/>
                <w:sz w:val="17"/>
              </w:rPr>
              <w:t>For this capstone, LOW requires all three required records, a valid ML LOW output, and zero deterministic HIGH factors. HIGH may be produced by deterministic evidence or validated ML HIGH. Missing required records or invalid/unknown ML output produces ASSESSMENT INCOMPLETE.</w:t>
            </w:r>
          </w:p>
        </w:tc>
      </w:tr>
    </w:tbl>
    <w:p>
      <w:pPr/>
    </w:p>
    <w:p>
      <w:pPr>
        <w:pStyle w:val="Heading2"/>
      </w:pPr>
      <w:r>
        <w:t>6.2 Implemented deterministic HIGH conditions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2F5597"/>
          </w:tcPr>
          <w:p>
            <w:pPr>
              <w:spacing w:after="0" w:line="240" w:lineRule="auto"/>
            </w:pPr>
            <w:r/>
            <w:r>
              <w:rPr>
                <w:rFonts w:ascii="Arial" w:hAnsi="Arial"/>
                <w:b/>
                <w:color w:val="FFFFFF"/>
                <w:sz w:val="14"/>
              </w:rPr>
              <w:t>Reason code</w:t>
            </w:r>
          </w:p>
        </w:tc>
        <w:tc>
          <w:tcPr>
            <w:tcW w:type="dxa" w:w="3744"/>
            <w:vAlign w:val="center"/>
            <w:shd w:fill="2F5597"/>
          </w:tcPr>
          <w:p>
            <w:pPr>
              <w:spacing w:after="0" w:line="240" w:lineRule="auto"/>
            </w:pPr>
            <w:r/>
            <w:r>
              <w:rPr>
                <w:rFonts w:ascii="Arial" w:hAnsi="Arial"/>
                <w:b/>
                <w:color w:val="FFFFFF"/>
                <w:sz w:val="14"/>
              </w:rPr>
              <w:t>Condition</w:t>
            </w:r>
          </w:p>
        </w:tc>
        <w:tc>
          <w:tcPr>
            <w:tcW w:type="dxa" w:w="5472"/>
            <w:vAlign w:val="center"/>
            <w:shd w:fill="2F5597"/>
          </w:tcPr>
          <w:p>
            <w:pPr>
              <w:spacing w:after="0" w:line="240" w:lineRule="auto"/>
            </w:pPr>
            <w:r/>
            <w:r>
              <w:rPr>
                <w:rFonts w:ascii="Arial" w:hAnsi="Arial"/>
                <w:b/>
                <w:color w:val="FFFFFF"/>
                <w:sz w:val="14"/>
              </w:rPr>
              <w:t>Required explanation content</w:t>
            </w:r>
          </w:p>
        </w:tc>
      </w:tr>
      <w:tr>
        <w:trPr>
          <w:cantSplit/>
        </w:trPr>
        <w:tc>
          <w:tcPr>
            <w:tcW w:type="dxa" w:w="1872"/>
            <w:vAlign w:val="center"/>
          </w:tcPr>
          <w:p>
            <w:pPr>
              <w:spacing w:after="0" w:line="240" w:lineRule="auto"/>
            </w:pPr>
            <w:r/>
            <w:r>
              <w:rPr>
                <w:rFonts w:ascii="Arial" w:hAnsi="Arial"/>
                <w:b w:val="0"/>
                <w:sz w:val="14"/>
              </w:rPr>
              <w:t>MAT_AGE_LT_19</w:t>
            </w:r>
          </w:p>
        </w:tc>
        <w:tc>
          <w:tcPr>
            <w:tcW w:type="dxa" w:w="3744"/>
            <w:vAlign w:val="center"/>
          </w:tcPr>
          <w:p>
            <w:pPr>
              <w:spacing w:after="0" w:line="240" w:lineRule="auto"/>
            </w:pPr>
            <w:r/>
            <w:r>
              <w:rPr>
                <w:rFonts w:ascii="Arial" w:hAnsi="Arial"/>
                <w:b w:val="0"/>
                <w:sz w:val="14"/>
              </w:rPr>
              <w:t>Maternal age &lt; 19</w:t>
            </w:r>
          </w:p>
        </w:tc>
        <w:tc>
          <w:tcPr>
            <w:tcW w:type="dxa" w:w="5472"/>
            <w:vAlign w:val="center"/>
          </w:tcPr>
          <w:p>
            <w:pPr>
              <w:spacing w:after="0" w:line="240" w:lineRule="auto"/>
            </w:pPr>
            <w:r/>
            <w:r>
              <w:rPr>
                <w:rFonts w:ascii="Arial" w:hAnsi="Arial"/>
                <w:b w:val="0"/>
                <w:sz w:val="14"/>
              </w:rPr>
              <w:t>Observed age, threshold, source date, and closer-review wording.</w:t>
            </w:r>
          </w:p>
        </w:tc>
      </w:tr>
      <w:tr>
        <w:trPr>
          <w:cantSplit/>
        </w:trPr>
        <w:tc>
          <w:tcPr>
            <w:tcW w:type="dxa" w:w="1872"/>
            <w:vAlign w:val="center"/>
            <w:shd w:fill="EAF0F8"/>
          </w:tcPr>
          <w:p>
            <w:pPr>
              <w:spacing w:after="0" w:line="240" w:lineRule="auto"/>
            </w:pPr>
            <w:r/>
            <w:r>
              <w:rPr>
                <w:rFonts w:ascii="Arial" w:hAnsi="Arial"/>
                <w:b w:val="0"/>
                <w:sz w:val="14"/>
              </w:rPr>
              <w:t>MAT_AGE_GE35_FIRST</w:t>
            </w:r>
          </w:p>
        </w:tc>
        <w:tc>
          <w:tcPr>
            <w:tcW w:type="dxa" w:w="3744"/>
            <w:vAlign w:val="center"/>
            <w:shd w:fill="EAF0F8"/>
          </w:tcPr>
          <w:p>
            <w:pPr>
              <w:spacing w:after="0" w:line="240" w:lineRule="auto"/>
            </w:pPr>
            <w:r/>
            <w:r>
              <w:rPr>
                <w:rFonts w:ascii="Arial" w:hAnsi="Arial"/>
                <w:b w:val="0"/>
                <w:sz w:val="14"/>
              </w:rPr>
              <w:t>Maternal age ≥ 35 and first pregnancy</w:t>
            </w:r>
          </w:p>
        </w:tc>
        <w:tc>
          <w:tcPr>
            <w:tcW w:type="dxa" w:w="5472"/>
            <w:vAlign w:val="center"/>
            <w:shd w:fill="EAF0F8"/>
          </w:tcPr>
          <w:p>
            <w:pPr>
              <w:spacing w:after="0" w:line="240" w:lineRule="auto"/>
            </w:pPr>
            <w:r/>
            <w:r>
              <w:rPr>
                <w:rFonts w:ascii="Arial" w:hAnsi="Arial"/>
                <w:b w:val="0"/>
                <w:sz w:val="14"/>
              </w:rPr>
              <w:t>Age, first-pregnancy indicator, conjunctive rule, and review rationale.</w:t>
            </w:r>
          </w:p>
        </w:tc>
      </w:tr>
      <w:tr>
        <w:trPr>
          <w:cantSplit/>
        </w:trPr>
        <w:tc>
          <w:tcPr>
            <w:tcW w:type="dxa" w:w="1872"/>
            <w:vAlign w:val="center"/>
          </w:tcPr>
          <w:p>
            <w:pPr>
              <w:spacing w:after="0" w:line="240" w:lineRule="auto"/>
            </w:pPr>
            <w:r/>
            <w:r>
              <w:rPr>
                <w:rFonts w:ascii="Arial" w:hAnsi="Arial"/>
                <w:b w:val="0"/>
                <w:sz w:val="14"/>
              </w:rPr>
              <w:t>BP_HIGH</w:t>
            </w:r>
          </w:p>
        </w:tc>
        <w:tc>
          <w:tcPr>
            <w:tcW w:type="dxa" w:w="3744"/>
            <w:vAlign w:val="center"/>
          </w:tcPr>
          <w:p>
            <w:pPr>
              <w:spacing w:after="0" w:line="240" w:lineRule="auto"/>
            </w:pPr>
            <w:r/>
            <w:r>
              <w:rPr>
                <w:rFonts w:ascii="Arial" w:hAnsi="Arial"/>
                <w:b w:val="0"/>
                <w:sz w:val="14"/>
              </w:rPr>
              <w:t>Systolic ≥ 140 or diastolic ≥ 90</w:t>
            </w:r>
          </w:p>
        </w:tc>
        <w:tc>
          <w:tcPr>
            <w:tcW w:type="dxa" w:w="5472"/>
            <w:vAlign w:val="center"/>
          </w:tcPr>
          <w:p>
            <w:pPr>
              <w:spacing w:after="0" w:line="240" w:lineRule="auto"/>
            </w:pPr>
            <w:r/>
            <w:r>
              <w:rPr>
                <w:rFonts w:ascii="Arial" w:hAnsi="Arial"/>
                <w:b w:val="0"/>
                <w:sz w:val="14"/>
              </w:rPr>
              <w:t>Observed systolic/diastolic, threshold, date/time, and repeat/clinical review direction.</w:t>
            </w:r>
          </w:p>
        </w:tc>
      </w:tr>
      <w:tr>
        <w:trPr>
          <w:cantSplit/>
        </w:trPr>
        <w:tc>
          <w:tcPr>
            <w:tcW w:type="dxa" w:w="1872"/>
            <w:vAlign w:val="center"/>
            <w:shd w:fill="EAF0F8"/>
          </w:tcPr>
          <w:p>
            <w:pPr>
              <w:spacing w:after="0" w:line="240" w:lineRule="auto"/>
            </w:pPr>
            <w:r/>
            <w:r>
              <w:rPr>
                <w:rFonts w:ascii="Arial" w:hAnsi="Arial"/>
                <w:b w:val="0"/>
                <w:sz w:val="14"/>
              </w:rPr>
              <w:t>BP_URGENT</w:t>
            </w:r>
          </w:p>
        </w:tc>
        <w:tc>
          <w:tcPr>
            <w:tcW w:type="dxa" w:w="3744"/>
            <w:vAlign w:val="center"/>
            <w:shd w:fill="EAF0F8"/>
          </w:tcPr>
          <w:p>
            <w:pPr>
              <w:spacing w:after="0" w:line="240" w:lineRule="auto"/>
            </w:pPr>
            <w:r/>
            <w:r>
              <w:rPr>
                <w:rFonts w:ascii="Arial" w:hAnsi="Arial"/>
                <w:b w:val="0"/>
                <w:sz w:val="14"/>
              </w:rPr>
              <w:t>Systolic ≥ 160 or diastolic ≥ 110</w:t>
            </w:r>
          </w:p>
        </w:tc>
        <w:tc>
          <w:tcPr>
            <w:tcW w:type="dxa" w:w="5472"/>
            <w:vAlign w:val="center"/>
            <w:shd w:fill="EAF0F8"/>
          </w:tcPr>
          <w:p>
            <w:pPr>
              <w:spacing w:after="0" w:line="240" w:lineRule="auto"/>
            </w:pPr>
            <w:r/>
            <w:r>
              <w:rPr>
                <w:rFonts w:ascii="Arial" w:hAnsi="Arial"/>
                <w:b w:val="0"/>
                <w:sz w:val="14"/>
              </w:rPr>
              <w:t>Observed values, urgent threshold, prominent urgency wording, and referral/escalation direction.</w:t>
            </w:r>
          </w:p>
        </w:tc>
      </w:tr>
      <w:tr>
        <w:trPr>
          <w:cantSplit/>
        </w:trPr>
        <w:tc>
          <w:tcPr>
            <w:tcW w:type="dxa" w:w="1872"/>
            <w:vAlign w:val="center"/>
          </w:tcPr>
          <w:p>
            <w:pPr>
              <w:spacing w:after="0" w:line="240" w:lineRule="auto"/>
            </w:pPr>
            <w:r/>
            <w:r>
              <w:rPr>
                <w:rFonts w:ascii="Arial" w:hAnsi="Arial"/>
                <w:b w:val="0"/>
                <w:sz w:val="14"/>
              </w:rPr>
              <w:t>DIABETES_PRESENT</w:t>
            </w:r>
          </w:p>
        </w:tc>
        <w:tc>
          <w:tcPr>
            <w:tcW w:type="dxa" w:w="3744"/>
            <w:vAlign w:val="center"/>
          </w:tcPr>
          <w:p>
            <w:pPr>
              <w:spacing w:after="0" w:line="240" w:lineRule="auto"/>
            </w:pPr>
            <w:r/>
            <w:r>
              <w:rPr>
                <w:rFonts w:ascii="Arial" w:hAnsi="Arial"/>
                <w:b w:val="0"/>
                <w:sz w:val="14"/>
              </w:rPr>
              <w:t>Recorded diabetes present</w:t>
            </w:r>
          </w:p>
        </w:tc>
        <w:tc>
          <w:tcPr>
            <w:tcW w:type="dxa" w:w="5472"/>
            <w:vAlign w:val="center"/>
          </w:tcPr>
          <w:p>
            <w:pPr>
              <w:spacing w:after="0" w:line="240" w:lineRule="auto"/>
            </w:pPr>
            <w:r/>
            <w:r>
              <w:rPr>
                <w:rFonts w:ascii="Arial" w:hAnsi="Arial"/>
                <w:b w:val="0"/>
                <w:sz w:val="14"/>
              </w:rPr>
              <w:t>Source record, recorded status, and clinical review direction without diagnosing.</w:t>
            </w:r>
          </w:p>
        </w:tc>
      </w:tr>
      <w:tr>
        <w:trPr>
          <w:cantSplit/>
        </w:trPr>
        <w:tc>
          <w:tcPr>
            <w:tcW w:type="dxa" w:w="1872"/>
            <w:vAlign w:val="center"/>
            <w:shd w:fill="EAF0F8"/>
          </w:tcPr>
          <w:p>
            <w:pPr>
              <w:spacing w:after="0" w:line="240" w:lineRule="auto"/>
            </w:pPr>
            <w:r/>
            <w:r>
              <w:rPr>
                <w:rFonts w:ascii="Arial" w:hAnsi="Arial"/>
                <w:b w:val="0"/>
                <w:sz w:val="14"/>
              </w:rPr>
              <w:t>ANEMIA_PRESENT</w:t>
            </w:r>
          </w:p>
        </w:tc>
        <w:tc>
          <w:tcPr>
            <w:tcW w:type="dxa" w:w="3744"/>
            <w:vAlign w:val="center"/>
            <w:shd w:fill="EAF0F8"/>
          </w:tcPr>
          <w:p>
            <w:pPr>
              <w:spacing w:after="0" w:line="240" w:lineRule="auto"/>
            </w:pPr>
            <w:r/>
            <w:r>
              <w:rPr>
                <w:rFonts w:ascii="Arial" w:hAnsi="Arial"/>
                <w:b w:val="0"/>
                <w:sz w:val="14"/>
              </w:rPr>
              <w:t>Recorded anemia present</w:t>
            </w:r>
          </w:p>
        </w:tc>
        <w:tc>
          <w:tcPr>
            <w:tcW w:type="dxa" w:w="5472"/>
            <w:vAlign w:val="center"/>
            <w:shd w:fill="EAF0F8"/>
          </w:tcPr>
          <w:p>
            <w:pPr>
              <w:spacing w:after="0" w:line="240" w:lineRule="auto"/>
            </w:pPr>
            <w:r/>
            <w:r>
              <w:rPr>
                <w:rFonts w:ascii="Arial" w:hAnsi="Arial"/>
                <w:b w:val="0"/>
                <w:sz w:val="14"/>
              </w:rPr>
              <w:t>Source record, recorded status, and clinical review direction without severity fabrication.</w:t>
            </w:r>
          </w:p>
        </w:tc>
      </w:tr>
      <w:tr>
        <w:trPr>
          <w:cantSplit/>
        </w:trPr>
        <w:tc>
          <w:tcPr>
            <w:tcW w:type="dxa" w:w="1872"/>
            <w:vAlign w:val="center"/>
          </w:tcPr>
          <w:p>
            <w:pPr>
              <w:spacing w:after="0" w:line="240" w:lineRule="auto"/>
            </w:pPr>
            <w:r/>
            <w:r>
              <w:rPr>
                <w:rFonts w:ascii="Arial" w:hAnsi="Arial"/>
                <w:b w:val="0"/>
                <w:sz w:val="14"/>
              </w:rPr>
              <w:t>PREVIOUS_CS</w:t>
            </w:r>
          </w:p>
        </w:tc>
        <w:tc>
          <w:tcPr>
            <w:tcW w:type="dxa" w:w="3744"/>
            <w:vAlign w:val="center"/>
          </w:tcPr>
          <w:p>
            <w:pPr>
              <w:spacing w:after="0" w:line="240" w:lineRule="auto"/>
            </w:pPr>
            <w:r/>
            <w:r>
              <w:rPr>
                <w:rFonts w:ascii="Arial" w:hAnsi="Arial"/>
                <w:b w:val="0"/>
                <w:sz w:val="14"/>
              </w:rPr>
              <w:t>Previous cesarean section recorded</w:t>
            </w:r>
          </w:p>
        </w:tc>
        <w:tc>
          <w:tcPr>
            <w:tcW w:type="dxa" w:w="5472"/>
            <w:vAlign w:val="center"/>
          </w:tcPr>
          <w:p>
            <w:pPr>
              <w:spacing w:after="0" w:line="240" w:lineRule="auto"/>
            </w:pPr>
            <w:r/>
            <w:r>
              <w:rPr>
                <w:rFonts w:ascii="Arial" w:hAnsi="Arial"/>
                <w:b w:val="0"/>
                <w:sz w:val="14"/>
              </w:rPr>
              <w:t>History source and referral/clinical review relevance.</w:t>
            </w:r>
          </w:p>
        </w:tc>
      </w:tr>
      <w:tr>
        <w:trPr>
          <w:cantSplit/>
        </w:trPr>
        <w:tc>
          <w:tcPr>
            <w:tcW w:type="dxa" w:w="1872"/>
            <w:vAlign w:val="center"/>
            <w:shd w:fill="EAF0F8"/>
          </w:tcPr>
          <w:p>
            <w:pPr>
              <w:spacing w:after="0" w:line="240" w:lineRule="auto"/>
            </w:pPr>
            <w:r/>
            <w:r>
              <w:rPr>
                <w:rFonts w:ascii="Arial" w:hAnsi="Arial"/>
                <w:b w:val="0"/>
                <w:sz w:val="14"/>
              </w:rPr>
              <w:t>MISCARRIAGE_GE3</w:t>
            </w:r>
          </w:p>
        </w:tc>
        <w:tc>
          <w:tcPr>
            <w:tcW w:type="dxa" w:w="3744"/>
            <w:vAlign w:val="center"/>
            <w:shd w:fill="EAF0F8"/>
          </w:tcPr>
          <w:p>
            <w:pPr>
              <w:spacing w:after="0" w:line="240" w:lineRule="auto"/>
            </w:pPr>
            <w:r/>
            <w:r>
              <w:rPr>
                <w:rFonts w:ascii="Arial" w:hAnsi="Arial"/>
                <w:b w:val="0"/>
                <w:sz w:val="14"/>
              </w:rPr>
              <w:t>Miscarriage count ≥ 3</w:t>
            </w:r>
          </w:p>
        </w:tc>
        <w:tc>
          <w:tcPr>
            <w:tcW w:type="dxa" w:w="5472"/>
            <w:vAlign w:val="center"/>
            <w:shd w:fill="EAF0F8"/>
          </w:tcPr>
          <w:p>
            <w:pPr>
              <w:spacing w:after="0" w:line="240" w:lineRule="auto"/>
            </w:pPr>
            <w:r/>
            <w:r>
              <w:rPr>
                <w:rFonts w:ascii="Arial" w:hAnsi="Arial"/>
                <w:b w:val="0"/>
                <w:sz w:val="14"/>
              </w:rPr>
              <w:t>Observed count, threshold, source, and recurrent-history wording.</w:t>
            </w:r>
          </w:p>
        </w:tc>
      </w:tr>
      <w:tr>
        <w:trPr>
          <w:cantSplit/>
        </w:trPr>
        <w:tc>
          <w:tcPr>
            <w:tcW w:type="dxa" w:w="1872"/>
            <w:vAlign w:val="center"/>
          </w:tcPr>
          <w:p>
            <w:pPr>
              <w:spacing w:after="0" w:line="240" w:lineRule="auto"/>
            </w:pPr>
            <w:r/>
            <w:r>
              <w:rPr>
                <w:rFonts w:ascii="Arial" w:hAnsi="Arial"/>
                <w:b w:val="0"/>
                <w:sz w:val="14"/>
              </w:rPr>
              <w:t>PRESENTATION_BREECH</w:t>
            </w:r>
          </w:p>
        </w:tc>
        <w:tc>
          <w:tcPr>
            <w:tcW w:type="dxa" w:w="3744"/>
            <w:vAlign w:val="center"/>
          </w:tcPr>
          <w:p>
            <w:pPr>
              <w:spacing w:after="0" w:line="240" w:lineRule="auto"/>
            </w:pPr>
            <w:r/>
            <w:r>
              <w:rPr>
                <w:rFonts w:ascii="Arial" w:hAnsi="Arial"/>
                <w:b w:val="0"/>
                <w:sz w:val="14"/>
              </w:rPr>
              <w:t>Ultrasound presentation = Breech</w:t>
            </w:r>
          </w:p>
        </w:tc>
        <w:tc>
          <w:tcPr>
            <w:tcW w:type="dxa" w:w="5472"/>
            <w:vAlign w:val="center"/>
          </w:tcPr>
          <w:p>
            <w:pPr>
              <w:spacing w:after="0" w:line="240" w:lineRule="auto"/>
            </w:pPr>
            <w:r/>
            <w:r>
              <w:rPr>
                <w:rFonts w:ascii="Arial" w:hAnsi="Arial"/>
                <w:b w:val="0"/>
                <w:sz w:val="14"/>
              </w:rPr>
              <w:t>Recorded presentation and need for qualified clinical review.</w:t>
            </w:r>
          </w:p>
        </w:tc>
      </w:tr>
      <w:tr>
        <w:trPr>
          <w:cantSplit/>
        </w:trPr>
        <w:tc>
          <w:tcPr>
            <w:tcW w:type="dxa" w:w="1872"/>
            <w:vAlign w:val="center"/>
            <w:shd w:fill="EAF0F8"/>
          </w:tcPr>
          <w:p>
            <w:pPr>
              <w:spacing w:after="0" w:line="240" w:lineRule="auto"/>
            </w:pPr>
            <w:r/>
            <w:r>
              <w:rPr>
                <w:rFonts w:ascii="Arial" w:hAnsi="Arial"/>
                <w:b w:val="0"/>
                <w:sz w:val="14"/>
              </w:rPr>
              <w:t>PRESENTATION_TRANSVERSE</w:t>
            </w:r>
          </w:p>
        </w:tc>
        <w:tc>
          <w:tcPr>
            <w:tcW w:type="dxa" w:w="3744"/>
            <w:vAlign w:val="center"/>
            <w:shd w:fill="EAF0F8"/>
          </w:tcPr>
          <w:p>
            <w:pPr>
              <w:spacing w:after="0" w:line="240" w:lineRule="auto"/>
            </w:pPr>
            <w:r/>
            <w:r>
              <w:rPr>
                <w:rFonts w:ascii="Arial" w:hAnsi="Arial"/>
                <w:b w:val="0"/>
                <w:sz w:val="14"/>
              </w:rPr>
              <w:t>Ultrasound presentation = Transverse</w:t>
            </w:r>
          </w:p>
        </w:tc>
        <w:tc>
          <w:tcPr>
            <w:tcW w:type="dxa" w:w="5472"/>
            <w:vAlign w:val="center"/>
            <w:shd w:fill="EAF0F8"/>
          </w:tcPr>
          <w:p>
            <w:pPr>
              <w:spacing w:after="0" w:line="240" w:lineRule="auto"/>
            </w:pPr>
            <w:r/>
            <w:r>
              <w:rPr>
                <w:rFonts w:ascii="Arial" w:hAnsi="Arial"/>
                <w:b w:val="0"/>
                <w:sz w:val="14"/>
              </w:rPr>
              <w:t>Recorded presentation and need for qualified clinical review.</w:t>
            </w:r>
          </w:p>
        </w:tc>
      </w:tr>
      <w:tr>
        <w:trPr>
          <w:cantSplit/>
        </w:trPr>
        <w:tc>
          <w:tcPr>
            <w:tcW w:type="dxa" w:w="1872"/>
            <w:vAlign w:val="center"/>
          </w:tcPr>
          <w:p>
            <w:pPr>
              <w:spacing w:after="0" w:line="240" w:lineRule="auto"/>
            </w:pPr>
            <w:r/>
            <w:r>
              <w:rPr>
                <w:rFonts w:ascii="Arial" w:hAnsi="Arial"/>
                <w:b w:val="0"/>
                <w:sz w:val="14"/>
              </w:rPr>
              <w:t>PRESENTATION_OBLIQUE</w:t>
            </w:r>
          </w:p>
        </w:tc>
        <w:tc>
          <w:tcPr>
            <w:tcW w:type="dxa" w:w="3744"/>
            <w:vAlign w:val="center"/>
          </w:tcPr>
          <w:p>
            <w:pPr>
              <w:spacing w:after="0" w:line="240" w:lineRule="auto"/>
            </w:pPr>
            <w:r/>
            <w:r>
              <w:rPr>
                <w:rFonts w:ascii="Arial" w:hAnsi="Arial"/>
                <w:b w:val="0"/>
                <w:sz w:val="14"/>
              </w:rPr>
              <w:t>Ultrasound presentation = Oblique</w:t>
            </w:r>
          </w:p>
        </w:tc>
        <w:tc>
          <w:tcPr>
            <w:tcW w:type="dxa" w:w="5472"/>
            <w:vAlign w:val="center"/>
          </w:tcPr>
          <w:p>
            <w:pPr>
              <w:spacing w:after="0" w:line="240" w:lineRule="auto"/>
            </w:pPr>
            <w:r/>
            <w:r>
              <w:rPr>
                <w:rFonts w:ascii="Arial" w:hAnsi="Arial"/>
                <w:b w:val="0"/>
                <w:sz w:val="14"/>
              </w:rPr>
              <w:t>Recorded presentation and need for qualified clinical review.</w:t>
            </w:r>
          </w:p>
        </w:tc>
      </w:tr>
      <w:tr>
        <w:trPr>
          <w:cantSplit/>
        </w:trPr>
        <w:tc>
          <w:tcPr>
            <w:tcW w:type="dxa" w:w="1872"/>
            <w:vAlign w:val="center"/>
            <w:shd w:fill="EAF0F8"/>
          </w:tcPr>
          <w:p>
            <w:pPr>
              <w:spacing w:after="0" w:line="240" w:lineRule="auto"/>
            </w:pPr>
            <w:r/>
            <w:r>
              <w:rPr>
                <w:rFonts w:ascii="Arial" w:hAnsi="Arial"/>
                <w:b w:val="0"/>
                <w:sz w:val="14"/>
              </w:rPr>
              <w:t>FLUID_LOW</w:t>
            </w:r>
          </w:p>
        </w:tc>
        <w:tc>
          <w:tcPr>
            <w:tcW w:type="dxa" w:w="3744"/>
            <w:vAlign w:val="center"/>
            <w:shd w:fill="EAF0F8"/>
          </w:tcPr>
          <w:p>
            <w:pPr>
              <w:spacing w:after="0" w:line="240" w:lineRule="auto"/>
            </w:pPr>
            <w:r/>
            <w:r>
              <w:rPr>
                <w:rFonts w:ascii="Arial" w:hAnsi="Arial"/>
                <w:b w:val="0"/>
                <w:sz w:val="14"/>
              </w:rPr>
              <w:t>Amniotic fluid category = Low</w:t>
            </w:r>
          </w:p>
        </w:tc>
        <w:tc>
          <w:tcPr>
            <w:tcW w:type="dxa" w:w="5472"/>
            <w:vAlign w:val="center"/>
            <w:shd w:fill="EAF0F8"/>
          </w:tcPr>
          <w:p>
            <w:pPr>
              <w:spacing w:after="0" w:line="240" w:lineRule="auto"/>
            </w:pPr>
            <w:r/>
            <w:r>
              <w:rPr>
                <w:rFonts w:ascii="Arial" w:hAnsi="Arial"/>
                <w:b w:val="0"/>
                <w:sz w:val="14"/>
              </w:rPr>
              <w:t>Recorded category, ultrasound source date, and review direction.</w:t>
            </w:r>
          </w:p>
        </w:tc>
      </w:tr>
      <w:tr>
        <w:trPr>
          <w:cantSplit/>
        </w:trPr>
        <w:tc>
          <w:tcPr>
            <w:tcW w:type="dxa" w:w="1872"/>
            <w:vAlign w:val="center"/>
          </w:tcPr>
          <w:p>
            <w:pPr>
              <w:spacing w:after="0" w:line="240" w:lineRule="auto"/>
            </w:pPr>
            <w:r/>
            <w:r>
              <w:rPr>
                <w:rFonts w:ascii="Arial" w:hAnsi="Arial"/>
                <w:b w:val="0"/>
                <w:sz w:val="14"/>
              </w:rPr>
              <w:t>FLUID_HIGH</w:t>
            </w:r>
          </w:p>
        </w:tc>
        <w:tc>
          <w:tcPr>
            <w:tcW w:type="dxa" w:w="3744"/>
            <w:vAlign w:val="center"/>
          </w:tcPr>
          <w:p>
            <w:pPr>
              <w:spacing w:after="0" w:line="240" w:lineRule="auto"/>
            </w:pPr>
            <w:r/>
            <w:r>
              <w:rPr>
                <w:rFonts w:ascii="Arial" w:hAnsi="Arial"/>
                <w:b w:val="0"/>
                <w:sz w:val="14"/>
              </w:rPr>
              <w:t>Amniotic fluid category = High</w:t>
            </w:r>
          </w:p>
        </w:tc>
        <w:tc>
          <w:tcPr>
            <w:tcW w:type="dxa" w:w="5472"/>
            <w:vAlign w:val="center"/>
          </w:tcPr>
          <w:p>
            <w:pPr>
              <w:spacing w:after="0" w:line="240" w:lineRule="auto"/>
            </w:pPr>
            <w:r/>
            <w:r>
              <w:rPr>
                <w:rFonts w:ascii="Arial" w:hAnsi="Arial"/>
                <w:b w:val="0"/>
                <w:sz w:val="14"/>
              </w:rPr>
              <w:t>Recorded category, ultrasound source date, and review direction.</w:t>
            </w:r>
          </w:p>
        </w:tc>
      </w:tr>
      <w:tr>
        <w:trPr>
          <w:cantSplit/>
        </w:trPr>
        <w:tc>
          <w:tcPr>
            <w:tcW w:type="dxa" w:w="1872"/>
            <w:vAlign w:val="center"/>
            <w:shd w:fill="EAF0F8"/>
          </w:tcPr>
          <w:p>
            <w:pPr>
              <w:spacing w:after="0" w:line="240" w:lineRule="auto"/>
            </w:pPr>
            <w:r/>
            <w:r>
              <w:rPr>
                <w:rFonts w:ascii="Arial" w:hAnsi="Arial"/>
                <w:b w:val="0"/>
                <w:sz w:val="14"/>
              </w:rPr>
              <w:t>FHR_WEAK</w:t>
            </w:r>
          </w:p>
        </w:tc>
        <w:tc>
          <w:tcPr>
            <w:tcW w:type="dxa" w:w="3744"/>
            <w:vAlign w:val="center"/>
            <w:shd w:fill="EAF0F8"/>
          </w:tcPr>
          <w:p>
            <w:pPr>
              <w:spacing w:after="0" w:line="240" w:lineRule="auto"/>
            </w:pPr>
            <w:r/>
            <w:r>
              <w:rPr>
                <w:rFonts w:ascii="Arial" w:hAnsi="Arial"/>
                <w:b w:val="0"/>
                <w:sz w:val="14"/>
              </w:rPr>
              <w:t>Fetal heartbeat = Weak</w:t>
            </w:r>
          </w:p>
        </w:tc>
        <w:tc>
          <w:tcPr>
            <w:tcW w:type="dxa" w:w="5472"/>
            <w:vAlign w:val="center"/>
            <w:shd w:fill="EAF0F8"/>
          </w:tcPr>
          <w:p>
            <w:pPr>
              <w:spacing w:after="0" w:line="240" w:lineRule="auto"/>
            </w:pPr>
            <w:r/>
            <w:r>
              <w:rPr>
                <w:rFonts w:ascii="Arial" w:hAnsi="Arial"/>
                <w:b w:val="0"/>
                <w:sz w:val="14"/>
              </w:rPr>
              <w:t>Recorded category, source date, and prompt professional review wording.</w:t>
            </w:r>
          </w:p>
        </w:tc>
      </w:tr>
      <w:tr>
        <w:trPr>
          <w:cantSplit/>
        </w:trPr>
        <w:tc>
          <w:tcPr>
            <w:tcW w:type="dxa" w:w="1872"/>
            <w:vAlign w:val="center"/>
          </w:tcPr>
          <w:p>
            <w:pPr>
              <w:spacing w:after="0" w:line="240" w:lineRule="auto"/>
            </w:pPr>
            <w:r/>
            <w:r>
              <w:rPr>
                <w:rFonts w:ascii="Arial" w:hAnsi="Arial"/>
                <w:b w:val="0"/>
                <w:sz w:val="14"/>
              </w:rPr>
              <w:t>FHR_ABNORMAL</w:t>
            </w:r>
          </w:p>
        </w:tc>
        <w:tc>
          <w:tcPr>
            <w:tcW w:type="dxa" w:w="3744"/>
            <w:vAlign w:val="center"/>
          </w:tcPr>
          <w:p>
            <w:pPr>
              <w:spacing w:after="0" w:line="240" w:lineRule="auto"/>
            </w:pPr>
            <w:r/>
            <w:r>
              <w:rPr>
                <w:rFonts w:ascii="Arial" w:hAnsi="Arial"/>
                <w:b w:val="0"/>
                <w:sz w:val="14"/>
              </w:rPr>
              <w:t>Fetal heartbeat = Abnormal</w:t>
            </w:r>
          </w:p>
        </w:tc>
        <w:tc>
          <w:tcPr>
            <w:tcW w:type="dxa" w:w="5472"/>
            <w:vAlign w:val="center"/>
          </w:tcPr>
          <w:p>
            <w:pPr>
              <w:spacing w:after="0" w:line="240" w:lineRule="auto"/>
            </w:pPr>
            <w:r/>
            <w:r>
              <w:rPr>
                <w:rFonts w:ascii="Arial" w:hAnsi="Arial"/>
                <w:b w:val="0"/>
                <w:sz w:val="14"/>
              </w:rPr>
              <w:t>Recorded category, source date, and prompt professional review wording.</w:t>
            </w:r>
          </w:p>
        </w:tc>
      </w:tr>
      <w:tr>
        <w:trPr>
          <w:cantSplit/>
        </w:trPr>
        <w:tc>
          <w:tcPr>
            <w:tcW w:type="dxa" w:w="1872"/>
            <w:vAlign w:val="center"/>
            <w:shd w:fill="EAF0F8"/>
          </w:tcPr>
          <w:p>
            <w:pPr>
              <w:spacing w:after="0" w:line="240" w:lineRule="auto"/>
            </w:pPr>
            <w:r/>
            <w:r>
              <w:rPr>
                <w:rFonts w:ascii="Arial" w:hAnsi="Arial"/>
                <w:b w:val="0"/>
                <w:sz w:val="14"/>
              </w:rPr>
              <w:t>FHR_ABSENT</w:t>
            </w:r>
          </w:p>
        </w:tc>
        <w:tc>
          <w:tcPr>
            <w:tcW w:type="dxa" w:w="3744"/>
            <w:vAlign w:val="center"/>
            <w:shd w:fill="EAF0F8"/>
          </w:tcPr>
          <w:p>
            <w:pPr>
              <w:spacing w:after="0" w:line="240" w:lineRule="auto"/>
            </w:pPr>
            <w:r/>
            <w:r>
              <w:rPr>
                <w:rFonts w:ascii="Arial" w:hAnsi="Arial"/>
                <w:b w:val="0"/>
                <w:sz w:val="14"/>
              </w:rPr>
              <w:t>Fetal heartbeat = Absent</w:t>
            </w:r>
          </w:p>
        </w:tc>
        <w:tc>
          <w:tcPr>
            <w:tcW w:type="dxa" w:w="5472"/>
            <w:vAlign w:val="center"/>
            <w:shd w:fill="EAF0F8"/>
          </w:tcPr>
          <w:p>
            <w:pPr>
              <w:spacing w:after="0" w:line="240" w:lineRule="auto"/>
            </w:pPr>
            <w:r/>
            <w:r>
              <w:rPr>
                <w:rFonts w:ascii="Arial" w:hAnsi="Arial"/>
                <w:b w:val="0"/>
                <w:sz w:val="14"/>
              </w:rPr>
              <w:t>Recorded category, source date, prominent urgent review wording, and no independent diagnosis claim.</w:t>
            </w:r>
          </w:p>
        </w:tc>
      </w:tr>
      <w:tr>
        <w:trPr>
          <w:cantSplit/>
        </w:trPr>
        <w:tc>
          <w:tcPr>
            <w:tcW w:type="dxa" w:w="1872"/>
            <w:vAlign w:val="center"/>
          </w:tcPr>
          <w:p>
            <w:pPr>
              <w:spacing w:after="0" w:line="240" w:lineRule="auto"/>
            </w:pPr>
            <w:r/>
            <w:r>
              <w:rPr>
                <w:rFonts w:ascii="Arial" w:hAnsi="Arial"/>
                <w:b w:val="0"/>
                <w:sz w:val="14"/>
              </w:rPr>
              <w:t>ML_HIGH</w:t>
            </w:r>
          </w:p>
        </w:tc>
        <w:tc>
          <w:tcPr>
            <w:tcW w:type="dxa" w:w="3744"/>
            <w:vAlign w:val="center"/>
          </w:tcPr>
          <w:p>
            <w:pPr>
              <w:spacing w:after="0" w:line="240" w:lineRule="auto"/>
            </w:pPr>
            <w:r/>
            <w:r>
              <w:rPr>
                <w:rFonts w:ascii="Arial" w:hAnsi="Arial"/>
                <w:b w:val="0"/>
                <w:sz w:val="14"/>
              </w:rPr>
              <w:t>Validated Random Forest output = HIGH</w:t>
            </w:r>
          </w:p>
        </w:tc>
        <w:tc>
          <w:tcPr>
            <w:tcW w:type="dxa" w:w="5472"/>
            <w:vAlign w:val="center"/>
          </w:tcPr>
          <w:p>
            <w:pPr>
              <w:spacing w:after="0" w:line="240" w:lineRule="auto"/>
            </w:pPr>
            <w:r/>
            <w:r>
              <w:rPr>
                <w:rFonts w:ascii="Arial" w:hAnsi="Arial"/>
                <w:b w:val="0"/>
                <w:sz w:val="14"/>
              </w:rPr>
              <w:t>Model contribution, model/version provenance, limitations, and separation from deterministic reasons.</w:t>
            </w:r>
          </w:p>
        </w:tc>
      </w:tr>
    </w:tbl>
    <w:p>
      <w:pPr/>
    </w:p>
    <w:p>
      <w:pPr>
        <w:pStyle w:val="Heading2"/>
      </w:pPr>
      <w:r>
        <w:t>6.3 Required status explanations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2F5597"/>
          </w:tcPr>
          <w:p>
            <w:pPr>
              <w:spacing w:after="0" w:line="240" w:lineRule="auto"/>
            </w:pPr>
            <w:r/>
            <w:r>
              <w:rPr>
                <w:rFonts w:ascii="Arial" w:hAnsi="Arial"/>
                <w:b/>
                <w:color w:val="FFFFFF"/>
                <w:sz w:val="15"/>
              </w:rPr>
              <w:t>Status</w:t>
            </w:r>
          </w:p>
        </w:tc>
        <w:tc>
          <w:tcPr>
            <w:tcW w:type="dxa" w:w="4752"/>
            <w:vAlign w:val="center"/>
            <w:shd w:fill="2F5597"/>
          </w:tcPr>
          <w:p>
            <w:pPr>
              <w:spacing w:after="0" w:line="240" w:lineRule="auto"/>
            </w:pPr>
            <w:r/>
            <w:r>
              <w:rPr>
                <w:rFonts w:ascii="Arial" w:hAnsi="Arial"/>
                <w:b/>
                <w:color w:val="FFFFFF"/>
                <w:sz w:val="15"/>
              </w:rPr>
              <w:t>Must communicate</w:t>
            </w:r>
          </w:p>
        </w:tc>
        <w:tc>
          <w:tcPr>
            <w:tcW w:type="dxa" w:w="4536"/>
            <w:vAlign w:val="center"/>
            <w:shd w:fill="2F5597"/>
          </w:tcPr>
          <w:p>
            <w:pPr>
              <w:spacing w:after="0" w:line="240" w:lineRule="auto"/>
            </w:pPr>
            <w:r/>
            <w:r>
              <w:rPr>
                <w:rFonts w:ascii="Arial" w:hAnsi="Arial"/>
                <w:b/>
                <w:color w:val="FFFFFF"/>
                <w:sz w:val="15"/>
              </w:rPr>
              <w:t>Must avoid</w:t>
            </w:r>
          </w:p>
        </w:tc>
      </w:tr>
      <w:tr>
        <w:trPr>
          <w:cantSplit/>
        </w:trPr>
        <w:tc>
          <w:tcPr>
            <w:tcW w:type="dxa" w:w="1728"/>
            <w:vAlign w:val="center"/>
          </w:tcPr>
          <w:p>
            <w:pPr>
              <w:spacing w:after="0" w:line="240" w:lineRule="auto"/>
            </w:pPr>
            <w:r/>
            <w:r>
              <w:rPr>
                <w:rFonts w:ascii="Arial" w:hAnsi="Arial"/>
                <w:b w:val="0"/>
                <w:sz w:val="15"/>
              </w:rPr>
              <w:t>HIGH</w:t>
            </w:r>
          </w:p>
        </w:tc>
        <w:tc>
          <w:tcPr>
            <w:tcW w:type="dxa" w:w="4752"/>
            <w:vAlign w:val="center"/>
          </w:tcPr>
          <w:p>
            <w:pPr>
              <w:spacing w:after="0" w:line="240" w:lineRule="auto"/>
            </w:pPr>
            <w:r/>
            <w:r>
              <w:rPr>
                <w:rFonts w:ascii="Arial" w:hAnsi="Arial"/>
                <w:b w:val="0"/>
                <w:sz w:val="15"/>
              </w:rPr>
              <w:t>Which factors were identified; which evidence was decisive; whether ML supported or disagreed; recommended review/referral action; system limitations.</w:t>
            </w:r>
          </w:p>
        </w:tc>
        <w:tc>
          <w:tcPr>
            <w:tcW w:type="dxa" w:w="4536"/>
            <w:vAlign w:val="center"/>
          </w:tcPr>
          <w:p>
            <w:pPr>
              <w:spacing w:after="0" w:line="240" w:lineRule="auto"/>
            </w:pPr>
            <w:r/>
            <w:r>
              <w:rPr>
                <w:rFonts w:ascii="Arial" w:hAnsi="Arial"/>
                <w:b w:val="0"/>
                <w:sz w:val="15"/>
              </w:rPr>
              <w:t>Diagnosis claims, guaranteed outcomes, or language that the system itself orders treatment.</w:t>
            </w:r>
          </w:p>
        </w:tc>
      </w:tr>
      <w:tr>
        <w:trPr>
          <w:cantSplit/>
        </w:trPr>
        <w:tc>
          <w:tcPr>
            <w:tcW w:type="dxa" w:w="1728"/>
            <w:vAlign w:val="center"/>
            <w:shd w:fill="EAF0F8"/>
          </w:tcPr>
          <w:p>
            <w:pPr>
              <w:spacing w:after="0" w:line="240" w:lineRule="auto"/>
            </w:pPr>
            <w:r/>
            <w:r>
              <w:rPr>
                <w:rFonts w:ascii="Arial" w:hAnsi="Arial"/>
                <w:b w:val="0"/>
                <w:sz w:val="15"/>
              </w:rPr>
              <w:t>LOW</w:t>
            </w:r>
          </w:p>
        </w:tc>
        <w:tc>
          <w:tcPr>
            <w:tcW w:type="dxa" w:w="4752"/>
            <w:vAlign w:val="center"/>
            <w:shd w:fill="EAF0F8"/>
          </w:tcPr>
          <w:p>
            <w:pPr>
              <w:spacing w:after="0" w:line="240" w:lineRule="auto"/>
            </w:pPr>
            <w:r/>
            <w:r>
              <w:rPr>
                <w:rFonts w:ascii="Arial" w:hAnsi="Arial"/>
                <w:b w:val="0"/>
                <w:sz w:val="15"/>
              </w:rPr>
              <w:t>No configured high-risk factor was identified from complete available records; ML was valid LOW; routine follow-up remains necessary; symptoms or new findings still require professional review.</w:t>
            </w:r>
          </w:p>
        </w:tc>
        <w:tc>
          <w:tcPr>
            <w:tcW w:type="dxa" w:w="4536"/>
            <w:vAlign w:val="center"/>
            <w:shd w:fill="EAF0F8"/>
          </w:tcPr>
          <w:p>
            <w:pPr>
              <w:spacing w:after="0" w:line="240" w:lineRule="auto"/>
            </w:pPr>
            <w:r/>
            <w:r>
              <w:rPr>
                <w:rFonts w:ascii="Arial" w:hAnsi="Arial"/>
                <w:b w:val="0"/>
                <w:sz w:val="15"/>
              </w:rPr>
              <w:t>“Safe pregnancy,” “no risk,” “normal in every respect,” or any guarantee.</w:t>
            </w:r>
          </w:p>
        </w:tc>
      </w:tr>
      <w:tr>
        <w:trPr>
          <w:cantSplit/>
        </w:trPr>
        <w:tc>
          <w:tcPr>
            <w:tcW w:type="dxa" w:w="1728"/>
            <w:vAlign w:val="center"/>
          </w:tcPr>
          <w:p>
            <w:pPr>
              <w:spacing w:after="0" w:line="240" w:lineRule="auto"/>
            </w:pPr>
            <w:r/>
            <w:r>
              <w:rPr>
                <w:rFonts w:ascii="Arial" w:hAnsi="Arial"/>
                <w:b w:val="0"/>
                <w:sz w:val="15"/>
              </w:rPr>
              <w:t>ASSESSMENT INCOMPLETE</w:t>
            </w:r>
          </w:p>
        </w:tc>
        <w:tc>
          <w:tcPr>
            <w:tcW w:type="dxa" w:w="4752"/>
            <w:vAlign w:val="center"/>
          </w:tcPr>
          <w:p>
            <w:pPr>
              <w:spacing w:after="0" w:line="240" w:lineRule="auto"/>
            </w:pPr>
            <w:r/>
            <w:r>
              <w:rPr>
                <w:rFonts w:ascii="Arial" w:hAnsi="Arial"/>
                <w:b w:val="0"/>
                <w:sz w:val="15"/>
              </w:rPr>
              <w:t>Exactly which required records or model conditions are missing/invalid; what must be completed or corrected; no reliable LOW/HIGH conclusion is available.</w:t>
            </w:r>
          </w:p>
        </w:tc>
        <w:tc>
          <w:tcPr>
            <w:tcW w:type="dxa" w:w="4536"/>
            <w:vAlign w:val="center"/>
          </w:tcPr>
          <w:p>
            <w:pPr>
              <w:spacing w:after="0" w:line="240" w:lineRule="auto"/>
            </w:pPr>
            <w:r/>
            <w:r>
              <w:rPr>
                <w:rFonts w:ascii="Arial" w:hAnsi="Arial"/>
                <w:b w:val="0"/>
                <w:sz w:val="15"/>
              </w:rPr>
              <w:t>Guessing, defaulting to LOW, hiding technical failure, or implying the patient has no risk.</w:t>
            </w:r>
          </w:p>
        </w:tc>
      </w:tr>
    </w:tbl>
    <w:p>
      <w:pPr/>
    </w:p>
    <w:p>
      <w:pPr>
        <w:pStyle w:val="Heading1"/>
      </w:pPr>
      <w:r>
        <w:t>7. Canonical Explanation Construction</w:t>
      </w:r>
    </w:p>
    <w:p>
      <w:pPr>
        <w:pStyle w:val="Heading2"/>
      </w:pPr>
      <w:r>
        <w:t>7.1 Construction sequence</w:t>
      </w:r>
    </w:p>
    <w:p>
      <w:pPr>
        <w:pStyle w:val="ListNumber"/>
      </w:pPr>
      <w:r>
        <w:t>Load the immutable snapshot, decision evidence, final DecisionRecord, and VersionManifest.</w:t>
      </w:r>
    </w:p>
    <w:p>
      <w:pPr>
        <w:pStyle w:val="ListNumber"/>
      </w:pPr>
      <w:r>
        <w:t>Validate that the final status is compatible with completeness, rule, and ML evidence.</w:t>
      </w:r>
    </w:p>
    <w:p>
      <w:pPr>
        <w:pStyle w:val="ListNumber"/>
      </w:pPr>
      <w:r>
        <w:t>Order reasons by clinical priority: urgent deterministic findings, other deterministic findings, ML contribution, then contextual limitations.</w:t>
      </w:r>
    </w:p>
    <w:p>
      <w:pPr>
        <w:pStyle w:val="ListNumber"/>
      </w:pPr>
      <w:r>
        <w:t>Deduplicate reasons that refer to the same observation without removing distinct clinical implications.</w:t>
      </w:r>
    </w:p>
    <w:p>
      <w:pPr>
        <w:pStyle w:val="ListNumber"/>
      </w:pPr>
      <w:r>
        <w:t>Generate a neutral summary from approved templates and structured placeholders.</w:t>
      </w:r>
    </w:p>
    <w:p>
      <w:pPr>
        <w:pStyle w:val="ListNumber"/>
      </w:pPr>
      <w:r>
        <w:t>Attach recommended action and urgency from the governed recommendation catalog.</w:t>
      </w:r>
    </w:p>
    <w:p>
      <w:pPr>
        <w:pStyle w:val="ListNumber"/>
      </w:pPr>
      <w:r>
        <w:t>Attach limitations, uncertainty, missing-information statements, and human-oversight notice.</w:t>
      </w:r>
    </w:p>
    <w:p>
      <w:pPr>
        <w:pStyle w:val="ListNumber"/>
      </w:pPr>
      <w:r>
        <w:t>Validate the completed bundle against schema and explanation-quality invariants.</w:t>
      </w:r>
    </w:p>
    <w:p>
      <w:pPr>
        <w:pStyle w:val="ListNumber"/>
      </w:pPr>
      <w:r>
        <w:t>Persist the bundle or the information necessary to reproduce it exactly.</w:t>
      </w:r>
    </w:p>
    <w:p>
      <w:pPr>
        <w:pStyle w:val="Heading2"/>
      </w:pPr>
      <w:r>
        <w:t>7.2 Canonical grammar</w:t>
      </w:r>
    </w:p>
    <w:p>
      <w:pPr>
        <w:pStyle w:val="CodeBlock"/>
        <w:shd w:fill="F2F2F2"/>
      </w:pPr>
      <w:r>
        <w:t>[STATUS] because [DECISIVE EVIDENCE].</w:t>
        <w:br/>
        <w:t>Supporting evidence: [ORDERED REASONS].</w:t>
        <w:br/>
        <w:t>Model contribution: [VALIDATED MODEL STATUS OR FAILURE DISCLOSURE].</w:t>
        <w:br/>
        <w:t>Recommended action: [APPROVED ACTION].</w:t>
        <w:br/>
        <w:t>Limitations: [NO DIAGNOSIS / HUMAN REVIEW / DATA BOUNDARY].</w:t>
        <w:br/>
        <w:t>Provenance: [ASSESSMENT, RULE, MODEL, POLICY, TEMPLATE VERSIONS].</w:t>
      </w:r>
    </w:p>
    <w:p>
      <w:pPr>
        <w:pStyle w:val="Heading2"/>
      </w:pPr>
      <w:r>
        <w:t>7.3 Conflict and disagreement disclosure</w:t>
      </w:r>
    </w:p>
    <w:p>
      <w:pPr>
        <w:pStyle w:val="BodyText"/>
      </w:pPr>
      <w:r>
        <w:t>The system must never hide a meaningful rule-versus-model disagreement. When deterministic rules produce HIGH and the model returns LOW, the explanation states that the final HIGH result was selected because deterministic safety rules take precedence. When no deterministic factor triggers but the model returns HIGH, the explanation states that the model identified a higher-risk pattern and that professional review is required, while avoiding unsupported claims about the specific internal cause unless an approved attribution method exists.</w:t>
      </w:r>
    </w:p>
    <w:p>
      <w:pPr>
        <w:pStyle w:val="Heading1"/>
      </w:pPr>
      <w:r>
        <w:t>8. Audience and Channel Specification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2F5597"/>
          </w:tcPr>
          <w:p>
            <w:pPr>
              <w:spacing w:after="0" w:line="240" w:lineRule="auto"/>
            </w:pPr>
            <w:r/>
            <w:r>
              <w:rPr>
                <w:rFonts w:ascii="Arial" w:hAnsi="Arial"/>
                <w:b/>
                <w:color w:val="FFFFFF"/>
                <w:sz w:val="15"/>
              </w:rPr>
              <w:t>Audience</w:t>
            </w:r>
          </w:p>
        </w:tc>
        <w:tc>
          <w:tcPr>
            <w:tcW w:type="dxa" w:w="4968"/>
            <w:vAlign w:val="center"/>
            <w:shd w:fill="2F5597"/>
          </w:tcPr>
          <w:p>
            <w:pPr>
              <w:spacing w:after="0" w:line="240" w:lineRule="auto"/>
            </w:pPr>
            <w:r/>
            <w:r>
              <w:rPr>
                <w:rFonts w:ascii="Arial" w:hAnsi="Arial"/>
                <w:b/>
                <w:color w:val="FFFFFF"/>
                <w:sz w:val="15"/>
              </w:rPr>
              <w:t>Information emphasis</w:t>
            </w:r>
          </w:p>
        </w:tc>
        <w:tc>
          <w:tcPr>
            <w:tcW w:type="dxa" w:w="4032"/>
            <w:vAlign w:val="center"/>
            <w:shd w:fill="2F5597"/>
          </w:tcPr>
          <w:p>
            <w:pPr>
              <w:spacing w:after="0" w:line="240" w:lineRule="auto"/>
            </w:pPr>
            <w:r/>
            <w:r>
              <w:rPr>
                <w:rFonts w:ascii="Arial" w:hAnsi="Arial"/>
                <w:b/>
                <w:color w:val="FFFFFF"/>
                <w:sz w:val="15"/>
              </w:rPr>
              <w:t>Restricted or omitted content</w:t>
            </w:r>
          </w:p>
        </w:tc>
      </w:tr>
      <w:tr>
        <w:trPr>
          <w:cantSplit/>
        </w:trPr>
        <w:tc>
          <w:tcPr>
            <w:tcW w:type="dxa" w:w="2088"/>
            <w:vAlign w:val="center"/>
          </w:tcPr>
          <w:p>
            <w:pPr>
              <w:spacing w:after="0" w:line="240" w:lineRule="auto"/>
            </w:pPr>
            <w:r/>
            <w:r>
              <w:rPr>
                <w:rFonts w:ascii="Arial" w:hAnsi="Arial"/>
                <w:b w:val="0"/>
                <w:sz w:val="15"/>
              </w:rPr>
              <w:t>Midwife / authorized healthcare worker</w:t>
            </w:r>
          </w:p>
        </w:tc>
        <w:tc>
          <w:tcPr>
            <w:tcW w:type="dxa" w:w="4968"/>
            <w:vAlign w:val="center"/>
          </w:tcPr>
          <w:p>
            <w:pPr>
              <w:spacing w:after="0" w:line="240" w:lineRule="auto"/>
            </w:pPr>
            <w:r/>
            <w:r>
              <w:rPr>
                <w:rFonts w:ascii="Arial" w:hAnsi="Arial"/>
                <w:b w:val="0"/>
                <w:sz w:val="15"/>
              </w:rPr>
              <w:t>Final status, all clinically relevant reasons, observed values, urgency, action, missing data, model contribution, limitations, source dates.</w:t>
            </w:r>
          </w:p>
        </w:tc>
        <w:tc>
          <w:tcPr>
            <w:tcW w:type="dxa" w:w="4032"/>
            <w:vAlign w:val="center"/>
          </w:tcPr>
          <w:p>
            <w:pPr>
              <w:spacing w:after="0" w:line="240" w:lineRule="auto"/>
            </w:pPr>
            <w:r/>
            <w:r>
              <w:rPr>
                <w:rFonts w:ascii="Arial" w:hAnsi="Arial"/>
                <w:b w:val="0"/>
                <w:sz w:val="15"/>
              </w:rPr>
              <w:t>Developer-only stack traces, secrets, or unsupported model internals.</w:t>
            </w:r>
          </w:p>
        </w:tc>
      </w:tr>
      <w:tr>
        <w:trPr>
          <w:cantSplit/>
        </w:trPr>
        <w:tc>
          <w:tcPr>
            <w:tcW w:type="dxa" w:w="2088"/>
            <w:vAlign w:val="center"/>
            <w:shd w:fill="EAF0F8"/>
          </w:tcPr>
          <w:p>
            <w:pPr>
              <w:spacing w:after="0" w:line="240" w:lineRule="auto"/>
            </w:pPr>
            <w:r/>
            <w:r>
              <w:rPr>
                <w:rFonts w:ascii="Arial" w:hAnsi="Arial"/>
                <w:b w:val="0"/>
                <w:sz w:val="15"/>
              </w:rPr>
              <w:t>Patient</w:t>
            </w:r>
          </w:p>
        </w:tc>
        <w:tc>
          <w:tcPr>
            <w:tcW w:type="dxa" w:w="4968"/>
            <w:vAlign w:val="center"/>
            <w:shd w:fill="EAF0F8"/>
          </w:tcPr>
          <w:p>
            <w:pPr>
              <w:spacing w:after="0" w:line="240" w:lineRule="auto"/>
            </w:pPr>
            <w:r/>
            <w:r>
              <w:rPr>
                <w:rFonts w:ascii="Arial" w:hAnsi="Arial"/>
                <w:b w:val="0"/>
                <w:sz w:val="15"/>
              </w:rPr>
              <w:t>Plain-language meaning, next safe step, need for follow-up/referral, missing information, reassurance without false certainty.</w:t>
            </w:r>
          </w:p>
        </w:tc>
        <w:tc>
          <w:tcPr>
            <w:tcW w:type="dxa" w:w="4032"/>
            <w:vAlign w:val="center"/>
            <w:shd w:fill="EAF0F8"/>
          </w:tcPr>
          <w:p>
            <w:pPr>
              <w:spacing w:after="0" w:line="240" w:lineRule="auto"/>
            </w:pPr>
            <w:r/>
            <w:r>
              <w:rPr>
                <w:rFonts w:ascii="Arial" w:hAnsi="Arial"/>
                <w:b w:val="0"/>
                <w:sz w:val="15"/>
              </w:rPr>
              <w:t>Reason codes, model hashes, technical errors, unexplained probabilities, or alarming diagnostic language.</w:t>
            </w:r>
          </w:p>
        </w:tc>
      </w:tr>
      <w:tr>
        <w:trPr>
          <w:cantSplit/>
        </w:trPr>
        <w:tc>
          <w:tcPr>
            <w:tcW w:type="dxa" w:w="2088"/>
            <w:vAlign w:val="center"/>
          </w:tcPr>
          <w:p>
            <w:pPr>
              <w:spacing w:after="0" w:line="240" w:lineRule="auto"/>
            </w:pPr>
            <w:r/>
            <w:r>
              <w:rPr>
                <w:rFonts w:ascii="Arial" w:hAnsi="Arial"/>
                <w:b w:val="0"/>
                <w:sz w:val="15"/>
              </w:rPr>
              <w:t>Referral facility</w:t>
            </w:r>
          </w:p>
        </w:tc>
        <w:tc>
          <w:tcPr>
            <w:tcW w:type="dxa" w:w="4968"/>
            <w:vAlign w:val="center"/>
          </w:tcPr>
          <w:p>
            <w:pPr>
              <w:spacing w:after="0" w:line="240" w:lineRule="auto"/>
            </w:pPr>
            <w:r/>
            <w:r>
              <w:rPr>
                <w:rFonts w:ascii="Arial" w:hAnsi="Arial"/>
                <w:b w:val="0"/>
                <w:sz w:val="15"/>
              </w:rPr>
              <w:t>Concise referral rationale, prioritized findings, observation dates, relevant history, status, and origin clinic context.</w:t>
            </w:r>
          </w:p>
        </w:tc>
        <w:tc>
          <w:tcPr>
            <w:tcW w:type="dxa" w:w="4032"/>
            <w:vAlign w:val="center"/>
          </w:tcPr>
          <w:p>
            <w:pPr>
              <w:spacing w:after="0" w:line="240" w:lineRule="auto"/>
            </w:pPr>
            <w:r/>
            <w:r>
              <w:rPr>
                <w:rFonts w:ascii="Arial" w:hAnsi="Arial"/>
                <w:b w:val="0"/>
                <w:sz w:val="15"/>
              </w:rPr>
              <w:t>Irrelevant administrative details and unsupported diagnosis.</w:t>
            </w:r>
          </w:p>
        </w:tc>
      </w:tr>
      <w:tr>
        <w:trPr>
          <w:cantSplit/>
        </w:trPr>
        <w:tc>
          <w:tcPr>
            <w:tcW w:type="dxa" w:w="2088"/>
            <w:vAlign w:val="center"/>
            <w:shd w:fill="EAF0F8"/>
          </w:tcPr>
          <w:p>
            <w:pPr>
              <w:spacing w:after="0" w:line="240" w:lineRule="auto"/>
            </w:pPr>
            <w:r/>
            <w:r>
              <w:rPr>
                <w:rFonts w:ascii="Arial" w:hAnsi="Arial"/>
                <w:b w:val="0"/>
                <w:sz w:val="15"/>
              </w:rPr>
              <w:t>Administrator</w:t>
            </w:r>
          </w:p>
        </w:tc>
        <w:tc>
          <w:tcPr>
            <w:tcW w:type="dxa" w:w="4968"/>
            <w:vAlign w:val="center"/>
            <w:shd w:fill="EAF0F8"/>
          </w:tcPr>
          <w:p>
            <w:pPr>
              <w:spacing w:after="0" w:line="240" w:lineRule="auto"/>
            </w:pPr>
            <w:r/>
            <w:r>
              <w:rPr>
                <w:rFonts w:ascii="Arial" w:hAnsi="Arial"/>
                <w:b w:val="0"/>
                <w:sz w:val="15"/>
              </w:rPr>
              <w:t>Workflow state, whether assessment/referral/notification is pending or complete, timestamps, authorized aggregate metrics.</w:t>
            </w:r>
          </w:p>
        </w:tc>
        <w:tc>
          <w:tcPr>
            <w:tcW w:type="dxa" w:w="4032"/>
            <w:vAlign w:val="center"/>
            <w:shd w:fill="EAF0F8"/>
          </w:tcPr>
          <w:p>
            <w:pPr>
              <w:spacing w:after="0" w:line="240" w:lineRule="auto"/>
            </w:pPr>
            <w:r/>
            <w:r>
              <w:rPr>
                <w:rFonts w:ascii="Arial" w:hAnsi="Arial"/>
                <w:b w:val="0"/>
                <w:sz w:val="15"/>
              </w:rPr>
              <w:t>Clinical details beyond role need and raw model data.</w:t>
            </w:r>
          </w:p>
        </w:tc>
      </w:tr>
      <w:tr>
        <w:trPr>
          <w:cantSplit/>
        </w:trPr>
        <w:tc>
          <w:tcPr>
            <w:tcW w:type="dxa" w:w="2088"/>
            <w:vAlign w:val="center"/>
          </w:tcPr>
          <w:p>
            <w:pPr>
              <w:spacing w:after="0" w:line="240" w:lineRule="auto"/>
            </w:pPr>
            <w:r/>
            <w:r>
              <w:rPr>
                <w:rFonts w:ascii="Arial" w:hAnsi="Arial"/>
                <w:b w:val="0"/>
                <w:sz w:val="15"/>
              </w:rPr>
              <w:t>Developer / maintainer</w:t>
            </w:r>
          </w:p>
        </w:tc>
        <w:tc>
          <w:tcPr>
            <w:tcW w:type="dxa" w:w="4968"/>
            <w:vAlign w:val="center"/>
          </w:tcPr>
          <w:p>
            <w:pPr>
              <w:spacing w:after="0" w:line="240" w:lineRule="auto"/>
            </w:pPr>
            <w:r/>
            <w:r>
              <w:rPr>
                <w:rFonts w:ascii="Arial" w:hAnsi="Arial"/>
                <w:b w:val="0"/>
                <w:sz w:val="15"/>
              </w:rPr>
              <w:t>Structured reason codes, evidence paths, schema validation, contract versions, execution IDs, safe error details.</w:t>
            </w:r>
          </w:p>
        </w:tc>
        <w:tc>
          <w:tcPr>
            <w:tcW w:type="dxa" w:w="4032"/>
            <w:vAlign w:val="center"/>
          </w:tcPr>
          <w:p>
            <w:pPr>
              <w:spacing w:after="0" w:line="240" w:lineRule="auto"/>
            </w:pPr>
            <w:r/>
            <w:r>
              <w:rPr>
                <w:rFonts w:ascii="Arial" w:hAnsi="Arial"/>
                <w:b w:val="0"/>
                <w:sz w:val="15"/>
              </w:rPr>
              <w:t>Patient-identifying data not needed for debugging.</w:t>
            </w:r>
          </w:p>
        </w:tc>
      </w:tr>
      <w:tr>
        <w:trPr>
          <w:cantSplit/>
        </w:trPr>
        <w:tc>
          <w:tcPr>
            <w:tcW w:type="dxa" w:w="2088"/>
            <w:vAlign w:val="center"/>
            <w:shd w:fill="EAF0F8"/>
          </w:tcPr>
          <w:p>
            <w:pPr>
              <w:spacing w:after="0" w:line="240" w:lineRule="auto"/>
            </w:pPr>
            <w:r/>
            <w:r>
              <w:rPr>
                <w:rFonts w:ascii="Arial" w:hAnsi="Arial"/>
                <w:b w:val="0"/>
                <w:sz w:val="15"/>
              </w:rPr>
              <w:t>Researcher / evaluator</w:t>
            </w:r>
          </w:p>
        </w:tc>
        <w:tc>
          <w:tcPr>
            <w:tcW w:type="dxa" w:w="4968"/>
            <w:vAlign w:val="center"/>
            <w:shd w:fill="EAF0F8"/>
          </w:tcPr>
          <w:p>
            <w:pPr>
              <w:spacing w:after="0" w:line="240" w:lineRule="auto"/>
            </w:pPr>
            <w:r/>
            <w:r>
              <w:rPr>
                <w:rFonts w:ascii="Arial" w:hAnsi="Arial"/>
                <w:b w:val="0"/>
                <w:sz w:val="15"/>
              </w:rPr>
              <w:t>De-identified variables, versioned outcome and explanation metrics, test or study metadata.</w:t>
            </w:r>
          </w:p>
        </w:tc>
        <w:tc>
          <w:tcPr>
            <w:tcW w:type="dxa" w:w="4032"/>
            <w:vAlign w:val="center"/>
            <w:shd w:fill="EAF0F8"/>
          </w:tcPr>
          <w:p>
            <w:pPr>
              <w:spacing w:after="0" w:line="240" w:lineRule="auto"/>
            </w:pPr>
            <w:r/>
            <w:r>
              <w:rPr>
                <w:rFonts w:ascii="Arial" w:hAnsi="Arial"/>
                <w:b w:val="0"/>
                <w:sz w:val="15"/>
              </w:rPr>
              <w:t>Direct identifiers and operational secrets.</w:t>
            </w:r>
          </w:p>
        </w:tc>
      </w:tr>
      <w:tr>
        <w:trPr>
          <w:cantSplit/>
        </w:trPr>
        <w:tc>
          <w:tcPr>
            <w:tcW w:type="dxa" w:w="2088"/>
            <w:vAlign w:val="center"/>
          </w:tcPr>
          <w:p>
            <w:pPr>
              <w:spacing w:after="0" w:line="240" w:lineRule="auto"/>
            </w:pPr>
            <w:r/>
            <w:r>
              <w:rPr>
                <w:rFonts w:ascii="Arial" w:hAnsi="Arial"/>
                <w:b w:val="0"/>
                <w:sz w:val="15"/>
              </w:rPr>
              <w:t>Auditor / governance reviewer</w:t>
            </w:r>
          </w:p>
        </w:tc>
        <w:tc>
          <w:tcPr>
            <w:tcW w:type="dxa" w:w="4968"/>
            <w:vAlign w:val="center"/>
          </w:tcPr>
          <w:p>
            <w:pPr>
              <w:spacing w:after="0" w:line="240" w:lineRule="auto"/>
            </w:pPr>
            <w:r/>
            <w:r>
              <w:rPr>
                <w:rFonts w:ascii="Arial" w:hAnsi="Arial"/>
                <w:b w:val="0"/>
                <w:sz w:val="15"/>
              </w:rPr>
              <w:t>Complete provenance, decision evidence, versions, approvals, access history, incidents, and reconstruction evidence.</w:t>
            </w:r>
          </w:p>
        </w:tc>
        <w:tc>
          <w:tcPr>
            <w:tcW w:type="dxa" w:w="4032"/>
            <w:vAlign w:val="center"/>
          </w:tcPr>
          <w:p>
            <w:pPr>
              <w:spacing w:after="0" w:line="240" w:lineRule="auto"/>
            </w:pPr>
            <w:r/>
            <w:r>
              <w:rPr>
                <w:rFonts w:ascii="Arial" w:hAnsi="Arial"/>
                <w:b w:val="0"/>
                <w:sz w:val="15"/>
              </w:rPr>
              <w:t>Only information outside the authorized audit purpose.</w:t>
            </w:r>
          </w:p>
        </w:tc>
      </w:tr>
    </w:tbl>
    <w:p>
      <w:pPr/>
    </w:p>
    <w:p>
      <w:pPr>
        <w:pStyle w:val="Heading2"/>
      </w:pPr>
      <w:r>
        <w:t>8.1 Channel consistency</w:t>
      </w:r>
    </w:p>
    <w:p>
      <w:pPr>
        <w:pStyle w:val="ListBullet"/>
      </w:pPr>
      <w:r>
        <w:t>The patient profile, prenatal visit view, printed report, referral document, email notification, and audit view must agree on the final status and decisive reasons.</w:t>
      </w:r>
    </w:p>
    <w:p>
      <w:pPr>
        <w:pStyle w:val="ListBullet"/>
      </w:pPr>
      <w:r>
        <w:t>A shorter channel may omit secondary detail but must not reverse, soften, or exaggerate urgency.</w:t>
      </w:r>
    </w:p>
    <w:p>
      <w:pPr>
        <w:pStyle w:val="ListBullet"/>
      </w:pPr>
      <w:r>
        <w:t>Color is supplementary only. Text labels and icons must independently communicate HIGH, LOW, or ASSESSMENT INCOMPLETE.</w:t>
      </w:r>
    </w:p>
    <w:p>
      <w:pPr>
        <w:pStyle w:val="ListBullet"/>
      </w:pPr>
      <w:r>
        <w:t>Printed and mobile layouts must preserve reason ordering, source dates, action wording, and limitation statements.</w:t>
      </w:r>
    </w:p>
    <w:p>
      <w:pPr>
        <w:pStyle w:val="ListBullet"/>
      </w:pPr>
      <w:r>
        <w:t>Localization must use approved translation keys and clinical review; direct machine translation is not an approved production method.</w:t>
      </w:r>
    </w:p>
    <w:p>
      <w:pPr>
        <w:pStyle w:val="Heading1"/>
      </w:pPr>
      <w:r>
        <w:t>9. Master Requirements and Traceability Matrix</w:t>
      </w:r>
    </w:p>
    <w:p>
      <w:pPr>
        <w:pStyle w:val="BodyText"/>
      </w:pPr>
      <w:r>
        <w:t>The following matrix provides representative traceability from requirement to architecture, implementation evidence, verification, and governance. The final software repository should maintain a fuller machine-readable or test-linked register as the implementation evolves.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936"/>
            <w:vAlign w:val="center"/>
            <w:shd w:fill="2F5597"/>
          </w:tcPr>
          <w:p>
            <w:pPr>
              <w:spacing w:after="0" w:line="240" w:lineRule="auto"/>
            </w:pPr>
            <w:r/>
            <w:r>
              <w:rPr>
                <w:rFonts w:ascii="Arial" w:hAnsi="Arial"/>
                <w:b/>
                <w:color w:val="FFFFFF"/>
                <w:sz w:val="13"/>
              </w:rPr>
              <w:t>ID</w:t>
            </w:r>
          </w:p>
        </w:tc>
        <w:tc>
          <w:tcPr>
            <w:tcW w:type="dxa" w:w="3024"/>
            <w:vAlign w:val="center"/>
            <w:shd w:fill="2F5597"/>
          </w:tcPr>
          <w:p>
            <w:pPr>
              <w:spacing w:after="0" w:line="240" w:lineRule="auto"/>
            </w:pPr>
            <w:r/>
            <w:r>
              <w:rPr>
                <w:rFonts w:ascii="Arial" w:hAnsi="Arial"/>
                <w:b/>
                <w:color w:val="FFFFFF"/>
                <w:sz w:val="13"/>
              </w:rPr>
              <w:t>Requirement</w:t>
            </w:r>
          </w:p>
        </w:tc>
        <w:tc>
          <w:tcPr>
            <w:tcW w:type="dxa" w:w="2520"/>
            <w:vAlign w:val="center"/>
            <w:shd w:fill="2F5597"/>
          </w:tcPr>
          <w:p>
            <w:pPr>
              <w:spacing w:after="0" w:line="240" w:lineRule="auto"/>
            </w:pPr>
            <w:r/>
            <w:r>
              <w:rPr>
                <w:rFonts w:ascii="Arial" w:hAnsi="Arial"/>
                <w:b/>
                <w:color w:val="FFFFFF"/>
                <w:sz w:val="13"/>
              </w:rPr>
              <w:t>Architecture / implementation</w:t>
            </w:r>
          </w:p>
        </w:tc>
        <w:tc>
          <w:tcPr>
            <w:tcW w:type="dxa" w:w="2520"/>
            <w:vAlign w:val="center"/>
            <w:shd w:fill="2F5597"/>
          </w:tcPr>
          <w:p>
            <w:pPr>
              <w:spacing w:after="0" w:line="240" w:lineRule="auto"/>
            </w:pPr>
            <w:r/>
            <w:r>
              <w:rPr>
                <w:rFonts w:ascii="Arial" w:hAnsi="Arial"/>
                <w:b/>
                <w:color w:val="FFFFFF"/>
                <w:sz w:val="13"/>
              </w:rPr>
              <w:t>Verification</w:t>
            </w:r>
          </w:p>
        </w:tc>
        <w:tc>
          <w:tcPr>
            <w:tcW w:type="dxa" w:w="2088"/>
            <w:vAlign w:val="center"/>
            <w:shd w:fill="2F5597"/>
          </w:tcPr>
          <w:p>
            <w:pPr>
              <w:spacing w:after="0" w:line="240" w:lineRule="auto"/>
            </w:pPr>
            <w:r/>
            <w:r>
              <w:rPr>
                <w:rFonts w:ascii="Arial" w:hAnsi="Arial"/>
                <w:b/>
                <w:color w:val="FFFFFF"/>
                <w:sz w:val="13"/>
              </w:rPr>
              <w:t>Governance</w:t>
            </w:r>
          </w:p>
        </w:tc>
      </w:tr>
      <w:tr>
        <w:trPr>
          <w:cantSplit/>
        </w:trPr>
        <w:tc>
          <w:tcPr>
            <w:tcW w:type="dxa" w:w="936"/>
            <w:vAlign w:val="center"/>
          </w:tcPr>
          <w:p>
            <w:pPr>
              <w:spacing w:after="0" w:line="240" w:lineRule="auto"/>
            </w:pPr>
            <w:r/>
            <w:r>
              <w:rPr>
                <w:rFonts w:ascii="Arial" w:hAnsi="Arial"/>
                <w:b w:val="0"/>
                <w:sz w:val="13"/>
              </w:rPr>
              <w:t>EXPL-001</w:t>
            </w:r>
          </w:p>
        </w:tc>
        <w:tc>
          <w:tcPr>
            <w:tcW w:type="dxa" w:w="3024"/>
            <w:vAlign w:val="center"/>
          </w:tcPr>
          <w:p>
            <w:pPr>
              <w:spacing w:after="0" w:line="240" w:lineRule="auto"/>
            </w:pPr>
            <w:r/>
            <w:r>
              <w:rPr>
                <w:rFonts w:ascii="Arial" w:hAnsi="Arial"/>
                <w:b w:val="0"/>
                <w:sz w:val="13"/>
              </w:rPr>
              <w:t>Every assessment has one canonical explanation bundle.</w:t>
            </w:r>
          </w:p>
        </w:tc>
        <w:tc>
          <w:tcPr>
            <w:tcW w:type="dxa" w:w="2520"/>
            <w:vAlign w:val="center"/>
          </w:tcPr>
          <w:p>
            <w:pPr>
              <w:spacing w:after="0" w:line="240" w:lineRule="auto"/>
            </w:pPr>
            <w:r/>
            <w:r>
              <w:rPr>
                <w:rFonts w:ascii="Arial" w:hAnsi="Arial"/>
                <w:b w:val="0"/>
                <w:sz w:val="13"/>
              </w:rPr>
              <w:t>Explanation Engine + persistence</w:t>
            </w:r>
          </w:p>
        </w:tc>
        <w:tc>
          <w:tcPr>
            <w:tcW w:type="dxa" w:w="2520"/>
            <w:vAlign w:val="center"/>
          </w:tcPr>
          <w:p>
            <w:pPr>
              <w:spacing w:after="0" w:line="240" w:lineRule="auto"/>
            </w:pPr>
            <w:r/>
            <w:r>
              <w:rPr>
                <w:rFonts w:ascii="Arial" w:hAnsi="Arial"/>
                <w:b w:val="0"/>
                <w:sz w:val="13"/>
              </w:rPr>
              <w:t>Unit/integration: bundle created once per decision</w:t>
            </w:r>
          </w:p>
        </w:tc>
        <w:tc>
          <w:tcPr>
            <w:tcW w:type="dxa" w:w="2088"/>
            <w:vAlign w:val="center"/>
          </w:tcPr>
          <w:p>
            <w:pPr>
              <w:spacing w:after="0" w:line="240" w:lineRule="auto"/>
            </w:pPr>
            <w:r/>
            <w:r>
              <w:rPr>
                <w:rFonts w:ascii="Arial" w:hAnsi="Arial"/>
                <w:b w:val="0"/>
                <w:sz w:val="13"/>
              </w:rPr>
              <w:t>Template/schema changes require approval.</w:t>
            </w:r>
          </w:p>
        </w:tc>
      </w:tr>
      <w:tr>
        <w:trPr>
          <w:cantSplit/>
        </w:trPr>
        <w:tc>
          <w:tcPr>
            <w:tcW w:type="dxa" w:w="936"/>
            <w:vAlign w:val="center"/>
            <w:shd w:fill="EAF0F8"/>
          </w:tcPr>
          <w:p>
            <w:pPr>
              <w:spacing w:after="0" w:line="240" w:lineRule="auto"/>
            </w:pPr>
            <w:r/>
            <w:r>
              <w:rPr>
                <w:rFonts w:ascii="Arial" w:hAnsi="Arial"/>
                <w:b w:val="0"/>
                <w:sz w:val="13"/>
              </w:rPr>
              <w:t>EXPL-002</w:t>
            </w:r>
          </w:p>
        </w:tc>
        <w:tc>
          <w:tcPr>
            <w:tcW w:type="dxa" w:w="3024"/>
            <w:vAlign w:val="center"/>
            <w:shd w:fill="EAF0F8"/>
          </w:tcPr>
          <w:p>
            <w:pPr>
              <w:spacing w:after="0" w:line="240" w:lineRule="auto"/>
            </w:pPr>
            <w:r/>
            <w:r>
              <w:rPr>
                <w:rFonts w:ascii="Arial" w:hAnsi="Arial"/>
                <w:b w:val="0"/>
                <w:sz w:val="13"/>
              </w:rPr>
              <w:t>Displayed reasons exactly match decision evidence.</w:t>
            </w:r>
          </w:p>
        </w:tc>
        <w:tc>
          <w:tcPr>
            <w:tcW w:type="dxa" w:w="2520"/>
            <w:vAlign w:val="center"/>
            <w:shd w:fill="EAF0F8"/>
          </w:tcPr>
          <w:p>
            <w:pPr>
              <w:spacing w:after="0" w:line="240" w:lineRule="auto"/>
            </w:pPr>
            <w:r/>
            <w:r>
              <w:rPr>
                <w:rFonts w:ascii="Arial" w:hAnsi="Arial"/>
                <w:b w:val="0"/>
                <w:sz w:val="13"/>
              </w:rPr>
              <w:t>Rule Engine, DecisionEvidence, projection service</w:t>
            </w:r>
          </w:p>
        </w:tc>
        <w:tc>
          <w:tcPr>
            <w:tcW w:type="dxa" w:w="2520"/>
            <w:vAlign w:val="center"/>
            <w:shd w:fill="EAF0F8"/>
          </w:tcPr>
          <w:p>
            <w:pPr>
              <w:spacing w:after="0" w:line="240" w:lineRule="auto"/>
            </w:pPr>
            <w:r/>
            <w:r>
              <w:rPr>
                <w:rFonts w:ascii="Arial" w:hAnsi="Arial"/>
                <w:b w:val="0"/>
                <w:sz w:val="13"/>
              </w:rPr>
              <w:t>Reason precision and recall = 100% in reference scenarios</w:t>
            </w:r>
          </w:p>
        </w:tc>
        <w:tc>
          <w:tcPr>
            <w:tcW w:type="dxa" w:w="2088"/>
            <w:vAlign w:val="center"/>
            <w:shd w:fill="EAF0F8"/>
          </w:tcPr>
          <w:p>
            <w:pPr>
              <w:spacing w:after="0" w:line="240" w:lineRule="auto"/>
            </w:pPr>
            <w:r/>
            <w:r>
              <w:rPr>
                <w:rFonts w:ascii="Arial" w:hAnsi="Arial"/>
                <w:b w:val="0"/>
                <w:sz w:val="13"/>
              </w:rPr>
              <w:t>Mismatch is release-blocking.</w:t>
            </w:r>
          </w:p>
        </w:tc>
      </w:tr>
      <w:tr>
        <w:trPr>
          <w:cantSplit/>
        </w:trPr>
        <w:tc>
          <w:tcPr>
            <w:tcW w:type="dxa" w:w="936"/>
            <w:vAlign w:val="center"/>
          </w:tcPr>
          <w:p>
            <w:pPr>
              <w:spacing w:after="0" w:line="240" w:lineRule="auto"/>
            </w:pPr>
            <w:r/>
            <w:r>
              <w:rPr>
                <w:rFonts w:ascii="Arial" w:hAnsi="Arial"/>
                <w:b w:val="0"/>
                <w:sz w:val="13"/>
              </w:rPr>
              <w:t>EXPL-003</w:t>
            </w:r>
          </w:p>
        </w:tc>
        <w:tc>
          <w:tcPr>
            <w:tcW w:type="dxa" w:w="3024"/>
            <w:vAlign w:val="center"/>
          </w:tcPr>
          <w:p>
            <w:pPr>
              <w:spacing w:after="0" w:line="240" w:lineRule="auto"/>
            </w:pPr>
            <w:r/>
            <w:r>
              <w:rPr>
                <w:rFonts w:ascii="Arial" w:hAnsi="Arial"/>
                <w:b w:val="0"/>
                <w:sz w:val="13"/>
              </w:rPr>
              <w:t>Deterministic HIGH overrides ML LOW.</w:t>
            </w:r>
          </w:p>
        </w:tc>
        <w:tc>
          <w:tcPr>
            <w:tcW w:type="dxa" w:w="2520"/>
            <w:vAlign w:val="center"/>
          </w:tcPr>
          <w:p>
            <w:pPr>
              <w:spacing w:after="0" w:line="240" w:lineRule="auto"/>
            </w:pPr>
            <w:r/>
            <w:r>
              <w:rPr>
                <w:rFonts w:ascii="Arial" w:hAnsi="Arial"/>
                <w:b w:val="0"/>
                <w:sz w:val="13"/>
              </w:rPr>
              <w:t>Decision Policy Service</w:t>
            </w:r>
          </w:p>
        </w:tc>
        <w:tc>
          <w:tcPr>
            <w:tcW w:type="dxa" w:w="2520"/>
            <w:vAlign w:val="center"/>
          </w:tcPr>
          <w:p>
            <w:pPr>
              <w:spacing w:after="0" w:line="240" w:lineRule="auto"/>
            </w:pPr>
            <w:r/>
            <w:r>
              <w:rPr>
                <w:rFonts w:ascii="Arial" w:hAnsi="Arial"/>
                <w:b w:val="0"/>
                <w:sz w:val="13"/>
              </w:rPr>
              <w:t>Boundary and disagreement tests</w:t>
            </w:r>
          </w:p>
        </w:tc>
        <w:tc>
          <w:tcPr>
            <w:tcW w:type="dxa" w:w="2088"/>
            <w:vAlign w:val="center"/>
          </w:tcPr>
          <w:p>
            <w:pPr>
              <w:spacing w:after="0" w:line="240" w:lineRule="auto"/>
            </w:pPr>
            <w:r/>
            <w:r>
              <w:rPr>
                <w:rFonts w:ascii="Arial" w:hAnsi="Arial"/>
                <w:b w:val="0"/>
                <w:sz w:val="13"/>
              </w:rPr>
              <w:t>Policy version and clinical approval required.</w:t>
            </w:r>
          </w:p>
        </w:tc>
      </w:tr>
      <w:tr>
        <w:trPr>
          <w:cantSplit/>
        </w:trPr>
        <w:tc>
          <w:tcPr>
            <w:tcW w:type="dxa" w:w="936"/>
            <w:vAlign w:val="center"/>
            <w:shd w:fill="EAF0F8"/>
          </w:tcPr>
          <w:p>
            <w:pPr>
              <w:spacing w:after="0" w:line="240" w:lineRule="auto"/>
            </w:pPr>
            <w:r/>
            <w:r>
              <w:rPr>
                <w:rFonts w:ascii="Arial" w:hAnsi="Arial"/>
                <w:b w:val="0"/>
                <w:sz w:val="13"/>
              </w:rPr>
              <w:t>EXPL-004</w:t>
            </w:r>
          </w:p>
        </w:tc>
        <w:tc>
          <w:tcPr>
            <w:tcW w:type="dxa" w:w="3024"/>
            <w:vAlign w:val="center"/>
            <w:shd w:fill="EAF0F8"/>
          </w:tcPr>
          <w:p>
            <w:pPr>
              <w:spacing w:after="0" w:line="240" w:lineRule="auto"/>
            </w:pPr>
            <w:r/>
            <w:r>
              <w:rPr>
                <w:rFonts w:ascii="Arial" w:hAnsi="Arial"/>
                <w:b w:val="0"/>
                <w:sz w:val="13"/>
              </w:rPr>
              <w:t>LOW requires complete records, valid ML LOW, and no rule HIGH.</w:t>
            </w:r>
          </w:p>
        </w:tc>
        <w:tc>
          <w:tcPr>
            <w:tcW w:type="dxa" w:w="2520"/>
            <w:vAlign w:val="center"/>
            <w:shd w:fill="EAF0F8"/>
          </w:tcPr>
          <w:p>
            <w:pPr>
              <w:spacing w:after="0" w:line="240" w:lineRule="auto"/>
            </w:pPr>
            <w:r/>
            <w:r>
              <w:rPr>
                <w:rFonts w:ascii="Arial" w:hAnsi="Arial"/>
                <w:b w:val="0"/>
                <w:sz w:val="13"/>
              </w:rPr>
              <w:t>Completeness validator + policy</w:t>
            </w:r>
          </w:p>
        </w:tc>
        <w:tc>
          <w:tcPr>
            <w:tcW w:type="dxa" w:w="2520"/>
            <w:vAlign w:val="center"/>
            <w:shd w:fill="EAF0F8"/>
          </w:tcPr>
          <w:p>
            <w:pPr>
              <w:spacing w:after="0" w:line="240" w:lineRule="auto"/>
            </w:pPr>
            <w:r/>
            <w:r>
              <w:rPr>
                <w:rFonts w:ascii="Arial" w:hAnsi="Arial"/>
                <w:b w:val="0"/>
                <w:sz w:val="13"/>
              </w:rPr>
              <w:t>LOW eligibility matrix</w:t>
            </w:r>
          </w:p>
        </w:tc>
        <w:tc>
          <w:tcPr>
            <w:tcW w:type="dxa" w:w="2088"/>
            <w:vAlign w:val="center"/>
            <w:shd w:fill="EAF0F8"/>
          </w:tcPr>
          <w:p>
            <w:pPr>
              <w:spacing w:after="0" w:line="240" w:lineRule="auto"/>
            </w:pPr>
            <w:r/>
            <w:r>
              <w:rPr>
                <w:rFonts w:ascii="Arial" w:hAnsi="Arial"/>
                <w:b w:val="0"/>
                <w:sz w:val="13"/>
              </w:rPr>
              <w:t>Any weakening is safety-critical change.</w:t>
            </w:r>
          </w:p>
        </w:tc>
      </w:tr>
      <w:tr>
        <w:trPr>
          <w:cantSplit/>
        </w:trPr>
        <w:tc>
          <w:tcPr>
            <w:tcW w:type="dxa" w:w="936"/>
            <w:vAlign w:val="center"/>
          </w:tcPr>
          <w:p>
            <w:pPr>
              <w:spacing w:after="0" w:line="240" w:lineRule="auto"/>
            </w:pPr>
            <w:r/>
            <w:r>
              <w:rPr>
                <w:rFonts w:ascii="Arial" w:hAnsi="Arial"/>
                <w:b w:val="0"/>
                <w:sz w:val="13"/>
              </w:rPr>
              <w:t>EXPL-005</w:t>
            </w:r>
          </w:p>
        </w:tc>
        <w:tc>
          <w:tcPr>
            <w:tcW w:type="dxa" w:w="3024"/>
            <w:vAlign w:val="center"/>
          </w:tcPr>
          <w:p>
            <w:pPr>
              <w:spacing w:after="0" w:line="240" w:lineRule="auto"/>
            </w:pPr>
            <w:r/>
            <w:r>
              <w:rPr>
                <w:rFonts w:ascii="Arial" w:hAnsi="Arial"/>
                <w:b w:val="0"/>
                <w:sz w:val="13"/>
              </w:rPr>
              <w:t>Invalid model output cannot become LOW.</w:t>
            </w:r>
          </w:p>
        </w:tc>
        <w:tc>
          <w:tcPr>
            <w:tcW w:type="dxa" w:w="2520"/>
            <w:vAlign w:val="center"/>
          </w:tcPr>
          <w:p>
            <w:pPr>
              <w:spacing w:after="0" w:line="240" w:lineRule="auto"/>
            </w:pPr>
            <w:r/>
            <w:r>
              <w:rPr>
                <w:rFonts w:ascii="Arial" w:hAnsi="Arial"/>
                <w:b w:val="0"/>
                <w:sz w:val="13"/>
              </w:rPr>
              <w:t>Python adapter + validator</w:t>
            </w:r>
          </w:p>
        </w:tc>
        <w:tc>
          <w:tcPr>
            <w:tcW w:type="dxa" w:w="2520"/>
            <w:vAlign w:val="center"/>
          </w:tcPr>
          <w:p>
            <w:pPr>
              <w:spacing w:after="0" w:line="240" w:lineRule="auto"/>
            </w:pPr>
            <w:r/>
            <w:r>
              <w:rPr>
                <w:rFonts w:ascii="Arial" w:hAnsi="Arial"/>
                <w:b w:val="0"/>
                <w:sz w:val="13"/>
              </w:rPr>
              <w:t>Timeout/malformed/unknown-output tests</w:t>
            </w:r>
          </w:p>
        </w:tc>
        <w:tc>
          <w:tcPr>
            <w:tcW w:type="dxa" w:w="2088"/>
            <w:vAlign w:val="center"/>
          </w:tcPr>
          <w:p>
            <w:pPr>
              <w:spacing w:after="0" w:line="240" w:lineRule="auto"/>
            </w:pPr>
            <w:r/>
            <w:r>
              <w:rPr>
                <w:rFonts w:ascii="Arial" w:hAnsi="Arial"/>
                <w:b w:val="0"/>
                <w:sz w:val="13"/>
              </w:rPr>
              <w:t>Adapter and model contracts versioned.</w:t>
            </w:r>
          </w:p>
        </w:tc>
      </w:tr>
      <w:tr>
        <w:trPr>
          <w:cantSplit/>
        </w:trPr>
        <w:tc>
          <w:tcPr>
            <w:tcW w:type="dxa" w:w="936"/>
            <w:vAlign w:val="center"/>
            <w:shd w:fill="EAF0F8"/>
          </w:tcPr>
          <w:p>
            <w:pPr>
              <w:spacing w:after="0" w:line="240" w:lineRule="auto"/>
            </w:pPr>
            <w:r/>
            <w:r>
              <w:rPr>
                <w:rFonts w:ascii="Arial" w:hAnsi="Arial"/>
                <w:b w:val="0"/>
                <w:sz w:val="13"/>
              </w:rPr>
              <w:t>EXPL-006</w:t>
            </w:r>
          </w:p>
        </w:tc>
        <w:tc>
          <w:tcPr>
            <w:tcW w:type="dxa" w:w="3024"/>
            <w:vAlign w:val="center"/>
            <w:shd w:fill="EAF0F8"/>
          </w:tcPr>
          <w:p>
            <w:pPr>
              <w:spacing w:after="0" w:line="240" w:lineRule="auto"/>
            </w:pPr>
            <w:r/>
            <w:r>
              <w:rPr>
                <w:rFonts w:ascii="Arial" w:hAnsi="Arial"/>
                <w:b w:val="0"/>
                <w:sz w:val="13"/>
              </w:rPr>
              <w:t>INCOMPLETE identifies exact missing/invalid causes.</w:t>
            </w:r>
          </w:p>
        </w:tc>
        <w:tc>
          <w:tcPr>
            <w:tcW w:type="dxa" w:w="2520"/>
            <w:vAlign w:val="center"/>
            <w:shd w:fill="EAF0F8"/>
          </w:tcPr>
          <w:p>
            <w:pPr>
              <w:spacing w:after="0" w:line="240" w:lineRule="auto"/>
            </w:pPr>
            <w:r/>
            <w:r>
              <w:rPr>
                <w:rFonts w:ascii="Arial" w:hAnsi="Arial"/>
                <w:b w:val="0"/>
                <w:sz w:val="13"/>
              </w:rPr>
              <w:t>Completeness report + templates</w:t>
            </w:r>
          </w:p>
        </w:tc>
        <w:tc>
          <w:tcPr>
            <w:tcW w:type="dxa" w:w="2520"/>
            <w:vAlign w:val="center"/>
            <w:shd w:fill="EAF0F8"/>
          </w:tcPr>
          <w:p>
            <w:pPr>
              <w:spacing w:after="0" w:line="240" w:lineRule="auto"/>
            </w:pPr>
            <w:r/>
            <w:r>
              <w:rPr>
                <w:rFonts w:ascii="Arial" w:hAnsi="Arial"/>
                <w:b w:val="0"/>
                <w:sz w:val="13"/>
              </w:rPr>
              <w:t>Missing-history/ultrasound/birth-plan/model tests</w:t>
            </w:r>
          </w:p>
        </w:tc>
        <w:tc>
          <w:tcPr>
            <w:tcW w:type="dxa" w:w="2088"/>
            <w:vAlign w:val="center"/>
            <w:shd w:fill="EAF0F8"/>
          </w:tcPr>
          <w:p>
            <w:pPr>
              <w:spacing w:after="0" w:line="240" w:lineRule="auto"/>
            </w:pPr>
            <w:r/>
            <w:r>
              <w:rPr>
                <w:rFonts w:ascii="Arial" w:hAnsi="Arial"/>
                <w:b w:val="0"/>
                <w:sz w:val="13"/>
              </w:rPr>
              <w:t>Reason catalog controlled.</w:t>
            </w:r>
          </w:p>
        </w:tc>
      </w:tr>
      <w:tr>
        <w:trPr>
          <w:cantSplit/>
        </w:trPr>
        <w:tc>
          <w:tcPr>
            <w:tcW w:type="dxa" w:w="936"/>
            <w:vAlign w:val="center"/>
          </w:tcPr>
          <w:p>
            <w:pPr>
              <w:spacing w:after="0" w:line="240" w:lineRule="auto"/>
            </w:pPr>
            <w:r/>
            <w:r>
              <w:rPr>
                <w:rFonts w:ascii="Arial" w:hAnsi="Arial"/>
                <w:b w:val="0"/>
                <w:sz w:val="13"/>
              </w:rPr>
              <w:t>EXPL-007</w:t>
            </w:r>
          </w:p>
        </w:tc>
        <w:tc>
          <w:tcPr>
            <w:tcW w:type="dxa" w:w="3024"/>
            <w:vAlign w:val="center"/>
          </w:tcPr>
          <w:p>
            <w:pPr>
              <w:spacing w:after="0" w:line="240" w:lineRule="auto"/>
            </w:pPr>
            <w:r/>
            <w:r>
              <w:rPr>
                <w:rFonts w:ascii="Arial" w:hAnsi="Arial"/>
                <w:b w:val="0"/>
                <w:sz w:val="13"/>
              </w:rPr>
              <w:t>Every reason contains evidence provenance.</w:t>
            </w:r>
          </w:p>
        </w:tc>
        <w:tc>
          <w:tcPr>
            <w:tcW w:type="dxa" w:w="2520"/>
            <w:vAlign w:val="center"/>
          </w:tcPr>
          <w:p>
            <w:pPr>
              <w:spacing w:after="0" w:line="240" w:lineRule="auto"/>
            </w:pPr>
            <w:r/>
            <w:r>
              <w:rPr>
                <w:rFonts w:ascii="Arial" w:hAnsi="Arial"/>
                <w:b w:val="0"/>
                <w:sz w:val="13"/>
              </w:rPr>
              <w:t>Snapshot + RuleReason</w:t>
            </w:r>
          </w:p>
        </w:tc>
        <w:tc>
          <w:tcPr>
            <w:tcW w:type="dxa" w:w="2520"/>
            <w:vAlign w:val="center"/>
          </w:tcPr>
          <w:p>
            <w:pPr>
              <w:spacing w:after="0" w:line="240" w:lineRule="auto"/>
            </w:pPr>
            <w:r/>
            <w:r>
              <w:rPr>
                <w:rFonts w:ascii="Arial" w:hAnsi="Arial"/>
                <w:b w:val="0"/>
                <w:sz w:val="13"/>
              </w:rPr>
              <w:t>Field/source/date assertions</w:t>
            </w:r>
          </w:p>
        </w:tc>
        <w:tc>
          <w:tcPr>
            <w:tcW w:type="dxa" w:w="2088"/>
            <w:vAlign w:val="center"/>
          </w:tcPr>
          <w:p>
            <w:pPr>
              <w:spacing w:after="0" w:line="240" w:lineRule="auto"/>
            </w:pPr>
            <w:r/>
            <w:r>
              <w:rPr>
                <w:rFonts w:ascii="Arial" w:hAnsi="Arial"/>
                <w:b w:val="0"/>
                <w:sz w:val="13"/>
              </w:rPr>
              <w:t>Schema migration reviewed.</w:t>
            </w:r>
          </w:p>
        </w:tc>
      </w:tr>
      <w:tr>
        <w:trPr>
          <w:cantSplit/>
        </w:trPr>
        <w:tc>
          <w:tcPr>
            <w:tcW w:type="dxa" w:w="936"/>
            <w:vAlign w:val="center"/>
            <w:shd w:fill="EAF0F8"/>
          </w:tcPr>
          <w:p>
            <w:pPr>
              <w:spacing w:after="0" w:line="240" w:lineRule="auto"/>
            </w:pPr>
            <w:r/>
            <w:r>
              <w:rPr>
                <w:rFonts w:ascii="Arial" w:hAnsi="Arial"/>
                <w:b w:val="0"/>
                <w:sz w:val="13"/>
              </w:rPr>
              <w:t>EXPL-008</w:t>
            </w:r>
          </w:p>
        </w:tc>
        <w:tc>
          <w:tcPr>
            <w:tcW w:type="dxa" w:w="3024"/>
            <w:vAlign w:val="center"/>
            <w:shd w:fill="EAF0F8"/>
          </w:tcPr>
          <w:p>
            <w:pPr>
              <w:spacing w:after="0" w:line="240" w:lineRule="auto"/>
            </w:pPr>
            <w:r/>
            <w:r>
              <w:rPr>
                <w:rFonts w:ascii="Arial" w:hAnsi="Arial"/>
                <w:b w:val="0"/>
                <w:sz w:val="13"/>
              </w:rPr>
              <w:t>Audience wording changes without changing facts.</w:t>
            </w:r>
          </w:p>
        </w:tc>
        <w:tc>
          <w:tcPr>
            <w:tcW w:type="dxa" w:w="2520"/>
            <w:vAlign w:val="center"/>
            <w:shd w:fill="EAF0F8"/>
          </w:tcPr>
          <w:p>
            <w:pPr>
              <w:spacing w:after="0" w:line="240" w:lineRule="auto"/>
            </w:pPr>
            <w:r/>
            <w:r>
              <w:rPr>
                <w:rFonts w:ascii="Arial" w:hAnsi="Arial"/>
                <w:b w:val="0"/>
                <w:sz w:val="13"/>
              </w:rPr>
              <w:t>Projection Service</w:t>
            </w:r>
          </w:p>
        </w:tc>
        <w:tc>
          <w:tcPr>
            <w:tcW w:type="dxa" w:w="2520"/>
            <w:vAlign w:val="center"/>
            <w:shd w:fill="EAF0F8"/>
          </w:tcPr>
          <w:p>
            <w:pPr>
              <w:spacing w:after="0" w:line="240" w:lineRule="auto"/>
            </w:pPr>
            <w:r/>
            <w:r>
              <w:rPr>
                <w:rFonts w:ascii="Arial" w:hAnsi="Arial"/>
                <w:b w:val="0"/>
                <w:sz w:val="13"/>
              </w:rPr>
              <w:t>Cross-audience consistency test</w:t>
            </w:r>
          </w:p>
        </w:tc>
        <w:tc>
          <w:tcPr>
            <w:tcW w:type="dxa" w:w="2088"/>
            <w:vAlign w:val="center"/>
            <w:shd w:fill="EAF0F8"/>
          </w:tcPr>
          <w:p>
            <w:pPr>
              <w:spacing w:after="0" w:line="240" w:lineRule="auto"/>
            </w:pPr>
            <w:r/>
            <w:r>
              <w:rPr>
                <w:rFonts w:ascii="Arial" w:hAnsi="Arial"/>
                <w:b w:val="0"/>
                <w:sz w:val="13"/>
              </w:rPr>
              <w:t>Template approval and role policy.</w:t>
            </w:r>
          </w:p>
        </w:tc>
      </w:tr>
      <w:tr>
        <w:trPr>
          <w:cantSplit/>
        </w:trPr>
        <w:tc>
          <w:tcPr>
            <w:tcW w:type="dxa" w:w="936"/>
            <w:vAlign w:val="center"/>
          </w:tcPr>
          <w:p>
            <w:pPr>
              <w:spacing w:after="0" w:line="240" w:lineRule="auto"/>
            </w:pPr>
            <w:r/>
            <w:r>
              <w:rPr>
                <w:rFonts w:ascii="Arial" w:hAnsi="Arial"/>
                <w:b w:val="0"/>
                <w:sz w:val="13"/>
              </w:rPr>
              <w:t>EXPL-009</w:t>
            </w:r>
          </w:p>
        </w:tc>
        <w:tc>
          <w:tcPr>
            <w:tcW w:type="dxa" w:w="3024"/>
            <w:vAlign w:val="center"/>
          </w:tcPr>
          <w:p>
            <w:pPr>
              <w:spacing w:after="0" w:line="240" w:lineRule="auto"/>
            </w:pPr>
            <w:r/>
            <w:r>
              <w:rPr>
                <w:rFonts w:ascii="Arial" w:hAnsi="Arial"/>
                <w:b w:val="0"/>
                <w:sz w:val="13"/>
              </w:rPr>
              <w:t>Patient language avoids diagnosis and guarantees.</w:t>
            </w:r>
          </w:p>
        </w:tc>
        <w:tc>
          <w:tcPr>
            <w:tcW w:type="dxa" w:w="2520"/>
            <w:vAlign w:val="center"/>
          </w:tcPr>
          <w:p>
            <w:pPr>
              <w:spacing w:after="0" w:line="240" w:lineRule="auto"/>
            </w:pPr>
            <w:r/>
            <w:r>
              <w:rPr>
                <w:rFonts w:ascii="Arial" w:hAnsi="Arial"/>
                <w:b w:val="0"/>
                <w:sz w:val="13"/>
              </w:rPr>
              <w:t>Patient template catalog</w:t>
            </w:r>
          </w:p>
        </w:tc>
        <w:tc>
          <w:tcPr>
            <w:tcW w:type="dxa" w:w="2520"/>
            <w:vAlign w:val="center"/>
          </w:tcPr>
          <w:p>
            <w:pPr>
              <w:spacing w:after="0" w:line="240" w:lineRule="auto"/>
            </w:pPr>
            <w:r/>
            <w:r>
              <w:rPr>
                <w:rFonts w:ascii="Arial" w:hAnsi="Arial"/>
                <w:b w:val="0"/>
                <w:sz w:val="13"/>
              </w:rPr>
              <w:t>Health-literacy and prohibited-word review</w:t>
            </w:r>
          </w:p>
        </w:tc>
        <w:tc>
          <w:tcPr>
            <w:tcW w:type="dxa" w:w="2088"/>
            <w:vAlign w:val="center"/>
          </w:tcPr>
          <w:p>
            <w:pPr>
              <w:spacing w:after="0" w:line="240" w:lineRule="auto"/>
            </w:pPr>
            <w:r/>
            <w:r>
              <w:rPr>
                <w:rFonts w:ascii="Arial" w:hAnsi="Arial"/>
                <w:b w:val="0"/>
                <w:sz w:val="13"/>
              </w:rPr>
              <w:t>Clinical and communication approval.</w:t>
            </w:r>
          </w:p>
        </w:tc>
      </w:tr>
      <w:tr>
        <w:trPr>
          <w:cantSplit/>
        </w:trPr>
        <w:tc>
          <w:tcPr>
            <w:tcW w:type="dxa" w:w="936"/>
            <w:vAlign w:val="center"/>
            <w:shd w:fill="EAF0F8"/>
          </w:tcPr>
          <w:p>
            <w:pPr>
              <w:spacing w:after="0" w:line="240" w:lineRule="auto"/>
            </w:pPr>
            <w:r/>
            <w:r>
              <w:rPr>
                <w:rFonts w:ascii="Arial" w:hAnsi="Arial"/>
                <w:b w:val="0"/>
                <w:sz w:val="13"/>
              </w:rPr>
              <w:t>EXPL-010</w:t>
            </w:r>
          </w:p>
        </w:tc>
        <w:tc>
          <w:tcPr>
            <w:tcW w:type="dxa" w:w="3024"/>
            <w:vAlign w:val="center"/>
            <w:shd w:fill="EAF0F8"/>
          </w:tcPr>
          <w:p>
            <w:pPr>
              <w:spacing w:after="0" w:line="240" w:lineRule="auto"/>
            </w:pPr>
            <w:r/>
            <w:r>
              <w:rPr>
                <w:rFonts w:ascii="Arial" w:hAnsi="Arial"/>
                <w:b w:val="0"/>
                <w:sz w:val="13"/>
              </w:rPr>
              <w:t>Urgent findings receive prominent action wording.</w:t>
            </w:r>
          </w:p>
        </w:tc>
        <w:tc>
          <w:tcPr>
            <w:tcW w:type="dxa" w:w="2520"/>
            <w:vAlign w:val="center"/>
            <w:shd w:fill="EAF0F8"/>
          </w:tcPr>
          <w:p>
            <w:pPr>
              <w:spacing w:after="0" w:line="240" w:lineRule="auto"/>
            </w:pPr>
            <w:r/>
            <w:r>
              <w:rPr>
                <w:rFonts w:ascii="Arial" w:hAnsi="Arial"/>
                <w:b w:val="0"/>
                <w:sz w:val="13"/>
              </w:rPr>
              <w:t>Reason priority + recommendation catalog</w:t>
            </w:r>
          </w:p>
        </w:tc>
        <w:tc>
          <w:tcPr>
            <w:tcW w:type="dxa" w:w="2520"/>
            <w:vAlign w:val="center"/>
            <w:shd w:fill="EAF0F8"/>
          </w:tcPr>
          <w:p>
            <w:pPr>
              <w:spacing w:after="0" w:line="240" w:lineRule="auto"/>
            </w:pPr>
            <w:r/>
            <w:r>
              <w:rPr>
                <w:rFonts w:ascii="Arial" w:hAnsi="Arial"/>
                <w:b w:val="0"/>
                <w:sz w:val="13"/>
              </w:rPr>
              <w:t>BP urgent and absent-FHR scenarios</w:t>
            </w:r>
          </w:p>
        </w:tc>
        <w:tc>
          <w:tcPr>
            <w:tcW w:type="dxa" w:w="2088"/>
            <w:vAlign w:val="center"/>
            <w:shd w:fill="EAF0F8"/>
          </w:tcPr>
          <w:p>
            <w:pPr>
              <w:spacing w:after="0" w:line="240" w:lineRule="auto"/>
            </w:pPr>
            <w:r/>
            <w:r>
              <w:rPr>
                <w:rFonts w:ascii="Arial" w:hAnsi="Arial"/>
                <w:b w:val="0"/>
                <w:sz w:val="13"/>
              </w:rPr>
              <w:t>Urgency changes are safety-critical.</w:t>
            </w:r>
          </w:p>
        </w:tc>
      </w:tr>
      <w:tr>
        <w:trPr>
          <w:cantSplit/>
        </w:trPr>
        <w:tc>
          <w:tcPr>
            <w:tcW w:type="dxa" w:w="936"/>
            <w:vAlign w:val="center"/>
          </w:tcPr>
          <w:p>
            <w:pPr>
              <w:spacing w:after="0" w:line="240" w:lineRule="auto"/>
            </w:pPr>
            <w:r/>
            <w:r>
              <w:rPr>
                <w:rFonts w:ascii="Arial" w:hAnsi="Arial"/>
                <w:b w:val="0"/>
                <w:sz w:val="13"/>
              </w:rPr>
              <w:t>EXPL-011</w:t>
            </w:r>
          </w:p>
        </w:tc>
        <w:tc>
          <w:tcPr>
            <w:tcW w:type="dxa" w:w="3024"/>
            <w:vAlign w:val="center"/>
          </w:tcPr>
          <w:p>
            <w:pPr>
              <w:spacing w:after="0" w:line="240" w:lineRule="auto"/>
            </w:pPr>
            <w:r/>
            <w:r>
              <w:rPr>
                <w:rFonts w:ascii="Arial" w:hAnsi="Arial"/>
                <w:b w:val="0"/>
                <w:sz w:val="13"/>
              </w:rPr>
              <w:t>Rule/model disagreement is disclosed.</w:t>
            </w:r>
          </w:p>
        </w:tc>
        <w:tc>
          <w:tcPr>
            <w:tcW w:type="dxa" w:w="2520"/>
            <w:vAlign w:val="center"/>
          </w:tcPr>
          <w:p>
            <w:pPr>
              <w:spacing w:after="0" w:line="240" w:lineRule="auto"/>
            </w:pPr>
            <w:r/>
            <w:r>
              <w:rPr>
                <w:rFonts w:ascii="Arial" w:hAnsi="Arial"/>
                <w:b w:val="0"/>
                <w:sz w:val="13"/>
              </w:rPr>
              <w:t>Bundle construction</w:t>
            </w:r>
          </w:p>
        </w:tc>
        <w:tc>
          <w:tcPr>
            <w:tcW w:type="dxa" w:w="2520"/>
            <w:vAlign w:val="center"/>
          </w:tcPr>
          <w:p>
            <w:pPr>
              <w:spacing w:after="0" w:line="240" w:lineRule="auto"/>
            </w:pPr>
            <w:r/>
            <w:r>
              <w:rPr>
                <w:rFonts w:ascii="Arial" w:hAnsi="Arial"/>
                <w:b w:val="0"/>
                <w:sz w:val="13"/>
              </w:rPr>
              <w:t>Rule HIGH + ML LOW scenario</w:t>
            </w:r>
          </w:p>
        </w:tc>
        <w:tc>
          <w:tcPr>
            <w:tcW w:type="dxa" w:w="2088"/>
            <w:vAlign w:val="center"/>
          </w:tcPr>
          <w:p>
            <w:pPr>
              <w:spacing w:after="0" w:line="240" w:lineRule="auto"/>
            </w:pPr>
            <w:r/>
            <w:r>
              <w:rPr>
                <w:rFonts w:ascii="Arial" w:hAnsi="Arial"/>
                <w:b w:val="0"/>
                <w:sz w:val="13"/>
              </w:rPr>
              <w:t>Cannot be removed as cosmetic change.</w:t>
            </w:r>
          </w:p>
        </w:tc>
      </w:tr>
      <w:tr>
        <w:trPr>
          <w:cantSplit/>
        </w:trPr>
        <w:tc>
          <w:tcPr>
            <w:tcW w:type="dxa" w:w="936"/>
            <w:vAlign w:val="center"/>
            <w:shd w:fill="EAF0F8"/>
          </w:tcPr>
          <w:p>
            <w:pPr>
              <w:spacing w:after="0" w:line="240" w:lineRule="auto"/>
            </w:pPr>
            <w:r/>
            <w:r>
              <w:rPr>
                <w:rFonts w:ascii="Arial" w:hAnsi="Arial"/>
                <w:b w:val="0"/>
                <w:sz w:val="13"/>
              </w:rPr>
              <w:t>EXPL-012</w:t>
            </w:r>
          </w:p>
        </w:tc>
        <w:tc>
          <w:tcPr>
            <w:tcW w:type="dxa" w:w="3024"/>
            <w:vAlign w:val="center"/>
            <w:shd w:fill="EAF0F8"/>
          </w:tcPr>
          <w:p>
            <w:pPr>
              <w:spacing w:after="0" w:line="240" w:lineRule="auto"/>
            </w:pPr>
            <w:r/>
            <w:r>
              <w:rPr>
                <w:rFonts w:ascii="Arial" w:hAnsi="Arial"/>
                <w:b w:val="0"/>
                <w:sz w:val="13"/>
              </w:rPr>
              <w:t>All governed asset versions are captured.</w:t>
            </w:r>
          </w:p>
        </w:tc>
        <w:tc>
          <w:tcPr>
            <w:tcW w:type="dxa" w:w="2520"/>
            <w:vAlign w:val="center"/>
            <w:shd w:fill="EAF0F8"/>
          </w:tcPr>
          <w:p>
            <w:pPr>
              <w:spacing w:after="0" w:line="240" w:lineRule="auto"/>
            </w:pPr>
            <w:r/>
            <w:r>
              <w:rPr>
                <w:rFonts w:ascii="Arial" w:hAnsi="Arial"/>
                <w:b w:val="0"/>
                <w:sz w:val="13"/>
              </w:rPr>
              <w:t>VersionManifest</w:t>
            </w:r>
          </w:p>
        </w:tc>
        <w:tc>
          <w:tcPr>
            <w:tcW w:type="dxa" w:w="2520"/>
            <w:vAlign w:val="center"/>
            <w:shd w:fill="EAF0F8"/>
          </w:tcPr>
          <w:p>
            <w:pPr>
              <w:spacing w:after="0" w:line="240" w:lineRule="auto"/>
            </w:pPr>
            <w:r/>
            <w:r>
              <w:rPr>
                <w:rFonts w:ascii="Arial" w:hAnsi="Arial"/>
                <w:b w:val="0"/>
                <w:sz w:val="13"/>
              </w:rPr>
              <w:t>Audit reconstruction test</w:t>
            </w:r>
          </w:p>
        </w:tc>
        <w:tc>
          <w:tcPr>
            <w:tcW w:type="dxa" w:w="2088"/>
            <w:vAlign w:val="center"/>
            <w:shd w:fill="EAF0F8"/>
          </w:tcPr>
          <w:p>
            <w:pPr>
              <w:spacing w:after="0" w:line="240" w:lineRule="auto"/>
            </w:pPr>
            <w:r/>
            <w:r>
              <w:rPr>
                <w:rFonts w:ascii="Arial" w:hAnsi="Arial"/>
                <w:b w:val="0"/>
                <w:sz w:val="13"/>
              </w:rPr>
              <w:t>Release manifest required.</w:t>
            </w:r>
          </w:p>
        </w:tc>
      </w:tr>
      <w:tr>
        <w:trPr>
          <w:cantSplit/>
        </w:trPr>
        <w:tc>
          <w:tcPr>
            <w:tcW w:type="dxa" w:w="936"/>
            <w:vAlign w:val="center"/>
          </w:tcPr>
          <w:p>
            <w:pPr>
              <w:spacing w:after="0" w:line="240" w:lineRule="auto"/>
            </w:pPr>
            <w:r/>
            <w:r>
              <w:rPr>
                <w:rFonts w:ascii="Arial" w:hAnsi="Arial"/>
                <w:b w:val="0"/>
                <w:sz w:val="13"/>
              </w:rPr>
              <w:t>EXPL-013</w:t>
            </w:r>
          </w:p>
        </w:tc>
        <w:tc>
          <w:tcPr>
            <w:tcW w:type="dxa" w:w="3024"/>
            <w:vAlign w:val="center"/>
          </w:tcPr>
          <w:p>
            <w:pPr>
              <w:spacing w:after="0" w:line="240" w:lineRule="auto"/>
            </w:pPr>
            <w:r/>
            <w:r>
              <w:rPr>
                <w:rFonts w:ascii="Arial" w:hAnsi="Arial"/>
                <w:b w:val="0"/>
                <w:sz w:val="13"/>
              </w:rPr>
              <w:t>Historical assessments remain reproducible.</w:t>
            </w:r>
          </w:p>
        </w:tc>
        <w:tc>
          <w:tcPr>
            <w:tcW w:type="dxa" w:w="2520"/>
            <w:vAlign w:val="center"/>
          </w:tcPr>
          <w:p>
            <w:pPr>
              <w:spacing w:after="0" w:line="240" w:lineRule="auto"/>
            </w:pPr>
            <w:r/>
            <w:r>
              <w:rPr>
                <w:rFonts w:ascii="Arial" w:hAnsi="Arial"/>
                <w:b w:val="0"/>
                <w:sz w:val="13"/>
              </w:rPr>
              <w:t>Immutable snapshot/audit</w:t>
            </w:r>
          </w:p>
        </w:tc>
        <w:tc>
          <w:tcPr>
            <w:tcW w:type="dxa" w:w="2520"/>
            <w:vAlign w:val="center"/>
          </w:tcPr>
          <w:p>
            <w:pPr>
              <w:spacing w:after="0" w:line="240" w:lineRule="auto"/>
            </w:pPr>
            <w:r/>
            <w:r>
              <w:rPr>
                <w:rFonts w:ascii="Arial" w:hAnsi="Arial"/>
                <w:b w:val="0"/>
                <w:sz w:val="13"/>
              </w:rPr>
              <w:t>Re-render old assessment with archived assets</w:t>
            </w:r>
          </w:p>
        </w:tc>
        <w:tc>
          <w:tcPr>
            <w:tcW w:type="dxa" w:w="2088"/>
            <w:vAlign w:val="center"/>
          </w:tcPr>
          <w:p>
            <w:pPr>
              <w:spacing w:after="0" w:line="240" w:lineRule="auto"/>
            </w:pPr>
            <w:r/>
            <w:r>
              <w:rPr>
                <w:rFonts w:ascii="Arial" w:hAnsi="Arial"/>
                <w:b w:val="0"/>
                <w:sz w:val="13"/>
              </w:rPr>
              <w:t>Retention and migration controls.</w:t>
            </w:r>
          </w:p>
        </w:tc>
      </w:tr>
      <w:tr>
        <w:trPr>
          <w:cantSplit/>
        </w:trPr>
        <w:tc>
          <w:tcPr>
            <w:tcW w:type="dxa" w:w="936"/>
            <w:vAlign w:val="center"/>
            <w:shd w:fill="EAF0F8"/>
          </w:tcPr>
          <w:p>
            <w:pPr>
              <w:spacing w:after="0" w:line="240" w:lineRule="auto"/>
            </w:pPr>
            <w:r/>
            <w:r>
              <w:rPr>
                <w:rFonts w:ascii="Arial" w:hAnsi="Arial"/>
                <w:b w:val="0"/>
                <w:sz w:val="13"/>
              </w:rPr>
              <w:t>EXPL-014</w:t>
            </w:r>
          </w:p>
        </w:tc>
        <w:tc>
          <w:tcPr>
            <w:tcW w:type="dxa" w:w="3024"/>
            <w:vAlign w:val="center"/>
            <w:shd w:fill="EAF0F8"/>
          </w:tcPr>
          <w:p>
            <w:pPr>
              <w:spacing w:after="0" w:line="240" w:lineRule="auto"/>
            </w:pPr>
            <w:r/>
            <w:r>
              <w:rPr>
                <w:rFonts w:ascii="Arial" w:hAnsi="Arial"/>
                <w:b w:val="0"/>
                <w:sz w:val="13"/>
              </w:rPr>
              <w:t>Unauthorized roles see minimum necessary data.</w:t>
            </w:r>
          </w:p>
        </w:tc>
        <w:tc>
          <w:tcPr>
            <w:tcW w:type="dxa" w:w="2520"/>
            <w:vAlign w:val="center"/>
            <w:shd w:fill="EAF0F8"/>
          </w:tcPr>
          <w:p>
            <w:pPr>
              <w:spacing w:after="0" w:line="240" w:lineRule="auto"/>
            </w:pPr>
            <w:r/>
            <w:r>
              <w:rPr>
                <w:rFonts w:ascii="Arial" w:hAnsi="Arial"/>
                <w:b w:val="0"/>
                <w:sz w:val="13"/>
              </w:rPr>
              <w:t>Authorization + projection policy</w:t>
            </w:r>
          </w:p>
        </w:tc>
        <w:tc>
          <w:tcPr>
            <w:tcW w:type="dxa" w:w="2520"/>
            <w:vAlign w:val="center"/>
            <w:shd w:fill="EAF0F8"/>
          </w:tcPr>
          <w:p>
            <w:pPr>
              <w:spacing w:after="0" w:line="240" w:lineRule="auto"/>
            </w:pPr>
            <w:r/>
            <w:r>
              <w:rPr>
                <w:rFonts w:ascii="Arial" w:hAnsi="Arial"/>
                <w:b w:val="0"/>
                <w:sz w:val="13"/>
              </w:rPr>
              <w:t>Role access tests</w:t>
            </w:r>
          </w:p>
        </w:tc>
        <w:tc>
          <w:tcPr>
            <w:tcW w:type="dxa" w:w="2088"/>
            <w:vAlign w:val="center"/>
            <w:shd w:fill="EAF0F8"/>
          </w:tcPr>
          <w:p>
            <w:pPr>
              <w:spacing w:after="0" w:line="240" w:lineRule="auto"/>
            </w:pPr>
            <w:r/>
            <w:r>
              <w:rPr>
                <w:rFonts w:ascii="Arial" w:hAnsi="Arial"/>
                <w:b w:val="0"/>
                <w:sz w:val="13"/>
              </w:rPr>
              <w:t>Privacy review required.</w:t>
            </w:r>
          </w:p>
        </w:tc>
      </w:tr>
      <w:tr>
        <w:trPr>
          <w:cantSplit/>
        </w:trPr>
        <w:tc>
          <w:tcPr>
            <w:tcW w:type="dxa" w:w="936"/>
            <w:vAlign w:val="center"/>
          </w:tcPr>
          <w:p>
            <w:pPr>
              <w:spacing w:after="0" w:line="240" w:lineRule="auto"/>
            </w:pPr>
            <w:r/>
            <w:r>
              <w:rPr>
                <w:rFonts w:ascii="Arial" w:hAnsi="Arial"/>
                <w:b w:val="0"/>
                <w:sz w:val="13"/>
              </w:rPr>
              <w:t>EXPL-015</w:t>
            </w:r>
          </w:p>
        </w:tc>
        <w:tc>
          <w:tcPr>
            <w:tcW w:type="dxa" w:w="3024"/>
            <w:vAlign w:val="center"/>
          </w:tcPr>
          <w:p>
            <w:pPr>
              <w:spacing w:after="0" w:line="240" w:lineRule="auto"/>
            </w:pPr>
            <w:r/>
            <w:r>
              <w:rPr>
                <w:rFonts w:ascii="Arial" w:hAnsi="Arial"/>
                <w:b w:val="0"/>
                <w:sz w:val="13"/>
              </w:rPr>
              <w:t>Explanation failure is visible and safe.</w:t>
            </w:r>
          </w:p>
        </w:tc>
        <w:tc>
          <w:tcPr>
            <w:tcW w:type="dxa" w:w="2520"/>
            <w:vAlign w:val="center"/>
          </w:tcPr>
          <w:p>
            <w:pPr>
              <w:spacing w:after="0" w:line="240" w:lineRule="auto"/>
            </w:pPr>
            <w:r/>
            <w:r>
              <w:rPr>
                <w:rFonts w:ascii="Arial" w:hAnsi="Arial"/>
                <w:b w:val="0"/>
                <w:sz w:val="13"/>
              </w:rPr>
              <w:t>Schema validator + fallback</w:t>
            </w:r>
          </w:p>
        </w:tc>
        <w:tc>
          <w:tcPr>
            <w:tcW w:type="dxa" w:w="2520"/>
            <w:vAlign w:val="center"/>
          </w:tcPr>
          <w:p>
            <w:pPr>
              <w:spacing w:after="0" w:line="240" w:lineRule="auto"/>
            </w:pPr>
            <w:r/>
            <w:r>
              <w:rPr>
                <w:rFonts w:ascii="Arial" w:hAnsi="Arial"/>
                <w:b w:val="0"/>
                <w:sz w:val="13"/>
              </w:rPr>
              <w:t>Template/projection/persistence failure tests</w:t>
            </w:r>
          </w:p>
        </w:tc>
        <w:tc>
          <w:tcPr>
            <w:tcW w:type="dxa" w:w="2088"/>
            <w:vAlign w:val="center"/>
          </w:tcPr>
          <w:p>
            <w:pPr>
              <w:spacing w:after="0" w:line="240" w:lineRule="auto"/>
            </w:pPr>
            <w:r/>
            <w:r>
              <w:rPr>
                <w:rFonts w:ascii="Arial" w:hAnsi="Arial"/>
                <w:b w:val="0"/>
                <w:sz w:val="13"/>
              </w:rPr>
              <w:t>Incident classification and rollback.</w:t>
            </w:r>
          </w:p>
        </w:tc>
      </w:tr>
      <w:tr>
        <w:trPr>
          <w:cantSplit/>
        </w:trPr>
        <w:tc>
          <w:tcPr>
            <w:tcW w:type="dxa" w:w="936"/>
            <w:vAlign w:val="center"/>
            <w:shd w:fill="EAF0F8"/>
          </w:tcPr>
          <w:p>
            <w:pPr>
              <w:spacing w:after="0" w:line="240" w:lineRule="auto"/>
            </w:pPr>
            <w:r/>
            <w:r>
              <w:rPr>
                <w:rFonts w:ascii="Arial" w:hAnsi="Arial"/>
                <w:b w:val="0"/>
                <w:sz w:val="13"/>
              </w:rPr>
              <w:t>EXPL-016</w:t>
            </w:r>
          </w:p>
        </w:tc>
        <w:tc>
          <w:tcPr>
            <w:tcW w:type="dxa" w:w="3024"/>
            <w:vAlign w:val="center"/>
            <w:shd w:fill="EAF0F8"/>
          </w:tcPr>
          <w:p>
            <w:pPr>
              <w:spacing w:after="0" w:line="240" w:lineRule="auto"/>
            </w:pPr>
            <w:r/>
            <w:r>
              <w:rPr>
                <w:rFonts w:ascii="Arial" w:hAnsi="Arial"/>
                <w:b w:val="0"/>
                <w:sz w:val="13"/>
              </w:rPr>
              <w:t>Explanation quality is measured independently of model accuracy.</w:t>
            </w:r>
          </w:p>
        </w:tc>
        <w:tc>
          <w:tcPr>
            <w:tcW w:type="dxa" w:w="2520"/>
            <w:vAlign w:val="center"/>
            <w:shd w:fill="EAF0F8"/>
          </w:tcPr>
          <w:p>
            <w:pPr>
              <w:spacing w:after="0" w:line="240" w:lineRule="auto"/>
            </w:pPr>
            <w:r/>
            <w:r>
              <w:rPr>
                <w:rFonts w:ascii="Arial" w:hAnsi="Arial"/>
                <w:b w:val="0"/>
                <w:sz w:val="13"/>
              </w:rPr>
              <w:t>Quality Evaluation module</w:t>
            </w:r>
          </w:p>
        </w:tc>
        <w:tc>
          <w:tcPr>
            <w:tcW w:type="dxa" w:w="2520"/>
            <w:vAlign w:val="center"/>
            <w:shd w:fill="EAF0F8"/>
          </w:tcPr>
          <w:p>
            <w:pPr>
              <w:spacing w:after="0" w:line="240" w:lineRule="auto"/>
            </w:pPr>
            <w:r/>
            <w:r>
              <w:rPr>
                <w:rFonts w:ascii="Arial" w:hAnsi="Arial"/>
                <w:b w:val="0"/>
                <w:sz w:val="13"/>
              </w:rPr>
              <w:t>Fidelity, completeness, usability, robustness metrics</w:t>
            </w:r>
          </w:p>
        </w:tc>
        <w:tc>
          <w:tcPr>
            <w:tcW w:type="dxa" w:w="2088"/>
            <w:vAlign w:val="center"/>
            <w:shd w:fill="EAF0F8"/>
          </w:tcPr>
          <w:p>
            <w:pPr>
              <w:spacing w:after="0" w:line="240" w:lineRule="auto"/>
            </w:pPr>
            <w:r/>
            <w:r>
              <w:rPr>
                <w:rFonts w:ascii="Arial" w:hAnsi="Arial"/>
                <w:b w:val="0"/>
                <w:sz w:val="13"/>
              </w:rPr>
              <w:t>Release gates include explanation tests.</w:t>
            </w:r>
          </w:p>
        </w:tc>
      </w:tr>
      <w:tr>
        <w:trPr>
          <w:cantSplit/>
        </w:trPr>
        <w:tc>
          <w:tcPr>
            <w:tcW w:type="dxa" w:w="936"/>
            <w:vAlign w:val="center"/>
          </w:tcPr>
          <w:p>
            <w:pPr>
              <w:spacing w:after="0" w:line="240" w:lineRule="auto"/>
            </w:pPr>
            <w:r/>
            <w:r>
              <w:rPr>
                <w:rFonts w:ascii="Arial" w:hAnsi="Arial"/>
                <w:b w:val="0"/>
                <w:sz w:val="13"/>
              </w:rPr>
              <w:t>EXPL-017</w:t>
            </w:r>
          </w:p>
        </w:tc>
        <w:tc>
          <w:tcPr>
            <w:tcW w:type="dxa" w:w="3024"/>
            <w:vAlign w:val="center"/>
          </w:tcPr>
          <w:p>
            <w:pPr>
              <w:spacing w:after="0" w:line="240" w:lineRule="auto"/>
            </w:pPr>
            <w:r/>
            <w:r>
              <w:rPr>
                <w:rFonts w:ascii="Arial" w:hAnsi="Arial"/>
                <w:b w:val="0"/>
                <w:sz w:val="13"/>
              </w:rPr>
              <w:t>Rule and template changes are versioned and approved.</w:t>
            </w:r>
          </w:p>
        </w:tc>
        <w:tc>
          <w:tcPr>
            <w:tcW w:type="dxa" w:w="2520"/>
            <w:vAlign w:val="center"/>
          </w:tcPr>
          <w:p>
            <w:pPr>
              <w:spacing w:after="0" w:line="240" w:lineRule="auto"/>
            </w:pPr>
            <w:r/>
            <w:r>
              <w:rPr>
                <w:rFonts w:ascii="Arial" w:hAnsi="Arial"/>
                <w:b w:val="0"/>
                <w:sz w:val="13"/>
              </w:rPr>
              <w:t>Governance workflow</w:t>
            </w:r>
          </w:p>
        </w:tc>
        <w:tc>
          <w:tcPr>
            <w:tcW w:type="dxa" w:w="2520"/>
            <w:vAlign w:val="center"/>
          </w:tcPr>
          <w:p>
            <w:pPr>
              <w:spacing w:after="0" w:line="240" w:lineRule="auto"/>
            </w:pPr>
            <w:r/>
            <w:r>
              <w:rPr>
                <w:rFonts w:ascii="Arial" w:hAnsi="Arial"/>
                <w:b w:val="0"/>
                <w:sz w:val="13"/>
              </w:rPr>
              <w:t>Manifest and approval record inspection</w:t>
            </w:r>
          </w:p>
        </w:tc>
        <w:tc>
          <w:tcPr>
            <w:tcW w:type="dxa" w:w="2088"/>
            <w:vAlign w:val="center"/>
          </w:tcPr>
          <w:p>
            <w:pPr>
              <w:spacing w:after="0" w:line="240" w:lineRule="auto"/>
            </w:pPr>
            <w:r/>
            <w:r>
              <w:rPr>
                <w:rFonts w:ascii="Arial" w:hAnsi="Arial"/>
                <w:b w:val="0"/>
                <w:sz w:val="13"/>
              </w:rPr>
              <w:t>No silent production edits.</w:t>
            </w:r>
          </w:p>
        </w:tc>
      </w:tr>
      <w:tr>
        <w:trPr>
          <w:cantSplit/>
        </w:trPr>
        <w:tc>
          <w:tcPr>
            <w:tcW w:type="dxa" w:w="936"/>
            <w:vAlign w:val="center"/>
            <w:shd w:fill="EAF0F8"/>
          </w:tcPr>
          <w:p>
            <w:pPr>
              <w:spacing w:after="0" w:line="240" w:lineRule="auto"/>
            </w:pPr>
            <w:r/>
            <w:r>
              <w:rPr>
                <w:rFonts w:ascii="Arial" w:hAnsi="Arial"/>
                <w:b w:val="0"/>
                <w:sz w:val="13"/>
              </w:rPr>
              <w:t>EXPL-018</w:t>
            </w:r>
          </w:p>
        </w:tc>
        <w:tc>
          <w:tcPr>
            <w:tcW w:type="dxa" w:w="3024"/>
            <w:vAlign w:val="center"/>
            <w:shd w:fill="EAF0F8"/>
          </w:tcPr>
          <w:p>
            <w:pPr>
              <w:spacing w:after="0" w:line="240" w:lineRule="auto"/>
            </w:pPr>
            <w:r/>
            <w:r>
              <w:rPr>
                <w:rFonts w:ascii="Arial" w:hAnsi="Arial"/>
                <w:b w:val="0"/>
                <w:sz w:val="13"/>
              </w:rPr>
              <w:t>Monitoring detects missing, inconsistent, or stale explanations.</w:t>
            </w:r>
          </w:p>
        </w:tc>
        <w:tc>
          <w:tcPr>
            <w:tcW w:type="dxa" w:w="2520"/>
            <w:vAlign w:val="center"/>
            <w:shd w:fill="EAF0F8"/>
          </w:tcPr>
          <w:p>
            <w:pPr>
              <w:spacing w:after="0" w:line="240" w:lineRule="auto"/>
            </w:pPr>
            <w:r/>
            <w:r>
              <w:rPr>
                <w:rFonts w:ascii="Arial" w:hAnsi="Arial"/>
                <w:b w:val="0"/>
                <w:sz w:val="13"/>
              </w:rPr>
              <w:t>Monitoring service</w:t>
            </w:r>
          </w:p>
        </w:tc>
        <w:tc>
          <w:tcPr>
            <w:tcW w:type="dxa" w:w="2520"/>
            <w:vAlign w:val="center"/>
            <w:shd w:fill="EAF0F8"/>
          </w:tcPr>
          <w:p>
            <w:pPr>
              <w:spacing w:after="0" w:line="240" w:lineRule="auto"/>
            </w:pPr>
            <w:r/>
            <w:r>
              <w:rPr>
                <w:rFonts w:ascii="Arial" w:hAnsi="Arial"/>
                <w:b w:val="0"/>
                <w:sz w:val="13"/>
              </w:rPr>
              <w:t>Alert simulation and metric review</w:t>
            </w:r>
          </w:p>
        </w:tc>
        <w:tc>
          <w:tcPr>
            <w:tcW w:type="dxa" w:w="2088"/>
            <w:vAlign w:val="center"/>
            <w:shd w:fill="EAF0F8"/>
          </w:tcPr>
          <w:p>
            <w:pPr>
              <w:spacing w:after="0" w:line="240" w:lineRule="auto"/>
            </w:pPr>
            <w:r/>
            <w:r>
              <w:rPr>
                <w:rFonts w:ascii="Arial" w:hAnsi="Arial"/>
                <w:b w:val="0"/>
                <w:sz w:val="13"/>
              </w:rPr>
              <w:t>Thresholds periodically reviewed.</w:t>
            </w:r>
          </w:p>
        </w:tc>
      </w:tr>
      <w:tr>
        <w:trPr>
          <w:cantSplit/>
        </w:trPr>
        <w:tc>
          <w:tcPr>
            <w:tcW w:type="dxa" w:w="936"/>
            <w:vAlign w:val="center"/>
          </w:tcPr>
          <w:p>
            <w:pPr>
              <w:spacing w:after="0" w:line="240" w:lineRule="auto"/>
            </w:pPr>
            <w:r/>
            <w:r>
              <w:rPr>
                <w:rFonts w:ascii="Arial" w:hAnsi="Arial"/>
                <w:b w:val="0"/>
                <w:sz w:val="13"/>
              </w:rPr>
              <w:t>EXPL-019</w:t>
            </w:r>
          </w:p>
        </w:tc>
        <w:tc>
          <w:tcPr>
            <w:tcW w:type="dxa" w:w="3024"/>
            <w:vAlign w:val="center"/>
          </w:tcPr>
          <w:p>
            <w:pPr>
              <w:spacing w:after="0" w:line="240" w:lineRule="auto"/>
            </w:pPr>
            <w:r/>
            <w:r>
              <w:rPr>
                <w:rFonts w:ascii="Arial" w:hAnsi="Arial"/>
                <w:b w:val="0"/>
                <w:sz w:val="13"/>
              </w:rPr>
              <w:t>The system preserves human authority.</w:t>
            </w:r>
          </w:p>
        </w:tc>
        <w:tc>
          <w:tcPr>
            <w:tcW w:type="dxa" w:w="2520"/>
            <w:vAlign w:val="center"/>
          </w:tcPr>
          <w:p>
            <w:pPr>
              <w:spacing w:after="0" w:line="240" w:lineRule="auto"/>
            </w:pPr>
            <w:r/>
            <w:r>
              <w:rPr>
                <w:rFonts w:ascii="Arial" w:hAnsi="Arial"/>
                <w:b w:val="0"/>
                <w:sz w:val="13"/>
              </w:rPr>
              <w:t>UI, recommendations, training</w:t>
            </w:r>
          </w:p>
        </w:tc>
        <w:tc>
          <w:tcPr>
            <w:tcW w:type="dxa" w:w="2520"/>
            <w:vAlign w:val="center"/>
          </w:tcPr>
          <w:p>
            <w:pPr>
              <w:spacing w:after="0" w:line="240" w:lineRule="auto"/>
            </w:pPr>
            <w:r/>
            <w:r>
              <w:rPr>
                <w:rFonts w:ascii="Arial" w:hAnsi="Arial"/>
                <w:b w:val="0"/>
                <w:sz w:val="13"/>
              </w:rPr>
              <w:t>Usability review and wording inspection</w:t>
            </w:r>
          </w:p>
        </w:tc>
        <w:tc>
          <w:tcPr>
            <w:tcW w:type="dxa" w:w="2088"/>
            <w:vAlign w:val="center"/>
          </w:tcPr>
          <w:p>
            <w:pPr>
              <w:spacing w:after="0" w:line="240" w:lineRule="auto"/>
            </w:pPr>
            <w:r/>
            <w:r>
              <w:rPr>
                <w:rFonts w:ascii="Arial" w:hAnsi="Arial"/>
                <w:b w:val="0"/>
                <w:sz w:val="13"/>
              </w:rPr>
              <w:t>Human-oversight principle cannot be disabled.</w:t>
            </w:r>
          </w:p>
        </w:tc>
      </w:tr>
      <w:tr>
        <w:trPr>
          <w:cantSplit/>
        </w:trPr>
        <w:tc>
          <w:tcPr>
            <w:tcW w:type="dxa" w:w="936"/>
            <w:vAlign w:val="center"/>
            <w:shd w:fill="EAF0F8"/>
          </w:tcPr>
          <w:p>
            <w:pPr>
              <w:spacing w:after="0" w:line="240" w:lineRule="auto"/>
            </w:pPr>
            <w:r/>
            <w:r>
              <w:rPr>
                <w:rFonts w:ascii="Arial" w:hAnsi="Arial"/>
                <w:b w:val="0"/>
                <w:sz w:val="13"/>
              </w:rPr>
              <w:t>EXPL-020</w:t>
            </w:r>
          </w:p>
        </w:tc>
        <w:tc>
          <w:tcPr>
            <w:tcW w:type="dxa" w:w="3024"/>
            <w:vAlign w:val="center"/>
            <w:shd w:fill="EAF0F8"/>
          </w:tcPr>
          <w:p>
            <w:pPr>
              <w:spacing w:after="0" w:line="240" w:lineRule="auto"/>
            </w:pPr>
            <w:r/>
            <w:r>
              <w:rPr>
                <w:rFonts w:ascii="Arial" w:hAnsi="Arial"/>
                <w:b w:val="0"/>
                <w:sz w:val="13"/>
              </w:rPr>
              <w:t>Current and future capabilities are clearly separated.</w:t>
            </w:r>
          </w:p>
        </w:tc>
        <w:tc>
          <w:tcPr>
            <w:tcW w:type="dxa" w:w="2520"/>
            <w:vAlign w:val="center"/>
            <w:shd w:fill="EAF0F8"/>
          </w:tcPr>
          <w:p>
            <w:pPr>
              <w:spacing w:after="0" w:line="240" w:lineRule="auto"/>
            </w:pPr>
            <w:r/>
            <w:r>
              <w:rPr>
                <w:rFonts w:ascii="Arial" w:hAnsi="Arial"/>
                <w:b w:val="0"/>
                <w:sz w:val="13"/>
              </w:rPr>
              <w:t>Documentation and UI disclosures</w:t>
            </w:r>
          </w:p>
        </w:tc>
        <w:tc>
          <w:tcPr>
            <w:tcW w:type="dxa" w:w="2520"/>
            <w:vAlign w:val="center"/>
            <w:shd w:fill="EAF0F8"/>
          </w:tcPr>
          <w:p>
            <w:pPr>
              <w:spacing w:after="0" w:line="240" w:lineRule="auto"/>
            </w:pPr>
            <w:r/>
            <w:r>
              <w:rPr>
                <w:rFonts w:ascii="Arial" w:hAnsi="Arial"/>
                <w:b w:val="0"/>
                <w:sz w:val="13"/>
              </w:rPr>
              <w:t>Feature inventory review</w:t>
            </w:r>
          </w:p>
        </w:tc>
        <w:tc>
          <w:tcPr>
            <w:tcW w:type="dxa" w:w="2088"/>
            <w:vAlign w:val="center"/>
            <w:shd w:fill="EAF0F8"/>
          </w:tcPr>
          <w:p>
            <w:pPr>
              <w:spacing w:after="0" w:line="240" w:lineRule="auto"/>
            </w:pPr>
            <w:r/>
            <w:r>
              <w:rPr>
                <w:rFonts w:ascii="Arial" w:hAnsi="Arial"/>
                <w:b w:val="0"/>
                <w:sz w:val="13"/>
              </w:rPr>
              <w:t>Future feature requires its own validation and approval.</w:t>
            </w:r>
          </w:p>
        </w:tc>
      </w:tr>
    </w:tbl>
    <w:p>
      <w:pPr/>
    </w:p>
    <w:p>
      <w:pPr>
        <w:pStyle w:val="Heading1"/>
      </w:pPr>
      <w:r>
        <w:t>10. Master Verification and Validation Specification</w:t>
      </w:r>
    </w:p>
    <w:p>
      <w:pPr>
        <w:pStyle w:val="Heading2"/>
      </w:pPr>
      <w:r>
        <w:t>10.1 Test layers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shd w:fill="2F5597"/>
          </w:tcPr>
          <w:p>
            <w:pPr>
              <w:spacing w:after="0" w:line="240" w:lineRule="auto"/>
            </w:pPr>
            <w:r/>
            <w:r>
              <w:rPr>
                <w:rFonts w:ascii="Arial" w:hAnsi="Arial"/>
                <w:b/>
                <w:color w:val="FFFFFF"/>
                <w:sz w:val="15"/>
              </w:rPr>
              <w:t>Layer</w:t>
            </w:r>
          </w:p>
        </w:tc>
        <w:tc>
          <w:tcPr>
            <w:tcW w:type="dxa" w:w="3528"/>
            <w:vAlign w:val="center"/>
            <w:shd w:fill="2F5597"/>
          </w:tcPr>
          <w:p>
            <w:pPr>
              <w:spacing w:after="0" w:line="240" w:lineRule="auto"/>
            </w:pPr>
            <w:r/>
            <w:r>
              <w:rPr>
                <w:rFonts w:ascii="Arial" w:hAnsi="Arial"/>
                <w:b/>
                <w:color w:val="FFFFFF"/>
                <w:sz w:val="15"/>
              </w:rPr>
              <w:t>Purpose</w:t>
            </w:r>
          </w:p>
        </w:tc>
        <w:tc>
          <w:tcPr>
            <w:tcW w:type="dxa" w:w="5616"/>
            <w:vAlign w:val="center"/>
            <w:shd w:fill="2F5597"/>
          </w:tcPr>
          <w:p>
            <w:pPr>
              <w:spacing w:after="0" w:line="240" w:lineRule="auto"/>
            </w:pPr>
            <w:r/>
            <w:r>
              <w:rPr>
                <w:rFonts w:ascii="Arial" w:hAnsi="Arial"/>
                <w:b/>
                <w:color w:val="FFFFFF"/>
                <w:sz w:val="15"/>
              </w:rPr>
              <w:t>Examples</w:t>
            </w:r>
          </w:p>
        </w:tc>
      </w:tr>
      <w:tr>
        <w:trPr>
          <w:cantSplit/>
        </w:trPr>
        <w:tc>
          <w:tcPr>
            <w:tcW w:type="dxa" w:w="1800"/>
            <w:vAlign w:val="center"/>
          </w:tcPr>
          <w:p>
            <w:pPr>
              <w:spacing w:after="0" w:line="240" w:lineRule="auto"/>
            </w:pPr>
            <w:r/>
            <w:r>
              <w:rPr>
                <w:rFonts w:ascii="Arial" w:hAnsi="Arial"/>
                <w:b w:val="0"/>
                <w:sz w:val="15"/>
              </w:rPr>
              <w:t>Unit</w:t>
            </w:r>
          </w:p>
        </w:tc>
        <w:tc>
          <w:tcPr>
            <w:tcW w:type="dxa" w:w="3528"/>
            <w:vAlign w:val="center"/>
          </w:tcPr>
          <w:p>
            <w:pPr>
              <w:spacing w:after="0" w:line="240" w:lineRule="auto"/>
            </w:pPr>
            <w:r/>
            <w:r>
              <w:rPr>
                <w:rFonts w:ascii="Arial" w:hAnsi="Arial"/>
                <w:b w:val="0"/>
                <w:sz w:val="15"/>
              </w:rPr>
              <w:t>Verify individual rule, validator, formatter, and policy functions.</w:t>
            </w:r>
          </w:p>
        </w:tc>
        <w:tc>
          <w:tcPr>
            <w:tcW w:type="dxa" w:w="5616"/>
            <w:vAlign w:val="center"/>
          </w:tcPr>
          <w:p>
            <w:pPr>
              <w:spacing w:after="0" w:line="240" w:lineRule="auto"/>
            </w:pPr>
            <w:r/>
            <w:r>
              <w:rPr>
                <w:rFonts w:ascii="Arial" w:hAnsi="Arial"/>
                <w:b w:val="0"/>
                <w:sz w:val="15"/>
              </w:rPr>
              <w:t>Age boundaries, BP threshold operators, output normalization, template placeholders.</w:t>
            </w:r>
          </w:p>
        </w:tc>
      </w:tr>
      <w:tr>
        <w:trPr>
          <w:cantSplit/>
        </w:trPr>
        <w:tc>
          <w:tcPr>
            <w:tcW w:type="dxa" w:w="1800"/>
            <w:vAlign w:val="center"/>
            <w:shd w:fill="EAF0F8"/>
          </w:tcPr>
          <w:p>
            <w:pPr>
              <w:spacing w:after="0" w:line="240" w:lineRule="auto"/>
            </w:pPr>
            <w:r/>
            <w:r>
              <w:rPr>
                <w:rFonts w:ascii="Arial" w:hAnsi="Arial"/>
                <w:b w:val="0"/>
                <w:sz w:val="15"/>
              </w:rPr>
              <w:t>Contract</w:t>
            </w:r>
          </w:p>
        </w:tc>
        <w:tc>
          <w:tcPr>
            <w:tcW w:type="dxa" w:w="3528"/>
            <w:vAlign w:val="center"/>
            <w:shd w:fill="EAF0F8"/>
          </w:tcPr>
          <w:p>
            <w:pPr>
              <w:spacing w:after="0" w:line="240" w:lineRule="auto"/>
            </w:pPr>
            <w:r/>
            <w:r>
              <w:rPr>
                <w:rFonts w:ascii="Arial" w:hAnsi="Arial"/>
                <w:b w:val="0"/>
                <w:sz w:val="15"/>
              </w:rPr>
              <w:t>Verify Laravel-Python request/response compatibility.</w:t>
            </w:r>
          </w:p>
        </w:tc>
        <w:tc>
          <w:tcPr>
            <w:tcW w:type="dxa" w:w="5616"/>
            <w:vAlign w:val="center"/>
            <w:shd w:fill="EAF0F8"/>
          </w:tcPr>
          <w:p>
            <w:pPr>
              <w:spacing w:after="0" w:line="240" w:lineRule="auto"/>
            </w:pPr>
            <w:r/>
            <w:r>
              <w:rPr>
                <w:rFonts w:ascii="Arial" w:hAnsi="Arial"/>
                <w:b w:val="0"/>
                <w:sz w:val="15"/>
              </w:rPr>
              <w:t>Feature order, types, model version, malformed JSON, unknown label, timeout.</w:t>
            </w:r>
          </w:p>
        </w:tc>
      </w:tr>
      <w:tr>
        <w:trPr>
          <w:cantSplit/>
        </w:trPr>
        <w:tc>
          <w:tcPr>
            <w:tcW w:type="dxa" w:w="1800"/>
            <w:vAlign w:val="center"/>
          </w:tcPr>
          <w:p>
            <w:pPr>
              <w:spacing w:after="0" w:line="240" w:lineRule="auto"/>
            </w:pPr>
            <w:r/>
            <w:r>
              <w:rPr>
                <w:rFonts w:ascii="Arial" w:hAnsi="Arial"/>
                <w:b w:val="0"/>
                <w:sz w:val="15"/>
              </w:rPr>
              <w:t>Integration</w:t>
            </w:r>
          </w:p>
        </w:tc>
        <w:tc>
          <w:tcPr>
            <w:tcW w:type="dxa" w:w="3528"/>
            <w:vAlign w:val="center"/>
          </w:tcPr>
          <w:p>
            <w:pPr>
              <w:spacing w:after="0" w:line="240" w:lineRule="auto"/>
            </w:pPr>
            <w:r/>
            <w:r>
              <w:rPr>
                <w:rFonts w:ascii="Arial" w:hAnsi="Arial"/>
                <w:b w:val="0"/>
                <w:sz w:val="15"/>
              </w:rPr>
              <w:t>Verify one assessment across database records, rule engine, model adapter, decision policy, explanation, and persistence.</w:t>
            </w:r>
          </w:p>
        </w:tc>
        <w:tc>
          <w:tcPr>
            <w:tcW w:type="dxa" w:w="5616"/>
            <w:vAlign w:val="center"/>
          </w:tcPr>
          <w:p>
            <w:pPr>
              <w:spacing w:after="0" w:line="240" w:lineRule="auto"/>
            </w:pPr>
            <w:r/>
            <w:r>
              <w:rPr>
                <w:rFonts w:ascii="Arial" w:hAnsi="Arial"/>
                <w:b w:val="0"/>
                <w:sz w:val="15"/>
              </w:rPr>
              <w:t>Complete LOW, deterministic HIGH, ML HIGH, and missing-record paths.</w:t>
            </w:r>
          </w:p>
        </w:tc>
      </w:tr>
      <w:tr>
        <w:trPr>
          <w:cantSplit/>
        </w:trPr>
        <w:tc>
          <w:tcPr>
            <w:tcW w:type="dxa" w:w="1800"/>
            <w:vAlign w:val="center"/>
            <w:shd w:fill="EAF0F8"/>
          </w:tcPr>
          <w:p>
            <w:pPr>
              <w:spacing w:after="0" w:line="240" w:lineRule="auto"/>
            </w:pPr>
            <w:r/>
            <w:r>
              <w:rPr>
                <w:rFonts w:ascii="Arial" w:hAnsi="Arial"/>
                <w:b w:val="0"/>
                <w:sz w:val="15"/>
              </w:rPr>
              <w:t>Cross-channel</w:t>
            </w:r>
          </w:p>
        </w:tc>
        <w:tc>
          <w:tcPr>
            <w:tcW w:type="dxa" w:w="3528"/>
            <w:vAlign w:val="center"/>
            <w:shd w:fill="EAF0F8"/>
          </w:tcPr>
          <w:p>
            <w:pPr>
              <w:spacing w:after="0" w:line="240" w:lineRule="auto"/>
            </w:pPr>
            <w:r/>
            <w:r>
              <w:rPr>
                <w:rFonts w:ascii="Arial" w:hAnsi="Arial"/>
                <w:b w:val="0"/>
                <w:sz w:val="15"/>
              </w:rPr>
              <w:t>Verify consistent facts across web, print, referral, notifications, and audit.</w:t>
            </w:r>
          </w:p>
        </w:tc>
        <w:tc>
          <w:tcPr>
            <w:tcW w:type="dxa" w:w="5616"/>
            <w:vAlign w:val="center"/>
            <w:shd w:fill="EAF0F8"/>
          </w:tcPr>
          <w:p>
            <w:pPr>
              <w:spacing w:after="0" w:line="240" w:lineRule="auto"/>
            </w:pPr>
            <w:r/>
            <w:r>
              <w:rPr>
                <w:rFonts w:ascii="Arial" w:hAnsi="Arial"/>
                <w:b w:val="0"/>
                <w:sz w:val="15"/>
              </w:rPr>
              <w:t>Same status, decisive reasons, urgency, and source dates.</w:t>
            </w:r>
          </w:p>
        </w:tc>
      </w:tr>
      <w:tr>
        <w:trPr>
          <w:cantSplit/>
        </w:trPr>
        <w:tc>
          <w:tcPr>
            <w:tcW w:type="dxa" w:w="1800"/>
            <w:vAlign w:val="center"/>
          </w:tcPr>
          <w:p>
            <w:pPr>
              <w:spacing w:after="0" w:line="240" w:lineRule="auto"/>
            </w:pPr>
            <w:r/>
            <w:r>
              <w:rPr>
                <w:rFonts w:ascii="Arial" w:hAnsi="Arial"/>
                <w:b w:val="0"/>
                <w:sz w:val="15"/>
              </w:rPr>
              <w:t>Usability and human factors</w:t>
            </w:r>
          </w:p>
        </w:tc>
        <w:tc>
          <w:tcPr>
            <w:tcW w:type="dxa" w:w="3528"/>
            <w:vAlign w:val="center"/>
          </w:tcPr>
          <w:p>
            <w:pPr>
              <w:spacing w:after="0" w:line="240" w:lineRule="auto"/>
            </w:pPr>
            <w:r/>
            <w:r>
              <w:rPr>
                <w:rFonts w:ascii="Arial" w:hAnsi="Arial"/>
                <w:b w:val="0"/>
                <w:sz w:val="15"/>
              </w:rPr>
              <w:t>Verify comprehension, actionability, workload, and safe interpretation.</w:t>
            </w:r>
          </w:p>
        </w:tc>
        <w:tc>
          <w:tcPr>
            <w:tcW w:type="dxa" w:w="5616"/>
            <w:vAlign w:val="center"/>
          </w:tcPr>
          <w:p>
            <w:pPr>
              <w:spacing w:after="0" w:line="240" w:lineRule="auto"/>
            </w:pPr>
            <w:r/>
            <w:r>
              <w:rPr>
                <w:rFonts w:ascii="Arial" w:hAnsi="Arial"/>
                <w:b w:val="0"/>
                <w:sz w:val="15"/>
              </w:rPr>
              <w:t>Midwife task scenarios, patient plain-language review, teach-back.</w:t>
            </w:r>
          </w:p>
        </w:tc>
      </w:tr>
      <w:tr>
        <w:trPr>
          <w:cantSplit/>
        </w:trPr>
        <w:tc>
          <w:tcPr>
            <w:tcW w:type="dxa" w:w="1800"/>
            <w:vAlign w:val="center"/>
            <w:shd w:fill="EAF0F8"/>
          </w:tcPr>
          <w:p>
            <w:pPr>
              <w:spacing w:after="0" w:line="240" w:lineRule="auto"/>
            </w:pPr>
            <w:r/>
            <w:r>
              <w:rPr>
                <w:rFonts w:ascii="Arial" w:hAnsi="Arial"/>
                <w:b w:val="0"/>
                <w:sz w:val="15"/>
              </w:rPr>
              <w:t>Security and privacy</w:t>
            </w:r>
          </w:p>
        </w:tc>
        <w:tc>
          <w:tcPr>
            <w:tcW w:type="dxa" w:w="3528"/>
            <w:vAlign w:val="center"/>
            <w:shd w:fill="EAF0F8"/>
          </w:tcPr>
          <w:p>
            <w:pPr>
              <w:spacing w:after="0" w:line="240" w:lineRule="auto"/>
            </w:pPr>
            <w:r/>
            <w:r>
              <w:rPr>
                <w:rFonts w:ascii="Arial" w:hAnsi="Arial"/>
                <w:b w:val="0"/>
                <w:sz w:val="15"/>
              </w:rPr>
              <w:t>Verify authorization, minimum necessary disclosure, audit access, and safe logging.</w:t>
            </w:r>
          </w:p>
        </w:tc>
        <w:tc>
          <w:tcPr>
            <w:tcW w:type="dxa" w:w="5616"/>
            <w:vAlign w:val="center"/>
            <w:shd w:fill="EAF0F8"/>
          </w:tcPr>
          <w:p>
            <w:pPr>
              <w:spacing w:after="0" w:line="240" w:lineRule="auto"/>
            </w:pPr>
            <w:r/>
            <w:r>
              <w:rPr>
                <w:rFonts w:ascii="Arial" w:hAnsi="Arial"/>
                <w:b w:val="0"/>
                <w:sz w:val="15"/>
              </w:rPr>
              <w:t>Role tests, redaction, secret suppression, access logging.</w:t>
            </w:r>
          </w:p>
        </w:tc>
      </w:tr>
      <w:tr>
        <w:trPr>
          <w:cantSplit/>
        </w:trPr>
        <w:tc>
          <w:tcPr>
            <w:tcW w:type="dxa" w:w="1800"/>
            <w:vAlign w:val="center"/>
          </w:tcPr>
          <w:p>
            <w:pPr>
              <w:spacing w:after="0" w:line="240" w:lineRule="auto"/>
            </w:pPr>
            <w:r/>
            <w:r>
              <w:rPr>
                <w:rFonts w:ascii="Arial" w:hAnsi="Arial"/>
                <w:b w:val="0"/>
                <w:sz w:val="15"/>
              </w:rPr>
              <w:t>Regression</w:t>
            </w:r>
          </w:p>
        </w:tc>
        <w:tc>
          <w:tcPr>
            <w:tcW w:type="dxa" w:w="3528"/>
            <w:vAlign w:val="center"/>
          </w:tcPr>
          <w:p>
            <w:pPr>
              <w:spacing w:after="0" w:line="240" w:lineRule="auto"/>
            </w:pPr>
            <w:r/>
            <w:r>
              <w:rPr>
                <w:rFonts w:ascii="Arial" w:hAnsi="Arial"/>
                <w:b w:val="0"/>
                <w:sz w:val="15"/>
              </w:rPr>
              <w:t>Ensure updates do not alter approved behavior unexpectedly.</w:t>
            </w:r>
          </w:p>
        </w:tc>
        <w:tc>
          <w:tcPr>
            <w:tcW w:type="dxa" w:w="5616"/>
            <w:vAlign w:val="center"/>
          </w:tcPr>
          <w:p>
            <w:pPr>
              <w:spacing w:after="0" w:line="240" w:lineRule="auto"/>
            </w:pPr>
            <w:r/>
            <w:r>
              <w:rPr>
                <w:rFonts w:ascii="Arial" w:hAnsi="Arial"/>
                <w:b w:val="0"/>
                <w:sz w:val="15"/>
              </w:rPr>
              <w:t>Reference scenario suite and snapshot comparisons.</w:t>
            </w:r>
          </w:p>
        </w:tc>
      </w:tr>
      <w:tr>
        <w:trPr>
          <w:cantSplit/>
        </w:trPr>
        <w:tc>
          <w:tcPr>
            <w:tcW w:type="dxa" w:w="1800"/>
            <w:vAlign w:val="center"/>
            <w:shd w:fill="EAF0F8"/>
          </w:tcPr>
          <w:p>
            <w:pPr>
              <w:spacing w:after="0" w:line="240" w:lineRule="auto"/>
            </w:pPr>
            <w:r/>
            <w:r>
              <w:rPr>
                <w:rFonts w:ascii="Arial" w:hAnsi="Arial"/>
                <w:b w:val="0"/>
                <w:sz w:val="15"/>
              </w:rPr>
              <w:t>Operational</w:t>
            </w:r>
          </w:p>
        </w:tc>
        <w:tc>
          <w:tcPr>
            <w:tcW w:type="dxa" w:w="3528"/>
            <w:vAlign w:val="center"/>
            <w:shd w:fill="EAF0F8"/>
          </w:tcPr>
          <w:p>
            <w:pPr>
              <w:spacing w:after="0" w:line="240" w:lineRule="auto"/>
            </w:pPr>
            <w:r/>
            <w:r>
              <w:rPr>
                <w:rFonts w:ascii="Arial" w:hAnsi="Arial"/>
                <w:b w:val="0"/>
                <w:sz w:val="15"/>
              </w:rPr>
              <w:t>Verify monitoring, incident, rollback, backup, and recovery readiness.</w:t>
            </w:r>
          </w:p>
        </w:tc>
        <w:tc>
          <w:tcPr>
            <w:tcW w:type="dxa" w:w="5616"/>
            <w:vAlign w:val="center"/>
            <w:shd w:fill="EAF0F8"/>
          </w:tcPr>
          <w:p>
            <w:pPr>
              <w:spacing w:after="0" w:line="240" w:lineRule="auto"/>
            </w:pPr>
            <w:r/>
            <w:r>
              <w:rPr>
                <w:rFonts w:ascii="Arial" w:hAnsi="Arial"/>
                <w:b w:val="0"/>
                <w:sz w:val="15"/>
              </w:rPr>
              <w:t>Alert simulation, model outage, failed deployment, restored assessment reconstruction.</w:t>
            </w:r>
          </w:p>
        </w:tc>
      </w:tr>
    </w:tbl>
    <w:p>
      <w:pPr/>
    </w:p>
    <w:p>
      <w:pPr>
        <w:pStyle w:val="Heading2"/>
      </w:pPr>
      <w:r>
        <w:t>10.2 Master scenario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936"/>
            <w:vAlign w:val="center"/>
            <w:shd w:fill="2F5597"/>
          </w:tcPr>
          <w:p>
            <w:pPr>
              <w:spacing w:after="0" w:line="240" w:lineRule="auto"/>
            </w:pPr>
            <w:r/>
            <w:r>
              <w:rPr>
                <w:rFonts w:ascii="Arial" w:hAnsi="Arial"/>
                <w:b/>
                <w:color w:val="FFFFFF"/>
                <w:sz w:val="13"/>
              </w:rPr>
              <w:t>ID</w:t>
            </w:r>
          </w:p>
        </w:tc>
        <w:tc>
          <w:tcPr>
            <w:tcW w:type="dxa" w:w="3456"/>
            <w:vAlign w:val="center"/>
            <w:shd w:fill="2F5597"/>
          </w:tcPr>
          <w:p>
            <w:pPr>
              <w:spacing w:after="0" w:line="240" w:lineRule="auto"/>
            </w:pPr>
            <w:r/>
            <w:r>
              <w:rPr>
                <w:rFonts w:ascii="Arial" w:hAnsi="Arial"/>
                <w:b/>
                <w:color w:val="FFFFFF"/>
                <w:sz w:val="13"/>
              </w:rPr>
              <w:t>Test condition</w:t>
            </w:r>
          </w:p>
        </w:tc>
        <w:tc>
          <w:tcPr>
            <w:tcW w:type="dxa" w:w="1728"/>
            <w:vAlign w:val="center"/>
            <w:shd w:fill="2F5597"/>
          </w:tcPr>
          <w:p>
            <w:pPr>
              <w:spacing w:after="0" w:line="240" w:lineRule="auto"/>
            </w:pPr>
            <w:r/>
            <w:r>
              <w:rPr>
                <w:rFonts w:ascii="Arial" w:hAnsi="Arial"/>
                <w:b/>
                <w:color w:val="FFFFFF"/>
                <w:sz w:val="13"/>
              </w:rPr>
              <w:t>Expected status</w:t>
            </w:r>
          </w:p>
        </w:tc>
        <w:tc>
          <w:tcPr>
            <w:tcW w:type="dxa" w:w="4968"/>
            <w:vAlign w:val="center"/>
            <w:shd w:fill="2F5597"/>
          </w:tcPr>
          <w:p>
            <w:pPr>
              <w:spacing w:after="0" w:line="240" w:lineRule="auto"/>
            </w:pPr>
            <w:r/>
            <w:r>
              <w:rPr>
                <w:rFonts w:ascii="Arial" w:hAnsi="Arial"/>
                <w:b/>
                <w:color w:val="FFFFFF"/>
                <w:sz w:val="13"/>
              </w:rPr>
              <w:t>Required explanation assertion</w:t>
            </w:r>
          </w:p>
        </w:tc>
      </w:tr>
      <w:tr>
        <w:trPr>
          <w:cantSplit/>
        </w:trPr>
        <w:tc>
          <w:tcPr>
            <w:tcW w:type="dxa" w:w="936"/>
            <w:vAlign w:val="center"/>
          </w:tcPr>
          <w:p>
            <w:pPr>
              <w:spacing w:after="0" w:line="240" w:lineRule="auto"/>
            </w:pPr>
            <w:r/>
            <w:r>
              <w:rPr>
                <w:rFonts w:ascii="Arial" w:hAnsi="Arial"/>
                <w:b w:val="0"/>
                <w:sz w:val="13"/>
              </w:rPr>
              <w:t>V-01</w:t>
            </w:r>
          </w:p>
        </w:tc>
        <w:tc>
          <w:tcPr>
            <w:tcW w:type="dxa" w:w="3456"/>
            <w:vAlign w:val="center"/>
          </w:tcPr>
          <w:p>
            <w:pPr>
              <w:spacing w:after="0" w:line="240" w:lineRule="auto"/>
            </w:pPr>
            <w:r/>
            <w:r>
              <w:rPr>
                <w:rFonts w:ascii="Arial" w:hAnsi="Arial"/>
                <w:b w:val="0"/>
                <w:sz w:val="13"/>
              </w:rPr>
              <w:t>Age 18, complete records, ML LOW</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Age rule explained; ML LOW disagreement disclosed; deterministic precedence stated.</w:t>
            </w:r>
          </w:p>
        </w:tc>
      </w:tr>
      <w:tr>
        <w:trPr>
          <w:cantSplit/>
        </w:trPr>
        <w:tc>
          <w:tcPr>
            <w:tcW w:type="dxa" w:w="936"/>
            <w:vAlign w:val="center"/>
            <w:shd w:fill="EAF0F8"/>
          </w:tcPr>
          <w:p>
            <w:pPr>
              <w:spacing w:after="0" w:line="240" w:lineRule="auto"/>
            </w:pPr>
            <w:r/>
            <w:r>
              <w:rPr>
                <w:rFonts w:ascii="Arial" w:hAnsi="Arial"/>
                <w:b w:val="0"/>
                <w:sz w:val="13"/>
              </w:rPr>
              <w:t>V-02</w:t>
            </w:r>
          </w:p>
        </w:tc>
        <w:tc>
          <w:tcPr>
            <w:tcW w:type="dxa" w:w="3456"/>
            <w:vAlign w:val="center"/>
            <w:shd w:fill="EAF0F8"/>
          </w:tcPr>
          <w:p>
            <w:pPr>
              <w:spacing w:after="0" w:line="240" w:lineRule="auto"/>
            </w:pPr>
            <w:r/>
            <w:r>
              <w:rPr>
                <w:rFonts w:ascii="Arial" w:hAnsi="Arial"/>
                <w:b w:val="0"/>
                <w:sz w:val="13"/>
              </w:rPr>
              <w:t>Age 19, no other factors, complete, ML LOW</w:t>
            </w:r>
          </w:p>
        </w:tc>
        <w:tc>
          <w:tcPr>
            <w:tcW w:type="dxa" w:w="1728"/>
            <w:vAlign w:val="center"/>
            <w:shd w:fill="EAF0F8"/>
          </w:tcPr>
          <w:p>
            <w:pPr>
              <w:spacing w:after="0" w:line="240" w:lineRule="auto"/>
            </w:pPr>
            <w:r/>
            <w:r>
              <w:rPr>
                <w:rFonts w:ascii="Arial" w:hAnsi="Arial"/>
                <w:b w:val="0"/>
                <w:sz w:val="13"/>
              </w:rPr>
              <w:t>LOW</w:t>
            </w:r>
          </w:p>
        </w:tc>
        <w:tc>
          <w:tcPr>
            <w:tcW w:type="dxa" w:w="4968"/>
            <w:vAlign w:val="center"/>
            <w:shd w:fill="EAF0F8"/>
          </w:tcPr>
          <w:p>
            <w:pPr>
              <w:spacing w:after="0" w:line="240" w:lineRule="auto"/>
            </w:pPr>
            <w:r/>
            <w:r>
              <w:rPr>
                <w:rFonts w:ascii="Arial" w:hAnsi="Arial"/>
                <w:b w:val="0"/>
                <w:sz w:val="13"/>
              </w:rPr>
              <w:t>No age rule; LOW limitation and routine follow-up shown.</w:t>
            </w:r>
          </w:p>
        </w:tc>
      </w:tr>
      <w:tr>
        <w:trPr>
          <w:cantSplit/>
        </w:trPr>
        <w:tc>
          <w:tcPr>
            <w:tcW w:type="dxa" w:w="936"/>
            <w:vAlign w:val="center"/>
          </w:tcPr>
          <w:p>
            <w:pPr>
              <w:spacing w:after="0" w:line="240" w:lineRule="auto"/>
            </w:pPr>
            <w:r/>
            <w:r>
              <w:rPr>
                <w:rFonts w:ascii="Arial" w:hAnsi="Arial"/>
                <w:b w:val="0"/>
                <w:sz w:val="13"/>
              </w:rPr>
              <w:t>V-03</w:t>
            </w:r>
          </w:p>
        </w:tc>
        <w:tc>
          <w:tcPr>
            <w:tcW w:type="dxa" w:w="3456"/>
            <w:vAlign w:val="center"/>
          </w:tcPr>
          <w:p>
            <w:pPr>
              <w:spacing w:after="0" w:line="240" w:lineRule="auto"/>
            </w:pPr>
            <w:r/>
            <w:r>
              <w:rPr>
                <w:rFonts w:ascii="Arial" w:hAnsi="Arial"/>
                <w:b w:val="0"/>
                <w:sz w:val="13"/>
              </w:rPr>
              <w:t>Age 35, first pregnancy, ML LOW</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Conjunctive age/first-pregnancy reason shown.</w:t>
            </w:r>
          </w:p>
        </w:tc>
      </w:tr>
      <w:tr>
        <w:trPr>
          <w:cantSplit/>
        </w:trPr>
        <w:tc>
          <w:tcPr>
            <w:tcW w:type="dxa" w:w="936"/>
            <w:vAlign w:val="center"/>
            <w:shd w:fill="EAF0F8"/>
          </w:tcPr>
          <w:p>
            <w:pPr>
              <w:spacing w:after="0" w:line="240" w:lineRule="auto"/>
            </w:pPr>
            <w:r/>
            <w:r>
              <w:rPr>
                <w:rFonts w:ascii="Arial" w:hAnsi="Arial"/>
                <w:b w:val="0"/>
                <w:sz w:val="13"/>
              </w:rPr>
              <w:t>V-04</w:t>
            </w:r>
          </w:p>
        </w:tc>
        <w:tc>
          <w:tcPr>
            <w:tcW w:type="dxa" w:w="3456"/>
            <w:vAlign w:val="center"/>
            <w:shd w:fill="EAF0F8"/>
          </w:tcPr>
          <w:p>
            <w:pPr>
              <w:spacing w:after="0" w:line="240" w:lineRule="auto"/>
            </w:pPr>
            <w:r/>
            <w:r>
              <w:rPr>
                <w:rFonts w:ascii="Arial" w:hAnsi="Arial"/>
                <w:b w:val="0"/>
                <w:sz w:val="13"/>
              </w:rPr>
              <w:t>Age 35, not first pregnancy, ML LOW</w:t>
            </w:r>
          </w:p>
        </w:tc>
        <w:tc>
          <w:tcPr>
            <w:tcW w:type="dxa" w:w="1728"/>
            <w:vAlign w:val="center"/>
            <w:shd w:fill="EAF0F8"/>
          </w:tcPr>
          <w:p>
            <w:pPr>
              <w:spacing w:after="0" w:line="240" w:lineRule="auto"/>
            </w:pPr>
            <w:r/>
            <w:r>
              <w:rPr>
                <w:rFonts w:ascii="Arial" w:hAnsi="Arial"/>
                <w:b w:val="0"/>
                <w:sz w:val="13"/>
              </w:rPr>
              <w:t>LOW if no other factor</w:t>
            </w:r>
          </w:p>
        </w:tc>
        <w:tc>
          <w:tcPr>
            <w:tcW w:type="dxa" w:w="4968"/>
            <w:vAlign w:val="center"/>
            <w:shd w:fill="EAF0F8"/>
          </w:tcPr>
          <w:p>
            <w:pPr>
              <w:spacing w:after="0" w:line="240" w:lineRule="auto"/>
            </w:pPr>
            <w:r/>
            <w:r>
              <w:rPr>
                <w:rFonts w:ascii="Arial" w:hAnsi="Arial"/>
                <w:b w:val="0"/>
                <w:sz w:val="13"/>
              </w:rPr>
              <w:t>No false age rule.</w:t>
            </w:r>
          </w:p>
        </w:tc>
      </w:tr>
      <w:tr>
        <w:trPr>
          <w:cantSplit/>
        </w:trPr>
        <w:tc>
          <w:tcPr>
            <w:tcW w:type="dxa" w:w="936"/>
            <w:vAlign w:val="center"/>
          </w:tcPr>
          <w:p>
            <w:pPr>
              <w:spacing w:after="0" w:line="240" w:lineRule="auto"/>
            </w:pPr>
            <w:r/>
            <w:r>
              <w:rPr>
                <w:rFonts w:ascii="Arial" w:hAnsi="Arial"/>
                <w:b w:val="0"/>
                <w:sz w:val="13"/>
              </w:rPr>
              <w:t>V-05</w:t>
            </w:r>
          </w:p>
        </w:tc>
        <w:tc>
          <w:tcPr>
            <w:tcW w:type="dxa" w:w="3456"/>
            <w:vAlign w:val="center"/>
          </w:tcPr>
          <w:p>
            <w:pPr>
              <w:spacing w:after="0" w:line="240" w:lineRule="auto"/>
            </w:pPr>
            <w:r/>
            <w:r>
              <w:rPr>
                <w:rFonts w:ascii="Arial" w:hAnsi="Arial"/>
                <w:b w:val="0"/>
                <w:sz w:val="13"/>
              </w:rPr>
              <w:t>BP 140/89, ML LOW</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Systolic threshold reason.</w:t>
            </w:r>
          </w:p>
        </w:tc>
      </w:tr>
      <w:tr>
        <w:trPr>
          <w:cantSplit/>
        </w:trPr>
        <w:tc>
          <w:tcPr>
            <w:tcW w:type="dxa" w:w="936"/>
            <w:vAlign w:val="center"/>
            <w:shd w:fill="EAF0F8"/>
          </w:tcPr>
          <w:p>
            <w:pPr>
              <w:spacing w:after="0" w:line="240" w:lineRule="auto"/>
            </w:pPr>
            <w:r/>
            <w:r>
              <w:rPr>
                <w:rFonts w:ascii="Arial" w:hAnsi="Arial"/>
                <w:b w:val="0"/>
                <w:sz w:val="13"/>
              </w:rPr>
              <w:t>V-06</w:t>
            </w:r>
          </w:p>
        </w:tc>
        <w:tc>
          <w:tcPr>
            <w:tcW w:type="dxa" w:w="3456"/>
            <w:vAlign w:val="center"/>
            <w:shd w:fill="EAF0F8"/>
          </w:tcPr>
          <w:p>
            <w:pPr>
              <w:spacing w:after="0" w:line="240" w:lineRule="auto"/>
            </w:pPr>
            <w:r/>
            <w:r>
              <w:rPr>
                <w:rFonts w:ascii="Arial" w:hAnsi="Arial"/>
                <w:b w:val="0"/>
                <w:sz w:val="13"/>
              </w:rPr>
              <w:t>BP 139/90, ML LOW</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Diastolic threshold reason.</w:t>
            </w:r>
          </w:p>
        </w:tc>
      </w:tr>
      <w:tr>
        <w:trPr>
          <w:cantSplit/>
        </w:trPr>
        <w:tc>
          <w:tcPr>
            <w:tcW w:type="dxa" w:w="936"/>
            <w:vAlign w:val="center"/>
          </w:tcPr>
          <w:p>
            <w:pPr>
              <w:spacing w:after="0" w:line="240" w:lineRule="auto"/>
            </w:pPr>
            <w:r/>
            <w:r>
              <w:rPr>
                <w:rFonts w:ascii="Arial" w:hAnsi="Arial"/>
                <w:b w:val="0"/>
                <w:sz w:val="13"/>
              </w:rPr>
              <w:t>V-07</w:t>
            </w:r>
          </w:p>
        </w:tc>
        <w:tc>
          <w:tcPr>
            <w:tcW w:type="dxa" w:w="3456"/>
            <w:vAlign w:val="center"/>
          </w:tcPr>
          <w:p>
            <w:pPr>
              <w:spacing w:after="0" w:line="240" w:lineRule="auto"/>
            </w:pPr>
            <w:r/>
            <w:r>
              <w:rPr>
                <w:rFonts w:ascii="Arial" w:hAnsi="Arial"/>
                <w:b w:val="0"/>
                <w:sz w:val="13"/>
              </w:rPr>
              <w:t>BP 160/110</w:t>
            </w:r>
          </w:p>
        </w:tc>
        <w:tc>
          <w:tcPr>
            <w:tcW w:type="dxa" w:w="1728"/>
            <w:vAlign w:val="center"/>
          </w:tcPr>
          <w:p>
            <w:pPr>
              <w:spacing w:after="0" w:line="240" w:lineRule="auto"/>
            </w:pPr>
            <w:r/>
            <w:r>
              <w:rPr>
                <w:rFonts w:ascii="Arial" w:hAnsi="Arial"/>
                <w:b w:val="0"/>
                <w:sz w:val="13"/>
              </w:rPr>
              <w:t>HIGH urgent</w:t>
            </w:r>
          </w:p>
        </w:tc>
        <w:tc>
          <w:tcPr>
            <w:tcW w:type="dxa" w:w="4968"/>
            <w:vAlign w:val="center"/>
          </w:tcPr>
          <w:p>
            <w:pPr>
              <w:spacing w:after="0" w:line="240" w:lineRule="auto"/>
            </w:pPr>
            <w:r/>
            <w:r>
              <w:rPr>
                <w:rFonts w:ascii="Arial" w:hAnsi="Arial"/>
                <w:b w:val="0"/>
                <w:sz w:val="13"/>
              </w:rPr>
              <w:t>Urgent reason first, prominent escalation direction.</w:t>
            </w:r>
          </w:p>
        </w:tc>
      </w:tr>
      <w:tr>
        <w:trPr>
          <w:cantSplit/>
        </w:trPr>
        <w:tc>
          <w:tcPr>
            <w:tcW w:type="dxa" w:w="936"/>
            <w:vAlign w:val="center"/>
            <w:shd w:fill="EAF0F8"/>
          </w:tcPr>
          <w:p>
            <w:pPr>
              <w:spacing w:after="0" w:line="240" w:lineRule="auto"/>
            </w:pPr>
            <w:r/>
            <w:r>
              <w:rPr>
                <w:rFonts w:ascii="Arial" w:hAnsi="Arial"/>
                <w:b w:val="0"/>
                <w:sz w:val="13"/>
              </w:rPr>
              <w:t>V-08</w:t>
            </w:r>
          </w:p>
        </w:tc>
        <w:tc>
          <w:tcPr>
            <w:tcW w:type="dxa" w:w="3456"/>
            <w:vAlign w:val="center"/>
            <w:shd w:fill="EAF0F8"/>
          </w:tcPr>
          <w:p>
            <w:pPr>
              <w:spacing w:after="0" w:line="240" w:lineRule="auto"/>
            </w:pPr>
            <w:r/>
            <w:r>
              <w:rPr>
                <w:rFonts w:ascii="Arial" w:hAnsi="Arial"/>
                <w:b w:val="0"/>
                <w:sz w:val="13"/>
              </w:rPr>
              <w:t>Diabetes present</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Recorded condition cited without new diagnosis.</w:t>
            </w:r>
          </w:p>
        </w:tc>
      </w:tr>
      <w:tr>
        <w:trPr>
          <w:cantSplit/>
        </w:trPr>
        <w:tc>
          <w:tcPr>
            <w:tcW w:type="dxa" w:w="936"/>
            <w:vAlign w:val="center"/>
          </w:tcPr>
          <w:p>
            <w:pPr>
              <w:spacing w:after="0" w:line="240" w:lineRule="auto"/>
            </w:pPr>
            <w:r/>
            <w:r>
              <w:rPr>
                <w:rFonts w:ascii="Arial" w:hAnsi="Arial"/>
                <w:b w:val="0"/>
                <w:sz w:val="13"/>
              </w:rPr>
              <w:t>V-09</w:t>
            </w:r>
          </w:p>
        </w:tc>
        <w:tc>
          <w:tcPr>
            <w:tcW w:type="dxa" w:w="3456"/>
            <w:vAlign w:val="center"/>
          </w:tcPr>
          <w:p>
            <w:pPr>
              <w:spacing w:after="0" w:line="240" w:lineRule="auto"/>
            </w:pPr>
            <w:r/>
            <w:r>
              <w:rPr>
                <w:rFonts w:ascii="Arial" w:hAnsi="Arial"/>
                <w:b w:val="0"/>
                <w:sz w:val="13"/>
              </w:rPr>
              <w:t>Anemia present</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Recorded condition cited without fabricated severity.</w:t>
            </w:r>
          </w:p>
        </w:tc>
      </w:tr>
      <w:tr>
        <w:trPr>
          <w:cantSplit/>
        </w:trPr>
        <w:tc>
          <w:tcPr>
            <w:tcW w:type="dxa" w:w="936"/>
            <w:vAlign w:val="center"/>
            <w:shd w:fill="EAF0F8"/>
          </w:tcPr>
          <w:p>
            <w:pPr>
              <w:spacing w:after="0" w:line="240" w:lineRule="auto"/>
            </w:pPr>
            <w:r/>
            <w:r>
              <w:rPr>
                <w:rFonts w:ascii="Arial" w:hAnsi="Arial"/>
                <w:b w:val="0"/>
                <w:sz w:val="13"/>
              </w:rPr>
              <w:t>V-10</w:t>
            </w:r>
          </w:p>
        </w:tc>
        <w:tc>
          <w:tcPr>
            <w:tcW w:type="dxa" w:w="3456"/>
            <w:vAlign w:val="center"/>
            <w:shd w:fill="EAF0F8"/>
          </w:tcPr>
          <w:p>
            <w:pPr>
              <w:spacing w:after="0" w:line="240" w:lineRule="auto"/>
            </w:pPr>
            <w:r/>
            <w:r>
              <w:rPr>
                <w:rFonts w:ascii="Arial" w:hAnsi="Arial"/>
                <w:b w:val="0"/>
                <w:sz w:val="13"/>
              </w:rPr>
              <w:t>Previous CS present</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History source and review relevance.</w:t>
            </w:r>
          </w:p>
        </w:tc>
      </w:tr>
      <w:tr>
        <w:trPr>
          <w:cantSplit/>
        </w:trPr>
        <w:tc>
          <w:tcPr>
            <w:tcW w:type="dxa" w:w="936"/>
            <w:vAlign w:val="center"/>
          </w:tcPr>
          <w:p>
            <w:pPr>
              <w:spacing w:after="0" w:line="240" w:lineRule="auto"/>
            </w:pPr>
            <w:r/>
            <w:r>
              <w:rPr>
                <w:rFonts w:ascii="Arial" w:hAnsi="Arial"/>
                <w:b w:val="0"/>
                <w:sz w:val="13"/>
              </w:rPr>
              <w:t>V-11</w:t>
            </w:r>
          </w:p>
        </w:tc>
        <w:tc>
          <w:tcPr>
            <w:tcW w:type="dxa" w:w="3456"/>
            <w:vAlign w:val="center"/>
          </w:tcPr>
          <w:p>
            <w:pPr>
              <w:spacing w:after="0" w:line="240" w:lineRule="auto"/>
            </w:pPr>
            <w:r/>
            <w:r>
              <w:rPr>
                <w:rFonts w:ascii="Arial" w:hAnsi="Arial"/>
                <w:b w:val="0"/>
                <w:sz w:val="13"/>
              </w:rPr>
              <w:t>Miscarriage count 3</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Observed count and threshold.</w:t>
            </w:r>
          </w:p>
        </w:tc>
      </w:tr>
      <w:tr>
        <w:trPr>
          <w:cantSplit/>
        </w:trPr>
        <w:tc>
          <w:tcPr>
            <w:tcW w:type="dxa" w:w="936"/>
            <w:vAlign w:val="center"/>
            <w:shd w:fill="EAF0F8"/>
          </w:tcPr>
          <w:p>
            <w:pPr>
              <w:spacing w:after="0" w:line="240" w:lineRule="auto"/>
            </w:pPr>
            <w:r/>
            <w:r>
              <w:rPr>
                <w:rFonts w:ascii="Arial" w:hAnsi="Arial"/>
                <w:b w:val="0"/>
                <w:sz w:val="13"/>
              </w:rPr>
              <w:t>V-12</w:t>
            </w:r>
          </w:p>
        </w:tc>
        <w:tc>
          <w:tcPr>
            <w:tcW w:type="dxa" w:w="3456"/>
            <w:vAlign w:val="center"/>
            <w:shd w:fill="EAF0F8"/>
          </w:tcPr>
          <w:p>
            <w:pPr>
              <w:spacing w:after="0" w:line="240" w:lineRule="auto"/>
            </w:pPr>
            <w:r/>
            <w:r>
              <w:rPr>
                <w:rFonts w:ascii="Arial" w:hAnsi="Arial"/>
                <w:b w:val="0"/>
                <w:sz w:val="13"/>
              </w:rPr>
              <w:t>Miscarriage count 2, ML LOW</w:t>
            </w:r>
          </w:p>
        </w:tc>
        <w:tc>
          <w:tcPr>
            <w:tcW w:type="dxa" w:w="1728"/>
            <w:vAlign w:val="center"/>
            <w:shd w:fill="EAF0F8"/>
          </w:tcPr>
          <w:p>
            <w:pPr>
              <w:spacing w:after="0" w:line="240" w:lineRule="auto"/>
            </w:pPr>
            <w:r/>
            <w:r>
              <w:rPr>
                <w:rFonts w:ascii="Arial" w:hAnsi="Arial"/>
                <w:b w:val="0"/>
                <w:sz w:val="13"/>
              </w:rPr>
              <w:t>LOW if otherwise eligible</w:t>
            </w:r>
          </w:p>
        </w:tc>
        <w:tc>
          <w:tcPr>
            <w:tcW w:type="dxa" w:w="4968"/>
            <w:vAlign w:val="center"/>
            <w:shd w:fill="EAF0F8"/>
          </w:tcPr>
          <w:p>
            <w:pPr>
              <w:spacing w:after="0" w:line="240" w:lineRule="auto"/>
            </w:pPr>
            <w:r/>
            <w:r>
              <w:rPr>
                <w:rFonts w:ascii="Arial" w:hAnsi="Arial"/>
                <w:b w:val="0"/>
                <w:sz w:val="13"/>
              </w:rPr>
              <w:t>No recurrent-miscarriage reason.</w:t>
            </w:r>
          </w:p>
        </w:tc>
      </w:tr>
      <w:tr>
        <w:trPr>
          <w:cantSplit/>
        </w:trPr>
        <w:tc>
          <w:tcPr>
            <w:tcW w:type="dxa" w:w="936"/>
            <w:vAlign w:val="center"/>
          </w:tcPr>
          <w:p>
            <w:pPr>
              <w:spacing w:after="0" w:line="240" w:lineRule="auto"/>
            </w:pPr>
            <w:r/>
            <w:r>
              <w:rPr>
                <w:rFonts w:ascii="Arial" w:hAnsi="Arial"/>
                <w:b w:val="0"/>
                <w:sz w:val="13"/>
              </w:rPr>
              <w:t>V-13</w:t>
            </w:r>
          </w:p>
        </w:tc>
        <w:tc>
          <w:tcPr>
            <w:tcW w:type="dxa" w:w="3456"/>
            <w:vAlign w:val="center"/>
          </w:tcPr>
          <w:p>
            <w:pPr>
              <w:spacing w:after="0" w:line="240" w:lineRule="auto"/>
            </w:pPr>
            <w:r/>
            <w:r>
              <w:rPr>
                <w:rFonts w:ascii="Arial" w:hAnsi="Arial"/>
                <w:b w:val="0"/>
                <w:sz w:val="13"/>
              </w:rPr>
              <w:t>Breech presentation</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Presentation and ultrasound date.</w:t>
            </w:r>
          </w:p>
        </w:tc>
      </w:tr>
      <w:tr>
        <w:trPr>
          <w:cantSplit/>
        </w:trPr>
        <w:tc>
          <w:tcPr>
            <w:tcW w:type="dxa" w:w="936"/>
            <w:vAlign w:val="center"/>
            <w:shd w:fill="EAF0F8"/>
          </w:tcPr>
          <w:p>
            <w:pPr>
              <w:spacing w:after="0" w:line="240" w:lineRule="auto"/>
            </w:pPr>
            <w:r/>
            <w:r>
              <w:rPr>
                <w:rFonts w:ascii="Arial" w:hAnsi="Arial"/>
                <w:b w:val="0"/>
                <w:sz w:val="13"/>
              </w:rPr>
              <w:t>V-14</w:t>
            </w:r>
          </w:p>
        </w:tc>
        <w:tc>
          <w:tcPr>
            <w:tcW w:type="dxa" w:w="3456"/>
            <w:vAlign w:val="center"/>
            <w:shd w:fill="EAF0F8"/>
          </w:tcPr>
          <w:p>
            <w:pPr>
              <w:spacing w:after="0" w:line="240" w:lineRule="auto"/>
            </w:pPr>
            <w:r/>
            <w:r>
              <w:rPr>
                <w:rFonts w:ascii="Arial" w:hAnsi="Arial"/>
                <w:b w:val="0"/>
                <w:sz w:val="13"/>
              </w:rPr>
              <w:t>Transverse presentation</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Presentation and ultrasound date.</w:t>
            </w:r>
          </w:p>
        </w:tc>
      </w:tr>
      <w:tr>
        <w:trPr>
          <w:cantSplit/>
        </w:trPr>
        <w:tc>
          <w:tcPr>
            <w:tcW w:type="dxa" w:w="936"/>
            <w:vAlign w:val="center"/>
          </w:tcPr>
          <w:p>
            <w:pPr>
              <w:spacing w:after="0" w:line="240" w:lineRule="auto"/>
            </w:pPr>
            <w:r/>
            <w:r>
              <w:rPr>
                <w:rFonts w:ascii="Arial" w:hAnsi="Arial"/>
                <w:b w:val="0"/>
                <w:sz w:val="13"/>
              </w:rPr>
              <w:t>V-15</w:t>
            </w:r>
          </w:p>
        </w:tc>
        <w:tc>
          <w:tcPr>
            <w:tcW w:type="dxa" w:w="3456"/>
            <w:vAlign w:val="center"/>
          </w:tcPr>
          <w:p>
            <w:pPr>
              <w:spacing w:after="0" w:line="240" w:lineRule="auto"/>
            </w:pPr>
            <w:r/>
            <w:r>
              <w:rPr>
                <w:rFonts w:ascii="Arial" w:hAnsi="Arial"/>
                <w:b w:val="0"/>
                <w:sz w:val="13"/>
              </w:rPr>
              <w:t>Oblique presentation</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Presentation and ultrasound date.</w:t>
            </w:r>
          </w:p>
        </w:tc>
      </w:tr>
      <w:tr>
        <w:trPr>
          <w:cantSplit/>
        </w:trPr>
        <w:tc>
          <w:tcPr>
            <w:tcW w:type="dxa" w:w="936"/>
            <w:vAlign w:val="center"/>
            <w:shd w:fill="EAF0F8"/>
          </w:tcPr>
          <w:p>
            <w:pPr>
              <w:spacing w:after="0" w:line="240" w:lineRule="auto"/>
            </w:pPr>
            <w:r/>
            <w:r>
              <w:rPr>
                <w:rFonts w:ascii="Arial" w:hAnsi="Arial"/>
                <w:b w:val="0"/>
                <w:sz w:val="13"/>
              </w:rPr>
              <w:t>V-16</w:t>
            </w:r>
          </w:p>
        </w:tc>
        <w:tc>
          <w:tcPr>
            <w:tcW w:type="dxa" w:w="3456"/>
            <w:vAlign w:val="center"/>
            <w:shd w:fill="EAF0F8"/>
          </w:tcPr>
          <w:p>
            <w:pPr>
              <w:spacing w:after="0" w:line="240" w:lineRule="auto"/>
            </w:pPr>
            <w:r/>
            <w:r>
              <w:rPr>
                <w:rFonts w:ascii="Arial" w:hAnsi="Arial"/>
                <w:b w:val="0"/>
                <w:sz w:val="13"/>
              </w:rPr>
              <w:t>Low amniotic fluid category</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Recorded category and source.</w:t>
            </w:r>
          </w:p>
        </w:tc>
      </w:tr>
      <w:tr>
        <w:trPr>
          <w:cantSplit/>
        </w:trPr>
        <w:tc>
          <w:tcPr>
            <w:tcW w:type="dxa" w:w="936"/>
            <w:vAlign w:val="center"/>
          </w:tcPr>
          <w:p>
            <w:pPr>
              <w:spacing w:after="0" w:line="240" w:lineRule="auto"/>
            </w:pPr>
            <w:r/>
            <w:r>
              <w:rPr>
                <w:rFonts w:ascii="Arial" w:hAnsi="Arial"/>
                <w:b w:val="0"/>
                <w:sz w:val="13"/>
              </w:rPr>
              <w:t>V-17</w:t>
            </w:r>
          </w:p>
        </w:tc>
        <w:tc>
          <w:tcPr>
            <w:tcW w:type="dxa" w:w="3456"/>
            <w:vAlign w:val="center"/>
          </w:tcPr>
          <w:p>
            <w:pPr>
              <w:spacing w:after="0" w:line="240" w:lineRule="auto"/>
            </w:pPr>
            <w:r/>
            <w:r>
              <w:rPr>
                <w:rFonts w:ascii="Arial" w:hAnsi="Arial"/>
                <w:b w:val="0"/>
                <w:sz w:val="13"/>
              </w:rPr>
              <w:t>High amniotic fluid category</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Recorded category and source.</w:t>
            </w:r>
          </w:p>
        </w:tc>
      </w:tr>
      <w:tr>
        <w:trPr>
          <w:cantSplit/>
        </w:trPr>
        <w:tc>
          <w:tcPr>
            <w:tcW w:type="dxa" w:w="936"/>
            <w:vAlign w:val="center"/>
            <w:shd w:fill="EAF0F8"/>
          </w:tcPr>
          <w:p>
            <w:pPr>
              <w:spacing w:after="0" w:line="240" w:lineRule="auto"/>
            </w:pPr>
            <w:r/>
            <w:r>
              <w:rPr>
                <w:rFonts w:ascii="Arial" w:hAnsi="Arial"/>
                <w:b w:val="0"/>
                <w:sz w:val="13"/>
              </w:rPr>
              <w:t>V-18</w:t>
            </w:r>
          </w:p>
        </w:tc>
        <w:tc>
          <w:tcPr>
            <w:tcW w:type="dxa" w:w="3456"/>
            <w:vAlign w:val="center"/>
            <w:shd w:fill="EAF0F8"/>
          </w:tcPr>
          <w:p>
            <w:pPr>
              <w:spacing w:after="0" w:line="240" w:lineRule="auto"/>
            </w:pPr>
            <w:r/>
            <w:r>
              <w:rPr>
                <w:rFonts w:ascii="Arial" w:hAnsi="Arial"/>
                <w:b w:val="0"/>
                <w:sz w:val="13"/>
              </w:rPr>
              <w:t>Weak fetal heartbeat category</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Prompt review wording.</w:t>
            </w:r>
          </w:p>
        </w:tc>
      </w:tr>
      <w:tr>
        <w:trPr>
          <w:cantSplit/>
        </w:trPr>
        <w:tc>
          <w:tcPr>
            <w:tcW w:type="dxa" w:w="936"/>
            <w:vAlign w:val="center"/>
          </w:tcPr>
          <w:p>
            <w:pPr>
              <w:spacing w:after="0" w:line="240" w:lineRule="auto"/>
            </w:pPr>
            <w:r/>
            <w:r>
              <w:rPr>
                <w:rFonts w:ascii="Arial" w:hAnsi="Arial"/>
                <w:b w:val="0"/>
                <w:sz w:val="13"/>
              </w:rPr>
              <w:t>V-19</w:t>
            </w:r>
          </w:p>
        </w:tc>
        <w:tc>
          <w:tcPr>
            <w:tcW w:type="dxa" w:w="3456"/>
            <w:vAlign w:val="center"/>
          </w:tcPr>
          <w:p>
            <w:pPr>
              <w:spacing w:after="0" w:line="240" w:lineRule="auto"/>
            </w:pPr>
            <w:r/>
            <w:r>
              <w:rPr>
                <w:rFonts w:ascii="Arial" w:hAnsi="Arial"/>
                <w:b w:val="0"/>
                <w:sz w:val="13"/>
              </w:rPr>
              <w:t>Abnormal fetal heartbeat category</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Prompt review wording.</w:t>
            </w:r>
          </w:p>
        </w:tc>
      </w:tr>
      <w:tr>
        <w:trPr>
          <w:cantSplit/>
        </w:trPr>
        <w:tc>
          <w:tcPr>
            <w:tcW w:type="dxa" w:w="936"/>
            <w:vAlign w:val="center"/>
            <w:shd w:fill="EAF0F8"/>
          </w:tcPr>
          <w:p>
            <w:pPr>
              <w:spacing w:after="0" w:line="240" w:lineRule="auto"/>
            </w:pPr>
            <w:r/>
            <w:r>
              <w:rPr>
                <w:rFonts w:ascii="Arial" w:hAnsi="Arial"/>
                <w:b w:val="0"/>
                <w:sz w:val="13"/>
              </w:rPr>
              <w:t>V-20</w:t>
            </w:r>
          </w:p>
        </w:tc>
        <w:tc>
          <w:tcPr>
            <w:tcW w:type="dxa" w:w="3456"/>
            <w:vAlign w:val="center"/>
            <w:shd w:fill="EAF0F8"/>
          </w:tcPr>
          <w:p>
            <w:pPr>
              <w:spacing w:after="0" w:line="240" w:lineRule="auto"/>
            </w:pPr>
            <w:r/>
            <w:r>
              <w:rPr>
                <w:rFonts w:ascii="Arial" w:hAnsi="Arial"/>
                <w:b w:val="0"/>
                <w:sz w:val="13"/>
              </w:rPr>
              <w:t>Absent fetal heartbeat category</w:t>
            </w:r>
          </w:p>
        </w:tc>
        <w:tc>
          <w:tcPr>
            <w:tcW w:type="dxa" w:w="1728"/>
            <w:vAlign w:val="center"/>
            <w:shd w:fill="EAF0F8"/>
          </w:tcPr>
          <w:p>
            <w:pPr>
              <w:spacing w:after="0" w:line="240" w:lineRule="auto"/>
            </w:pPr>
            <w:r/>
            <w:r>
              <w:rPr>
                <w:rFonts w:ascii="Arial" w:hAnsi="Arial"/>
                <w:b w:val="0"/>
                <w:sz w:val="13"/>
              </w:rPr>
              <w:t>HIGH urgent</w:t>
            </w:r>
          </w:p>
        </w:tc>
        <w:tc>
          <w:tcPr>
            <w:tcW w:type="dxa" w:w="4968"/>
            <w:vAlign w:val="center"/>
            <w:shd w:fill="EAF0F8"/>
          </w:tcPr>
          <w:p>
            <w:pPr>
              <w:spacing w:after="0" w:line="240" w:lineRule="auto"/>
            </w:pPr>
            <w:r/>
            <w:r>
              <w:rPr>
                <w:rFonts w:ascii="Arial" w:hAnsi="Arial"/>
                <w:b w:val="0"/>
                <w:sz w:val="13"/>
              </w:rPr>
              <w:t>Urgent review without autonomous diagnosis.</w:t>
            </w:r>
          </w:p>
        </w:tc>
      </w:tr>
      <w:tr>
        <w:trPr>
          <w:cantSplit/>
        </w:trPr>
        <w:tc>
          <w:tcPr>
            <w:tcW w:type="dxa" w:w="936"/>
            <w:vAlign w:val="center"/>
          </w:tcPr>
          <w:p>
            <w:pPr>
              <w:spacing w:after="0" w:line="240" w:lineRule="auto"/>
            </w:pPr>
            <w:r/>
            <w:r>
              <w:rPr>
                <w:rFonts w:ascii="Arial" w:hAnsi="Arial"/>
                <w:b w:val="0"/>
                <w:sz w:val="13"/>
              </w:rPr>
              <w:t>V-21</w:t>
            </w:r>
          </w:p>
        </w:tc>
        <w:tc>
          <w:tcPr>
            <w:tcW w:type="dxa" w:w="3456"/>
            <w:vAlign w:val="center"/>
          </w:tcPr>
          <w:p>
            <w:pPr>
              <w:spacing w:after="0" w:line="240" w:lineRule="auto"/>
            </w:pPr>
            <w:r/>
            <w:r>
              <w:rPr>
                <w:rFonts w:ascii="Arial" w:hAnsi="Arial"/>
                <w:b w:val="0"/>
                <w:sz w:val="13"/>
              </w:rPr>
              <w:t>No rule factors, valid ML HIGH</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ML contribution disclosed; no invented feature cause.</w:t>
            </w:r>
          </w:p>
        </w:tc>
      </w:tr>
      <w:tr>
        <w:trPr>
          <w:cantSplit/>
        </w:trPr>
        <w:tc>
          <w:tcPr>
            <w:tcW w:type="dxa" w:w="936"/>
            <w:vAlign w:val="center"/>
            <w:shd w:fill="EAF0F8"/>
          </w:tcPr>
          <w:p>
            <w:pPr>
              <w:spacing w:after="0" w:line="240" w:lineRule="auto"/>
            </w:pPr>
            <w:r/>
            <w:r>
              <w:rPr>
                <w:rFonts w:ascii="Arial" w:hAnsi="Arial"/>
                <w:b w:val="0"/>
                <w:sz w:val="13"/>
              </w:rPr>
              <w:t>V-22</w:t>
            </w:r>
          </w:p>
        </w:tc>
        <w:tc>
          <w:tcPr>
            <w:tcW w:type="dxa" w:w="3456"/>
            <w:vAlign w:val="center"/>
            <w:shd w:fill="EAF0F8"/>
          </w:tcPr>
          <w:p>
            <w:pPr>
              <w:spacing w:after="0" w:line="240" w:lineRule="auto"/>
            </w:pPr>
            <w:r/>
            <w:r>
              <w:rPr>
                <w:rFonts w:ascii="Arial" w:hAnsi="Arial"/>
                <w:b w:val="0"/>
                <w:sz w:val="13"/>
              </w:rPr>
              <w:t>No rule factors, valid ML LOW, all records complete</w:t>
            </w:r>
          </w:p>
        </w:tc>
        <w:tc>
          <w:tcPr>
            <w:tcW w:type="dxa" w:w="1728"/>
            <w:vAlign w:val="center"/>
            <w:shd w:fill="EAF0F8"/>
          </w:tcPr>
          <w:p>
            <w:pPr>
              <w:spacing w:after="0" w:line="240" w:lineRule="auto"/>
            </w:pPr>
            <w:r/>
            <w:r>
              <w:rPr>
                <w:rFonts w:ascii="Arial" w:hAnsi="Arial"/>
                <w:b w:val="0"/>
                <w:sz w:val="13"/>
              </w:rPr>
              <w:t>LOW</w:t>
            </w:r>
          </w:p>
        </w:tc>
        <w:tc>
          <w:tcPr>
            <w:tcW w:type="dxa" w:w="4968"/>
            <w:vAlign w:val="center"/>
            <w:shd w:fill="EAF0F8"/>
          </w:tcPr>
          <w:p>
            <w:pPr>
              <w:spacing w:after="0" w:line="240" w:lineRule="auto"/>
            </w:pPr>
            <w:r/>
            <w:r>
              <w:rPr>
                <w:rFonts w:ascii="Arial" w:hAnsi="Arial"/>
                <w:b w:val="0"/>
                <w:sz w:val="13"/>
              </w:rPr>
              <w:t>Complete LOW explanation and limitations.</w:t>
            </w:r>
          </w:p>
        </w:tc>
      </w:tr>
      <w:tr>
        <w:trPr>
          <w:cantSplit/>
        </w:trPr>
        <w:tc>
          <w:tcPr>
            <w:tcW w:type="dxa" w:w="936"/>
            <w:vAlign w:val="center"/>
          </w:tcPr>
          <w:p>
            <w:pPr>
              <w:spacing w:after="0" w:line="240" w:lineRule="auto"/>
            </w:pPr>
            <w:r/>
            <w:r>
              <w:rPr>
                <w:rFonts w:ascii="Arial" w:hAnsi="Arial"/>
                <w:b w:val="0"/>
                <w:sz w:val="13"/>
              </w:rPr>
              <w:t>V-23</w:t>
            </w:r>
          </w:p>
        </w:tc>
        <w:tc>
          <w:tcPr>
            <w:tcW w:type="dxa" w:w="3456"/>
            <w:vAlign w:val="center"/>
          </w:tcPr>
          <w:p>
            <w:pPr>
              <w:spacing w:after="0" w:line="240" w:lineRule="auto"/>
            </w:pPr>
            <w:r/>
            <w:r>
              <w:rPr>
                <w:rFonts w:ascii="Arial" w:hAnsi="Arial"/>
                <w:b w:val="0"/>
                <w:sz w:val="13"/>
              </w:rPr>
              <w:t>Rule HIGH + ML HIGH</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Both contributions shown without duplication.</w:t>
            </w:r>
          </w:p>
        </w:tc>
      </w:tr>
      <w:tr>
        <w:trPr>
          <w:cantSplit/>
        </w:trPr>
        <w:tc>
          <w:tcPr>
            <w:tcW w:type="dxa" w:w="936"/>
            <w:vAlign w:val="center"/>
            <w:shd w:fill="EAF0F8"/>
          </w:tcPr>
          <w:p>
            <w:pPr>
              <w:spacing w:after="0" w:line="240" w:lineRule="auto"/>
            </w:pPr>
            <w:r/>
            <w:r>
              <w:rPr>
                <w:rFonts w:ascii="Arial" w:hAnsi="Arial"/>
                <w:b w:val="0"/>
                <w:sz w:val="13"/>
              </w:rPr>
              <w:t>V-24</w:t>
            </w:r>
          </w:p>
        </w:tc>
        <w:tc>
          <w:tcPr>
            <w:tcW w:type="dxa" w:w="3456"/>
            <w:vAlign w:val="center"/>
            <w:shd w:fill="EAF0F8"/>
          </w:tcPr>
          <w:p>
            <w:pPr>
              <w:spacing w:after="0" w:line="240" w:lineRule="auto"/>
            </w:pPr>
            <w:r/>
            <w:r>
              <w:rPr>
                <w:rFonts w:ascii="Arial" w:hAnsi="Arial"/>
                <w:b w:val="0"/>
                <w:sz w:val="13"/>
              </w:rPr>
              <w:t>Rule HIGH + ML LOW</w:t>
            </w:r>
          </w:p>
        </w:tc>
        <w:tc>
          <w:tcPr>
            <w:tcW w:type="dxa" w:w="1728"/>
            <w:vAlign w:val="center"/>
            <w:shd w:fill="EAF0F8"/>
          </w:tcPr>
          <w:p>
            <w:pPr>
              <w:spacing w:after="0" w:line="240" w:lineRule="auto"/>
            </w:pPr>
            <w:r/>
            <w:r>
              <w:rPr>
                <w:rFonts w:ascii="Arial" w:hAnsi="Arial"/>
                <w:b w:val="0"/>
                <w:sz w:val="13"/>
              </w:rPr>
              <w:t>HIGH</w:t>
            </w:r>
          </w:p>
        </w:tc>
        <w:tc>
          <w:tcPr>
            <w:tcW w:type="dxa" w:w="4968"/>
            <w:vAlign w:val="center"/>
            <w:shd w:fill="EAF0F8"/>
          </w:tcPr>
          <w:p>
            <w:pPr>
              <w:spacing w:after="0" w:line="240" w:lineRule="auto"/>
            </w:pPr>
            <w:r/>
            <w:r>
              <w:rPr>
                <w:rFonts w:ascii="Arial" w:hAnsi="Arial"/>
                <w:b w:val="0"/>
                <w:sz w:val="13"/>
              </w:rPr>
              <w:t>Disagreement and deterministic precedence disclosed.</w:t>
            </w:r>
          </w:p>
        </w:tc>
      </w:tr>
      <w:tr>
        <w:trPr>
          <w:cantSplit/>
        </w:trPr>
        <w:tc>
          <w:tcPr>
            <w:tcW w:type="dxa" w:w="936"/>
            <w:vAlign w:val="center"/>
          </w:tcPr>
          <w:p>
            <w:pPr>
              <w:spacing w:after="0" w:line="240" w:lineRule="auto"/>
            </w:pPr>
            <w:r/>
            <w:r>
              <w:rPr>
                <w:rFonts w:ascii="Arial" w:hAnsi="Arial"/>
                <w:b w:val="0"/>
                <w:sz w:val="13"/>
              </w:rPr>
              <w:t>V-25</w:t>
            </w:r>
          </w:p>
        </w:tc>
        <w:tc>
          <w:tcPr>
            <w:tcW w:type="dxa" w:w="3456"/>
            <w:vAlign w:val="center"/>
          </w:tcPr>
          <w:p>
            <w:pPr>
              <w:spacing w:after="0" w:line="240" w:lineRule="auto"/>
            </w:pPr>
            <w:r/>
            <w:r>
              <w:rPr>
                <w:rFonts w:ascii="Arial" w:hAnsi="Arial"/>
                <w:b w:val="0"/>
                <w:sz w:val="13"/>
              </w:rPr>
              <w:t>Medical History missing</w:t>
            </w:r>
          </w:p>
        </w:tc>
        <w:tc>
          <w:tcPr>
            <w:tcW w:type="dxa" w:w="1728"/>
            <w:vAlign w:val="center"/>
          </w:tcPr>
          <w:p>
            <w:pPr>
              <w:spacing w:after="0" w:line="240" w:lineRule="auto"/>
            </w:pPr>
            <w:r/>
            <w:r>
              <w:rPr>
                <w:rFonts w:ascii="Arial" w:hAnsi="Arial"/>
                <w:b w:val="0"/>
                <w:sz w:val="13"/>
              </w:rPr>
              <w:t>INCOMPLETE</w:t>
            </w:r>
          </w:p>
        </w:tc>
        <w:tc>
          <w:tcPr>
            <w:tcW w:type="dxa" w:w="4968"/>
            <w:vAlign w:val="center"/>
          </w:tcPr>
          <w:p>
            <w:pPr>
              <w:spacing w:after="0" w:line="240" w:lineRule="auto"/>
            </w:pPr>
            <w:r/>
            <w:r>
              <w:rPr>
                <w:rFonts w:ascii="Arial" w:hAnsi="Arial"/>
                <w:b w:val="0"/>
                <w:sz w:val="13"/>
              </w:rPr>
              <w:t>Missing record named; no LOW.</w:t>
            </w:r>
          </w:p>
        </w:tc>
      </w:tr>
      <w:tr>
        <w:trPr>
          <w:cantSplit/>
        </w:trPr>
        <w:tc>
          <w:tcPr>
            <w:tcW w:type="dxa" w:w="936"/>
            <w:vAlign w:val="center"/>
            <w:shd w:fill="EAF0F8"/>
          </w:tcPr>
          <w:p>
            <w:pPr>
              <w:spacing w:after="0" w:line="240" w:lineRule="auto"/>
            </w:pPr>
            <w:r/>
            <w:r>
              <w:rPr>
                <w:rFonts w:ascii="Arial" w:hAnsi="Arial"/>
                <w:b w:val="0"/>
                <w:sz w:val="13"/>
              </w:rPr>
              <w:t>V-26</w:t>
            </w:r>
          </w:p>
        </w:tc>
        <w:tc>
          <w:tcPr>
            <w:tcW w:type="dxa" w:w="3456"/>
            <w:vAlign w:val="center"/>
            <w:shd w:fill="EAF0F8"/>
          </w:tcPr>
          <w:p>
            <w:pPr>
              <w:spacing w:after="0" w:line="240" w:lineRule="auto"/>
            </w:pPr>
            <w:r/>
            <w:r>
              <w:rPr>
                <w:rFonts w:ascii="Arial" w:hAnsi="Arial"/>
                <w:b w:val="0"/>
                <w:sz w:val="13"/>
              </w:rPr>
              <w:t>Ultrasound missing</w:t>
            </w:r>
          </w:p>
        </w:tc>
        <w:tc>
          <w:tcPr>
            <w:tcW w:type="dxa" w:w="1728"/>
            <w:vAlign w:val="center"/>
            <w:shd w:fill="EAF0F8"/>
          </w:tcPr>
          <w:p>
            <w:pPr>
              <w:spacing w:after="0" w:line="240" w:lineRule="auto"/>
            </w:pPr>
            <w:r/>
            <w:r>
              <w:rPr>
                <w:rFonts w:ascii="Arial" w:hAnsi="Arial"/>
                <w:b w:val="0"/>
                <w:sz w:val="13"/>
              </w:rPr>
              <w:t>INCOMPLETE</w:t>
            </w:r>
          </w:p>
        </w:tc>
        <w:tc>
          <w:tcPr>
            <w:tcW w:type="dxa" w:w="4968"/>
            <w:vAlign w:val="center"/>
            <w:shd w:fill="EAF0F8"/>
          </w:tcPr>
          <w:p>
            <w:pPr>
              <w:spacing w:after="0" w:line="240" w:lineRule="auto"/>
            </w:pPr>
            <w:r/>
            <w:r>
              <w:rPr>
                <w:rFonts w:ascii="Arial" w:hAnsi="Arial"/>
                <w:b w:val="0"/>
                <w:sz w:val="13"/>
              </w:rPr>
              <w:t>Missing record named; no LOW.</w:t>
            </w:r>
          </w:p>
        </w:tc>
      </w:tr>
      <w:tr>
        <w:trPr>
          <w:cantSplit/>
        </w:trPr>
        <w:tc>
          <w:tcPr>
            <w:tcW w:type="dxa" w:w="936"/>
            <w:vAlign w:val="center"/>
          </w:tcPr>
          <w:p>
            <w:pPr>
              <w:spacing w:after="0" w:line="240" w:lineRule="auto"/>
            </w:pPr>
            <w:r/>
            <w:r>
              <w:rPr>
                <w:rFonts w:ascii="Arial" w:hAnsi="Arial"/>
                <w:b w:val="0"/>
                <w:sz w:val="13"/>
              </w:rPr>
              <w:t>V-27</w:t>
            </w:r>
          </w:p>
        </w:tc>
        <w:tc>
          <w:tcPr>
            <w:tcW w:type="dxa" w:w="3456"/>
            <w:vAlign w:val="center"/>
          </w:tcPr>
          <w:p>
            <w:pPr>
              <w:spacing w:after="0" w:line="240" w:lineRule="auto"/>
            </w:pPr>
            <w:r/>
            <w:r>
              <w:rPr>
                <w:rFonts w:ascii="Arial" w:hAnsi="Arial"/>
                <w:b w:val="0"/>
                <w:sz w:val="13"/>
              </w:rPr>
              <w:t>Birth Plan missing</w:t>
            </w:r>
          </w:p>
        </w:tc>
        <w:tc>
          <w:tcPr>
            <w:tcW w:type="dxa" w:w="1728"/>
            <w:vAlign w:val="center"/>
          </w:tcPr>
          <w:p>
            <w:pPr>
              <w:spacing w:after="0" w:line="240" w:lineRule="auto"/>
            </w:pPr>
            <w:r/>
            <w:r>
              <w:rPr>
                <w:rFonts w:ascii="Arial" w:hAnsi="Arial"/>
                <w:b w:val="0"/>
                <w:sz w:val="13"/>
              </w:rPr>
              <w:t>INCOMPLETE</w:t>
            </w:r>
          </w:p>
        </w:tc>
        <w:tc>
          <w:tcPr>
            <w:tcW w:type="dxa" w:w="4968"/>
            <w:vAlign w:val="center"/>
          </w:tcPr>
          <w:p>
            <w:pPr>
              <w:spacing w:after="0" w:line="240" w:lineRule="auto"/>
            </w:pPr>
            <w:r/>
            <w:r>
              <w:rPr>
                <w:rFonts w:ascii="Arial" w:hAnsi="Arial"/>
                <w:b w:val="0"/>
                <w:sz w:val="13"/>
              </w:rPr>
              <w:t>Missing record named; no LOW.</w:t>
            </w:r>
          </w:p>
        </w:tc>
      </w:tr>
      <w:tr>
        <w:trPr>
          <w:cantSplit/>
        </w:trPr>
        <w:tc>
          <w:tcPr>
            <w:tcW w:type="dxa" w:w="936"/>
            <w:vAlign w:val="center"/>
            <w:shd w:fill="EAF0F8"/>
          </w:tcPr>
          <w:p>
            <w:pPr>
              <w:spacing w:after="0" w:line="240" w:lineRule="auto"/>
            </w:pPr>
            <w:r/>
            <w:r>
              <w:rPr>
                <w:rFonts w:ascii="Arial" w:hAnsi="Arial"/>
                <w:b w:val="0"/>
                <w:sz w:val="13"/>
              </w:rPr>
              <w:t>V-28</w:t>
            </w:r>
          </w:p>
        </w:tc>
        <w:tc>
          <w:tcPr>
            <w:tcW w:type="dxa" w:w="3456"/>
            <w:vAlign w:val="center"/>
            <w:shd w:fill="EAF0F8"/>
          </w:tcPr>
          <w:p>
            <w:pPr>
              <w:spacing w:after="0" w:line="240" w:lineRule="auto"/>
            </w:pPr>
            <w:r/>
            <w:r>
              <w:rPr>
                <w:rFonts w:ascii="Arial" w:hAnsi="Arial"/>
                <w:b w:val="0"/>
                <w:sz w:val="13"/>
              </w:rPr>
              <w:t>Multiple required records missing</w:t>
            </w:r>
          </w:p>
        </w:tc>
        <w:tc>
          <w:tcPr>
            <w:tcW w:type="dxa" w:w="1728"/>
            <w:vAlign w:val="center"/>
            <w:shd w:fill="EAF0F8"/>
          </w:tcPr>
          <w:p>
            <w:pPr>
              <w:spacing w:after="0" w:line="240" w:lineRule="auto"/>
            </w:pPr>
            <w:r/>
            <w:r>
              <w:rPr>
                <w:rFonts w:ascii="Arial" w:hAnsi="Arial"/>
                <w:b w:val="0"/>
                <w:sz w:val="13"/>
              </w:rPr>
              <w:t>INCOMPLETE</w:t>
            </w:r>
          </w:p>
        </w:tc>
        <w:tc>
          <w:tcPr>
            <w:tcW w:type="dxa" w:w="4968"/>
            <w:vAlign w:val="center"/>
            <w:shd w:fill="EAF0F8"/>
          </w:tcPr>
          <w:p>
            <w:pPr>
              <w:spacing w:after="0" w:line="240" w:lineRule="auto"/>
            </w:pPr>
            <w:r/>
            <w:r>
              <w:rPr>
                <w:rFonts w:ascii="Arial" w:hAnsi="Arial"/>
                <w:b w:val="0"/>
                <w:sz w:val="13"/>
              </w:rPr>
              <w:t>All missing items listed once.</w:t>
            </w:r>
          </w:p>
        </w:tc>
      </w:tr>
      <w:tr>
        <w:trPr>
          <w:cantSplit/>
        </w:trPr>
        <w:tc>
          <w:tcPr>
            <w:tcW w:type="dxa" w:w="936"/>
            <w:vAlign w:val="center"/>
          </w:tcPr>
          <w:p>
            <w:pPr>
              <w:spacing w:after="0" w:line="240" w:lineRule="auto"/>
            </w:pPr>
            <w:r/>
            <w:r>
              <w:rPr>
                <w:rFonts w:ascii="Arial" w:hAnsi="Arial"/>
                <w:b w:val="0"/>
                <w:sz w:val="13"/>
              </w:rPr>
              <w:t>V-29</w:t>
            </w:r>
          </w:p>
        </w:tc>
        <w:tc>
          <w:tcPr>
            <w:tcW w:type="dxa" w:w="3456"/>
            <w:vAlign w:val="center"/>
          </w:tcPr>
          <w:p>
            <w:pPr>
              <w:spacing w:after="0" w:line="240" w:lineRule="auto"/>
            </w:pPr>
            <w:r/>
            <w:r>
              <w:rPr>
                <w:rFonts w:ascii="Arial" w:hAnsi="Arial"/>
                <w:b w:val="0"/>
                <w:sz w:val="13"/>
              </w:rPr>
              <w:t>Python timeout</w:t>
            </w:r>
          </w:p>
        </w:tc>
        <w:tc>
          <w:tcPr>
            <w:tcW w:type="dxa" w:w="1728"/>
            <w:vAlign w:val="center"/>
          </w:tcPr>
          <w:p>
            <w:pPr>
              <w:spacing w:after="0" w:line="240" w:lineRule="auto"/>
            </w:pPr>
            <w:r/>
            <w:r>
              <w:rPr>
                <w:rFonts w:ascii="Arial" w:hAnsi="Arial"/>
                <w:b w:val="0"/>
                <w:sz w:val="13"/>
              </w:rPr>
              <w:t>INCOMPLETE</w:t>
            </w:r>
          </w:p>
        </w:tc>
        <w:tc>
          <w:tcPr>
            <w:tcW w:type="dxa" w:w="4968"/>
            <w:vAlign w:val="center"/>
          </w:tcPr>
          <w:p>
            <w:pPr>
              <w:spacing w:after="0" w:line="240" w:lineRule="auto"/>
            </w:pPr>
            <w:r/>
            <w:r>
              <w:rPr>
                <w:rFonts w:ascii="Arial" w:hAnsi="Arial"/>
                <w:b w:val="0"/>
                <w:sz w:val="13"/>
              </w:rPr>
              <w:t>Model unavailable, safe retry/review direction, technical details restricted.</w:t>
            </w:r>
          </w:p>
        </w:tc>
      </w:tr>
      <w:tr>
        <w:trPr>
          <w:cantSplit/>
        </w:trPr>
        <w:tc>
          <w:tcPr>
            <w:tcW w:type="dxa" w:w="936"/>
            <w:vAlign w:val="center"/>
            <w:shd w:fill="EAF0F8"/>
          </w:tcPr>
          <w:p>
            <w:pPr>
              <w:spacing w:after="0" w:line="240" w:lineRule="auto"/>
            </w:pPr>
            <w:r/>
            <w:r>
              <w:rPr>
                <w:rFonts w:ascii="Arial" w:hAnsi="Arial"/>
                <w:b w:val="0"/>
                <w:sz w:val="13"/>
              </w:rPr>
              <w:t>V-30</w:t>
            </w:r>
          </w:p>
        </w:tc>
        <w:tc>
          <w:tcPr>
            <w:tcW w:type="dxa" w:w="3456"/>
            <w:vAlign w:val="center"/>
            <w:shd w:fill="EAF0F8"/>
          </w:tcPr>
          <w:p>
            <w:pPr>
              <w:spacing w:after="0" w:line="240" w:lineRule="auto"/>
            </w:pPr>
            <w:r/>
            <w:r>
              <w:rPr>
                <w:rFonts w:ascii="Arial" w:hAnsi="Arial"/>
                <w:b w:val="0"/>
                <w:sz w:val="13"/>
              </w:rPr>
              <w:t>Blank or malformed model output</w:t>
            </w:r>
          </w:p>
        </w:tc>
        <w:tc>
          <w:tcPr>
            <w:tcW w:type="dxa" w:w="1728"/>
            <w:vAlign w:val="center"/>
            <w:shd w:fill="EAF0F8"/>
          </w:tcPr>
          <w:p>
            <w:pPr>
              <w:spacing w:after="0" w:line="240" w:lineRule="auto"/>
            </w:pPr>
            <w:r/>
            <w:r>
              <w:rPr>
                <w:rFonts w:ascii="Arial" w:hAnsi="Arial"/>
                <w:b w:val="0"/>
                <w:sz w:val="13"/>
              </w:rPr>
              <w:t>INCOMPLETE</w:t>
            </w:r>
          </w:p>
        </w:tc>
        <w:tc>
          <w:tcPr>
            <w:tcW w:type="dxa" w:w="4968"/>
            <w:vAlign w:val="center"/>
            <w:shd w:fill="EAF0F8"/>
          </w:tcPr>
          <w:p>
            <w:pPr>
              <w:spacing w:after="0" w:line="240" w:lineRule="auto"/>
            </w:pPr>
            <w:r/>
            <w:r>
              <w:rPr>
                <w:rFonts w:ascii="Arial" w:hAnsi="Arial"/>
                <w:b w:val="0"/>
                <w:sz w:val="13"/>
              </w:rPr>
              <w:t>Validation failure disclosed; not LOW.</w:t>
            </w:r>
          </w:p>
        </w:tc>
      </w:tr>
      <w:tr>
        <w:trPr>
          <w:cantSplit/>
        </w:trPr>
        <w:tc>
          <w:tcPr>
            <w:tcW w:type="dxa" w:w="936"/>
            <w:vAlign w:val="center"/>
          </w:tcPr>
          <w:p>
            <w:pPr>
              <w:spacing w:after="0" w:line="240" w:lineRule="auto"/>
            </w:pPr>
            <w:r/>
            <w:r>
              <w:rPr>
                <w:rFonts w:ascii="Arial" w:hAnsi="Arial"/>
                <w:b w:val="0"/>
                <w:sz w:val="13"/>
              </w:rPr>
              <w:t>V-31</w:t>
            </w:r>
          </w:p>
        </w:tc>
        <w:tc>
          <w:tcPr>
            <w:tcW w:type="dxa" w:w="3456"/>
            <w:vAlign w:val="center"/>
          </w:tcPr>
          <w:p>
            <w:pPr>
              <w:spacing w:after="0" w:line="240" w:lineRule="auto"/>
            </w:pPr>
            <w:r/>
            <w:r>
              <w:rPr>
                <w:rFonts w:ascii="Arial" w:hAnsi="Arial"/>
                <w:b w:val="0"/>
                <w:sz w:val="13"/>
              </w:rPr>
              <w:t>Unknown model label</w:t>
            </w:r>
          </w:p>
        </w:tc>
        <w:tc>
          <w:tcPr>
            <w:tcW w:type="dxa" w:w="1728"/>
            <w:vAlign w:val="center"/>
          </w:tcPr>
          <w:p>
            <w:pPr>
              <w:spacing w:after="0" w:line="240" w:lineRule="auto"/>
            </w:pPr>
            <w:r/>
            <w:r>
              <w:rPr>
                <w:rFonts w:ascii="Arial" w:hAnsi="Arial"/>
                <w:b w:val="0"/>
                <w:sz w:val="13"/>
              </w:rPr>
              <w:t>INCOMPLETE</w:t>
            </w:r>
          </w:p>
        </w:tc>
        <w:tc>
          <w:tcPr>
            <w:tcW w:type="dxa" w:w="4968"/>
            <w:vAlign w:val="center"/>
          </w:tcPr>
          <w:p>
            <w:pPr>
              <w:spacing w:after="0" w:line="240" w:lineRule="auto"/>
            </w:pPr>
            <w:r/>
            <w:r>
              <w:rPr>
                <w:rFonts w:ascii="Arial" w:hAnsi="Arial"/>
                <w:b w:val="0"/>
                <w:sz w:val="13"/>
              </w:rPr>
              <w:t>Contract mismatch code recorded.</w:t>
            </w:r>
          </w:p>
        </w:tc>
      </w:tr>
      <w:tr>
        <w:trPr>
          <w:cantSplit/>
        </w:trPr>
        <w:tc>
          <w:tcPr>
            <w:tcW w:type="dxa" w:w="936"/>
            <w:vAlign w:val="center"/>
            <w:shd w:fill="EAF0F8"/>
          </w:tcPr>
          <w:p>
            <w:pPr>
              <w:spacing w:after="0" w:line="240" w:lineRule="auto"/>
            </w:pPr>
            <w:r/>
            <w:r>
              <w:rPr>
                <w:rFonts w:ascii="Arial" w:hAnsi="Arial"/>
                <w:b w:val="0"/>
                <w:sz w:val="13"/>
              </w:rPr>
              <w:t>V-32</w:t>
            </w:r>
          </w:p>
        </w:tc>
        <w:tc>
          <w:tcPr>
            <w:tcW w:type="dxa" w:w="3456"/>
            <w:vAlign w:val="center"/>
            <w:shd w:fill="EAF0F8"/>
          </w:tcPr>
          <w:p>
            <w:pPr>
              <w:spacing w:after="0" w:line="240" w:lineRule="auto"/>
            </w:pPr>
            <w:r/>
            <w:r>
              <w:rPr>
                <w:rFonts w:ascii="Arial" w:hAnsi="Arial"/>
                <w:b w:val="0"/>
                <w:sz w:val="13"/>
              </w:rPr>
              <w:t>Model version mismatch</w:t>
            </w:r>
          </w:p>
        </w:tc>
        <w:tc>
          <w:tcPr>
            <w:tcW w:type="dxa" w:w="1728"/>
            <w:vAlign w:val="center"/>
            <w:shd w:fill="EAF0F8"/>
          </w:tcPr>
          <w:p>
            <w:pPr>
              <w:spacing w:after="0" w:line="240" w:lineRule="auto"/>
            </w:pPr>
            <w:r/>
            <w:r>
              <w:rPr>
                <w:rFonts w:ascii="Arial" w:hAnsi="Arial"/>
                <w:b w:val="0"/>
                <w:sz w:val="13"/>
              </w:rPr>
              <w:t>INCOMPLETE / blocked</w:t>
            </w:r>
          </w:p>
        </w:tc>
        <w:tc>
          <w:tcPr>
            <w:tcW w:type="dxa" w:w="4968"/>
            <w:vAlign w:val="center"/>
            <w:shd w:fill="EAF0F8"/>
          </w:tcPr>
          <w:p>
            <w:pPr>
              <w:spacing w:after="0" w:line="240" w:lineRule="auto"/>
            </w:pPr>
            <w:r/>
            <w:r>
              <w:rPr>
                <w:rFonts w:ascii="Arial" w:hAnsi="Arial"/>
                <w:b w:val="0"/>
                <w:sz w:val="13"/>
              </w:rPr>
              <w:t>Compatibility failure and version provenance.</w:t>
            </w:r>
          </w:p>
        </w:tc>
      </w:tr>
      <w:tr>
        <w:trPr>
          <w:cantSplit/>
        </w:trPr>
        <w:tc>
          <w:tcPr>
            <w:tcW w:type="dxa" w:w="936"/>
            <w:vAlign w:val="center"/>
          </w:tcPr>
          <w:p>
            <w:pPr>
              <w:spacing w:after="0" w:line="240" w:lineRule="auto"/>
            </w:pPr>
            <w:r/>
            <w:r>
              <w:rPr>
                <w:rFonts w:ascii="Arial" w:hAnsi="Arial"/>
                <w:b w:val="0"/>
                <w:sz w:val="13"/>
              </w:rPr>
              <w:t>V-33</w:t>
            </w:r>
          </w:p>
        </w:tc>
        <w:tc>
          <w:tcPr>
            <w:tcW w:type="dxa" w:w="3456"/>
            <w:vAlign w:val="center"/>
          </w:tcPr>
          <w:p>
            <w:pPr>
              <w:spacing w:after="0" w:line="240" w:lineRule="auto"/>
            </w:pPr>
            <w:r/>
            <w:r>
              <w:rPr>
                <w:rFonts w:ascii="Arial" w:hAnsi="Arial"/>
                <w:b w:val="0"/>
                <w:sz w:val="13"/>
              </w:rPr>
              <w:t>Patient projection of HIGH</w:t>
            </w:r>
          </w:p>
        </w:tc>
        <w:tc>
          <w:tcPr>
            <w:tcW w:type="dxa" w:w="1728"/>
            <w:vAlign w:val="center"/>
          </w:tcPr>
          <w:p>
            <w:pPr>
              <w:spacing w:after="0" w:line="240" w:lineRule="auto"/>
            </w:pPr>
            <w:r/>
            <w:r>
              <w:rPr>
                <w:rFonts w:ascii="Arial" w:hAnsi="Arial"/>
                <w:b w:val="0"/>
                <w:sz w:val="13"/>
              </w:rPr>
              <w:t>HIGH</w:t>
            </w:r>
          </w:p>
        </w:tc>
        <w:tc>
          <w:tcPr>
            <w:tcW w:type="dxa" w:w="4968"/>
            <w:vAlign w:val="center"/>
          </w:tcPr>
          <w:p>
            <w:pPr>
              <w:spacing w:after="0" w:line="240" w:lineRule="auto"/>
            </w:pPr>
            <w:r/>
            <w:r>
              <w:rPr>
                <w:rFonts w:ascii="Arial" w:hAnsi="Arial"/>
                <w:b w:val="0"/>
                <w:sz w:val="13"/>
              </w:rPr>
              <w:t>Plain language; no codes/hashes; same decisive facts.</w:t>
            </w:r>
          </w:p>
        </w:tc>
      </w:tr>
      <w:tr>
        <w:trPr>
          <w:cantSplit/>
        </w:trPr>
        <w:tc>
          <w:tcPr>
            <w:tcW w:type="dxa" w:w="936"/>
            <w:vAlign w:val="center"/>
            <w:shd w:fill="EAF0F8"/>
          </w:tcPr>
          <w:p>
            <w:pPr>
              <w:spacing w:after="0" w:line="240" w:lineRule="auto"/>
            </w:pPr>
            <w:r/>
            <w:r>
              <w:rPr>
                <w:rFonts w:ascii="Arial" w:hAnsi="Arial"/>
                <w:b w:val="0"/>
                <w:sz w:val="13"/>
              </w:rPr>
              <w:t>V-34</w:t>
            </w:r>
          </w:p>
        </w:tc>
        <w:tc>
          <w:tcPr>
            <w:tcW w:type="dxa" w:w="3456"/>
            <w:vAlign w:val="center"/>
            <w:shd w:fill="EAF0F8"/>
          </w:tcPr>
          <w:p>
            <w:pPr>
              <w:spacing w:after="0" w:line="240" w:lineRule="auto"/>
            </w:pPr>
            <w:r/>
            <w:r>
              <w:rPr>
                <w:rFonts w:ascii="Arial" w:hAnsi="Arial"/>
                <w:b w:val="0"/>
                <w:sz w:val="13"/>
              </w:rPr>
              <w:t>Administrator projection</w:t>
            </w:r>
          </w:p>
        </w:tc>
        <w:tc>
          <w:tcPr>
            <w:tcW w:type="dxa" w:w="1728"/>
            <w:vAlign w:val="center"/>
            <w:shd w:fill="EAF0F8"/>
          </w:tcPr>
          <w:p>
            <w:pPr>
              <w:spacing w:after="0" w:line="240" w:lineRule="auto"/>
            </w:pPr>
            <w:r/>
            <w:r>
              <w:rPr>
                <w:rFonts w:ascii="Arial" w:hAnsi="Arial"/>
                <w:b w:val="0"/>
                <w:sz w:val="13"/>
              </w:rPr>
              <w:t>Same workflow status</w:t>
            </w:r>
          </w:p>
        </w:tc>
        <w:tc>
          <w:tcPr>
            <w:tcW w:type="dxa" w:w="4968"/>
            <w:vAlign w:val="center"/>
            <w:shd w:fill="EAF0F8"/>
          </w:tcPr>
          <w:p>
            <w:pPr>
              <w:spacing w:after="0" w:line="240" w:lineRule="auto"/>
            </w:pPr>
            <w:r/>
            <w:r>
              <w:rPr>
                <w:rFonts w:ascii="Arial" w:hAnsi="Arial"/>
                <w:b w:val="0"/>
                <w:sz w:val="13"/>
              </w:rPr>
              <w:t>No unnecessary clinical details.</w:t>
            </w:r>
          </w:p>
        </w:tc>
      </w:tr>
      <w:tr>
        <w:trPr>
          <w:cantSplit/>
        </w:trPr>
        <w:tc>
          <w:tcPr>
            <w:tcW w:type="dxa" w:w="936"/>
            <w:vAlign w:val="center"/>
          </w:tcPr>
          <w:p>
            <w:pPr>
              <w:spacing w:after="0" w:line="240" w:lineRule="auto"/>
            </w:pPr>
            <w:r/>
            <w:r>
              <w:rPr>
                <w:rFonts w:ascii="Arial" w:hAnsi="Arial"/>
                <w:b w:val="0"/>
                <w:sz w:val="13"/>
              </w:rPr>
              <w:t>V-35</w:t>
            </w:r>
          </w:p>
        </w:tc>
        <w:tc>
          <w:tcPr>
            <w:tcW w:type="dxa" w:w="3456"/>
            <w:vAlign w:val="center"/>
          </w:tcPr>
          <w:p>
            <w:pPr>
              <w:spacing w:after="0" w:line="240" w:lineRule="auto"/>
            </w:pPr>
            <w:r/>
            <w:r>
              <w:rPr>
                <w:rFonts w:ascii="Arial" w:hAnsi="Arial"/>
                <w:b w:val="0"/>
                <w:sz w:val="13"/>
              </w:rPr>
              <w:t>Referral print</w:t>
            </w:r>
          </w:p>
        </w:tc>
        <w:tc>
          <w:tcPr>
            <w:tcW w:type="dxa" w:w="1728"/>
            <w:vAlign w:val="center"/>
          </w:tcPr>
          <w:p>
            <w:pPr>
              <w:spacing w:after="0" w:line="240" w:lineRule="auto"/>
            </w:pPr>
            <w:r/>
            <w:r>
              <w:rPr>
                <w:rFonts w:ascii="Arial" w:hAnsi="Arial"/>
                <w:b w:val="0"/>
                <w:sz w:val="13"/>
              </w:rPr>
              <w:t>HIGH/referral rationale</w:t>
            </w:r>
          </w:p>
        </w:tc>
        <w:tc>
          <w:tcPr>
            <w:tcW w:type="dxa" w:w="4968"/>
            <w:vAlign w:val="center"/>
          </w:tcPr>
          <w:p>
            <w:pPr>
              <w:spacing w:after="0" w:line="240" w:lineRule="auto"/>
            </w:pPr>
            <w:r/>
            <w:r>
              <w:rPr>
                <w:rFonts w:ascii="Arial" w:hAnsi="Arial"/>
                <w:b w:val="0"/>
                <w:sz w:val="13"/>
              </w:rPr>
              <w:t>Prioritized findings, dates, action, and origin details.</w:t>
            </w:r>
          </w:p>
        </w:tc>
      </w:tr>
      <w:tr>
        <w:trPr>
          <w:cantSplit/>
        </w:trPr>
        <w:tc>
          <w:tcPr>
            <w:tcW w:type="dxa" w:w="936"/>
            <w:vAlign w:val="center"/>
            <w:shd w:fill="EAF0F8"/>
          </w:tcPr>
          <w:p>
            <w:pPr>
              <w:spacing w:after="0" w:line="240" w:lineRule="auto"/>
            </w:pPr>
            <w:r/>
            <w:r>
              <w:rPr>
                <w:rFonts w:ascii="Arial" w:hAnsi="Arial"/>
                <w:b w:val="0"/>
                <w:sz w:val="13"/>
              </w:rPr>
              <w:t>V-36</w:t>
            </w:r>
          </w:p>
        </w:tc>
        <w:tc>
          <w:tcPr>
            <w:tcW w:type="dxa" w:w="3456"/>
            <w:vAlign w:val="center"/>
            <w:shd w:fill="EAF0F8"/>
          </w:tcPr>
          <w:p>
            <w:pPr>
              <w:spacing w:after="0" w:line="240" w:lineRule="auto"/>
            </w:pPr>
            <w:r/>
            <w:r>
              <w:rPr>
                <w:rFonts w:ascii="Arial" w:hAnsi="Arial"/>
                <w:b w:val="0"/>
                <w:sz w:val="13"/>
              </w:rPr>
              <w:t>Audit reconstruction</w:t>
            </w:r>
          </w:p>
        </w:tc>
        <w:tc>
          <w:tcPr>
            <w:tcW w:type="dxa" w:w="1728"/>
            <w:vAlign w:val="center"/>
            <w:shd w:fill="EAF0F8"/>
          </w:tcPr>
          <w:p>
            <w:pPr>
              <w:spacing w:after="0" w:line="240" w:lineRule="auto"/>
            </w:pPr>
            <w:r/>
            <w:r>
              <w:rPr>
                <w:rFonts w:ascii="Arial" w:hAnsi="Arial"/>
                <w:b w:val="0"/>
                <w:sz w:val="13"/>
              </w:rPr>
              <w:t>Original result</w:t>
            </w:r>
          </w:p>
        </w:tc>
        <w:tc>
          <w:tcPr>
            <w:tcW w:type="dxa" w:w="4968"/>
            <w:vAlign w:val="center"/>
            <w:shd w:fill="EAF0F8"/>
          </w:tcPr>
          <w:p>
            <w:pPr>
              <w:spacing w:after="0" w:line="240" w:lineRule="auto"/>
            </w:pPr>
            <w:r/>
            <w:r>
              <w:rPr>
                <w:rFonts w:ascii="Arial" w:hAnsi="Arial"/>
                <w:b w:val="0"/>
                <w:sz w:val="13"/>
              </w:rPr>
              <w:t>Snapshot, reasons, versions, actor, and timestamps reproduce decision.</w:t>
            </w:r>
          </w:p>
        </w:tc>
      </w:tr>
      <w:tr>
        <w:trPr>
          <w:cantSplit/>
        </w:trPr>
        <w:tc>
          <w:tcPr>
            <w:tcW w:type="dxa" w:w="936"/>
            <w:vAlign w:val="center"/>
          </w:tcPr>
          <w:p>
            <w:pPr>
              <w:spacing w:after="0" w:line="240" w:lineRule="auto"/>
            </w:pPr>
            <w:r/>
            <w:r>
              <w:rPr>
                <w:rFonts w:ascii="Arial" w:hAnsi="Arial"/>
                <w:b w:val="0"/>
                <w:sz w:val="13"/>
              </w:rPr>
              <w:t>V-37</w:t>
            </w:r>
          </w:p>
        </w:tc>
        <w:tc>
          <w:tcPr>
            <w:tcW w:type="dxa" w:w="3456"/>
            <w:vAlign w:val="center"/>
          </w:tcPr>
          <w:p>
            <w:pPr>
              <w:spacing w:after="0" w:line="240" w:lineRule="auto"/>
            </w:pPr>
            <w:r/>
            <w:r>
              <w:rPr>
                <w:rFonts w:ascii="Arial" w:hAnsi="Arial"/>
                <w:b w:val="0"/>
                <w:sz w:val="13"/>
              </w:rPr>
              <w:t>Duplicate reason input</w:t>
            </w:r>
          </w:p>
        </w:tc>
        <w:tc>
          <w:tcPr>
            <w:tcW w:type="dxa" w:w="1728"/>
            <w:vAlign w:val="center"/>
          </w:tcPr>
          <w:p>
            <w:pPr>
              <w:spacing w:after="0" w:line="240" w:lineRule="auto"/>
            </w:pPr>
            <w:r/>
            <w:r>
              <w:rPr>
                <w:rFonts w:ascii="Arial" w:hAnsi="Arial"/>
                <w:b w:val="0"/>
                <w:sz w:val="13"/>
              </w:rPr>
              <w:t>Expected status</w:t>
            </w:r>
          </w:p>
        </w:tc>
        <w:tc>
          <w:tcPr>
            <w:tcW w:type="dxa" w:w="4968"/>
            <w:vAlign w:val="center"/>
          </w:tcPr>
          <w:p>
            <w:pPr>
              <w:spacing w:after="0" w:line="240" w:lineRule="auto"/>
            </w:pPr>
            <w:r/>
            <w:r>
              <w:rPr>
                <w:rFonts w:ascii="Arial" w:hAnsi="Arial"/>
                <w:b w:val="0"/>
                <w:sz w:val="13"/>
              </w:rPr>
              <w:t>One canonical reason; no lost distinct evidence.</w:t>
            </w:r>
          </w:p>
        </w:tc>
      </w:tr>
      <w:tr>
        <w:trPr>
          <w:cantSplit/>
        </w:trPr>
        <w:tc>
          <w:tcPr>
            <w:tcW w:type="dxa" w:w="936"/>
            <w:vAlign w:val="center"/>
            <w:shd w:fill="EAF0F8"/>
          </w:tcPr>
          <w:p>
            <w:pPr>
              <w:spacing w:after="0" w:line="240" w:lineRule="auto"/>
            </w:pPr>
            <w:r/>
            <w:r>
              <w:rPr>
                <w:rFonts w:ascii="Arial" w:hAnsi="Arial"/>
                <w:b w:val="0"/>
                <w:sz w:val="13"/>
              </w:rPr>
              <w:t>V-38</w:t>
            </w:r>
          </w:p>
        </w:tc>
        <w:tc>
          <w:tcPr>
            <w:tcW w:type="dxa" w:w="3456"/>
            <w:vAlign w:val="center"/>
            <w:shd w:fill="EAF0F8"/>
          </w:tcPr>
          <w:p>
            <w:pPr>
              <w:spacing w:after="0" w:line="240" w:lineRule="auto"/>
            </w:pPr>
            <w:r/>
            <w:r>
              <w:rPr>
                <w:rFonts w:ascii="Arial" w:hAnsi="Arial"/>
                <w:b w:val="0"/>
                <w:sz w:val="13"/>
              </w:rPr>
              <w:t>Template placeholder missing</w:t>
            </w:r>
          </w:p>
        </w:tc>
        <w:tc>
          <w:tcPr>
            <w:tcW w:type="dxa" w:w="1728"/>
            <w:vAlign w:val="center"/>
            <w:shd w:fill="EAF0F8"/>
          </w:tcPr>
          <w:p>
            <w:pPr>
              <w:spacing w:after="0" w:line="240" w:lineRule="auto"/>
            </w:pPr>
            <w:r/>
            <w:r>
              <w:rPr>
                <w:rFonts w:ascii="Arial" w:hAnsi="Arial"/>
                <w:b w:val="0"/>
                <w:sz w:val="13"/>
              </w:rPr>
              <w:t>Blocked/fallback</w:t>
            </w:r>
          </w:p>
        </w:tc>
        <w:tc>
          <w:tcPr>
            <w:tcW w:type="dxa" w:w="4968"/>
            <w:vAlign w:val="center"/>
            <w:shd w:fill="EAF0F8"/>
          </w:tcPr>
          <w:p>
            <w:pPr>
              <w:spacing w:after="0" w:line="240" w:lineRule="auto"/>
            </w:pPr>
            <w:r/>
            <w:r>
              <w:rPr>
                <w:rFonts w:ascii="Arial" w:hAnsi="Arial"/>
                <w:b w:val="0"/>
                <w:sz w:val="13"/>
              </w:rPr>
              <w:t>No corrupted explanation shown; incident logged.</w:t>
            </w:r>
          </w:p>
        </w:tc>
      </w:tr>
      <w:tr>
        <w:trPr>
          <w:cantSplit/>
        </w:trPr>
        <w:tc>
          <w:tcPr>
            <w:tcW w:type="dxa" w:w="936"/>
            <w:vAlign w:val="center"/>
          </w:tcPr>
          <w:p>
            <w:pPr>
              <w:spacing w:after="0" w:line="240" w:lineRule="auto"/>
            </w:pPr>
            <w:r/>
            <w:r>
              <w:rPr>
                <w:rFonts w:ascii="Arial" w:hAnsi="Arial"/>
                <w:b w:val="0"/>
                <w:sz w:val="13"/>
              </w:rPr>
              <w:t>V-39</w:t>
            </w:r>
          </w:p>
        </w:tc>
        <w:tc>
          <w:tcPr>
            <w:tcW w:type="dxa" w:w="3456"/>
            <w:vAlign w:val="center"/>
          </w:tcPr>
          <w:p>
            <w:pPr>
              <w:spacing w:after="0" w:line="240" w:lineRule="auto"/>
            </w:pPr>
            <w:r/>
            <w:r>
              <w:rPr>
                <w:rFonts w:ascii="Arial" w:hAnsi="Arial"/>
                <w:b w:val="0"/>
                <w:sz w:val="13"/>
              </w:rPr>
              <w:t>Unauthorized user requests audit view</w:t>
            </w:r>
          </w:p>
        </w:tc>
        <w:tc>
          <w:tcPr>
            <w:tcW w:type="dxa" w:w="1728"/>
            <w:vAlign w:val="center"/>
          </w:tcPr>
          <w:p>
            <w:pPr>
              <w:spacing w:after="0" w:line="240" w:lineRule="auto"/>
            </w:pPr>
            <w:r/>
            <w:r>
              <w:rPr>
                <w:rFonts w:ascii="Arial" w:hAnsi="Arial"/>
                <w:b w:val="0"/>
                <w:sz w:val="13"/>
              </w:rPr>
              <w:t>Denied</w:t>
            </w:r>
          </w:p>
        </w:tc>
        <w:tc>
          <w:tcPr>
            <w:tcW w:type="dxa" w:w="4968"/>
            <w:vAlign w:val="center"/>
          </w:tcPr>
          <w:p>
            <w:pPr>
              <w:spacing w:after="0" w:line="240" w:lineRule="auto"/>
            </w:pPr>
            <w:r/>
            <w:r>
              <w:rPr>
                <w:rFonts w:ascii="Arial" w:hAnsi="Arial"/>
                <w:b w:val="0"/>
                <w:sz w:val="13"/>
              </w:rPr>
              <w:t>No sensitive payload leakage; access event logged.</w:t>
            </w:r>
          </w:p>
        </w:tc>
      </w:tr>
      <w:tr>
        <w:trPr>
          <w:cantSplit/>
        </w:trPr>
        <w:tc>
          <w:tcPr>
            <w:tcW w:type="dxa" w:w="936"/>
            <w:vAlign w:val="center"/>
            <w:shd w:fill="EAF0F8"/>
          </w:tcPr>
          <w:p>
            <w:pPr>
              <w:spacing w:after="0" w:line="240" w:lineRule="auto"/>
            </w:pPr>
            <w:r/>
            <w:r>
              <w:rPr>
                <w:rFonts w:ascii="Arial" w:hAnsi="Arial"/>
                <w:b w:val="0"/>
                <w:sz w:val="13"/>
              </w:rPr>
              <w:t>V-40</w:t>
            </w:r>
          </w:p>
        </w:tc>
        <w:tc>
          <w:tcPr>
            <w:tcW w:type="dxa" w:w="3456"/>
            <w:vAlign w:val="center"/>
            <w:shd w:fill="EAF0F8"/>
          </w:tcPr>
          <w:p>
            <w:pPr>
              <w:spacing w:after="0" w:line="240" w:lineRule="auto"/>
            </w:pPr>
            <w:r/>
            <w:r>
              <w:rPr>
                <w:rFonts w:ascii="Arial" w:hAnsi="Arial"/>
                <w:b w:val="0"/>
                <w:sz w:val="13"/>
              </w:rPr>
              <w:t>Historical assessment after rule update</w:t>
            </w:r>
          </w:p>
        </w:tc>
        <w:tc>
          <w:tcPr>
            <w:tcW w:type="dxa" w:w="1728"/>
            <w:vAlign w:val="center"/>
            <w:shd w:fill="EAF0F8"/>
          </w:tcPr>
          <w:p>
            <w:pPr>
              <w:spacing w:after="0" w:line="240" w:lineRule="auto"/>
            </w:pPr>
            <w:r/>
            <w:r>
              <w:rPr>
                <w:rFonts w:ascii="Arial" w:hAnsi="Arial"/>
                <w:b w:val="0"/>
                <w:sz w:val="13"/>
              </w:rPr>
              <w:t>Original historical result</w:t>
            </w:r>
          </w:p>
        </w:tc>
        <w:tc>
          <w:tcPr>
            <w:tcW w:type="dxa" w:w="4968"/>
            <w:vAlign w:val="center"/>
            <w:shd w:fill="EAF0F8"/>
          </w:tcPr>
          <w:p>
            <w:pPr>
              <w:spacing w:after="0" w:line="240" w:lineRule="auto"/>
            </w:pPr>
            <w:r/>
            <w:r>
              <w:rPr>
                <w:rFonts w:ascii="Arial" w:hAnsi="Arial"/>
                <w:b w:val="0"/>
                <w:sz w:val="13"/>
              </w:rPr>
              <w:t>Original version manifest and evidence retained.</w:t>
            </w:r>
          </w:p>
        </w:tc>
      </w:tr>
    </w:tbl>
    <w:p>
      <w:pPr/>
    </w:p>
    <w:p>
      <w:pPr>
        <w:pStyle w:val="Heading2"/>
      </w:pPr>
      <w:r>
        <w:t>10.3 Acceptance thresholds</w:t>
      </w:r>
    </w:p>
    <w:p>
      <w:pPr>
        <w:pStyle w:val="ListBullet"/>
      </w:pPr>
      <w:r>
        <w:t>100% reason precision and 100% reason recall across the approved deterministic reference suite.</w:t>
      </w:r>
    </w:p>
    <w:p>
      <w:pPr>
        <w:pStyle w:val="ListBullet"/>
      </w:pPr>
      <w:r>
        <w:t>100% agreement between final status and displayed status across all channels.</w:t>
      </w:r>
    </w:p>
    <w:p>
      <w:pPr>
        <w:pStyle w:val="ListBullet"/>
      </w:pPr>
      <w:r>
        <w:t>100% correct suppression of LOW when records or model output are invalid.</w:t>
      </w:r>
    </w:p>
    <w:p>
      <w:pPr>
        <w:pStyle w:val="ListBullet"/>
      </w:pPr>
      <w:r>
        <w:t>Zero prohibited diagnosis or guarantee statements in approved patient templates.</w:t>
      </w:r>
    </w:p>
    <w:p>
      <w:pPr>
        <w:pStyle w:val="ListBullet"/>
      </w:pPr>
      <w:r>
        <w:t>All safety-critical scenarios pass before release; no unresolved critical or high-severity defect remains.</w:t>
      </w:r>
    </w:p>
    <w:p>
      <w:pPr>
        <w:pStyle w:val="ListBullet"/>
      </w:pPr>
      <w:r>
        <w:t>Authorized clinical reviewers confirm that actions and urgency are understandable and appropriate for the clinic context.</w:t>
      </w:r>
    </w:p>
    <w:p>
      <w:pPr>
        <w:pStyle w:val="ListBullet"/>
      </w:pPr>
      <w:r>
        <w:t>Every released build contains a complete VersionManifest and reproducible test evidence.</w:t>
      </w:r>
    </w:p>
    <w:p>
      <w:pPr>
        <w:pStyle w:val="Heading1"/>
      </w:pPr>
      <w:r>
        <w:t>11. Explainability Quality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2F5597"/>
          </w:tcPr>
          <w:p>
            <w:pPr>
              <w:spacing w:after="0" w:line="240" w:lineRule="auto"/>
            </w:pPr>
            <w:r/>
            <w:r>
              <w:rPr>
                <w:rFonts w:ascii="Arial" w:hAnsi="Arial"/>
                <w:b/>
                <w:color w:val="FFFFFF"/>
                <w:sz w:val="15"/>
              </w:rPr>
              <w:t>Quality dimension</w:t>
            </w:r>
          </w:p>
        </w:tc>
        <w:tc>
          <w:tcPr>
            <w:tcW w:type="dxa" w:w="3888"/>
            <w:vAlign w:val="center"/>
            <w:shd w:fill="2F5597"/>
          </w:tcPr>
          <w:p>
            <w:pPr>
              <w:spacing w:after="0" w:line="240" w:lineRule="auto"/>
            </w:pPr>
            <w:r/>
            <w:r>
              <w:rPr>
                <w:rFonts w:ascii="Arial" w:hAnsi="Arial"/>
                <w:b/>
                <w:color w:val="FFFFFF"/>
                <w:sz w:val="15"/>
              </w:rPr>
              <w:t>Question</w:t>
            </w:r>
          </w:p>
        </w:tc>
        <w:tc>
          <w:tcPr>
            <w:tcW w:type="dxa" w:w="5400"/>
            <w:vAlign w:val="center"/>
            <w:shd w:fill="2F5597"/>
          </w:tcPr>
          <w:p>
            <w:pPr>
              <w:spacing w:after="0" w:line="240" w:lineRule="auto"/>
            </w:pPr>
            <w:r/>
            <w:r>
              <w:rPr>
                <w:rFonts w:ascii="Arial" w:hAnsi="Arial"/>
                <w:b/>
                <w:color w:val="FFFFFF"/>
                <w:sz w:val="15"/>
              </w:rPr>
              <w:t>Evidence / metric</w:t>
            </w:r>
          </w:p>
        </w:tc>
      </w:tr>
      <w:tr>
        <w:trPr>
          <w:cantSplit/>
        </w:trPr>
        <w:tc>
          <w:tcPr>
            <w:tcW w:type="dxa" w:w="1944"/>
            <w:vAlign w:val="center"/>
          </w:tcPr>
          <w:p>
            <w:pPr>
              <w:spacing w:after="0" w:line="240" w:lineRule="auto"/>
            </w:pPr>
            <w:r/>
            <w:r>
              <w:rPr>
                <w:rFonts w:ascii="Arial" w:hAnsi="Arial"/>
                <w:b w:val="0"/>
                <w:sz w:val="15"/>
              </w:rPr>
              <w:t>Fidelity</w:t>
            </w:r>
          </w:p>
        </w:tc>
        <w:tc>
          <w:tcPr>
            <w:tcW w:type="dxa" w:w="3888"/>
            <w:vAlign w:val="center"/>
          </w:tcPr>
          <w:p>
            <w:pPr>
              <w:spacing w:after="0" w:line="240" w:lineRule="auto"/>
            </w:pPr>
            <w:r/>
            <w:r>
              <w:rPr>
                <w:rFonts w:ascii="Arial" w:hAnsi="Arial"/>
                <w:b w:val="0"/>
                <w:sz w:val="15"/>
              </w:rPr>
              <w:t>Does the explanation accurately represent the actual decision process?</w:t>
            </w:r>
          </w:p>
        </w:tc>
        <w:tc>
          <w:tcPr>
            <w:tcW w:type="dxa" w:w="5400"/>
            <w:vAlign w:val="center"/>
          </w:tcPr>
          <w:p>
            <w:pPr>
              <w:spacing w:after="0" w:line="240" w:lineRule="auto"/>
            </w:pPr>
            <w:r/>
            <w:r>
              <w:rPr>
                <w:rFonts w:ascii="Arial" w:hAnsi="Arial"/>
                <w:b w:val="0"/>
                <w:sz w:val="15"/>
              </w:rPr>
              <w:t>Reason precision/recall, policy-path assertions, no invented causes.</w:t>
            </w:r>
          </w:p>
        </w:tc>
      </w:tr>
      <w:tr>
        <w:trPr>
          <w:cantSplit/>
        </w:trPr>
        <w:tc>
          <w:tcPr>
            <w:tcW w:type="dxa" w:w="1944"/>
            <w:vAlign w:val="center"/>
            <w:shd w:fill="EAF0F8"/>
          </w:tcPr>
          <w:p>
            <w:pPr>
              <w:spacing w:after="0" w:line="240" w:lineRule="auto"/>
            </w:pPr>
            <w:r/>
            <w:r>
              <w:rPr>
                <w:rFonts w:ascii="Arial" w:hAnsi="Arial"/>
                <w:b w:val="0"/>
                <w:sz w:val="15"/>
              </w:rPr>
              <w:t>Completeness</w:t>
            </w:r>
          </w:p>
        </w:tc>
        <w:tc>
          <w:tcPr>
            <w:tcW w:type="dxa" w:w="3888"/>
            <w:vAlign w:val="center"/>
            <w:shd w:fill="EAF0F8"/>
          </w:tcPr>
          <w:p>
            <w:pPr>
              <w:spacing w:after="0" w:line="240" w:lineRule="auto"/>
            </w:pPr>
            <w:r/>
            <w:r>
              <w:rPr>
                <w:rFonts w:ascii="Arial" w:hAnsi="Arial"/>
                <w:b w:val="0"/>
                <w:sz w:val="15"/>
              </w:rPr>
              <w:t>Are all decisive and safety-relevant factors included?</w:t>
            </w:r>
          </w:p>
        </w:tc>
        <w:tc>
          <w:tcPr>
            <w:tcW w:type="dxa" w:w="5400"/>
            <w:vAlign w:val="center"/>
            <w:shd w:fill="EAF0F8"/>
          </w:tcPr>
          <w:p>
            <w:pPr>
              <w:spacing w:after="0" w:line="240" w:lineRule="auto"/>
            </w:pPr>
            <w:r/>
            <w:r>
              <w:rPr>
                <w:rFonts w:ascii="Arial" w:hAnsi="Arial"/>
                <w:b w:val="0"/>
                <w:sz w:val="15"/>
              </w:rPr>
              <w:t>Coverage of triggered rules, ML state, missing items, action, limitations.</w:t>
            </w:r>
          </w:p>
        </w:tc>
      </w:tr>
      <w:tr>
        <w:trPr>
          <w:cantSplit/>
        </w:trPr>
        <w:tc>
          <w:tcPr>
            <w:tcW w:type="dxa" w:w="1944"/>
            <w:vAlign w:val="center"/>
          </w:tcPr>
          <w:p>
            <w:pPr>
              <w:spacing w:after="0" w:line="240" w:lineRule="auto"/>
            </w:pPr>
            <w:r/>
            <w:r>
              <w:rPr>
                <w:rFonts w:ascii="Arial" w:hAnsi="Arial"/>
                <w:b w:val="0"/>
                <w:sz w:val="15"/>
              </w:rPr>
              <w:t>Consistency</w:t>
            </w:r>
          </w:p>
        </w:tc>
        <w:tc>
          <w:tcPr>
            <w:tcW w:type="dxa" w:w="3888"/>
            <w:vAlign w:val="center"/>
          </w:tcPr>
          <w:p>
            <w:pPr>
              <w:spacing w:after="0" w:line="240" w:lineRule="auto"/>
            </w:pPr>
            <w:r/>
            <w:r>
              <w:rPr>
                <w:rFonts w:ascii="Arial" w:hAnsi="Arial"/>
                <w:b w:val="0"/>
                <w:sz w:val="15"/>
              </w:rPr>
              <w:t>Do channels and audience views agree?</w:t>
            </w:r>
          </w:p>
        </w:tc>
        <w:tc>
          <w:tcPr>
            <w:tcW w:type="dxa" w:w="5400"/>
            <w:vAlign w:val="center"/>
          </w:tcPr>
          <w:p>
            <w:pPr>
              <w:spacing w:after="0" w:line="240" w:lineRule="auto"/>
            </w:pPr>
            <w:r/>
            <w:r>
              <w:rPr>
                <w:rFonts w:ascii="Arial" w:hAnsi="Arial"/>
                <w:b w:val="0"/>
                <w:sz w:val="15"/>
              </w:rPr>
              <w:t>Cross-channel status/reason comparison and template snapshot tests.</w:t>
            </w:r>
          </w:p>
        </w:tc>
      </w:tr>
      <w:tr>
        <w:trPr>
          <w:cantSplit/>
        </w:trPr>
        <w:tc>
          <w:tcPr>
            <w:tcW w:type="dxa" w:w="1944"/>
            <w:vAlign w:val="center"/>
            <w:shd w:fill="EAF0F8"/>
          </w:tcPr>
          <w:p>
            <w:pPr>
              <w:spacing w:after="0" w:line="240" w:lineRule="auto"/>
            </w:pPr>
            <w:r/>
            <w:r>
              <w:rPr>
                <w:rFonts w:ascii="Arial" w:hAnsi="Arial"/>
                <w:b w:val="0"/>
                <w:sz w:val="15"/>
              </w:rPr>
              <w:t>Understandability</w:t>
            </w:r>
          </w:p>
        </w:tc>
        <w:tc>
          <w:tcPr>
            <w:tcW w:type="dxa" w:w="3888"/>
            <w:vAlign w:val="center"/>
            <w:shd w:fill="EAF0F8"/>
          </w:tcPr>
          <w:p>
            <w:pPr>
              <w:spacing w:after="0" w:line="240" w:lineRule="auto"/>
            </w:pPr>
            <w:r/>
            <w:r>
              <w:rPr>
                <w:rFonts w:ascii="Arial" w:hAnsi="Arial"/>
                <w:b w:val="0"/>
                <w:sz w:val="15"/>
              </w:rPr>
              <w:t>Can the intended user interpret the meaning?</w:t>
            </w:r>
          </w:p>
        </w:tc>
        <w:tc>
          <w:tcPr>
            <w:tcW w:type="dxa" w:w="5400"/>
            <w:vAlign w:val="center"/>
            <w:shd w:fill="EAF0F8"/>
          </w:tcPr>
          <w:p>
            <w:pPr>
              <w:spacing w:after="0" w:line="240" w:lineRule="auto"/>
            </w:pPr>
            <w:r/>
            <w:r>
              <w:rPr>
                <w:rFonts w:ascii="Arial" w:hAnsi="Arial"/>
                <w:b w:val="0"/>
                <w:sz w:val="15"/>
              </w:rPr>
              <w:t>Readability review, comprehension tasks, teach-back, terminology checks.</w:t>
            </w:r>
          </w:p>
        </w:tc>
      </w:tr>
      <w:tr>
        <w:trPr>
          <w:cantSplit/>
        </w:trPr>
        <w:tc>
          <w:tcPr>
            <w:tcW w:type="dxa" w:w="1944"/>
            <w:vAlign w:val="center"/>
          </w:tcPr>
          <w:p>
            <w:pPr>
              <w:spacing w:after="0" w:line="240" w:lineRule="auto"/>
            </w:pPr>
            <w:r/>
            <w:r>
              <w:rPr>
                <w:rFonts w:ascii="Arial" w:hAnsi="Arial"/>
                <w:b w:val="0"/>
                <w:sz w:val="15"/>
              </w:rPr>
              <w:t>Clinical relevance</w:t>
            </w:r>
          </w:p>
        </w:tc>
        <w:tc>
          <w:tcPr>
            <w:tcW w:type="dxa" w:w="3888"/>
            <w:vAlign w:val="center"/>
          </w:tcPr>
          <w:p>
            <w:pPr>
              <w:spacing w:after="0" w:line="240" w:lineRule="auto"/>
            </w:pPr>
            <w:r/>
            <w:r>
              <w:rPr>
                <w:rFonts w:ascii="Arial" w:hAnsi="Arial"/>
                <w:b w:val="0"/>
                <w:sz w:val="15"/>
              </w:rPr>
              <w:t>Does the explanation emphasize information useful for professional review?</w:t>
            </w:r>
          </w:p>
        </w:tc>
        <w:tc>
          <w:tcPr>
            <w:tcW w:type="dxa" w:w="5400"/>
            <w:vAlign w:val="center"/>
          </w:tcPr>
          <w:p>
            <w:pPr>
              <w:spacing w:after="0" w:line="240" w:lineRule="auto"/>
            </w:pPr>
            <w:r/>
            <w:r>
              <w:rPr>
                <w:rFonts w:ascii="Arial" w:hAnsi="Arial"/>
                <w:b w:val="0"/>
                <w:sz w:val="15"/>
              </w:rPr>
              <w:t>Structured midwife/adviser review and reason-priority validation.</w:t>
            </w:r>
          </w:p>
        </w:tc>
      </w:tr>
      <w:tr>
        <w:trPr>
          <w:cantSplit/>
        </w:trPr>
        <w:tc>
          <w:tcPr>
            <w:tcW w:type="dxa" w:w="1944"/>
            <w:vAlign w:val="center"/>
            <w:shd w:fill="EAF0F8"/>
          </w:tcPr>
          <w:p>
            <w:pPr>
              <w:spacing w:after="0" w:line="240" w:lineRule="auto"/>
            </w:pPr>
            <w:r/>
            <w:r>
              <w:rPr>
                <w:rFonts w:ascii="Arial" w:hAnsi="Arial"/>
                <w:b w:val="0"/>
                <w:sz w:val="15"/>
              </w:rPr>
              <w:t>Actionability</w:t>
            </w:r>
          </w:p>
        </w:tc>
        <w:tc>
          <w:tcPr>
            <w:tcW w:type="dxa" w:w="3888"/>
            <w:vAlign w:val="center"/>
            <w:shd w:fill="EAF0F8"/>
          </w:tcPr>
          <w:p>
            <w:pPr>
              <w:spacing w:after="0" w:line="240" w:lineRule="auto"/>
            </w:pPr>
            <w:r/>
            <w:r>
              <w:rPr>
                <w:rFonts w:ascii="Arial" w:hAnsi="Arial"/>
                <w:b w:val="0"/>
                <w:sz w:val="15"/>
              </w:rPr>
              <w:t>Is the next safe step clear?</w:t>
            </w:r>
          </w:p>
        </w:tc>
        <w:tc>
          <w:tcPr>
            <w:tcW w:type="dxa" w:w="5400"/>
            <w:vAlign w:val="center"/>
            <w:shd w:fill="EAF0F8"/>
          </w:tcPr>
          <w:p>
            <w:pPr>
              <w:spacing w:after="0" w:line="240" w:lineRule="auto"/>
            </w:pPr>
            <w:r/>
            <w:r>
              <w:rPr>
                <w:rFonts w:ascii="Arial" w:hAnsi="Arial"/>
                <w:b w:val="0"/>
                <w:sz w:val="15"/>
              </w:rPr>
              <w:t>Task completion, referral/follow-up direction, urgency recognition.</w:t>
            </w:r>
          </w:p>
        </w:tc>
      </w:tr>
      <w:tr>
        <w:trPr>
          <w:cantSplit/>
        </w:trPr>
        <w:tc>
          <w:tcPr>
            <w:tcW w:type="dxa" w:w="1944"/>
            <w:vAlign w:val="center"/>
          </w:tcPr>
          <w:p>
            <w:pPr>
              <w:spacing w:after="0" w:line="240" w:lineRule="auto"/>
            </w:pPr>
            <w:r/>
            <w:r>
              <w:rPr>
                <w:rFonts w:ascii="Arial" w:hAnsi="Arial"/>
                <w:b w:val="0"/>
                <w:sz w:val="15"/>
              </w:rPr>
              <w:t>Uncertainty disclosure</w:t>
            </w:r>
          </w:p>
        </w:tc>
        <w:tc>
          <w:tcPr>
            <w:tcW w:type="dxa" w:w="3888"/>
            <w:vAlign w:val="center"/>
          </w:tcPr>
          <w:p>
            <w:pPr>
              <w:spacing w:after="0" w:line="240" w:lineRule="auto"/>
            </w:pPr>
            <w:r/>
            <w:r>
              <w:rPr>
                <w:rFonts w:ascii="Arial" w:hAnsi="Arial"/>
                <w:b w:val="0"/>
                <w:sz w:val="15"/>
              </w:rPr>
              <w:t>Are missing data, model limits, and lack of guarantees visible?</w:t>
            </w:r>
          </w:p>
        </w:tc>
        <w:tc>
          <w:tcPr>
            <w:tcW w:type="dxa" w:w="5400"/>
            <w:vAlign w:val="center"/>
          </w:tcPr>
          <w:p>
            <w:pPr>
              <w:spacing w:after="0" w:line="240" w:lineRule="auto"/>
            </w:pPr>
            <w:r/>
            <w:r>
              <w:rPr>
                <w:rFonts w:ascii="Arial" w:hAnsi="Arial"/>
                <w:b w:val="0"/>
                <w:sz w:val="15"/>
              </w:rPr>
              <w:t>Required limitation and incomplete-state assertions.</w:t>
            </w:r>
          </w:p>
        </w:tc>
      </w:tr>
      <w:tr>
        <w:trPr>
          <w:cantSplit/>
        </w:trPr>
        <w:tc>
          <w:tcPr>
            <w:tcW w:type="dxa" w:w="1944"/>
            <w:vAlign w:val="center"/>
            <w:shd w:fill="EAF0F8"/>
          </w:tcPr>
          <w:p>
            <w:pPr>
              <w:spacing w:after="0" w:line="240" w:lineRule="auto"/>
            </w:pPr>
            <w:r/>
            <w:r>
              <w:rPr>
                <w:rFonts w:ascii="Arial" w:hAnsi="Arial"/>
                <w:b w:val="0"/>
                <w:sz w:val="15"/>
              </w:rPr>
              <w:t>Traceability</w:t>
            </w:r>
          </w:p>
        </w:tc>
        <w:tc>
          <w:tcPr>
            <w:tcW w:type="dxa" w:w="3888"/>
            <w:vAlign w:val="center"/>
            <w:shd w:fill="EAF0F8"/>
          </w:tcPr>
          <w:p>
            <w:pPr>
              <w:spacing w:after="0" w:line="240" w:lineRule="auto"/>
            </w:pPr>
            <w:r/>
            <w:r>
              <w:rPr>
                <w:rFonts w:ascii="Arial" w:hAnsi="Arial"/>
                <w:b w:val="0"/>
                <w:sz w:val="15"/>
              </w:rPr>
              <w:t>Can the decision be reconstructed?</w:t>
            </w:r>
          </w:p>
        </w:tc>
        <w:tc>
          <w:tcPr>
            <w:tcW w:type="dxa" w:w="5400"/>
            <w:vAlign w:val="center"/>
            <w:shd w:fill="EAF0F8"/>
          </w:tcPr>
          <w:p>
            <w:pPr>
              <w:spacing w:after="0" w:line="240" w:lineRule="auto"/>
            </w:pPr>
            <w:r/>
            <w:r>
              <w:rPr>
                <w:rFonts w:ascii="Arial" w:hAnsi="Arial"/>
                <w:b w:val="0"/>
                <w:sz w:val="15"/>
              </w:rPr>
              <w:t>Snapshot, source IDs/dates, versions, model hash, correlation ID.</w:t>
            </w:r>
          </w:p>
        </w:tc>
      </w:tr>
      <w:tr>
        <w:trPr>
          <w:cantSplit/>
        </w:trPr>
        <w:tc>
          <w:tcPr>
            <w:tcW w:type="dxa" w:w="1944"/>
            <w:vAlign w:val="center"/>
          </w:tcPr>
          <w:p>
            <w:pPr>
              <w:spacing w:after="0" w:line="240" w:lineRule="auto"/>
            </w:pPr>
            <w:r/>
            <w:r>
              <w:rPr>
                <w:rFonts w:ascii="Arial" w:hAnsi="Arial"/>
                <w:b w:val="0"/>
                <w:sz w:val="15"/>
              </w:rPr>
              <w:t>Robustness</w:t>
            </w:r>
          </w:p>
        </w:tc>
        <w:tc>
          <w:tcPr>
            <w:tcW w:type="dxa" w:w="3888"/>
            <w:vAlign w:val="center"/>
          </w:tcPr>
          <w:p>
            <w:pPr>
              <w:spacing w:after="0" w:line="240" w:lineRule="auto"/>
            </w:pPr>
            <w:r/>
            <w:r>
              <w:rPr>
                <w:rFonts w:ascii="Arial" w:hAnsi="Arial"/>
                <w:b w:val="0"/>
                <w:sz w:val="15"/>
              </w:rPr>
              <w:t>Does explanation behavior remain safe under failure and unusual inputs?</w:t>
            </w:r>
          </w:p>
        </w:tc>
        <w:tc>
          <w:tcPr>
            <w:tcW w:type="dxa" w:w="5400"/>
            <w:vAlign w:val="center"/>
          </w:tcPr>
          <w:p>
            <w:pPr>
              <w:spacing w:after="0" w:line="240" w:lineRule="auto"/>
            </w:pPr>
            <w:r/>
            <w:r>
              <w:rPr>
                <w:rFonts w:ascii="Arial" w:hAnsi="Arial"/>
                <w:b w:val="0"/>
                <w:sz w:val="15"/>
              </w:rPr>
              <w:t>Timeout, malformed output, duplicates, stale records, and projection failures.</w:t>
            </w:r>
          </w:p>
        </w:tc>
      </w:tr>
    </w:tbl>
    <w:p>
      <w:pPr/>
    </w:p>
    <w:p>
      <w:pPr>
        <w:pStyle w:val="BodyText"/>
      </w:pPr>
      <w:r>
        <w:t>Prediction accuracy, clinical validity, decision-policy correctness, and explanation quality must be reported separately. A model may predict correctly while an explanation omits a decisive rule; an explanation may be faithful to a flawed decision policy; and a usable explanation may still rely on clinically inappropriate rules. The evaluation program therefore treats these dimensions as related but non-interchangeable.</w:t>
      </w:r>
    </w:p>
    <w:p>
      <w:pPr>
        <w:pStyle w:val="Heading1"/>
      </w:pPr>
      <w:r>
        <w:t>12. Deployment Readiness Specification</w:t>
      </w:r>
    </w:p>
    <w:p>
      <w:pPr>
        <w:pStyle w:val="Heading2"/>
      </w:pPr>
      <w:r>
        <w:t>12.1 Mandatory release 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2F5597"/>
          </w:tcPr>
          <w:p>
            <w:pPr>
              <w:spacing w:after="0" w:line="240" w:lineRule="auto"/>
            </w:pPr>
            <w:r/>
            <w:r>
              <w:rPr>
                <w:rFonts w:ascii="Arial" w:hAnsi="Arial"/>
                <w:b/>
                <w:color w:val="FFFFFF"/>
                <w:sz w:val="14"/>
              </w:rPr>
              <w:t>Gate</w:t>
            </w:r>
          </w:p>
        </w:tc>
        <w:tc>
          <w:tcPr>
            <w:tcW w:type="dxa" w:w="5184"/>
            <w:vAlign w:val="center"/>
            <w:shd w:fill="2F5597"/>
          </w:tcPr>
          <w:p>
            <w:pPr>
              <w:spacing w:after="0" w:line="240" w:lineRule="auto"/>
            </w:pPr>
            <w:r/>
            <w:r>
              <w:rPr>
                <w:rFonts w:ascii="Arial" w:hAnsi="Arial"/>
                <w:b/>
                <w:color w:val="FFFFFF"/>
                <w:sz w:val="14"/>
              </w:rPr>
              <w:t>Required evidence</w:t>
            </w:r>
          </w:p>
        </w:tc>
        <w:tc>
          <w:tcPr>
            <w:tcW w:type="dxa" w:w="3960"/>
            <w:vAlign w:val="center"/>
            <w:shd w:fill="2F5597"/>
          </w:tcPr>
          <w:p>
            <w:pPr>
              <w:spacing w:after="0" w:line="240" w:lineRule="auto"/>
            </w:pPr>
            <w:r/>
            <w:r>
              <w:rPr>
                <w:rFonts w:ascii="Arial" w:hAnsi="Arial"/>
                <w:b/>
                <w:color w:val="FFFFFF"/>
                <w:sz w:val="14"/>
              </w:rPr>
              <w:t>Release blocker</w:t>
            </w:r>
          </w:p>
        </w:tc>
      </w:tr>
      <w:tr>
        <w:trPr>
          <w:cantSplit/>
        </w:trPr>
        <w:tc>
          <w:tcPr>
            <w:tcW w:type="dxa" w:w="2016"/>
            <w:vAlign w:val="center"/>
          </w:tcPr>
          <w:p>
            <w:pPr>
              <w:spacing w:after="0" w:line="240" w:lineRule="auto"/>
            </w:pPr>
            <w:r/>
            <w:r>
              <w:rPr>
                <w:rFonts w:ascii="Arial" w:hAnsi="Arial"/>
                <w:b w:val="0"/>
                <w:sz w:val="14"/>
              </w:rPr>
              <w:t>Clinical rule review</w:t>
            </w:r>
          </w:p>
        </w:tc>
        <w:tc>
          <w:tcPr>
            <w:tcW w:type="dxa" w:w="5184"/>
            <w:vAlign w:val="center"/>
          </w:tcPr>
          <w:p>
            <w:pPr>
              <w:spacing w:after="0" w:line="240" w:lineRule="auto"/>
            </w:pPr>
            <w:r/>
            <w:r>
              <w:rPr>
                <w:rFonts w:ascii="Arial" w:hAnsi="Arial"/>
                <w:b w:val="0"/>
                <w:sz w:val="14"/>
              </w:rPr>
              <w:t>Approved rule catalog with thresholds, categories, urgency, and recommendation mapping.</w:t>
            </w:r>
          </w:p>
        </w:tc>
        <w:tc>
          <w:tcPr>
            <w:tcW w:type="dxa" w:w="3960"/>
            <w:vAlign w:val="center"/>
          </w:tcPr>
          <w:p>
            <w:pPr>
              <w:spacing w:after="0" w:line="240" w:lineRule="auto"/>
            </w:pPr>
            <w:r/>
            <w:r>
              <w:rPr>
                <w:rFonts w:ascii="Arial" w:hAnsi="Arial"/>
                <w:b w:val="0"/>
                <w:sz w:val="14"/>
              </w:rPr>
              <w:t>Unapproved or ambiguous clinical logic.</w:t>
            </w:r>
          </w:p>
        </w:tc>
      </w:tr>
      <w:tr>
        <w:trPr>
          <w:cantSplit/>
        </w:trPr>
        <w:tc>
          <w:tcPr>
            <w:tcW w:type="dxa" w:w="2016"/>
            <w:vAlign w:val="center"/>
            <w:shd w:fill="EAF0F8"/>
          </w:tcPr>
          <w:p>
            <w:pPr>
              <w:spacing w:after="0" w:line="240" w:lineRule="auto"/>
            </w:pPr>
            <w:r/>
            <w:r>
              <w:rPr>
                <w:rFonts w:ascii="Arial" w:hAnsi="Arial"/>
                <w:b w:val="0"/>
                <w:sz w:val="14"/>
              </w:rPr>
              <w:t>Decision policy review</w:t>
            </w:r>
          </w:p>
        </w:tc>
        <w:tc>
          <w:tcPr>
            <w:tcW w:type="dxa" w:w="5184"/>
            <w:vAlign w:val="center"/>
            <w:shd w:fill="EAF0F8"/>
          </w:tcPr>
          <w:p>
            <w:pPr>
              <w:spacing w:after="0" w:line="240" w:lineRule="auto"/>
            </w:pPr>
            <w:r/>
            <w:r>
              <w:rPr>
                <w:rFonts w:ascii="Arial" w:hAnsi="Arial"/>
                <w:b w:val="0"/>
                <w:sz w:val="14"/>
              </w:rPr>
              <w:t>LOW/HIGH/INCOMPLETE matrix and deterministic precedence tests.</w:t>
            </w:r>
          </w:p>
        </w:tc>
        <w:tc>
          <w:tcPr>
            <w:tcW w:type="dxa" w:w="3960"/>
            <w:vAlign w:val="center"/>
            <w:shd w:fill="EAF0F8"/>
          </w:tcPr>
          <w:p>
            <w:pPr>
              <w:spacing w:after="0" w:line="240" w:lineRule="auto"/>
            </w:pPr>
            <w:r/>
            <w:r>
              <w:rPr>
                <w:rFonts w:ascii="Arial" w:hAnsi="Arial"/>
                <w:b w:val="0"/>
                <w:sz w:val="14"/>
              </w:rPr>
              <w:t>Any path that can falsely produce LOW.</w:t>
            </w:r>
          </w:p>
        </w:tc>
      </w:tr>
      <w:tr>
        <w:trPr>
          <w:cantSplit/>
        </w:trPr>
        <w:tc>
          <w:tcPr>
            <w:tcW w:type="dxa" w:w="2016"/>
            <w:vAlign w:val="center"/>
          </w:tcPr>
          <w:p>
            <w:pPr>
              <w:spacing w:after="0" w:line="240" w:lineRule="auto"/>
            </w:pPr>
            <w:r/>
            <w:r>
              <w:rPr>
                <w:rFonts w:ascii="Arial" w:hAnsi="Arial"/>
                <w:b w:val="0"/>
                <w:sz w:val="14"/>
              </w:rPr>
              <w:t>Model package validation</w:t>
            </w:r>
          </w:p>
        </w:tc>
        <w:tc>
          <w:tcPr>
            <w:tcW w:type="dxa" w:w="5184"/>
            <w:vAlign w:val="center"/>
          </w:tcPr>
          <w:p>
            <w:pPr>
              <w:spacing w:after="0" w:line="240" w:lineRule="auto"/>
            </w:pPr>
            <w:r/>
            <w:r>
              <w:rPr>
                <w:rFonts w:ascii="Arial" w:hAnsi="Arial"/>
                <w:b w:val="0"/>
                <w:sz w:val="14"/>
              </w:rPr>
              <w:t>Artifact hash, version, feature contract, preprocessing contract, validation report.</w:t>
            </w:r>
          </w:p>
        </w:tc>
        <w:tc>
          <w:tcPr>
            <w:tcW w:type="dxa" w:w="3960"/>
            <w:vAlign w:val="center"/>
          </w:tcPr>
          <w:p>
            <w:pPr>
              <w:spacing w:after="0" w:line="240" w:lineRule="auto"/>
            </w:pPr>
            <w:r/>
            <w:r>
              <w:rPr>
                <w:rFonts w:ascii="Arial" w:hAnsi="Arial"/>
                <w:b w:val="0"/>
                <w:sz w:val="14"/>
              </w:rPr>
              <w:t>Unknown artifact or incompatible contract.</w:t>
            </w:r>
          </w:p>
        </w:tc>
      </w:tr>
      <w:tr>
        <w:trPr>
          <w:cantSplit/>
        </w:trPr>
        <w:tc>
          <w:tcPr>
            <w:tcW w:type="dxa" w:w="2016"/>
            <w:vAlign w:val="center"/>
            <w:shd w:fill="EAF0F8"/>
          </w:tcPr>
          <w:p>
            <w:pPr>
              <w:spacing w:after="0" w:line="240" w:lineRule="auto"/>
            </w:pPr>
            <w:r/>
            <w:r>
              <w:rPr>
                <w:rFonts w:ascii="Arial" w:hAnsi="Arial"/>
                <w:b w:val="0"/>
                <w:sz w:val="14"/>
              </w:rPr>
              <w:t>Explanation schema validation</w:t>
            </w:r>
          </w:p>
        </w:tc>
        <w:tc>
          <w:tcPr>
            <w:tcW w:type="dxa" w:w="5184"/>
            <w:vAlign w:val="center"/>
            <w:shd w:fill="EAF0F8"/>
          </w:tcPr>
          <w:p>
            <w:pPr>
              <w:spacing w:after="0" w:line="240" w:lineRule="auto"/>
            </w:pPr>
            <w:r/>
            <w:r>
              <w:rPr>
                <w:rFonts w:ascii="Arial" w:hAnsi="Arial"/>
                <w:b w:val="0"/>
                <w:sz w:val="14"/>
              </w:rPr>
              <w:t>Canonical object schema, required fields, migration plan.</w:t>
            </w:r>
          </w:p>
        </w:tc>
        <w:tc>
          <w:tcPr>
            <w:tcW w:type="dxa" w:w="3960"/>
            <w:vAlign w:val="center"/>
            <w:shd w:fill="EAF0F8"/>
          </w:tcPr>
          <w:p>
            <w:pPr>
              <w:spacing w:after="0" w:line="240" w:lineRule="auto"/>
            </w:pPr>
            <w:r/>
            <w:r>
              <w:rPr>
                <w:rFonts w:ascii="Arial" w:hAnsi="Arial"/>
                <w:b w:val="0"/>
                <w:sz w:val="14"/>
              </w:rPr>
              <w:t>Missing provenance or inability to represent INCOMPLETE.</w:t>
            </w:r>
          </w:p>
        </w:tc>
      </w:tr>
      <w:tr>
        <w:trPr>
          <w:cantSplit/>
        </w:trPr>
        <w:tc>
          <w:tcPr>
            <w:tcW w:type="dxa" w:w="2016"/>
            <w:vAlign w:val="center"/>
          </w:tcPr>
          <w:p>
            <w:pPr>
              <w:spacing w:after="0" w:line="240" w:lineRule="auto"/>
            </w:pPr>
            <w:r/>
            <w:r>
              <w:rPr>
                <w:rFonts w:ascii="Arial" w:hAnsi="Arial"/>
                <w:b w:val="0"/>
                <w:sz w:val="14"/>
              </w:rPr>
              <w:t>Template approval</w:t>
            </w:r>
          </w:p>
        </w:tc>
        <w:tc>
          <w:tcPr>
            <w:tcW w:type="dxa" w:w="5184"/>
            <w:vAlign w:val="center"/>
          </w:tcPr>
          <w:p>
            <w:pPr>
              <w:spacing w:after="0" w:line="240" w:lineRule="auto"/>
            </w:pPr>
            <w:r/>
            <w:r>
              <w:rPr>
                <w:rFonts w:ascii="Arial" w:hAnsi="Arial"/>
                <w:b w:val="0"/>
                <w:sz w:val="14"/>
              </w:rPr>
              <w:t>Midwife, patient, referral, admin, and audit templates reviewed.</w:t>
            </w:r>
          </w:p>
        </w:tc>
        <w:tc>
          <w:tcPr>
            <w:tcW w:type="dxa" w:w="3960"/>
            <w:vAlign w:val="center"/>
          </w:tcPr>
          <w:p>
            <w:pPr>
              <w:spacing w:after="0" w:line="240" w:lineRule="auto"/>
            </w:pPr>
            <w:r/>
            <w:r>
              <w:rPr>
                <w:rFonts w:ascii="Arial" w:hAnsi="Arial"/>
                <w:b w:val="0"/>
                <w:sz w:val="14"/>
              </w:rPr>
              <w:t>Diagnosis claims, false reassurance, hidden urgency, or broken placeholders.</w:t>
            </w:r>
          </w:p>
        </w:tc>
      </w:tr>
      <w:tr>
        <w:trPr>
          <w:cantSplit/>
        </w:trPr>
        <w:tc>
          <w:tcPr>
            <w:tcW w:type="dxa" w:w="2016"/>
            <w:vAlign w:val="center"/>
            <w:shd w:fill="EAF0F8"/>
          </w:tcPr>
          <w:p>
            <w:pPr>
              <w:spacing w:after="0" w:line="240" w:lineRule="auto"/>
            </w:pPr>
            <w:r/>
            <w:r>
              <w:rPr>
                <w:rFonts w:ascii="Arial" w:hAnsi="Arial"/>
                <w:b w:val="0"/>
                <w:sz w:val="14"/>
              </w:rPr>
              <w:t>Verification suite</w:t>
            </w:r>
          </w:p>
        </w:tc>
        <w:tc>
          <w:tcPr>
            <w:tcW w:type="dxa" w:w="5184"/>
            <w:vAlign w:val="center"/>
            <w:shd w:fill="EAF0F8"/>
          </w:tcPr>
          <w:p>
            <w:pPr>
              <w:spacing w:after="0" w:line="240" w:lineRule="auto"/>
            </w:pPr>
            <w:r/>
            <w:r>
              <w:rPr>
                <w:rFonts w:ascii="Arial" w:hAnsi="Arial"/>
                <w:b w:val="0"/>
                <w:sz w:val="14"/>
              </w:rPr>
              <w:t>All safety-critical and regression scenarios pass.</w:t>
            </w:r>
          </w:p>
        </w:tc>
        <w:tc>
          <w:tcPr>
            <w:tcW w:type="dxa" w:w="3960"/>
            <w:vAlign w:val="center"/>
            <w:shd w:fill="EAF0F8"/>
          </w:tcPr>
          <w:p>
            <w:pPr>
              <w:spacing w:after="0" w:line="240" w:lineRule="auto"/>
            </w:pPr>
            <w:r/>
            <w:r>
              <w:rPr>
                <w:rFonts w:ascii="Arial" w:hAnsi="Arial"/>
                <w:b w:val="0"/>
                <w:sz w:val="14"/>
              </w:rPr>
              <w:t>Failed critical/high test or unexplained behavior change.</w:t>
            </w:r>
          </w:p>
        </w:tc>
      </w:tr>
      <w:tr>
        <w:trPr>
          <w:cantSplit/>
        </w:trPr>
        <w:tc>
          <w:tcPr>
            <w:tcW w:type="dxa" w:w="2016"/>
            <w:vAlign w:val="center"/>
          </w:tcPr>
          <w:p>
            <w:pPr>
              <w:spacing w:after="0" w:line="240" w:lineRule="auto"/>
            </w:pPr>
            <w:r/>
            <w:r>
              <w:rPr>
                <w:rFonts w:ascii="Arial" w:hAnsi="Arial"/>
                <w:b w:val="0"/>
                <w:sz w:val="14"/>
              </w:rPr>
              <w:t>Privacy and authorization</w:t>
            </w:r>
          </w:p>
        </w:tc>
        <w:tc>
          <w:tcPr>
            <w:tcW w:type="dxa" w:w="5184"/>
            <w:vAlign w:val="center"/>
          </w:tcPr>
          <w:p>
            <w:pPr>
              <w:spacing w:after="0" w:line="240" w:lineRule="auto"/>
            </w:pPr>
            <w:r/>
            <w:r>
              <w:rPr>
                <w:rFonts w:ascii="Arial" w:hAnsi="Arial"/>
                <w:b w:val="0"/>
                <w:sz w:val="14"/>
              </w:rPr>
              <w:t>Role matrix, minimum necessary disclosure, secure logs, access tests.</w:t>
            </w:r>
          </w:p>
        </w:tc>
        <w:tc>
          <w:tcPr>
            <w:tcW w:type="dxa" w:w="3960"/>
            <w:vAlign w:val="center"/>
          </w:tcPr>
          <w:p>
            <w:pPr>
              <w:spacing w:after="0" w:line="240" w:lineRule="auto"/>
            </w:pPr>
            <w:r/>
            <w:r>
              <w:rPr>
                <w:rFonts w:ascii="Arial" w:hAnsi="Arial"/>
                <w:b w:val="0"/>
                <w:sz w:val="14"/>
              </w:rPr>
              <w:t>Unauthorized clinical or technical disclosure.</w:t>
            </w:r>
          </w:p>
        </w:tc>
      </w:tr>
      <w:tr>
        <w:trPr>
          <w:cantSplit/>
        </w:trPr>
        <w:tc>
          <w:tcPr>
            <w:tcW w:type="dxa" w:w="2016"/>
            <w:vAlign w:val="center"/>
            <w:shd w:fill="EAF0F8"/>
          </w:tcPr>
          <w:p>
            <w:pPr>
              <w:spacing w:after="0" w:line="240" w:lineRule="auto"/>
            </w:pPr>
            <w:r/>
            <w:r>
              <w:rPr>
                <w:rFonts w:ascii="Arial" w:hAnsi="Arial"/>
                <w:b w:val="0"/>
                <w:sz w:val="14"/>
              </w:rPr>
              <w:t>Audit and reproducibility</w:t>
            </w:r>
          </w:p>
        </w:tc>
        <w:tc>
          <w:tcPr>
            <w:tcW w:type="dxa" w:w="5184"/>
            <w:vAlign w:val="center"/>
            <w:shd w:fill="EAF0F8"/>
          </w:tcPr>
          <w:p>
            <w:pPr>
              <w:spacing w:after="0" w:line="240" w:lineRule="auto"/>
            </w:pPr>
            <w:r/>
            <w:r>
              <w:rPr>
                <w:rFonts w:ascii="Arial" w:hAnsi="Arial"/>
                <w:b w:val="0"/>
                <w:sz w:val="14"/>
              </w:rPr>
              <w:t>Historical reconstruction and version manifest tests.</w:t>
            </w:r>
          </w:p>
        </w:tc>
        <w:tc>
          <w:tcPr>
            <w:tcW w:type="dxa" w:w="3960"/>
            <w:vAlign w:val="center"/>
            <w:shd w:fill="EAF0F8"/>
          </w:tcPr>
          <w:p>
            <w:pPr>
              <w:spacing w:after="0" w:line="240" w:lineRule="auto"/>
            </w:pPr>
            <w:r/>
            <w:r>
              <w:rPr>
                <w:rFonts w:ascii="Arial" w:hAnsi="Arial"/>
                <w:b w:val="0"/>
                <w:sz w:val="14"/>
              </w:rPr>
              <w:t>Cannot reproduce a released assessment.</w:t>
            </w:r>
          </w:p>
        </w:tc>
      </w:tr>
      <w:tr>
        <w:trPr>
          <w:cantSplit/>
        </w:trPr>
        <w:tc>
          <w:tcPr>
            <w:tcW w:type="dxa" w:w="2016"/>
            <w:vAlign w:val="center"/>
          </w:tcPr>
          <w:p>
            <w:pPr>
              <w:spacing w:after="0" w:line="240" w:lineRule="auto"/>
            </w:pPr>
            <w:r/>
            <w:r>
              <w:rPr>
                <w:rFonts w:ascii="Arial" w:hAnsi="Arial"/>
                <w:b w:val="0"/>
                <w:sz w:val="14"/>
              </w:rPr>
              <w:t>Operational monitoring</w:t>
            </w:r>
          </w:p>
        </w:tc>
        <w:tc>
          <w:tcPr>
            <w:tcW w:type="dxa" w:w="5184"/>
            <w:vAlign w:val="center"/>
          </w:tcPr>
          <w:p>
            <w:pPr>
              <w:spacing w:after="0" w:line="240" w:lineRule="auto"/>
            </w:pPr>
            <w:r/>
            <w:r>
              <w:rPr>
                <w:rFonts w:ascii="Arial" w:hAnsi="Arial"/>
                <w:b w:val="0"/>
                <w:sz w:val="14"/>
              </w:rPr>
              <w:t>Metrics, alert routes, incident owners, rollback plan.</w:t>
            </w:r>
          </w:p>
        </w:tc>
        <w:tc>
          <w:tcPr>
            <w:tcW w:type="dxa" w:w="3960"/>
            <w:vAlign w:val="center"/>
          </w:tcPr>
          <w:p>
            <w:pPr>
              <w:spacing w:after="0" w:line="240" w:lineRule="auto"/>
            </w:pPr>
            <w:r/>
            <w:r>
              <w:rPr>
                <w:rFonts w:ascii="Arial" w:hAnsi="Arial"/>
                <w:b w:val="0"/>
                <w:sz w:val="14"/>
              </w:rPr>
              <w:t>No detection or containment path.</w:t>
            </w:r>
          </w:p>
        </w:tc>
      </w:tr>
      <w:tr>
        <w:trPr>
          <w:cantSplit/>
        </w:trPr>
        <w:tc>
          <w:tcPr>
            <w:tcW w:type="dxa" w:w="2016"/>
            <w:vAlign w:val="center"/>
            <w:shd w:fill="EAF0F8"/>
          </w:tcPr>
          <w:p>
            <w:pPr>
              <w:spacing w:after="0" w:line="240" w:lineRule="auto"/>
            </w:pPr>
            <w:r/>
            <w:r>
              <w:rPr>
                <w:rFonts w:ascii="Arial" w:hAnsi="Arial"/>
                <w:b w:val="0"/>
                <w:sz w:val="14"/>
              </w:rPr>
              <w:t>Training and documentation</w:t>
            </w:r>
          </w:p>
        </w:tc>
        <w:tc>
          <w:tcPr>
            <w:tcW w:type="dxa" w:w="5184"/>
            <w:vAlign w:val="center"/>
            <w:shd w:fill="EAF0F8"/>
          </w:tcPr>
          <w:p>
            <w:pPr>
              <w:spacing w:after="0" w:line="240" w:lineRule="auto"/>
            </w:pPr>
            <w:r/>
            <w:r>
              <w:rPr>
                <w:rFonts w:ascii="Arial" w:hAnsi="Arial"/>
                <w:b w:val="0"/>
                <w:sz w:val="14"/>
              </w:rPr>
              <w:t>User instructions, limitations, escalation guidance, maintainer runbook.</w:t>
            </w:r>
          </w:p>
        </w:tc>
        <w:tc>
          <w:tcPr>
            <w:tcW w:type="dxa" w:w="3960"/>
            <w:vAlign w:val="center"/>
            <w:shd w:fill="EAF0F8"/>
          </w:tcPr>
          <w:p>
            <w:pPr>
              <w:spacing w:after="0" w:line="240" w:lineRule="auto"/>
            </w:pPr>
            <w:r/>
            <w:r>
              <w:rPr>
                <w:rFonts w:ascii="Arial" w:hAnsi="Arial"/>
                <w:b w:val="0"/>
                <w:sz w:val="14"/>
              </w:rPr>
              <w:t>Users could reasonably misinterpret output as diagnosis or autonomous order.</w:t>
            </w:r>
          </w:p>
        </w:tc>
      </w:tr>
    </w:tbl>
    <w:p>
      <w:pPr/>
    </w:p>
    <w:p>
      <w:pPr>
        <w:pStyle w:val="Heading2"/>
      </w:pPr>
      <w:r>
        <w:t>12.2 Deployment checklist</w:t>
      </w:r>
    </w:p>
    <w:p>
      <w:pPr>
        <w:pStyle w:val="ListBullet"/>
      </w:pPr>
      <w:r>
        <w:t>Database migrations are tested on a backup and do not overwrite historical explanation evidence.</w:t>
      </w:r>
    </w:p>
    <w:p>
      <w:pPr>
        <w:pStyle w:val="ListBullet"/>
      </w:pPr>
      <w:r>
        <w:t>Laravel configuration contains a verified Python path and secure environment values without exposing secrets in logs or UI.</w:t>
      </w:r>
    </w:p>
    <w:p>
      <w:pPr>
        <w:pStyle w:val="ListBullet"/>
      </w:pPr>
      <w:r>
        <w:t>The approved model file exists, matches the release hash, and executes under the deployment account.</w:t>
      </w:r>
    </w:p>
    <w:p>
      <w:pPr>
        <w:pStyle w:val="ListBullet"/>
      </w:pPr>
      <w:r>
        <w:t>Required records can be created and updated, and incomplete visits recalculate using the approved workflow.</w:t>
      </w:r>
    </w:p>
    <w:p>
      <w:pPr>
        <w:pStyle w:val="ListBullet"/>
      </w:pPr>
      <w:r>
        <w:t>Role-based access is verified for web pages, print views, referrals, notifications, and audit endpoints.</w:t>
      </w:r>
    </w:p>
    <w:p>
      <w:pPr>
        <w:pStyle w:val="ListBullet"/>
      </w:pPr>
      <w:r>
        <w:t>Backup, restore, rollback, and failure-mode procedures are exercised and documented.</w:t>
      </w:r>
    </w:p>
    <w:p>
      <w:pPr>
        <w:pStyle w:val="ListBullet"/>
      </w:pPr>
      <w:r>
        <w:t>Time synchronization, timestamps, timezone behavior, and source dates are verified.</w:t>
      </w:r>
    </w:p>
    <w:p>
      <w:pPr>
        <w:pStyle w:val="ListBullet"/>
      </w:pPr>
      <w:r>
        <w:t>Production templates and reason catalogs match the release manifest.</w:t>
      </w:r>
    </w:p>
    <w:p>
      <w:pPr>
        <w:pStyle w:val="ListBullet"/>
      </w:pPr>
      <w:r>
        <w:t>A designated person is responsible for post-release observation and incident triage.</w:t>
      </w:r>
    </w:p>
    <w:p>
      <w:pPr>
        <w:pStyle w:val="Heading1"/>
      </w:pPr>
      <w:r>
        <w:t>13. Operational Readiness and Monitoring</w:t>
      </w:r>
    </w:p>
    <w:p>
      <w:pPr>
        <w:pStyle w:val="Heading2"/>
      </w:pPr>
      <w:r>
        <w:t>13.1 Required operational 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vAlign w:val="center"/>
            <w:shd w:fill="2F5597"/>
          </w:tcPr>
          <w:p>
            <w:pPr>
              <w:spacing w:after="0" w:line="240" w:lineRule="auto"/>
            </w:pPr>
            <w:r/>
            <w:r>
              <w:rPr>
                <w:rFonts w:ascii="Arial" w:hAnsi="Arial"/>
                <w:b/>
                <w:color w:val="FFFFFF"/>
                <w:sz w:val="14"/>
              </w:rPr>
              <w:t>Metric</w:t>
            </w:r>
          </w:p>
        </w:tc>
        <w:tc>
          <w:tcPr>
            <w:tcW w:type="dxa" w:w="4536"/>
            <w:vAlign w:val="center"/>
            <w:shd w:fill="2F5597"/>
          </w:tcPr>
          <w:p>
            <w:pPr>
              <w:spacing w:after="0" w:line="240" w:lineRule="auto"/>
            </w:pPr>
            <w:r/>
            <w:r>
              <w:rPr>
                <w:rFonts w:ascii="Arial" w:hAnsi="Arial"/>
                <w:b/>
                <w:color w:val="FFFFFF"/>
                <w:sz w:val="14"/>
              </w:rPr>
              <w:t>Purpose</w:t>
            </w:r>
          </w:p>
        </w:tc>
        <w:tc>
          <w:tcPr>
            <w:tcW w:type="dxa" w:w="4176"/>
            <w:vAlign w:val="center"/>
            <w:shd w:fill="2F5597"/>
          </w:tcPr>
          <w:p>
            <w:pPr>
              <w:spacing w:after="0" w:line="240" w:lineRule="auto"/>
            </w:pPr>
            <w:r/>
            <w:r>
              <w:rPr>
                <w:rFonts w:ascii="Arial" w:hAnsi="Arial"/>
                <w:b/>
                <w:color w:val="FFFFFF"/>
                <w:sz w:val="14"/>
              </w:rPr>
              <w:t>Example trigger for review</w:t>
            </w:r>
          </w:p>
        </w:tc>
      </w:tr>
      <w:tr>
        <w:trPr>
          <w:cantSplit/>
        </w:trPr>
        <w:tc>
          <w:tcPr>
            <w:tcW w:type="dxa" w:w="2376"/>
            <w:vAlign w:val="center"/>
          </w:tcPr>
          <w:p>
            <w:pPr>
              <w:spacing w:after="0" w:line="240" w:lineRule="auto"/>
            </w:pPr>
            <w:r/>
            <w:r>
              <w:rPr>
                <w:rFonts w:ascii="Arial" w:hAnsi="Arial"/>
                <w:b w:val="0"/>
                <w:sz w:val="14"/>
              </w:rPr>
              <w:t>Explanation generation success rate</w:t>
            </w:r>
          </w:p>
        </w:tc>
        <w:tc>
          <w:tcPr>
            <w:tcW w:type="dxa" w:w="4536"/>
            <w:vAlign w:val="center"/>
          </w:tcPr>
          <w:p>
            <w:pPr>
              <w:spacing w:after="0" w:line="240" w:lineRule="auto"/>
            </w:pPr>
            <w:r/>
            <w:r>
              <w:rPr>
                <w:rFonts w:ascii="Arial" w:hAnsi="Arial"/>
                <w:b w:val="0"/>
                <w:sz w:val="14"/>
              </w:rPr>
              <w:t>Detect missing or failed bundles.</w:t>
            </w:r>
          </w:p>
        </w:tc>
        <w:tc>
          <w:tcPr>
            <w:tcW w:type="dxa" w:w="4176"/>
            <w:vAlign w:val="center"/>
          </w:tcPr>
          <w:p>
            <w:pPr>
              <w:spacing w:after="0" w:line="240" w:lineRule="auto"/>
            </w:pPr>
            <w:r/>
            <w:r>
              <w:rPr>
                <w:rFonts w:ascii="Arial" w:hAnsi="Arial"/>
                <w:b w:val="0"/>
                <w:sz w:val="14"/>
              </w:rPr>
              <w:t>Any safety-critical failure or sustained decline.</w:t>
            </w:r>
          </w:p>
        </w:tc>
      </w:tr>
      <w:tr>
        <w:trPr>
          <w:cantSplit/>
        </w:trPr>
        <w:tc>
          <w:tcPr>
            <w:tcW w:type="dxa" w:w="2376"/>
            <w:vAlign w:val="center"/>
            <w:shd w:fill="EAF0F8"/>
          </w:tcPr>
          <w:p>
            <w:pPr>
              <w:spacing w:after="0" w:line="240" w:lineRule="auto"/>
            </w:pPr>
            <w:r/>
            <w:r>
              <w:rPr>
                <w:rFonts w:ascii="Arial" w:hAnsi="Arial"/>
                <w:b w:val="0"/>
                <w:sz w:val="14"/>
              </w:rPr>
              <w:t>Status/explanation mismatch count</w:t>
            </w:r>
          </w:p>
        </w:tc>
        <w:tc>
          <w:tcPr>
            <w:tcW w:type="dxa" w:w="4536"/>
            <w:vAlign w:val="center"/>
            <w:shd w:fill="EAF0F8"/>
          </w:tcPr>
          <w:p>
            <w:pPr>
              <w:spacing w:after="0" w:line="240" w:lineRule="auto"/>
            </w:pPr>
            <w:r/>
            <w:r>
              <w:rPr>
                <w:rFonts w:ascii="Arial" w:hAnsi="Arial"/>
                <w:b w:val="0"/>
                <w:sz w:val="14"/>
              </w:rPr>
              <w:t>Detect UI, persistence, or projection inconsistency.</w:t>
            </w:r>
          </w:p>
        </w:tc>
        <w:tc>
          <w:tcPr>
            <w:tcW w:type="dxa" w:w="4176"/>
            <w:vAlign w:val="center"/>
            <w:shd w:fill="EAF0F8"/>
          </w:tcPr>
          <w:p>
            <w:pPr>
              <w:spacing w:after="0" w:line="240" w:lineRule="auto"/>
            </w:pPr>
            <w:r/>
            <w:r>
              <w:rPr>
                <w:rFonts w:ascii="Arial" w:hAnsi="Arial"/>
                <w:b w:val="0"/>
                <w:sz w:val="14"/>
              </w:rPr>
              <w:t>Any confirmed mismatch.</w:t>
            </w:r>
          </w:p>
        </w:tc>
      </w:tr>
      <w:tr>
        <w:trPr>
          <w:cantSplit/>
        </w:trPr>
        <w:tc>
          <w:tcPr>
            <w:tcW w:type="dxa" w:w="2376"/>
            <w:vAlign w:val="center"/>
          </w:tcPr>
          <w:p>
            <w:pPr>
              <w:spacing w:after="0" w:line="240" w:lineRule="auto"/>
            </w:pPr>
            <w:r/>
            <w:r>
              <w:rPr>
                <w:rFonts w:ascii="Arial" w:hAnsi="Arial"/>
                <w:b w:val="0"/>
                <w:sz w:val="14"/>
              </w:rPr>
              <w:t>INCOMPLETE rate by cause</w:t>
            </w:r>
          </w:p>
        </w:tc>
        <w:tc>
          <w:tcPr>
            <w:tcW w:type="dxa" w:w="4536"/>
            <w:vAlign w:val="center"/>
          </w:tcPr>
          <w:p>
            <w:pPr>
              <w:spacing w:after="0" w:line="240" w:lineRule="auto"/>
            </w:pPr>
            <w:r/>
            <w:r>
              <w:rPr>
                <w:rFonts w:ascii="Arial" w:hAnsi="Arial"/>
                <w:b w:val="0"/>
                <w:sz w:val="14"/>
              </w:rPr>
              <w:t>Identify missing-record workflow problems or model outages.</w:t>
            </w:r>
          </w:p>
        </w:tc>
        <w:tc>
          <w:tcPr>
            <w:tcW w:type="dxa" w:w="4176"/>
            <w:vAlign w:val="center"/>
          </w:tcPr>
          <w:p>
            <w:pPr>
              <w:spacing w:after="0" w:line="240" w:lineRule="auto"/>
            </w:pPr>
            <w:r/>
            <w:r>
              <w:rPr>
                <w:rFonts w:ascii="Arial" w:hAnsi="Arial"/>
                <w:b w:val="0"/>
                <w:sz w:val="14"/>
              </w:rPr>
              <w:t>Unexpected rise or concentration in one cause.</w:t>
            </w:r>
          </w:p>
        </w:tc>
      </w:tr>
      <w:tr>
        <w:trPr>
          <w:cantSplit/>
        </w:trPr>
        <w:tc>
          <w:tcPr>
            <w:tcW w:type="dxa" w:w="2376"/>
            <w:vAlign w:val="center"/>
            <w:shd w:fill="EAF0F8"/>
          </w:tcPr>
          <w:p>
            <w:pPr>
              <w:spacing w:after="0" w:line="240" w:lineRule="auto"/>
            </w:pPr>
            <w:r/>
            <w:r>
              <w:rPr>
                <w:rFonts w:ascii="Arial" w:hAnsi="Arial"/>
                <w:b w:val="0"/>
                <w:sz w:val="14"/>
              </w:rPr>
              <w:t>Model invalid/timeout rate</w:t>
            </w:r>
          </w:p>
        </w:tc>
        <w:tc>
          <w:tcPr>
            <w:tcW w:type="dxa" w:w="4536"/>
            <w:vAlign w:val="center"/>
            <w:shd w:fill="EAF0F8"/>
          </w:tcPr>
          <w:p>
            <w:pPr>
              <w:spacing w:after="0" w:line="240" w:lineRule="auto"/>
            </w:pPr>
            <w:r/>
            <w:r>
              <w:rPr>
                <w:rFonts w:ascii="Arial" w:hAnsi="Arial"/>
                <w:b w:val="0"/>
                <w:sz w:val="14"/>
              </w:rPr>
              <w:t>Detect Python, environment, artifact, or contract instability.</w:t>
            </w:r>
          </w:p>
        </w:tc>
        <w:tc>
          <w:tcPr>
            <w:tcW w:type="dxa" w:w="4176"/>
            <w:vAlign w:val="center"/>
            <w:shd w:fill="EAF0F8"/>
          </w:tcPr>
          <w:p>
            <w:pPr>
              <w:spacing w:after="0" w:line="240" w:lineRule="auto"/>
            </w:pPr>
            <w:r/>
            <w:r>
              <w:rPr>
                <w:rFonts w:ascii="Arial" w:hAnsi="Arial"/>
                <w:b w:val="0"/>
                <w:sz w:val="14"/>
              </w:rPr>
              <w:t>Repeated timeouts or non-zero malformed output.</w:t>
            </w:r>
          </w:p>
        </w:tc>
      </w:tr>
      <w:tr>
        <w:trPr>
          <w:cantSplit/>
        </w:trPr>
        <w:tc>
          <w:tcPr>
            <w:tcW w:type="dxa" w:w="2376"/>
            <w:vAlign w:val="center"/>
          </w:tcPr>
          <w:p>
            <w:pPr>
              <w:spacing w:after="0" w:line="240" w:lineRule="auto"/>
            </w:pPr>
            <w:r/>
            <w:r>
              <w:rPr>
                <w:rFonts w:ascii="Arial" w:hAnsi="Arial"/>
                <w:b w:val="0"/>
                <w:sz w:val="14"/>
              </w:rPr>
              <w:t>Rule trigger distribution</w:t>
            </w:r>
          </w:p>
        </w:tc>
        <w:tc>
          <w:tcPr>
            <w:tcW w:type="dxa" w:w="4536"/>
            <w:vAlign w:val="center"/>
          </w:tcPr>
          <w:p>
            <w:pPr>
              <w:spacing w:after="0" w:line="240" w:lineRule="auto"/>
            </w:pPr>
            <w:r/>
            <w:r>
              <w:rPr>
                <w:rFonts w:ascii="Arial" w:hAnsi="Arial"/>
                <w:b w:val="0"/>
                <w:sz w:val="14"/>
              </w:rPr>
              <w:t>Observe unusual changes in clinical-data or rule behavior.</w:t>
            </w:r>
          </w:p>
        </w:tc>
        <w:tc>
          <w:tcPr>
            <w:tcW w:type="dxa" w:w="4176"/>
            <w:vAlign w:val="center"/>
          </w:tcPr>
          <w:p>
            <w:pPr>
              <w:spacing w:after="0" w:line="240" w:lineRule="auto"/>
            </w:pPr>
            <w:r/>
            <w:r>
              <w:rPr>
                <w:rFonts w:ascii="Arial" w:hAnsi="Arial"/>
                <w:b w:val="0"/>
                <w:sz w:val="14"/>
              </w:rPr>
              <w:t>Sudden unexplained shift after release.</w:t>
            </w:r>
          </w:p>
        </w:tc>
      </w:tr>
      <w:tr>
        <w:trPr>
          <w:cantSplit/>
        </w:trPr>
        <w:tc>
          <w:tcPr>
            <w:tcW w:type="dxa" w:w="2376"/>
            <w:vAlign w:val="center"/>
            <w:shd w:fill="EAF0F8"/>
          </w:tcPr>
          <w:p>
            <w:pPr>
              <w:spacing w:after="0" w:line="240" w:lineRule="auto"/>
            </w:pPr>
            <w:r/>
            <w:r>
              <w:rPr>
                <w:rFonts w:ascii="Arial" w:hAnsi="Arial"/>
                <w:b w:val="0"/>
                <w:sz w:val="14"/>
              </w:rPr>
              <w:t>Rule/ML disagreement rate</w:t>
            </w:r>
          </w:p>
        </w:tc>
        <w:tc>
          <w:tcPr>
            <w:tcW w:type="dxa" w:w="4536"/>
            <w:vAlign w:val="center"/>
            <w:shd w:fill="EAF0F8"/>
          </w:tcPr>
          <w:p>
            <w:pPr>
              <w:spacing w:after="0" w:line="240" w:lineRule="auto"/>
            </w:pPr>
            <w:r/>
            <w:r>
              <w:rPr>
                <w:rFonts w:ascii="Arial" w:hAnsi="Arial"/>
                <w:b w:val="0"/>
                <w:sz w:val="14"/>
              </w:rPr>
              <w:t>Understand hybrid behavior and possible drift.</w:t>
            </w:r>
          </w:p>
        </w:tc>
        <w:tc>
          <w:tcPr>
            <w:tcW w:type="dxa" w:w="4176"/>
            <w:vAlign w:val="center"/>
            <w:shd w:fill="EAF0F8"/>
          </w:tcPr>
          <w:p>
            <w:pPr>
              <w:spacing w:after="0" w:line="240" w:lineRule="auto"/>
            </w:pPr>
            <w:r/>
            <w:r>
              <w:rPr>
                <w:rFonts w:ascii="Arial" w:hAnsi="Arial"/>
                <w:b w:val="0"/>
                <w:sz w:val="14"/>
              </w:rPr>
              <w:t>Material change beyond expected baseline.</w:t>
            </w:r>
          </w:p>
        </w:tc>
      </w:tr>
      <w:tr>
        <w:trPr>
          <w:cantSplit/>
        </w:trPr>
        <w:tc>
          <w:tcPr>
            <w:tcW w:type="dxa" w:w="2376"/>
            <w:vAlign w:val="center"/>
          </w:tcPr>
          <w:p>
            <w:pPr>
              <w:spacing w:after="0" w:line="240" w:lineRule="auto"/>
            </w:pPr>
            <w:r/>
            <w:r>
              <w:rPr>
                <w:rFonts w:ascii="Arial" w:hAnsi="Arial"/>
                <w:b w:val="0"/>
                <w:sz w:val="14"/>
              </w:rPr>
              <w:t>Template fallback/error rate</w:t>
            </w:r>
          </w:p>
        </w:tc>
        <w:tc>
          <w:tcPr>
            <w:tcW w:type="dxa" w:w="4536"/>
            <w:vAlign w:val="center"/>
          </w:tcPr>
          <w:p>
            <w:pPr>
              <w:spacing w:after="0" w:line="240" w:lineRule="auto"/>
            </w:pPr>
            <w:r/>
            <w:r>
              <w:rPr>
                <w:rFonts w:ascii="Arial" w:hAnsi="Arial"/>
                <w:b w:val="0"/>
                <w:sz w:val="14"/>
              </w:rPr>
              <w:t>Detect broken localization or placeholders.</w:t>
            </w:r>
          </w:p>
        </w:tc>
        <w:tc>
          <w:tcPr>
            <w:tcW w:type="dxa" w:w="4176"/>
            <w:vAlign w:val="center"/>
          </w:tcPr>
          <w:p>
            <w:pPr>
              <w:spacing w:after="0" w:line="240" w:lineRule="auto"/>
            </w:pPr>
            <w:r/>
            <w:r>
              <w:rPr>
                <w:rFonts w:ascii="Arial" w:hAnsi="Arial"/>
                <w:b w:val="0"/>
                <w:sz w:val="14"/>
              </w:rPr>
              <w:t>Any patient-facing corruption or repeated fallback.</w:t>
            </w:r>
          </w:p>
        </w:tc>
      </w:tr>
      <w:tr>
        <w:trPr>
          <w:cantSplit/>
        </w:trPr>
        <w:tc>
          <w:tcPr>
            <w:tcW w:type="dxa" w:w="2376"/>
            <w:vAlign w:val="center"/>
            <w:shd w:fill="EAF0F8"/>
          </w:tcPr>
          <w:p>
            <w:pPr>
              <w:spacing w:after="0" w:line="240" w:lineRule="auto"/>
            </w:pPr>
            <w:r/>
            <w:r>
              <w:rPr>
                <w:rFonts w:ascii="Arial" w:hAnsi="Arial"/>
                <w:b w:val="0"/>
                <w:sz w:val="14"/>
              </w:rPr>
              <w:t>Referral follow-through indicator</w:t>
            </w:r>
          </w:p>
        </w:tc>
        <w:tc>
          <w:tcPr>
            <w:tcW w:type="dxa" w:w="4536"/>
            <w:vAlign w:val="center"/>
            <w:shd w:fill="EAF0F8"/>
          </w:tcPr>
          <w:p>
            <w:pPr>
              <w:spacing w:after="0" w:line="240" w:lineRule="auto"/>
            </w:pPr>
            <w:r/>
            <w:r>
              <w:rPr>
                <w:rFonts w:ascii="Arial" w:hAnsi="Arial"/>
                <w:b w:val="0"/>
                <w:sz w:val="14"/>
              </w:rPr>
              <w:t>Observe whether HIGH explanations support workflow action.</w:t>
            </w:r>
          </w:p>
        </w:tc>
        <w:tc>
          <w:tcPr>
            <w:tcW w:type="dxa" w:w="4176"/>
            <w:vAlign w:val="center"/>
            <w:shd w:fill="EAF0F8"/>
          </w:tcPr>
          <w:p>
            <w:pPr>
              <w:spacing w:after="0" w:line="240" w:lineRule="auto"/>
            </w:pPr>
            <w:r/>
            <w:r>
              <w:rPr>
                <w:rFonts w:ascii="Arial" w:hAnsi="Arial"/>
                <w:b w:val="0"/>
                <w:sz w:val="14"/>
              </w:rPr>
              <w:t>Persistent unaddressed HIGH cases, subject to role and policy.</w:t>
            </w:r>
          </w:p>
        </w:tc>
      </w:tr>
      <w:tr>
        <w:trPr>
          <w:cantSplit/>
        </w:trPr>
        <w:tc>
          <w:tcPr>
            <w:tcW w:type="dxa" w:w="2376"/>
            <w:vAlign w:val="center"/>
          </w:tcPr>
          <w:p>
            <w:pPr>
              <w:spacing w:after="0" w:line="240" w:lineRule="auto"/>
            </w:pPr>
            <w:r/>
            <w:r>
              <w:rPr>
                <w:rFonts w:ascii="Arial" w:hAnsi="Arial"/>
                <w:b w:val="0"/>
                <w:sz w:val="14"/>
              </w:rPr>
              <w:t>Access-denial and audit anomalies</w:t>
            </w:r>
          </w:p>
        </w:tc>
        <w:tc>
          <w:tcPr>
            <w:tcW w:type="dxa" w:w="4536"/>
            <w:vAlign w:val="center"/>
          </w:tcPr>
          <w:p>
            <w:pPr>
              <w:spacing w:after="0" w:line="240" w:lineRule="auto"/>
            </w:pPr>
            <w:r/>
            <w:r>
              <w:rPr>
                <w:rFonts w:ascii="Arial" w:hAnsi="Arial"/>
                <w:b w:val="0"/>
                <w:sz w:val="14"/>
              </w:rPr>
              <w:t>Detect privacy or authorization concerns.</w:t>
            </w:r>
          </w:p>
        </w:tc>
        <w:tc>
          <w:tcPr>
            <w:tcW w:type="dxa" w:w="4176"/>
            <w:vAlign w:val="center"/>
          </w:tcPr>
          <w:p>
            <w:pPr>
              <w:spacing w:after="0" w:line="240" w:lineRule="auto"/>
            </w:pPr>
            <w:r/>
            <w:r>
              <w:rPr>
                <w:rFonts w:ascii="Arial" w:hAnsi="Arial"/>
                <w:b w:val="0"/>
                <w:sz w:val="14"/>
              </w:rPr>
              <w:t>Repeated unauthorized attempts or missing audit events.</w:t>
            </w:r>
          </w:p>
        </w:tc>
      </w:tr>
      <w:tr>
        <w:trPr>
          <w:cantSplit/>
        </w:trPr>
        <w:tc>
          <w:tcPr>
            <w:tcW w:type="dxa" w:w="2376"/>
            <w:vAlign w:val="center"/>
            <w:shd w:fill="EAF0F8"/>
          </w:tcPr>
          <w:p>
            <w:pPr>
              <w:spacing w:after="0" w:line="240" w:lineRule="auto"/>
            </w:pPr>
            <w:r/>
            <w:r>
              <w:rPr>
                <w:rFonts w:ascii="Arial" w:hAnsi="Arial"/>
                <w:b w:val="0"/>
                <w:sz w:val="14"/>
              </w:rPr>
              <w:t>User feedback and misunderstanding reports</w:t>
            </w:r>
          </w:p>
        </w:tc>
        <w:tc>
          <w:tcPr>
            <w:tcW w:type="dxa" w:w="4536"/>
            <w:vAlign w:val="center"/>
            <w:shd w:fill="EAF0F8"/>
          </w:tcPr>
          <w:p>
            <w:pPr>
              <w:spacing w:after="0" w:line="240" w:lineRule="auto"/>
            </w:pPr>
            <w:r/>
            <w:r>
              <w:rPr>
                <w:rFonts w:ascii="Arial" w:hAnsi="Arial"/>
                <w:b w:val="0"/>
                <w:sz w:val="14"/>
              </w:rPr>
              <w:t>Identify human-factors defects.</w:t>
            </w:r>
          </w:p>
        </w:tc>
        <w:tc>
          <w:tcPr>
            <w:tcW w:type="dxa" w:w="4176"/>
            <w:vAlign w:val="center"/>
            <w:shd w:fill="EAF0F8"/>
          </w:tcPr>
          <w:p>
            <w:pPr>
              <w:spacing w:after="0" w:line="240" w:lineRule="auto"/>
            </w:pPr>
            <w:r/>
            <w:r>
              <w:rPr>
                <w:rFonts w:ascii="Arial" w:hAnsi="Arial"/>
                <w:b w:val="0"/>
                <w:sz w:val="14"/>
              </w:rPr>
              <w:t>Safety-relevant misunderstanding or recurring confusion.</w:t>
            </w:r>
          </w:p>
        </w:tc>
      </w:tr>
    </w:tbl>
    <w:p>
      <w:pPr/>
    </w:p>
    <w:p>
      <w:pPr>
        <w:pStyle w:val="Heading2"/>
      </w:pPr>
      <w:r>
        <w:t>13.2 Incident lifecycle</w:t>
      </w:r>
    </w:p>
    <w:p>
      <w:pPr>
        <w:pStyle w:val="ListNumber"/>
      </w:pPr>
      <w:r>
        <w:t>Detect and record the issue with timestamp, affected version, assessment IDs, and reporter.</w:t>
      </w:r>
    </w:p>
    <w:p>
      <w:pPr>
        <w:pStyle w:val="ListNumber"/>
      </w:pPr>
      <w:r>
        <w:t>Triage severity based on possible patient harm, false LOW, hidden urgency, privacy exposure, or loss of reproducibility.</w:t>
      </w:r>
    </w:p>
    <w:p>
      <w:pPr>
        <w:pStyle w:val="ListNumber"/>
      </w:pPr>
      <w:r>
        <w:t>Contain the issue by disabling a feature, switching to safe INCOMPLETE/fallback behavior, rolling back, or suspending assessments as appropriate.</w:t>
      </w:r>
    </w:p>
    <w:p>
      <w:pPr>
        <w:pStyle w:val="ListNumber"/>
      </w:pPr>
      <w:r>
        <w:t>Investigate the snapshot, rule path, model execution, template, projection, audit, and deployment evidence.</w:t>
      </w:r>
    </w:p>
    <w:p>
      <w:pPr>
        <w:pStyle w:val="ListNumber"/>
      </w:pPr>
      <w:r>
        <w:t>Correct the cause through an approved change with regression tests.</w:t>
      </w:r>
    </w:p>
    <w:p>
      <w:pPr>
        <w:pStyle w:val="ListNumber"/>
      </w:pPr>
      <w:r>
        <w:t>Restore service only after required review and release gates pass.</w:t>
      </w:r>
    </w:p>
    <w:p>
      <w:pPr>
        <w:pStyle w:val="ListNumber"/>
      </w:pPr>
      <w:r>
        <w:t>Document corrective and preventive actions, affected records, communication, and lessons learned.</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FCE4D6"/>
          </w:tcPr>
          <w:p>
            <w:pPr>
              <w:spacing w:after="40"/>
            </w:pPr>
            <w:r/>
            <w:r>
              <w:rPr>
                <w:rFonts w:ascii="Arial" w:hAnsi="Arial"/>
                <w:b/>
                <w:color w:val="1F4E79"/>
                <w:sz w:val="18"/>
              </w:rPr>
              <w:t>Immediate critical conditions</w:t>
              <w:br/>
            </w:r>
            <w:r>
              <w:rPr>
                <w:rFonts w:ascii="Arial" w:hAnsi="Arial"/>
                <w:sz w:val="17"/>
              </w:rPr>
              <w:t>Any false LOW caused by a missing rule, invalid model response, omitted urgent finding, status/explanation mismatch, or unauthorized alteration of clinical logic is a critical incident requiring immediate containment and governance review.</w:t>
            </w:r>
          </w:p>
        </w:tc>
      </w:tr>
    </w:tbl>
    <w:p>
      <w:pPr/>
    </w:p>
    <w:p>
      <w:pPr>
        <w:pStyle w:val="Heading1"/>
      </w:pPr>
      <w:r>
        <w:t>14. Governance and Lifecycle Controls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vAlign w:val="center"/>
            <w:shd w:fill="2F5597"/>
          </w:tcPr>
          <w:p>
            <w:pPr>
              <w:spacing w:after="0" w:line="240" w:lineRule="auto"/>
            </w:pPr>
            <w:r/>
            <w:r>
              <w:rPr>
                <w:rFonts w:ascii="Arial" w:hAnsi="Arial"/>
                <w:b/>
                <w:color w:val="FFFFFF"/>
                <w:sz w:val="15"/>
              </w:rPr>
              <w:t>Lifecycle stage</w:t>
            </w:r>
          </w:p>
        </w:tc>
        <w:tc>
          <w:tcPr>
            <w:tcW w:type="dxa" w:w="8568"/>
            <w:vAlign w:val="center"/>
            <w:shd w:fill="2F5597"/>
          </w:tcPr>
          <w:p>
            <w:pPr>
              <w:spacing w:after="0" w:line="240" w:lineRule="auto"/>
            </w:pPr>
            <w:r/>
            <w:r>
              <w:rPr>
                <w:rFonts w:ascii="Arial" w:hAnsi="Arial"/>
                <w:b/>
                <w:color w:val="FFFFFF"/>
                <w:sz w:val="15"/>
              </w:rPr>
              <w:t>Required controls</w:t>
            </w:r>
          </w:p>
        </w:tc>
      </w:tr>
      <w:tr>
        <w:trPr>
          <w:cantSplit/>
        </w:trPr>
        <w:tc>
          <w:tcPr>
            <w:tcW w:type="dxa" w:w="2232"/>
            <w:vAlign w:val="center"/>
          </w:tcPr>
          <w:p>
            <w:pPr>
              <w:spacing w:after="0" w:line="240" w:lineRule="auto"/>
            </w:pPr>
            <w:r/>
            <w:r>
              <w:rPr>
                <w:rFonts w:ascii="Arial" w:hAnsi="Arial"/>
                <w:b w:val="0"/>
                <w:sz w:val="15"/>
              </w:rPr>
              <w:t>Proposal</w:t>
            </w:r>
          </w:p>
        </w:tc>
        <w:tc>
          <w:tcPr>
            <w:tcW w:type="dxa" w:w="8568"/>
            <w:vAlign w:val="center"/>
          </w:tcPr>
          <w:p>
            <w:pPr>
              <w:spacing w:after="0" w:line="240" w:lineRule="auto"/>
            </w:pPr>
            <w:r/>
            <w:r>
              <w:rPr>
                <w:rFonts w:ascii="Arial" w:hAnsi="Arial"/>
                <w:b w:val="0"/>
                <w:sz w:val="15"/>
              </w:rPr>
              <w:t>Named owner, problem statement, affected users, clinical/technical rationale, and change classification.</w:t>
            </w:r>
          </w:p>
        </w:tc>
      </w:tr>
      <w:tr>
        <w:trPr>
          <w:cantSplit/>
        </w:trPr>
        <w:tc>
          <w:tcPr>
            <w:tcW w:type="dxa" w:w="2232"/>
            <w:vAlign w:val="center"/>
            <w:shd w:fill="EAF0F8"/>
          </w:tcPr>
          <w:p>
            <w:pPr>
              <w:spacing w:after="0" w:line="240" w:lineRule="auto"/>
            </w:pPr>
            <w:r/>
            <w:r>
              <w:rPr>
                <w:rFonts w:ascii="Arial" w:hAnsi="Arial"/>
                <w:b w:val="0"/>
                <w:sz w:val="15"/>
              </w:rPr>
              <w:t>Impact assessment</w:t>
            </w:r>
          </w:p>
        </w:tc>
        <w:tc>
          <w:tcPr>
            <w:tcW w:type="dxa" w:w="8568"/>
            <w:vAlign w:val="center"/>
            <w:shd w:fill="EAF0F8"/>
          </w:tcPr>
          <w:p>
            <w:pPr>
              <w:spacing w:after="0" w:line="240" w:lineRule="auto"/>
            </w:pPr>
            <w:r/>
            <w:r>
              <w:rPr>
                <w:rFonts w:ascii="Arial" w:hAnsi="Arial"/>
                <w:b w:val="0"/>
                <w:sz w:val="15"/>
              </w:rPr>
              <w:t>Clinical safety, model contract, explanation, privacy, workflow, data migration, compatibility, and historical reproducibility review.</w:t>
            </w:r>
          </w:p>
        </w:tc>
      </w:tr>
      <w:tr>
        <w:trPr>
          <w:cantSplit/>
        </w:trPr>
        <w:tc>
          <w:tcPr>
            <w:tcW w:type="dxa" w:w="2232"/>
            <w:vAlign w:val="center"/>
          </w:tcPr>
          <w:p>
            <w:pPr>
              <w:spacing w:after="0" w:line="240" w:lineRule="auto"/>
            </w:pPr>
            <w:r/>
            <w:r>
              <w:rPr>
                <w:rFonts w:ascii="Arial" w:hAnsi="Arial"/>
                <w:b w:val="0"/>
                <w:sz w:val="15"/>
              </w:rPr>
              <w:t>Development</w:t>
            </w:r>
          </w:p>
        </w:tc>
        <w:tc>
          <w:tcPr>
            <w:tcW w:type="dxa" w:w="8568"/>
            <w:vAlign w:val="center"/>
          </w:tcPr>
          <w:p>
            <w:pPr>
              <w:spacing w:after="0" w:line="240" w:lineRule="auto"/>
            </w:pPr>
            <w:r/>
            <w:r>
              <w:rPr>
                <w:rFonts w:ascii="Arial" w:hAnsi="Arial"/>
                <w:b w:val="0"/>
                <w:sz w:val="15"/>
              </w:rPr>
              <w:t>Branch/version control, peer review, tests, controlled artifacts, and no direct production editing.</w:t>
            </w:r>
          </w:p>
        </w:tc>
      </w:tr>
      <w:tr>
        <w:trPr>
          <w:cantSplit/>
        </w:trPr>
        <w:tc>
          <w:tcPr>
            <w:tcW w:type="dxa" w:w="2232"/>
            <w:vAlign w:val="center"/>
            <w:shd w:fill="EAF0F8"/>
          </w:tcPr>
          <w:p>
            <w:pPr>
              <w:spacing w:after="0" w:line="240" w:lineRule="auto"/>
            </w:pPr>
            <w:r/>
            <w:r>
              <w:rPr>
                <w:rFonts w:ascii="Arial" w:hAnsi="Arial"/>
                <w:b w:val="0"/>
                <w:sz w:val="15"/>
              </w:rPr>
              <w:t>Independent review</w:t>
            </w:r>
          </w:p>
        </w:tc>
        <w:tc>
          <w:tcPr>
            <w:tcW w:type="dxa" w:w="8568"/>
            <w:vAlign w:val="center"/>
            <w:shd w:fill="EAF0F8"/>
          </w:tcPr>
          <w:p>
            <w:pPr>
              <w:spacing w:after="0" w:line="240" w:lineRule="auto"/>
            </w:pPr>
            <w:r/>
            <w:r>
              <w:rPr>
                <w:rFonts w:ascii="Arial" w:hAnsi="Arial"/>
                <w:b w:val="0"/>
                <w:sz w:val="15"/>
              </w:rPr>
              <w:t>Clinical meaning review, technical review, privacy review where relevant, and quality evidence.</w:t>
            </w:r>
          </w:p>
        </w:tc>
      </w:tr>
      <w:tr>
        <w:trPr>
          <w:cantSplit/>
        </w:trPr>
        <w:tc>
          <w:tcPr>
            <w:tcW w:type="dxa" w:w="2232"/>
            <w:vAlign w:val="center"/>
          </w:tcPr>
          <w:p>
            <w:pPr>
              <w:spacing w:after="0" w:line="240" w:lineRule="auto"/>
            </w:pPr>
            <w:r/>
            <w:r>
              <w:rPr>
                <w:rFonts w:ascii="Arial" w:hAnsi="Arial"/>
                <w:b w:val="0"/>
                <w:sz w:val="15"/>
              </w:rPr>
              <w:t>Approval</w:t>
            </w:r>
          </w:p>
        </w:tc>
        <w:tc>
          <w:tcPr>
            <w:tcW w:type="dxa" w:w="8568"/>
            <w:vAlign w:val="center"/>
          </w:tcPr>
          <w:p>
            <w:pPr>
              <w:spacing w:after="0" w:line="240" w:lineRule="auto"/>
            </w:pPr>
            <w:r/>
            <w:r>
              <w:rPr>
                <w:rFonts w:ascii="Arial" w:hAnsi="Arial"/>
                <w:b w:val="0"/>
                <w:sz w:val="15"/>
              </w:rPr>
              <w:t>Documented authority proportional to change severity; safety-critical changes require clinical and technical approval.</w:t>
            </w:r>
          </w:p>
        </w:tc>
      </w:tr>
      <w:tr>
        <w:trPr>
          <w:cantSplit/>
        </w:trPr>
        <w:tc>
          <w:tcPr>
            <w:tcW w:type="dxa" w:w="2232"/>
            <w:vAlign w:val="center"/>
            <w:shd w:fill="EAF0F8"/>
          </w:tcPr>
          <w:p>
            <w:pPr>
              <w:spacing w:after="0" w:line="240" w:lineRule="auto"/>
            </w:pPr>
            <w:r/>
            <w:r>
              <w:rPr>
                <w:rFonts w:ascii="Arial" w:hAnsi="Arial"/>
                <w:b w:val="0"/>
                <w:sz w:val="15"/>
              </w:rPr>
              <w:t>Release</w:t>
            </w:r>
          </w:p>
        </w:tc>
        <w:tc>
          <w:tcPr>
            <w:tcW w:type="dxa" w:w="8568"/>
            <w:vAlign w:val="center"/>
            <w:shd w:fill="EAF0F8"/>
          </w:tcPr>
          <w:p>
            <w:pPr>
              <w:spacing w:after="0" w:line="240" w:lineRule="auto"/>
            </w:pPr>
            <w:r/>
            <w:r>
              <w:rPr>
                <w:rFonts w:ascii="Arial" w:hAnsi="Arial"/>
                <w:b w:val="0"/>
                <w:sz w:val="15"/>
              </w:rPr>
              <w:t>Version increments, release manifest, deployment checklist, backup, rollback path, and user communication.</w:t>
            </w:r>
          </w:p>
        </w:tc>
      </w:tr>
      <w:tr>
        <w:trPr>
          <w:cantSplit/>
        </w:trPr>
        <w:tc>
          <w:tcPr>
            <w:tcW w:type="dxa" w:w="2232"/>
            <w:vAlign w:val="center"/>
          </w:tcPr>
          <w:p>
            <w:pPr>
              <w:spacing w:after="0" w:line="240" w:lineRule="auto"/>
            </w:pPr>
            <w:r/>
            <w:r>
              <w:rPr>
                <w:rFonts w:ascii="Arial" w:hAnsi="Arial"/>
                <w:b w:val="0"/>
                <w:sz w:val="15"/>
              </w:rPr>
              <w:t>Monitoring</w:t>
            </w:r>
          </w:p>
        </w:tc>
        <w:tc>
          <w:tcPr>
            <w:tcW w:type="dxa" w:w="8568"/>
            <w:vAlign w:val="center"/>
          </w:tcPr>
          <w:p>
            <w:pPr>
              <w:spacing w:after="0" w:line="240" w:lineRule="auto"/>
            </w:pPr>
            <w:r/>
            <w:r>
              <w:rPr>
                <w:rFonts w:ascii="Arial" w:hAnsi="Arial"/>
                <w:b w:val="0"/>
                <w:sz w:val="15"/>
              </w:rPr>
              <w:t>Defined metrics, alert routes, user feedback, incident handling, and post-release review.</w:t>
            </w:r>
          </w:p>
        </w:tc>
      </w:tr>
      <w:tr>
        <w:trPr>
          <w:cantSplit/>
        </w:trPr>
        <w:tc>
          <w:tcPr>
            <w:tcW w:type="dxa" w:w="2232"/>
            <w:vAlign w:val="center"/>
            <w:shd w:fill="EAF0F8"/>
          </w:tcPr>
          <w:p>
            <w:pPr>
              <w:spacing w:after="0" w:line="240" w:lineRule="auto"/>
            </w:pPr>
            <w:r/>
            <w:r>
              <w:rPr>
                <w:rFonts w:ascii="Arial" w:hAnsi="Arial"/>
                <w:b w:val="0"/>
                <w:sz w:val="15"/>
              </w:rPr>
              <w:t>Maintenance</w:t>
            </w:r>
          </w:p>
        </w:tc>
        <w:tc>
          <w:tcPr>
            <w:tcW w:type="dxa" w:w="8568"/>
            <w:vAlign w:val="center"/>
            <w:shd w:fill="EAF0F8"/>
          </w:tcPr>
          <w:p>
            <w:pPr>
              <w:spacing w:after="0" w:line="240" w:lineRule="auto"/>
            </w:pPr>
            <w:r/>
            <w:r>
              <w:rPr>
                <w:rFonts w:ascii="Arial" w:hAnsi="Arial"/>
                <w:b w:val="0"/>
                <w:sz w:val="15"/>
              </w:rPr>
              <w:t>Periodic rule/template/model review, dependency updates, security patches, and regression testing.</w:t>
            </w:r>
          </w:p>
        </w:tc>
      </w:tr>
      <w:tr>
        <w:trPr>
          <w:cantSplit/>
        </w:trPr>
        <w:tc>
          <w:tcPr>
            <w:tcW w:type="dxa" w:w="2232"/>
            <w:vAlign w:val="center"/>
          </w:tcPr>
          <w:p>
            <w:pPr>
              <w:spacing w:after="0" w:line="240" w:lineRule="auto"/>
            </w:pPr>
            <w:r/>
            <w:r>
              <w:rPr>
                <w:rFonts w:ascii="Arial" w:hAnsi="Arial"/>
                <w:b w:val="0"/>
                <w:sz w:val="15"/>
              </w:rPr>
              <w:t>Suspension or rollback</w:t>
            </w:r>
          </w:p>
        </w:tc>
        <w:tc>
          <w:tcPr>
            <w:tcW w:type="dxa" w:w="8568"/>
            <w:vAlign w:val="center"/>
          </w:tcPr>
          <w:p>
            <w:pPr>
              <w:spacing w:after="0" w:line="240" w:lineRule="auto"/>
            </w:pPr>
            <w:r/>
            <w:r>
              <w:rPr>
                <w:rFonts w:ascii="Arial" w:hAnsi="Arial"/>
                <w:b w:val="0"/>
                <w:sz w:val="15"/>
              </w:rPr>
              <w:t>Ability to disable unsafe output, revert assets, and preserve audit evidence.</w:t>
            </w:r>
          </w:p>
        </w:tc>
      </w:tr>
      <w:tr>
        <w:trPr>
          <w:cantSplit/>
        </w:trPr>
        <w:tc>
          <w:tcPr>
            <w:tcW w:type="dxa" w:w="2232"/>
            <w:vAlign w:val="center"/>
            <w:shd w:fill="EAF0F8"/>
          </w:tcPr>
          <w:p>
            <w:pPr>
              <w:spacing w:after="0" w:line="240" w:lineRule="auto"/>
            </w:pPr>
            <w:r/>
            <w:r>
              <w:rPr>
                <w:rFonts w:ascii="Arial" w:hAnsi="Arial"/>
                <w:b w:val="0"/>
                <w:sz w:val="15"/>
              </w:rPr>
              <w:t>Retirement</w:t>
            </w:r>
          </w:p>
        </w:tc>
        <w:tc>
          <w:tcPr>
            <w:tcW w:type="dxa" w:w="8568"/>
            <w:vAlign w:val="center"/>
            <w:shd w:fill="EAF0F8"/>
          </w:tcPr>
          <w:p>
            <w:pPr>
              <w:spacing w:after="0" w:line="240" w:lineRule="auto"/>
            </w:pPr>
            <w:r/>
            <w:r>
              <w:rPr>
                <w:rFonts w:ascii="Arial" w:hAnsi="Arial"/>
                <w:b w:val="0"/>
                <w:sz w:val="15"/>
              </w:rPr>
              <w:t>Archived artifacts and documentation, export/retention plan, access control, and communication of replacement or service termination.</w:t>
            </w:r>
          </w:p>
        </w:tc>
      </w:tr>
    </w:tbl>
    <w:p>
      <w:pPr/>
    </w:p>
    <w:p>
      <w:pPr>
        <w:pStyle w:val="Heading2"/>
      </w:pPr>
      <w:r>
        <w:t>14.1 Version compatibility rule</w:t>
      </w:r>
    </w:p>
    <w:p>
      <w:pPr>
        <w:pStyle w:val="BodyText"/>
      </w:pPr>
      <w:r>
        <w:t>A release is valid only when the rule catalog, decision policy, model artifact, feature contract, preprocessing contract, reason catalog, explanation schema, and template catalog are declared compatible in one VersionManifest. Replacing only the model file or editing only the patient wording without updating the manifest is not an acceptable production change.</w:t>
      </w:r>
    </w:p>
    <w:p>
      <w:pPr>
        <w:pStyle w:val="Heading1"/>
      </w:pPr>
      <w:r>
        <w:t>15. Privacy, Security, and Ethical Safeguards</w:t>
      </w:r>
    </w:p>
    <w:p>
      <w:pPr>
        <w:pStyle w:val="ListBullet"/>
      </w:pPr>
      <w:r>
        <w:t>Health information is treated as sensitive personal information and is accessible only for authorized care, administration, evaluation, or governance purposes.</w:t>
      </w:r>
    </w:p>
    <w:p>
      <w:pPr>
        <w:pStyle w:val="ListBullet"/>
      </w:pPr>
      <w:r>
        <w:t>Role-based authorization applies to both UI routes and underlying service/data access; hiding a button alone is insufficient.</w:t>
      </w:r>
    </w:p>
    <w:p>
      <w:pPr>
        <w:pStyle w:val="ListBullet"/>
      </w:pPr>
      <w:r>
        <w:t>Logs must not contain passwords, environment secrets, raw database credentials, or unnecessary full patient payloads.</w:t>
      </w:r>
    </w:p>
    <w:p>
      <w:pPr>
        <w:pStyle w:val="ListBullet"/>
      </w:pPr>
      <w:r>
        <w:t>Developer troubleshooting uses de-identified or minimum-necessary data where feasible.</w:t>
      </w:r>
    </w:p>
    <w:p>
      <w:pPr>
        <w:pStyle w:val="ListBullet"/>
      </w:pPr>
      <w:r>
        <w:t>Explanation exports, printouts, and referral documents require appropriate handling, retention, and disposal.</w:t>
      </w:r>
    </w:p>
    <w:p>
      <w:pPr>
        <w:pStyle w:val="ListBullet"/>
      </w:pPr>
      <w:r>
        <w:t>Patients should be informed in understandable terms that the system supports professional assessment and may use a statistical model, subject to the approved clinic process.</w:t>
      </w:r>
    </w:p>
    <w:p>
      <w:pPr>
        <w:pStyle w:val="ListBullet"/>
      </w:pPr>
      <w:r>
        <w:t>Bias and applicability limitations of training data must be documented; the system must not claim universal performance across populations or settings without evidence.</w:t>
      </w:r>
    </w:p>
    <w:p>
      <w:pPr>
        <w:pStyle w:val="ListBullet"/>
      </w:pPr>
      <w:r>
        <w:t>Human review, refusal documentation, referral decisions, and clinical judgment remain visible parts of the workflow.</w:t>
      </w:r>
    </w:p>
    <w:p>
      <w:pPr>
        <w:pStyle w:val="Heading1"/>
      </w:pPr>
      <w:r>
        <w:t>16. Current Capability and Future Evolution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shd w:fill="2F5597"/>
          </w:tcPr>
          <w:p>
            <w:pPr>
              <w:spacing w:after="0" w:line="240" w:lineRule="auto"/>
            </w:pPr>
            <w:r/>
            <w:r>
              <w:rPr>
                <w:rFonts w:ascii="Arial" w:hAnsi="Arial"/>
                <w:b/>
                <w:color w:val="FFFFFF"/>
                <w:sz w:val="14"/>
              </w:rPr>
              <w:t>Capability</w:t>
            </w:r>
          </w:p>
        </w:tc>
        <w:tc>
          <w:tcPr>
            <w:tcW w:type="dxa" w:w="3096"/>
            <w:vAlign w:val="center"/>
            <w:shd w:fill="2F5597"/>
          </w:tcPr>
          <w:p>
            <w:pPr>
              <w:spacing w:after="0" w:line="240" w:lineRule="auto"/>
            </w:pPr>
            <w:r/>
            <w:r>
              <w:rPr>
                <w:rFonts w:ascii="Arial" w:hAnsi="Arial"/>
                <w:b/>
                <w:color w:val="FFFFFF"/>
                <w:sz w:val="14"/>
              </w:rPr>
              <w:t>Current status</w:t>
            </w:r>
          </w:p>
        </w:tc>
        <w:tc>
          <w:tcPr>
            <w:tcW w:type="dxa" w:w="4824"/>
            <w:vAlign w:val="center"/>
            <w:shd w:fill="2F5597"/>
          </w:tcPr>
          <w:p>
            <w:pPr>
              <w:spacing w:after="0" w:line="240" w:lineRule="auto"/>
            </w:pPr>
            <w:r/>
            <w:r>
              <w:rPr>
                <w:rFonts w:ascii="Arial" w:hAnsi="Arial"/>
                <w:b/>
                <w:color w:val="FFFFFF"/>
                <w:sz w:val="14"/>
              </w:rPr>
              <w:t>Control before future adoption</w:t>
            </w:r>
          </w:p>
        </w:tc>
      </w:tr>
      <w:tr>
        <w:trPr>
          <w:cantSplit/>
        </w:trPr>
        <w:tc>
          <w:tcPr>
            <w:tcW w:type="dxa" w:w="2880"/>
            <w:vAlign w:val="center"/>
          </w:tcPr>
          <w:p>
            <w:pPr>
              <w:spacing w:after="0" w:line="240" w:lineRule="auto"/>
            </w:pPr>
            <w:r/>
            <w:r>
              <w:rPr>
                <w:rFonts w:ascii="Arial" w:hAnsi="Arial"/>
                <w:b w:val="0"/>
                <w:sz w:val="14"/>
              </w:rPr>
              <w:t>Deterministic reason explanations</w:t>
            </w:r>
          </w:p>
        </w:tc>
        <w:tc>
          <w:tcPr>
            <w:tcW w:type="dxa" w:w="3096"/>
            <w:vAlign w:val="center"/>
          </w:tcPr>
          <w:p>
            <w:pPr>
              <w:spacing w:after="0" w:line="240" w:lineRule="auto"/>
            </w:pPr>
            <w:r/>
            <w:r>
              <w:rPr>
                <w:rFonts w:ascii="Arial" w:hAnsi="Arial"/>
                <w:b w:val="0"/>
                <w:sz w:val="14"/>
              </w:rPr>
              <w:t>Current specification; aligned to implemented rules.</w:t>
            </w:r>
          </w:p>
        </w:tc>
        <w:tc>
          <w:tcPr>
            <w:tcW w:type="dxa" w:w="4824"/>
            <w:vAlign w:val="center"/>
          </w:tcPr>
          <w:p>
            <w:pPr>
              <w:spacing w:after="0" w:line="240" w:lineRule="auto"/>
            </w:pPr>
            <w:r/>
            <w:r>
              <w:rPr>
                <w:rFonts w:ascii="Arial" w:hAnsi="Arial"/>
                <w:b w:val="0"/>
                <w:sz w:val="14"/>
              </w:rPr>
              <w:t>Clinical review for any added or changed factor.</w:t>
            </w:r>
          </w:p>
        </w:tc>
      </w:tr>
      <w:tr>
        <w:trPr>
          <w:cantSplit/>
        </w:trPr>
        <w:tc>
          <w:tcPr>
            <w:tcW w:type="dxa" w:w="2880"/>
            <w:vAlign w:val="center"/>
            <w:shd w:fill="EAF0F8"/>
          </w:tcPr>
          <w:p>
            <w:pPr>
              <w:spacing w:after="0" w:line="240" w:lineRule="auto"/>
            </w:pPr>
            <w:r/>
            <w:r>
              <w:rPr>
                <w:rFonts w:ascii="Arial" w:hAnsi="Arial"/>
                <w:b w:val="0"/>
                <w:sz w:val="14"/>
              </w:rPr>
              <w:t>Validated ML LOW/HIGH contribution</w:t>
            </w:r>
          </w:p>
        </w:tc>
        <w:tc>
          <w:tcPr>
            <w:tcW w:type="dxa" w:w="3096"/>
            <w:vAlign w:val="center"/>
            <w:shd w:fill="EAF0F8"/>
          </w:tcPr>
          <w:p>
            <w:pPr>
              <w:spacing w:after="0" w:line="240" w:lineRule="auto"/>
            </w:pPr>
            <w:r/>
            <w:r>
              <w:rPr>
                <w:rFonts w:ascii="Arial" w:hAnsi="Arial"/>
                <w:b w:val="0"/>
                <w:sz w:val="14"/>
              </w:rPr>
              <w:t>Current specification; model output must be exact and validated.</w:t>
            </w:r>
          </w:p>
        </w:tc>
        <w:tc>
          <w:tcPr>
            <w:tcW w:type="dxa" w:w="4824"/>
            <w:vAlign w:val="center"/>
            <w:shd w:fill="EAF0F8"/>
          </w:tcPr>
          <w:p>
            <w:pPr>
              <w:spacing w:after="0" w:line="240" w:lineRule="auto"/>
            </w:pPr>
            <w:r/>
            <w:r>
              <w:rPr>
                <w:rFonts w:ascii="Arial" w:hAnsi="Arial"/>
                <w:b w:val="0"/>
                <w:sz w:val="14"/>
              </w:rPr>
              <w:t>Artifact, data, and performance validation for every model release.</w:t>
            </w:r>
          </w:p>
        </w:tc>
      </w:tr>
      <w:tr>
        <w:trPr>
          <w:cantSplit/>
        </w:trPr>
        <w:tc>
          <w:tcPr>
            <w:tcW w:type="dxa" w:w="2880"/>
            <w:vAlign w:val="center"/>
          </w:tcPr>
          <w:p>
            <w:pPr>
              <w:spacing w:after="0" w:line="240" w:lineRule="auto"/>
            </w:pPr>
            <w:r/>
            <w:r>
              <w:rPr>
                <w:rFonts w:ascii="Arial" w:hAnsi="Arial"/>
                <w:b w:val="0"/>
                <w:sz w:val="14"/>
              </w:rPr>
              <w:t>Audience-specific wording</w:t>
            </w:r>
          </w:p>
        </w:tc>
        <w:tc>
          <w:tcPr>
            <w:tcW w:type="dxa" w:w="3096"/>
            <w:vAlign w:val="center"/>
          </w:tcPr>
          <w:p>
            <w:pPr>
              <w:spacing w:after="0" w:line="240" w:lineRule="auto"/>
            </w:pPr>
            <w:r/>
            <w:r>
              <w:rPr>
                <w:rFonts w:ascii="Arial" w:hAnsi="Arial"/>
                <w:b w:val="0"/>
                <w:sz w:val="14"/>
              </w:rPr>
              <w:t>Specified for current/final implementation depending on UI coverage.</w:t>
            </w:r>
          </w:p>
        </w:tc>
        <w:tc>
          <w:tcPr>
            <w:tcW w:type="dxa" w:w="4824"/>
            <w:vAlign w:val="center"/>
          </w:tcPr>
          <w:p>
            <w:pPr>
              <w:spacing w:after="0" w:line="240" w:lineRule="auto"/>
            </w:pPr>
            <w:r/>
            <w:r>
              <w:rPr>
                <w:rFonts w:ascii="Arial" w:hAnsi="Arial"/>
                <w:b w:val="0"/>
                <w:sz w:val="14"/>
              </w:rPr>
              <w:t>Usability review and authorization tests for each channel.</w:t>
            </w:r>
          </w:p>
        </w:tc>
      </w:tr>
      <w:tr>
        <w:trPr>
          <w:cantSplit/>
        </w:trPr>
        <w:tc>
          <w:tcPr>
            <w:tcW w:type="dxa" w:w="2880"/>
            <w:vAlign w:val="center"/>
            <w:shd w:fill="EAF0F8"/>
          </w:tcPr>
          <w:p>
            <w:pPr>
              <w:spacing w:after="0" w:line="240" w:lineRule="auto"/>
            </w:pPr>
            <w:r/>
            <w:r>
              <w:rPr>
                <w:rFonts w:ascii="Arial" w:hAnsi="Arial"/>
                <w:b w:val="0"/>
                <w:sz w:val="14"/>
              </w:rPr>
              <w:t>Model probabilities/confidence</w:t>
            </w:r>
          </w:p>
        </w:tc>
        <w:tc>
          <w:tcPr>
            <w:tcW w:type="dxa" w:w="3096"/>
            <w:vAlign w:val="center"/>
            <w:shd w:fill="EAF0F8"/>
          </w:tcPr>
          <w:p>
            <w:pPr>
              <w:spacing w:after="0" w:line="240" w:lineRule="auto"/>
            </w:pPr>
            <w:r/>
            <w:r>
              <w:rPr>
                <w:rFonts w:ascii="Arial" w:hAnsi="Arial"/>
                <w:b w:val="0"/>
                <w:sz w:val="14"/>
              </w:rPr>
              <w:t>Not assumed.</w:t>
            </w:r>
          </w:p>
        </w:tc>
        <w:tc>
          <w:tcPr>
            <w:tcW w:type="dxa" w:w="4824"/>
            <w:vAlign w:val="center"/>
            <w:shd w:fill="EAF0F8"/>
          </w:tcPr>
          <w:p>
            <w:pPr>
              <w:spacing w:after="0" w:line="240" w:lineRule="auto"/>
            </w:pPr>
            <w:r/>
            <w:r>
              <w:rPr>
                <w:rFonts w:ascii="Arial" w:hAnsi="Arial"/>
                <w:b w:val="0"/>
                <w:sz w:val="14"/>
              </w:rPr>
              <w:t>Calibration study, safe display design, and clinician evaluation.</w:t>
            </w:r>
          </w:p>
        </w:tc>
      </w:tr>
      <w:tr>
        <w:trPr>
          <w:cantSplit/>
        </w:trPr>
        <w:tc>
          <w:tcPr>
            <w:tcW w:type="dxa" w:w="2880"/>
            <w:vAlign w:val="center"/>
          </w:tcPr>
          <w:p>
            <w:pPr>
              <w:spacing w:after="0" w:line="240" w:lineRule="auto"/>
            </w:pPr>
            <w:r/>
            <w:r>
              <w:rPr>
                <w:rFonts w:ascii="Arial" w:hAnsi="Arial"/>
                <w:b w:val="0"/>
                <w:sz w:val="14"/>
              </w:rPr>
              <w:t>SHAP or feature attribution</w:t>
            </w:r>
          </w:p>
        </w:tc>
        <w:tc>
          <w:tcPr>
            <w:tcW w:type="dxa" w:w="3096"/>
            <w:vAlign w:val="center"/>
          </w:tcPr>
          <w:p>
            <w:pPr>
              <w:spacing w:after="0" w:line="240" w:lineRule="auto"/>
            </w:pPr>
            <w:r/>
            <w:r>
              <w:rPr>
                <w:rFonts w:ascii="Arial" w:hAnsi="Arial"/>
                <w:b w:val="0"/>
                <w:sz w:val="14"/>
              </w:rPr>
              <w:t>Future only.</w:t>
            </w:r>
          </w:p>
        </w:tc>
        <w:tc>
          <w:tcPr>
            <w:tcW w:type="dxa" w:w="4824"/>
            <w:vAlign w:val="center"/>
          </w:tcPr>
          <w:p>
            <w:pPr>
              <w:spacing w:after="0" w:line="240" w:lineRule="auto"/>
            </w:pPr>
            <w:r/>
            <w:r>
              <w:rPr>
                <w:rFonts w:ascii="Arial" w:hAnsi="Arial"/>
                <w:b w:val="0"/>
                <w:sz w:val="14"/>
              </w:rPr>
              <w:t>Method validation, stability tests, clinical interpretation review, and misuse controls.</w:t>
            </w:r>
          </w:p>
        </w:tc>
      </w:tr>
      <w:tr>
        <w:trPr>
          <w:cantSplit/>
        </w:trPr>
        <w:tc>
          <w:tcPr>
            <w:tcW w:type="dxa" w:w="2880"/>
            <w:vAlign w:val="center"/>
            <w:shd w:fill="EAF0F8"/>
          </w:tcPr>
          <w:p>
            <w:pPr>
              <w:spacing w:after="0" w:line="240" w:lineRule="auto"/>
            </w:pPr>
            <w:r/>
            <w:r>
              <w:rPr>
                <w:rFonts w:ascii="Arial" w:hAnsi="Arial"/>
                <w:b w:val="0"/>
                <w:sz w:val="14"/>
              </w:rPr>
              <w:t>LIME explanations</w:t>
            </w:r>
          </w:p>
        </w:tc>
        <w:tc>
          <w:tcPr>
            <w:tcW w:type="dxa" w:w="3096"/>
            <w:vAlign w:val="center"/>
            <w:shd w:fill="EAF0F8"/>
          </w:tcPr>
          <w:p>
            <w:pPr>
              <w:spacing w:after="0" w:line="240" w:lineRule="auto"/>
            </w:pPr>
            <w:r/>
            <w:r>
              <w:rPr>
                <w:rFonts w:ascii="Arial" w:hAnsi="Arial"/>
                <w:b w:val="0"/>
                <w:sz w:val="14"/>
              </w:rPr>
              <w:t>Future only.</w:t>
            </w:r>
          </w:p>
        </w:tc>
        <w:tc>
          <w:tcPr>
            <w:tcW w:type="dxa" w:w="4824"/>
            <w:vAlign w:val="center"/>
            <w:shd w:fill="EAF0F8"/>
          </w:tcPr>
          <w:p>
            <w:pPr>
              <w:spacing w:after="0" w:line="240" w:lineRule="auto"/>
            </w:pPr>
            <w:r/>
            <w:r>
              <w:rPr>
                <w:rFonts w:ascii="Arial" w:hAnsi="Arial"/>
                <w:b w:val="0"/>
                <w:sz w:val="14"/>
              </w:rPr>
              <w:t>Local-fidelity and stability assessment; not interchangeable with model truth.</w:t>
            </w:r>
          </w:p>
        </w:tc>
      </w:tr>
      <w:tr>
        <w:trPr>
          <w:cantSplit/>
        </w:trPr>
        <w:tc>
          <w:tcPr>
            <w:tcW w:type="dxa" w:w="2880"/>
            <w:vAlign w:val="center"/>
          </w:tcPr>
          <w:p>
            <w:pPr>
              <w:spacing w:after="0" w:line="240" w:lineRule="auto"/>
            </w:pPr>
            <w:r/>
            <w:r>
              <w:rPr>
                <w:rFonts w:ascii="Arial" w:hAnsi="Arial"/>
                <w:b w:val="0"/>
                <w:sz w:val="14"/>
              </w:rPr>
              <w:t>Counterfactual explanations</w:t>
            </w:r>
          </w:p>
        </w:tc>
        <w:tc>
          <w:tcPr>
            <w:tcW w:type="dxa" w:w="3096"/>
            <w:vAlign w:val="center"/>
          </w:tcPr>
          <w:p>
            <w:pPr>
              <w:spacing w:after="0" w:line="240" w:lineRule="auto"/>
            </w:pPr>
            <w:r/>
            <w:r>
              <w:rPr>
                <w:rFonts w:ascii="Arial" w:hAnsi="Arial"/>
                <w:b w:val="0"/>
                <w:sz w:val="14"/>
              </w:rPr>
              <w:t>Future only.</w:t>
            </w:r>
          </w:p>
        </w:tc>
        <w:tc>
          <w:tcPr>
            <w:tcW w:type="dxa" w:w="4824"/>
            <w:vAlign w:val="center"/>
          </w:tcPr>
          <w:p>
            <w:pPr>
              <w:spacing w:after="0" w:line="240" w:lineRule="auto"/>
            </w:pPr>
            <w:r/>
            <w:r>
              <w:rPr>
                <w:rFonts w:ascii="Arial" w:hAnsi="Arial"/>
                <w:b w:val="0"/>
                <w:sz w:val="14"/>
              </w:rPr>
              <w:t>Clinical feasibility, non-actionable feature controls, and ethical review.</w:t>
            </w:r>
          </w:p>
        </w:tc>
      </w:tr>
      <w:tr>
        <w:trPr>
          <w:cantSplit/>
        </w:trPr>
        <w:tc>
          <w:tcPr>
            <w:tcW w:type="dxa" w:w="2880"/>
            <w:vAlign w:val="center"/>
            <w:shd w:fill="EAF0F8"/>
          </w:tcPr>
          <w:p>
            <w:pPr>
              <w:spacing w:after="0" w:line="240" w:lineRule="auto"/>
            </w:pPr>
            <w:r/>
            <w:r>
              <w:rPr>
                <w:rFonts w:ascii="Arial" w:hAnsi="Arial"/>
                <w:b w:val="0"/>
                <w:sz w:val="14"/>
              </w:rPr>
              <w:t>Multilingual Filipino/local-language explanations</w:t>
            </w:r>
          </w:p>
        </w:tc>
        <w:tc>
          <w:tcPr>
            <w:tcW w:type="dxa" w:w="3096"/>
            <w:vAlign w:val="center"/>
            <w:shd w:fill="EAF0F8"/>
          </w:tcPr>
          <w:p>
            <w:pPr>
              <w:spacing w:after="0" w:line="240" w:lineRule="auto"/>
            </w:pPr>
            <w:r/>
            <w:r>
              <w:rPr>
                <w:rFonts w:ascii="Arial" w:hAnsi="Arial"/>
                <w:b w:val="0"/>
                <w:sz w:val="14"/>
              </w:rPr>
              <w:t>Future controlled enhancement.</w:t>
            </w:r>
          </w:p>
        </w:tc>
        <w:tc>
          <w:tcPr>
            <w:tcW w:type="dxa" w:w="4824"/>
            <w:vAlign w:val="center"/>
            <w:shd w:fill="EAF0F8"/>
          </w:tcPr>
          <w:p>
            <w:pPr>
              <w:spacing w:after="0" w:line="240" w:lineRule="auto"/>
            </w:pPr>
            <w:r/>
            <w:r>
              <w:rPr>
                <w:rFonts w:ascii="Arial" w:hAnsi="Arial"/>
                <w:b w:val="0"/>
                <w:sz w:val="14"/>
              </w:rPr>
              <w:t>Professional translation, clinical review, comprehension testing, versioned terminology.</w:t>
            </w:r>
          </w:p>
        </w:tc>
      </w:tr>
      <w:tr>
        <w:trPr>
          <w:cantSplit/>
        </w:trPr>
        <w:tc>
          <w:tcPr>
            <w:tcW w:type="dxa" w:w="2880"/>
            <w:vAlign w:val="center"/>
          </w:tcPr>
          <w:p>
            <w:pPr>
              <w:spacing w:after="0" w:line="240" w:lineRule="auto"/>
            </w:pPr>
            <w:r/>
            <w:r>
              <w:rPr>
                <w:rFonts w:ascii="Arial" w:hAnsi="Arial"/>
                <w:b w:val="0"/>
                <w:sz w:val="14"/>
              </w:rPr>
              <w:t>Patient portal or direct mobile delivery</w:t>
            </w:r>
          </w:p>
        </w:tc>
        <w:tc>
          <w:tcPr>
            <w:tcW w:type="dxa" w:w="3096"/>
            <w:vAlign w:val="center"/>
          </w:tcPr>
          <w:p>
            <w:pPr>
              <w:spacing w:after="0" w:line="240" w:lineRule="auto"/>
            </w:pPr>
            <w:r/>
            <w:r>
              <w:rPr>
                <w:rFonts w:ascii="Arial" w:hAnsi="Arial"/>
                <w:b w:val="0"/>
                <w:sz w:val="14"/>
              </w:rPr>
              <w:t>Future only.</w:t>
            </w:r>
          </w:p>
        </w:tc>
        <w:tc>
          <w:tcPr>
            <w:tcW w:type="dxa" w:w="4824"/>
            <w:vAlign w:val="center"/>
          </w:tcPr>
          <w:p>
            <w:pPr>
              <w:spacing w:after="0" w:line="240" w:lineRule="auto"/>
            </w:pPr>
            <w:r/>
            <w:r>
              <w:rPr>
                <w:rFonts w:ascii="Arial" w:hAnsi="Arial"/>
                <w:b w:val="0"/>
                <w:sz w:val="14"/>
              </w:rPr>
              <w:t>Identity, consent, privacy, urgent-action, and accessibility design.</w:t>
            </w:r>
          </w:p>
        </w:tc>
      </w:tr>
      <w:tr>
        <w:trPr>
          <w:cantSplit/>
        </w:trPr>
        <w:tc>
          <w:tcPr>
            <w:tcW w:type="dxa" w:w="2880"/>
            <w:vAlign w:val="center"/>
            <w:shd w:fill="EAF0F8"/>
          </w:tcPr>
          <w:p>
            <w:pPr>
              <w:spacing w:after="0" w:line="240" w:lineRule="auto"/>
            </w:pPr>
            <w:r/>
            <w:r>
              <w:rPr>
                <w:rFonts w:ascii="Arial" w:hAnsi="Arial"/>
                <w:b w:val="0"/>
                <w:sz w:val="14"/>
              </w:rPr>
              <w:t>Automated drift detection/retraining</w:t>
            </w:r>
          </w:p>
        </w:tc>
        <w:tc>
          <w:tcPr>
            <w:tcW w:type="dxa" w:w="3096"/>
            <w:vAlign w:val="center"/>
            <w:shd w:fill="EAF0F8"/>
          </w:tcPr>
          <w:p>
            <w:pPr>
              <w:spacing w:after="0" w:line="240" w:lineRule="auto"/>
            </w:pPr>
            <w:r/>
            <w:r>
              <w:rPr>
                <w:rFonts w:ascii="Arial" w:hAnsi="Arial"/>
                <w:b w:val="0"/>
                <w:sz w:val="14"/>
              </w:rPr>
              <w:t>Future only.</w:t>
            </w:r>
          </w:p>
        </w:tc>
        <w:tc>
          <w:tcPr>
            <w:tcW w:type="dxa" w:w="4824"/>
            <w:vAlign w:val="center"/>
            <w:shd w:fill="EAF0F8"/>
          </w:tcPr>
          <w:p>
            <w:pPr>
              <w:spacing w:after="0" w:line="240" w:lineRule="auto"/>
            </w:pPr>
            <w:r/>
            <w:r>
              <w:rPr>
                <w:rFonts w:ascii="Arial" w:hAnsi="Arial"/>
                <w:b w:val="0"/>
                <w:sz w:val="14"/>
              </w:rPr>
              <w:t>Data governance, labels, approval, validation, rollback, and human oversight.</w:t>
            </w:r>
          </w:p>
        </w:tc>
      </w:tr>
      <w:tr>
        <w:trPr>
          <w:cantSplit/>
        </w:trPr>
        <w:tc>
          <w:tcPr>
            <w:tcW w:type="dxa" w:w="2880"/>
            <w:vAlign w:val="center"/>
          </w:tcPr>
          <w:p>
            <w:pPr>
              <w:spacing w:after="0" w:line="240" w:lineRule="auto"/>
            </w:pPr>
            <w:r/>
            <w:r>
              <w:rPr>
                <w:rFonts w:ascii="Arial" w:hAnsi="Arial"/>
                <w:b w:val="0"/>
                <w:sz w:val="14"/>
              </w:rPr>
              <w:t>Raw ultrasound image analysis</w:t>
            </w:r>
          </w:p>
        </w:tc>
        <w:tc>
          <w:tcPr>
            <w:tcW w:type="dxa" w:w="3096"/>
            <w:vAlign w:val="center"/>
          </w:tcPr>
          <w:p>
            <w:pPr>
              <w:spacing w:after="0" w:line="240" w:lineRule="auto"/>
            </w:pPr>
            <w:r/>
            <w:r>
              <w:rPr>
                <w:rFonts w:ascii="Arial" w:hAnsi="Arial"/>
                <w:b w:val="0"/>
                <w:sz w:val="14"/>
              </w:rPr>
              <w:t>Out of current scope.</w:t>
            </w:r>
          </w:p>
        </w:tc>
        <w:tc>
          <w:tcPr>
            <w:tcW w:type="dxa" w:w="4824"/>
            <w:vAlign w:val="center"/>
          </w:tcPr>
          <w:p>
            <w:pPr>
              <w:spacing w:after="0" w:line="240" w:lineRule="auto"/>
            </w:pPr>
            <w:r/>
            <w:r>
              <w:rPr>
                <w:rFonts w:ascii="Arial" w:hAnsi="Arial"/>
                <w:b w:val="0"/>
                <w:sz w:val="14"/>
              </w:rPr>
              <w:t>Separate validated medical-imaging project and qualified clinical governance.</w:t>
            </w:r>
          </w:p>
        </w:tc>
      </w:tr>
      <w:tr>
        <w:trPr>
          <w:cantSplit/>
        </w:trPr>
        <w:tc>
          <w:tcPr>
            <w:tcW w:type="dxa" w:w="2880"/>
            <w:vAlign w:val="center"/>
            <w:shd w:fill="EAF0F8"/>
          </w:tcPr>
          <w:p>
            <w:pPr>
              <w:spacing w:after="0" w:line="240" w:lineRule="auto"/>
            </w:pPr>
            <w:r/>
            <w:r>
              <w:rPr>
                <w:rFonts w:ascii="Arial" w:hAnsi="Arial"/>
                <w:b w:val="0"/>
                <w:sz w:val="14"/>
              </w:rPr>
              <w:t>Autonomous diagnosis or treatment</w:t>
            </w:r>
          </w:p>
        </w:tc>
        <w:tc>
          <w:tcPr>
            <w:tcW w:type="dxa" w:w="3096"/>
            <w:vAlign w:val="center"/>
            <w:shd w:fill="EAF0F8"/>
          </w:tcPr>
          <w:p>
            <w:pPr>
              <w:spacing w:after="0" w:line="240" w:lineRule="auto"/>
            </w:pPr>
            <w:r/>
            <w:r>
              <w:rPr>
                <w:rFonts w:ascii="Arial" w:hAnsi="Arial"/>
                <w:b w:val="0"/>
                <w:sz w:val="14"/>
              </w:rPr>
              <w:t>Not permitted by this specification.</w:t>
            </w:r>
          </w:p>
        </w:tc>
        <w:tc>
          <w:tcPr>
            <w:tcW w:type="dxa" w:w="4824"/>
            <w:vAlign w:val="center"/>
            <w:shd w:fill="EAF0F8"/>
          </w:tcPr>
          <w:p>
            <w:pPr>
              <w:spacing w:after="0" w:line="240" w:lineRule="auto"/>
            </w:pPr>
            <w:r/>
            <w:r>
              <w:rPr>
                <w:rFonts w:ascii="Arial" w:hAnsi="Arial"/>
                <w:b w:val="0"/>
                <w:sz w:val="14"/>
              </w:rPr>
              <w:t>Would require fundamentally different evidence, regulation, governance, and clinical accountability.</w:t>
            </w:r>
          </w:p>
        </w:tc>
      </w:tr>
    </w:tbl>
    <w:p>
      <w:pPr/>
    </w:p>
    <w:p>
      <w:pPr>
        <w:pStyle w:val="Heading1"/>
      </w:pPr>
      <w:r>
        <w:t>17. Master Explainability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shd w:fill="2F5597"/>
          </w:tcPr>
          <w:p>
            <w:pPr>
              <w:spacing w:after="0" w:line="240" w:lineRule="auto"/>
            </w:pPr>
            <w:r/>
            <w:r>
              <w:rPr>
                <w:rFonts w:ascii="Arial" w:hAnsi="Arial"/>
                <w:b/>
                <w:color w:val="FFFFFF"/>
                <w:sz w:val="15"/>
              </w:rPr>
              <w:t>Domain</w:t>
            </w:r>
          </w:p>
        </w:tc>
        <w:tc>
          <w:tcPr>
            <w:tcW w:type="dxa" w:w="8496"/>
            <w:vAlign w:val="center"/>
            <w:shd w:fill="2F5597"/>
          </w:tcPr>
          <w:p>
            <w:pPr>
              <w:spacing w:after="0" w:line="240" w:lineRule="auto"/>
            </w:pPr>
            <w:r/>
            <w:r>
              <w:rPr>
                <w:rFonts w:ascii="Arial" w:hAnsi="Arial"/>
                <w:b/>
                <w:color w:val="FFFFFF"/>
                <w:sz w:val="15"/>
              </w:rPr>
              <w:t>Readiness criterion</w:t>
            </w:r>
          </w:p>
        </w:tc>
      </w:tr>
      <w:tr>
        <w:trPr>
          <w:cantSplit/>
        </w:trPr>
        <w:tc>
          <w:tcPr>
            <w:tcW w:type="dxa" w:w="2304"/>
            <w:vAlign w:val="center"/>
          </w:tcPr>
          <w:p>
            <w:pPr>
              <w:spacing w:after="0" w:line="240" w:lineRule="auto"/>
            </w:pPr>
            <w:r/>
            <w:r>
              <w:rPr>
                <w:rFonts w:ascii="Arial" w:hAnsi="Arial"/>
                <w:b w:val="0"/>
                <w:sz w:val="15"/>
              </w:rPr>
              <w:t>Decision integrity</w:t>
            </w:r>
          </w:p>
        </w:tc>
        <w:tc>
          <w:tcPr>
            <w:tcW w:type="dxa" w:w="8496"/>
            <w:vAlign w:val="center"/>
          </w:tcPr>
          <w:p>
            <w:pPr>
              <w:spacing w:after="0" w:line="240" w:lineRule="auto"/>
            </w:pPr>
            <w:r/>
            <w:r>
              <w:rPr>
                <w:rFonts w:ascii="Arial" w:hAnsi="Arial"/>
                <w:b w:val="0"/>
                <w:sz w:val="15"/>
              </w:rPr>
              <w:t>All status paths match the approved HIGH/LOW/INCOMPLETE policy.</w:t>
            </w:r>
          </w:p>
        </w:tc>
      </w:tr>
      <w:tr>
        <w:trPr>
          <w:cantSplit/>
        </w:trPr>
        <w:tc>
          <w:tcPr>
            <w:tcW w:type="dxa" w:w="2304"/>
            <w:vAlign w:val="center"/>
            <w:shd w:fill="EAF0F8"/>
          </w:tcPr>
          <w:p>
            <w:pPr>
              <w:spacing w:after="0" w:line="240" w:lineRule="auto"/>
            </w:pPr>
            <w:r/>
            <w:r>
              <w:rPr>
                <w:rFonts w:ascii="Arial" w:hAnsi="Arial"/>
                <w:b w:val="0"/>
                <w:sz w:val="15"/>
              </w:rPr>
              <w:t>Rule fidelity</w:t>
            </w:r>
          </w:p>
        </w:tc>
        <w:tc>
          <w:tcPr>
            <w:tcW w:type="dxa" w:w="8496"/>
            <w:vAlign w:val="center"/>
            <w:shd w:fill="EAF0F8"/>
          </w:tcPr>
          <w:p>
            <w:pPr>
              <w:spacing w:after="0" w:line="240" w:lineRule="auto"/>
            </w:pPr>
            <w:r/>
            <w:r>
              <w:rPr>
                <w:rFonts w:ascii="Arial" w:hAnsi="Arial"/>
                <w:b w:val="0"/>
                <w:sz w:val="15"/>
              </w:rPr>
              <w:t>Every configured rule has a stable code, exact threshold/category, reason template, priority, and test.</w:t>
            </w:r>
          </w:p>
        </w:tc>
      </w:tr>
      <w:tr>
        <w:trPr>
          <w:cantSplit/>
        </w:trPr>
        <w:tc>
          <w:tcPr>
            <w:tcW w:type="dxa" w:w="2304"/>
            <w:vAlign w:val="center"/>
          </w:tcPr>
          <w:p>
            <w:pPr>
              <w:spacing w:after="0" w:line="240" w:lineRule="auto"/>
            </w:pPr>
            <w:r/>
            <w:r>
              <w:rPr>
                <w:rFonts w:ascii="Arial" w:hAnsi="Arial"/>
                <w:b w:val="0"/>
                <w:sz w:val="15"/>
              </w:rPr>
              <w:t>ML integrity</w:t>
            </w:r>
          </w:p>
        </w:tc>
        <w:tc>
          <w:tcPr>
            <w:tcW w:type="dxa" w:w="8496"/>
            <w:vAlign w:val="center"/>
          </w:tcPr>
          <w:p>
            <w:pPr>
              <w:spacing w:after="0" w:line="240" w:lineRule="auto"/>
            </w:pPr>
            <w:r/>
            <w:r>
              <w:rPr>
                <w:rFonts w:ascii="Arial" w:hAnsi="Arial"/>
                <w:b w:val="0"/>
                <w:sz w:val="15"/>
              </w:rPr>
              <w:t>Python output contract, model artifact, feature contract, preprocessing, version, hash, and failure handling are verified.</w:t>
            </w:r>
          </w:p>
        </w:tc>
      </w:tr>
      <w:tr>
        <w:trPr>
          <w:cantSplit/>
        </w:trPr>
        <w:tc>
          <w:tcPr>
            <w:tcW w:type="dxa" w:w="2304"/>
            <w:vAlign w:val="center"/>
            <w:shd w:fill="EAF0F8"/>
          </w:tcPr>
          <w:p>
            <w:pPr>
              <w:spacing w:after="0" w:line="240" w:lineRule="auto"/>
            </w:pPr>
            <w:r/>
            <w:r>
              <w:rPr>
                <w:rFonts w:ascii="Arial" w:hAnsi="Arial"/>
                <w:b w:val="0"/>
                <w:sz w:val="15"/>
              </w:rPr>
              <w:t>Explanation fidelity</w:t>
            </w:r>
          </w:p>
        </w:tc>
        <w:tc>
          <w:tcPr>
            <w:tcW w:type="dxa" w:w="8496"/>
            <w:vAlign w:val="center"/>
            <w:shd w:fill="EAF0F8"/>
          </w:tcPr>
          <w:p>
            <w:pPr>
              <w:spacing w:after="0" w:line="240" w:lineRule="auto"/>
            </w:pPr>
            <w:r/>
            <w:r>
              <w:rPr>
                <w:rFonts w:ascii="Arial" w:hAnsi="Arial"/>
                <w:b w:val="0"/>
                <w:sz w:val="15"/>
              </w:rPr>
              <w:t>Every displayed reason maps to decision evidence; no evidence is invented or omitted.</w:t>
            </w:r>
          </w:p>
        </w:tc>
      </w:tr>
      <w:tr>
        <w:trPr>
          <w:cantSplit/>
        </w:trPr>
        <w:tc>
          <w:tcPr>
            <w:tcW w:type="dxa" w:w="2304"/>
            <w:vAlign w:val="center"/>
          </w:tcPr>
          <w:p>
            <w:pPr>
              <w:spacing w:after="0" w:line="240" w:lineRule="auto"/>
            </w:pPr>
            <w:r/>
            <w:r>
              <w:rPr>
                <w:rFonts w:ascii="Arial" w:hAnsi="Arial"/>
                <w:b w:val="0"/>
                <w:sz w:val="15"/>
              </w:rPr>
              <w:t>LOW safety</w:t>
            </w:r>
          </w:p>
        </w:tc>
        <w:tc>
          <w:tcPr>
            <w:tcW w:type="dxa" w:w="8496"/>
            <w:vAlign w:val="center"/>
          </w:tcPr>
          <w:p>
            <w:pPr>
              <w:spacing w:after="0" w:line="240" w:lineRule="auto"/>
            </w:pPr>
            <w:r/>
            <w:r>
              <w:rPr>
                <w:rFonts w:ascii="Arial" w:hAnsi="Arial"/>
                <w:b w:val="0"/>
                <w:sz w:val="15"/>
              </w:rPr>
              <w:t>No path produces LOW with missing records, invalid ML, or active deterministic HIGH.</w:t>
            </w:r>
          </w:p>
        </w:tc>
      </w:tr>
      <w:tr>
        <w:trPr>
          <w:cantSplit/>
        </w:trPr>
        <w:tc>
          <w:tcPr>
            <w:tcW w:type="dxa" w:w="2304"/>
            <w:vAlign w:val="center"/>
            <w:shd w:fill="EAF0F8"/>
          </w:tcPr>
          <w:p>
            <w:pPr>
              <w:spacing w:after="0" w:line="240" w:lineRule="auto"/>
            </w:pPr>
            <w:r/>
            <w:r>
              <w:rPr>
                <w:rFonts w:ascii="Arial" w:hAnsi="Arial"/>
                <w:b w:val="0"/>
                <w:sz w:val="15"/>
              </w:rPr>
              <w:t>Urgency</w:t>
            </w:r>
          </w:p>
        </w:tc>
        <w:tc>
          <w:tcPr>
            <w:tcW w:type="dxa" w:w="8496"/>
            <w:vAlign w:val="center"/>
            <w:shd w:fill="EAF0F8"/>
          </w:tcPr>
          <w:p>
            <w:pPr>
              <w:spacing w:after="0" w:line="240" w:lineRule="auto"/>
            </w:pPr>
            <w:r/>
            <w:r>
              <w:rPr>
                <w:rFonts w:ascii="Arial" w:hAnsi="Arial"/>
                <w:b w:val="0"/>
                <w:sz w:val="15"/>
              </w:rPr>
              <w:t>Urgent BP and absent-heartbeat categories receive prominent professional-review/escalation wording.</w:t>
            </w:r>
          </w:p>
        </w:tc>
      </w:tr>
      <w:tr>
        <w:trPr>
          <w:cantSplit/>
        </w:trPr>
        <w:tc>
          <w:tcPr>
            <w:tcW w:type="dxa" w:w="2304"/>
            <w:vAlign w:val="center"/>
          </w:tcPr>
          <w:p>
            <w:pPr>
              <w:spacing w:after="0" w:line="240" w:lineRule="auto"/>
            </w:pPr>
            <w:r/>
            <w:r>
              <w:rPr>
                <w:rFonts w:ascii="Arial" w:hAnsi="Arial"/>
                <w:b w:val="0"/>
                <w:sz w:val="15"/>
              </w:rPr>
              <w:t>Audience safety</w:t>
            </w:r>
          </w:p>
        </w:tc>
        <w:tc>
          <w:tcPr>
            <w:tcW w:type="dxa" w:w="8496"/>
            <w:vAlign w:val="center"/>
          </w:tcPr>
          <w:p>
            <w:pPr>
              <w:spacing w:after="0" w:line="240" w:lineRule="auto"/>
            </w:pPr>
            <w:r/>
            <w:r>
              <w:rPr>
                <w:rFonts w:ascii="Arial" w:hAnsi="Arial"/>
                <w:b w:val="0"/>
                <w:sz w:val="15"/>
              </w:rPr>
              <w:t>Patient, referral, admin, developer, and audit projections disclose the right facts at the right level.</w:t>
            </w:r>
          </w:p>
        </w:tc>
      </w:tr>
      <w:tr>
        <w:trPr>
          <w:cantSplit/>
        </w:trPr>
        <w:tc>
          <w:tcPr>
            <w:tcW w:type="dxa" w:w="2304"/>
            <w:vAlign w:val="center"/>
            <w:shd w:fill="EAF0F8"/>
          </w:tcPr>
          <w:p>
            <w:pPr>
              <w:spacing w:after="0" w:line="240" w:lineRule="auto"/>
            </w:pPr>
            <w:r/>
            <w:r>
              <w:rPr>
                <w:rFonts w:ascii="Arial" w:hAnsi="Arial"/>
                <w:b w:val="0"/>
                <w:sz w:val="15"/>
              </w:rPr>
              <w:t>Plain language</w:t>
            </w:r>
          </w:p>
        </w:tc>
        <w:tc>
          <w:tcPr>
            <w:tcW w:type="dxa" w:w="8496"/>
            <w:vAlign w:val="center"/>
            <w:shd w:fill="EAF0F8"/>
          </w:tcPr>
          <w:p>
            <w:pPr>
              <w:spacing w:after="0" w:line="240" w:lineRule="auto"/>
            </w:pPr>
            <w:r/>
            <w:r>
              <w:rPr>
                <w:rFonts w:ascii="Arial" w:hAnsi="Arial"/>
                <w:b w:val="0"/>
                <w:sz w:val="15"/>
              </w:rPr>
              <w:t>Patient wording avoids jargon, diagnosis, blame, and guarantees.</w:t>
            </w:r>
          </w:p>
        </w:tc>
      </w:tr>
      <w:tr>
        <w:trPr>
          <w:cantSplit/>
        </w:trPr>
        <w:tc>
          <w:tcPr>
            <w:tcW w:type="dxa" w:w="2304"/>
            <w:vAlign w:val="center"/>
          </w:tcPr>
          <w:p>
            <w:pPr>
              <w:spacing w:after="0" w:line="240" w:lineRule="auto"/>
            </w:pPr>
            <w:r/>
            <w:r>
              <w:rPr>
                <w:rFonts w:ascii="Arial" w:hAnsi="Arial"/>
                <w:b w:val="0"/>
                <w:sz w:val="15"/>
              </w:rPr>
              <w:t>Accessibility</w:t>
            </w:r>
          </w:p>
        </w:tc>
        <w:tc>
          <w:tcPr>
            <w:tcW w:type="dxa" w:w="8496"/>
            <w:vAlign w:val="center"/>
          </w:tcPr>
          <w:p>
            <w:pPr>
              <w:spacing w:after="0" w:line="240" w:lineRule="auto"/>
            </w:pPr>
            <w:r/>
            <w:r>
              <w:rPr>
                <w:rFonts w:ascii="Arial" w:hAnsi="Arial"/>
                <w:b w:val="0"/>
                <w:sz w:val="15"/>
              </w:rPr>
              <w:t>Status is not color-only; mobile, print, typography, and assistive-technology needs are considered.</w:t>
            </w:r>
          </w:p>
        </w:tc>
      </w:tr>
      <w:tr>
        <w:trPr>
          <w:cantSplit/>
        </w:trPr>
        <w:tc>
          <w:tcPr>
            <w:tcW w:type="dxa" w:w="2304"/>
            <w:vAlign w:val="center"/>
            <w:shd w:fill="EAF0F8"/>
          </w:tcPr>
          <w:p>
            <w:pPr>
              <w:spacing w:after="0" w:line="240" w:lineRule="auto"/>
            </w:pPr>
            <w:r/>
            <w:r>
              <w:rPr>
                <w:rFonts w:ascii="Arial" w:hAnsi="Arial"/>
                <w:b w:val="0"/>
                <w:sz w:val="15"/>
              </w:rPr>
              <w:t>Privacy</w:t>
            </w:r>
          </w:p>
        </w:tc>
        <w:tc>
          <w:tcPr>
            <w:tcW w:type="dxa" w:w="8496"/>
            <w:vAlign w:val="center"/>
            <w:shd w:fill="EAF0F8"/>
          </w:tcPr>
          <w:p>
            <w:pPr>
              <w:spacing w:after="0" w:line="240" w:lineRule="auto"/>
            </w:pPr>
            <w:r/>
            <w:r>
              <w:rPr>
                <w:rFonts w:ascii="Arial" w:hAnsi="Arial"/>
                <w:b w:val="0"/>
                <w:sz w:val="15"/>
              </w:rPr>
              <w:t>Authorization and minimum necessary disclosure are enforced in services and data access.</w:t>
            </w:r>
          </w:p>
        </w:tc>
      </w:tr>
      <w:tr>
        <w:trPr>
          <w:cantSplit/>
        </w:trPr>
        <w:tc>
          <w:tcPr>
            <w:tcW w:type="dxa" w:w="2304"/>
            <w:vAlign w:val="center"/>
          </w:tcPr>
          <w:p>
            <w:pPr>
              <w:spacing w:after="0" w:line="240" w:lineRule="auto"/>
            </w:pPr>
            <w:r/>
            <w:r>
              <w:rPr>
                <w:rFonts w:ascii="Arial" w:hAnsi="Arial"/>
                <w:b w:val="0"/>
                <w:sz w:val="15"/>
              </w:rPr>
              <w:t>Traceability</w:t>
            </w:r>
          </w:p>
        </w:tc>
        <w:tc>
          <w:tcPr>
            <w:tcW w:type="dxa" w:w="8496"/>
            <w:vAlign w:val="center"/>
          </w:tcPr>
          <w:p>
            <w:pPr>
              <w:spacing w:after="0" w:line="240" w:lineRule="auto"/>
            </w:pPr>
            <w:r/>
            <w:r>
              <w:rPr>
                <w:rFonts w:ascii="Arial" w:hAnsi="Arial"/>
                <w:b w:val="0"/>
                <w:sz w:val="15"/>
              </w:rPr>
              <w:t>Snapshot, source records/dates, reason codes, versions, actor, and timestamps are reconstructable.</w:t>
            </w:r>
          </w:p>
        </w:tc>
      </w:tr>
      <w:tr>
        <w:trPr>
          <w:cantSplit/>
        </w:trPr>
        <w:tc>
          <w:tcPr>
            <w:tcW w:type="dxa" w:w="2304"/>
            <w:vAlign w:val="center"/>
            <w:shd w:fill="EAF0F8"/>
          </w:tcPr>
          <w:p>
            <w:pPr>
              <w:spacing w:after="0" w:line="240" w:lineRule="auto"/>
            </w:pPr>
            <w:r/>
            <w:r>
              <w:rPr>
                <w:rFonts w:ascii="Arial" w:hAnsi="Arial"/>
                <w:b w:val="0"/>
                <w:sz w:val="15"/>
              </w:rPr>
              <w:t>Testing</w:t>
            </w:r>
          </w:p>
        </w:tc>
        <w:tc>
          <w:tcPr>
            <w:tcW w:type="dxa" w:w="8496"/>
            <w:vAlign w:val="center"/>
            <w:shd w:fill="EAF0F8"/>
          </w:tcPr>
          <w:p>
            <w:pPr>
              <w:spacing w:after="0" w:line="240" w:lineRule="auto"/>
            </w:pPr>
            <w:r/>
            <w:r>
              <w:rPr>
                <w:rFonts w:ascii="Arial" w:hAnsi="Arial"/>
                <w:b w:val="0"/>
                <w:sz w:val="15"/>
              </w:rPr>
              <w:t>Reference scenarios, boundary tests, failure tests, cross-channel tests, and role tests pass.</w:t>
            </w:r>
          </w:p>
        </w:tc>
      </w:tr>
      <w:tr>
        <w:trPr>
          <w:cantSplit/>
        </w:trPr>
        <w:tc>
          <w:tcPr>
            <w:tcW w:type="dxa" w:w="2304"/>
            <w:vAlign w:val="center"/>
          </w:tcPr>
          <w:p>
            <w:pPr>
              <w:spacing w:after="0" w:line="240" w:lineRule="auto"/>
            </w:pPr>
            <w:r/>
            <w:r>
              <w:rPr>
                <w:rFonts w:ascii="Arial" w:hAnsi="Arial"/>
                <w:b w:val="0"/>
                <w:sz w:val="15"/>
              </w:rPr>
              <w:t>Governance</w:t>
            </w:r>
          </w:p>
        </w:tc>
        <w:tc>
          <w:tcPr>
            <w:tcW w:type="dxa" w:w="8496"/>
            <w:vAlign w:val="center"/>
          </w:tcPr>
          <w:p>
            <w:pPr>
              <w:spacing w:after="0" w:line="240" w:lineRule="auto"/>
            </w:pPr>
            <w:r/>
            <w:r>
              <w:rPr>
                <w:rFonts w:ascii="Arial" w:hAnsi="Arial"/>
                <w:b w:val="0"/>
                <w:sz w:val="15"/>
              </w:rPr>
              <w:t>Changes have owners, impact assessment, approval, version increments, release evidence, and rollback path.</w:t>
            </w:r>
          </w:p>
        </w:tc>
      </w:tr>
      <w:tr>
        <w:trPr>
          <w:cantSplit/>
        </w:trPr>
        <w:tc>
          <w:tcPr>
            <w:tcW w:type="dxa" w:w="2304"/>
            <w:vAlign w:val="center"/>
            <w:shd w:fill="EAF0F8"/>
          </w:tcPr>
          <w:p>
            <w:pPr>
              <w:spacing w:after="0" w:line="240" w:lineRule="auto"/>
            </w:pPr>
            <w:r/>
            <w:r>
              <w:rPr>
                <w:rFonts w:ascii="Arial" w:hAnsi="Arial"/>
                <w:b w:val="0"/>
                <w:sz w:val="15"/>
              </w:rPr>
              <w:t>Operations</w:t>
            </w:r>
          </w:p>
        </w:tc>
        <w:tc>
          <w:tcPr>
            <w:tcW w:type="dxa" w:w="8496"/>
            <w:vAlign w:val="center"/>
            <w:shd w:fill="EAF0F8"/>
          </w:tcPr>
          <w:p>
            <w:pPr>
              <w:spacing w:after="0" w:line="240" w:lineRule="auto"/>
            </w:pPr>
            <w:r/>
            <w:r>
              <w:rPr>
                <w:rFonts w:ascii="Arial" w:hAnsi="Arial"/>
                <w:b w:val="0"/>
                <w:sz w:val="15"/>
              </w:rPr>
              <w:t>Monitoring, incident triage, backup, recovery, and support responsibilities are active.</w:t>
            </w:r>
          </w:p>
        </w:tc>
      </w:tr>
      <w:tr>
        <w:trPr>
          <w:cantSplit/>
        </w:trPr>
        <w:tc>
          <w:tcPr>
            <w:tcW w:type="dxa" w:w="2304"/>
            <w:vAlign w:val="center"/>
          </w:tcPr>
          <w:p>
            <w:pPr>
              <w:spacing w:after="0" w:line="240" w:lineRule="auto"/>
            </w:pPr>
            <w:r/>
            <w:r>
              <w:rPr>
                <w:rFonts w:ascii="Arial" w:hAnsi="Arial"/>
                <w:b w:val="0"/>
                <w:sz w:val="15"/>
              </w:rPr>
              <w:t>Documentation</w:t>
            </w:r>
          </w:p>
        </w:tc>
        <w:tc>
          <w:tcPr>
            <w:tcW w:type="dxa" w:w="8496"/>
            <w:vAlign w:val="center"/>
          </w:tcPr>
          <w:p>
            <w:pPr>
              <w:spacing w:after="0" w:line="240" w:lineRule="auto"/>
            </w:pPr>
            <w:r/>
            <w:r>
              <w:rPr>
                <w:rFonts w:ascii="Arial" w:hAnsi="Arial"/>
                <w:b w:val="0"/>
                <w:sz w:val="15"/>
              </w:rPr>
              <w:t>User guidance, limitations, technical runbook, and release manifest match the deployed build.</w:t>
            </w:r>
          </w:p>
        </w:tc>
      </w:tr>
      <w:tr>
        <w:trPr>
          <w:cantSplit/>
        </w:trPr>
        <w:tc>
          <w:tcPr>
            <w:tcW w:type="dxa" w:w="2304"/>
            <w:vAlign w:val="center"/>
            <w:shd w:fill="EAF0F8"/>
          </w:tcPr>
          <w:p>
            <w:pPr>
              <w:spacing w:after="0" w:line="240" w:lineRule="auto"/>
            </w:pPr>
            <w:r/>
            <w:r>
              <w:rPr>
                <w:rFonts w:ascii="Arial" w:hAnsi="Arial"/>
                <w:b w:val="0"/>
                <w:sz w:val="15"/>
              </w:rPr>
              <w:t>Future-work boundary</w:t>
            </w:r>
          </w:p>
        </w:tc>
        <w:tc>
          <w:tcPr>
            <w:tcW w:type="dxa" w:w="8496"/>
            <w:vAlign w:val="center"/>
            <w:shd w:fill="EAF0F8"/>
          </w:tcPr>
          <w:p>
            <w:pPr>
              <w:spacing w:after="0" w:line="240" w:lineRule="auto"/>
            </w:pPr>
            <w:r/>
            <w:r>
              <w:rPr>
                <w:rFonts w:ascii="Arial" w:hAnsi="Arial"/>
                <w:b w:val="0"/>
                <w:sz w:val="15"/>
              </w:rPr>
              <w:t>Unimplemented explainability methods are not represented as current capability.</w:t>
            </w:r>
          </w:p>
        </w:tc>
      </w:tr>
    </w:tbl>
    <w:p>
      <w:pPr/>
    </w:p>
    <w:p>
      <w:pPr>
        <w:pStyle w:val="Heading1"/>
      </w:pPr>
      <w:r>
        <w:t>18. Consolidated Implementation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12"/>
            <w:vAlign w:val="center"/>
            <w:shd w:fill="2F5597"/>
          </w:tcPr>
          <w:p>
            <w:pPr>
              <w:spacing w:after="0" w:line="240" w:lineRule="auto"/>
            </w:pPr>
            <w:r/>
            <w:r>
              <w:rPr>
                <w:rFonts w:ascii="Arial" w:hAnsi="Arial"/>
                <w:b/>
                <w:color w:val="FFFFFF"/>
                <w:sz w:val="14"/>
              </w:rPr>
              <w:t>Phase</w:t>
            </w:r>
          </w:p>
        </w:tc>
        <w:tc>
          <w:tcPr>
            <w:tcW w:type="dxa" w:w="5976"/>
            <w:vAlign w:val="center"/>
            <w:shd w:fill="2F5597"/>
          </w:tcPr>
          <w:p>
            <w:pPr>
              <w:spacing w:after="0" w:line="240" w:lineRule="auto"/>
            </w:pPr>
            <w:r/>
            <w:r>
              <w:rPr>
                <w:rFonts w:ascii="Arial" w:hAnsi="Arial"/>
                <w:b/>
                <w:color w:val="FFFFFF"/>
                <w:sz w:val="14"/>
              </w:rPr>
              <w:t>Deliverables</w:t>
            </w:r>
          </w:p>
        </w:tc>
        <w:tc>
          <w:tcPr>
            <w:tcW w:type="dxa" w:w="3384"/>
            <w:vAlign w:val="center"/>
            <w:shd w:fill="2F5597"/>
          </w:tcPr>
          <w:p>
            <w:pPr>
              <w:spacing w:after="0" w:line="240" w:lineRule="auto"/>
            </w:pPr>
            <w:r/>
            <w:r>
              <w:rPr>
                <w:rFonts w:ascii="Arial" w:hAnsi="Arial"/>
                <w:b/>
                <w:color w:val="FFFFFF"/>
                <w:sz w:val="14"/>
              </w:rPr>
              <w:t>Exit criteria</w:t>
            </w:r>
          </w:p>
        </w:tc>
      </w:tr>
      <w:tr>
        <w:trPr>
          <w:cantSplit/>
        </w:trPr>
        <w:tc>
          <w:tcPr>
            <w:tcW w:type="dxa" w:w="1512"/>
            <w:vAlign w:val="center"/>
          </w:tcPr>
          <w:p>
            <w:pPr>
              <w:spacing w:after="0" w:line="240" w:lineRule="auto"/>
            </w:pPr>
            <w:r/>
            <w:r>
              <w:rPr>
                <w:rFonts w:ascii="Arial" w:hAnsi="Arial"/>
                <w:b w:val="0"/>
                <w:sz w:val="14"/>
              </w:rPr>
              <w:t>1. Stabilize decision source of truth</w:t>
            </w:r>
          </w:p>
        </w:tc>
        <w:tc>
          <w:tcPr>
            <w:tcW w:type="dxa" w:w="5976"/>
            <w:vAlign w:val="center"/>
          </w:tcPr>
          <w:p>
            <w:pPr>
              <w:spacing w:after="0" w:line="240" w:lineRule="auto"/>
            </w:pPr>
            <w:r/>
            <w:r>
              <w:rPr>
                <w:rFonts w:ascii="Arial" w:hAnsi="Arial"/>
                <w:b w:val="0"/>
                <w:sz w:val="14"/>
              </w:rPr>
              <w:t>Central rule catalog, policy service, validated model adapter, immutable snapshot.</w:t>
            </w:r>
          </w:p>
        </w:tc>
        <w:tc>
          <w:tcPr>
            <w:tcW w:type="dxa" w:w="3384"/>
            <w:vAlign w:val="center"/>
          </w:tcPr>
          <w:p>
            <w:pPr>
              <w:spacing w:after="0" w:line="240" w:lineRule="auto"/>
            </w:pPr>
            <w:r/>
            <w:r>
              <w:rPr>
                <w:rFonts w:ascii="Arial" w:hAnsi="Arial"/>
                <w:b w:val="0"/>
                <w:sz w:val="14"/>
              </w:rPr>
              <w:t>No duplicated thresholds; reference decision matrix passes.</w:t>
            </w:r>
          </w:p>
        </w:tc>
      </w:tr>
      <w:tr>
        <w:trPr>
          <w:cantSplit/>
        </w:trPr>
        <w:tc>
          <w:tcPr>
            <w:tcW w:type="dxa" w:w="1512"/>
            <w:vAlign w:val="center"/>
            <w:shd w:fill="EAF0F8"/>
          </w:tcPr>
          <w:p>
            <w:pPr>
              <w:spacing w:after="0" w:line="240" w:lineRule="auto"/>
            </w:pPr>
            <w:r/>
            <w:r>
              <w:rPr>
                <w:rFonts w:ascii="Arial" w:hAnsi="Arial"/>
                <w:b w:val="0"/>
                <w:sz w:val="14"/>
              </w:rPr>
              <w:t>2. Implement canonical evidence</w:t>
            </w:r>
          </w:p>
        </w:tc>
        <w:tc>
          <w:tcPr>
            <w:tcW w:type="dxa" w:w="5976"/>
            <w:vAlign w:val="center"/>
            <w:shd w:fill="EAF0F8"/>
          </w:tcPr>
          <w:p>
            <w:pPr>
              <w:spacing w:after="0" w:line="240" w:lineRule="auto"/>
            </w:pPr>
            <w:r/>
            <w:r>
              <w:rPr>
                <w:rFonts w:ascii="Arial" w:hAnsi="Arial"/>
                <w:b w:val="0"/>
                <w:sz w:val="14"/>
              </w:rPr>
              <w:t>RuleReason, MLContribution, missing-item, VersionManifest, correlation IDs.</w:t>
            </w:r>
          </w:p>
        </w:tc>
        <w:tc>
          <w:tcPr>
            <w:tcW w:type="dxa" w:w="3384"/>
            <w:vAlign w:val="center"/>
            <w:shd w:fill="EAF0F8"/>
          </w:tcPr>
          <w:p>
            <w:pPr>
              <w:spacing w:after="0" w:line="240" w:lineRule="auto"/>
            </w:pPr>
            <w:r/>
            <w:r>
              <w:rPr>
                <w:rFonts w:ascii="Arial" w:hAnsi="Arial"/>
                <w:b w:val="0"/>
                <w:sz w:val="14"/>
              </w:rPr>
              <w:t>Every decision has structured evidence and provenance.</w:t>
            </w:r>
          </w:p>
        </w:tc>
      </w:tr>
      <w:tr>
        <w:trPr>
          <w:cantSplit/>
        </w:trPr>
        <w:tc>
          <w:tcPr>
            <w:tcW w:type="dxa" w:w="1512"/>
            <w:vAlign w:val="center"/>
          </w:tcPr>
          <w:p>
            <w:pPr>
              <w:spacing w:after="0" w:line="240" w:lineRule="auto"/>
            </w:pPr>
            <w:r/>
            <w:r>
              <w:rPr>
                <w:rFonts w:ascii="Arial" w:hAnsi="Arial"/>
                <w:b w:val="0"/>
                <w:sz w:val="14"/>
              </w:rPr>
              <w:t>3. Implement ExplanationBundle</w:t>
            </w:r>
          </w:p>
        </w:tc>
        <w:tc>
          <w:tcPr>
            <w:tcW w:type="dxa" w:w="5976"/>
            <w:vAlign w:val="center"/>
          </w:tcPr>
          <w:p>
            <w:pPr>
              <w:spacing w:after="0" w:line="240" w:lineRule="auto"/>
            </w:pPr>
            <w:r/>
            <w:r>
              <w:rPr>
                <w:rFonts w:ascii="Arial" w:hAnsi="Arial"/>
                <w:b w:val="0"/>
                <w:sz w:val="14"/>
              </w:rPr>
              <w:t>Schema, builder, validators, ordering, deduplication, limitations, recommendations.</w:t>
            </w:r>
          </w:p>
        </w:tc>
        <w:tc>
          <w:tcPr>
            <w:tcW w:type="dxa" w:w="3384"/>
            <w:vAlign w:val="center"/>
          </w:tcPr>
          <w:p>
            <w:pPr>
              <w:spacing w:after="0" w:line="240" w:lineRule="auto"/>
            </w:pPr>
            <w:r/>
            <w:r>
              <w:rPr>
                <w:rFonts w:ascii="Arial" w:hAnsi="Arial"/>
                <w:b w:val="0"/>
                <w:sz w:val="14"/>
              </w:rPr>
              <w:t>HIGH/LOW/INCOMPLETE bundles pass unit/integration tests.</w:t>
            </w:r>
          </w:p>
        </w:tc>
      </w:tr>
      <w:tr>
        <w:trPr>
          <w:cantSplit/>
        </w:trPr>
        <w:tc>
          <w:tcPr>
            <w:tcW w:type="dxa" w:w="1512"/>
            <w:vAlign w:val="center"/>
            <w:shd w:fill="EAF0F8"/>
          </w:tcPr>
          <w:p>
            <w:pPr>
              <w:spacing w:after="0" w:line="240" w:lineRule="auto"/>
            </w:pPr>
            <w:r/>
            <w:r>
              <w:rPr>
                <w:rFonts w:ascii="Arial" w:hAnsi="Arial"/>
                <w:b w:val="0"/>
                <w:sz w:val="14"/>
              </w:rPr>
              <w:t>4. Implement audience projections</w:t>
            </w:r>
          </w:p>
        </w:tc>
        <w:tc>
          <w:tcPr>
            <w:tcW w:type="dxa" w:w="5976"/>
            <w:vAlign w:val="center"/>
            <w:shd w:fill="EAF0F8"/>
          </w:tcPr>
          <w:p>
            <w:pPr>
              <w:spacing w:after="0" w:line="240" w:lineRule="auto"/>
            </w:pPr>
            <w:r/>
            <w:r>
              <w:rPr>
                <w:rFonts w:ascii="Arial" w:hAnsi="Arial"/>
                <w:b w:val="0"/>
                <w:sz w:val="14"/>
              </w:rPr>
              <w:t>Midwife, patient, referral, admin, developer/audit templates and authorization.</w:t>
            </w:r>
          </w:p>
        </w:tc>
        <w:tc>
          <w:tcPr>
            <w:tcW w:type="dxa" w:w="3384"/>
            <w:vAlign w:val="center"/>
            <w:shd w:fill="EAF0F8"/>
          </w:tcPr>
          <w:p>
            <w:pPr>
              <w:spacing w:after="0" w:line="240" w:lineRule="auto"/>
            </w:pPr>
            <w:r/>
            <w:r>
              <w:rPr>
                <w:rFonts w:ascii="Arial" w:hAnsi="Arial"/>
                <w:b w:val="0"/>
                <w:sz w:val="14"/>
              </w:rPr>
              <w:t>Cross-audience fact consistency and privacy tests pass.</w:t>
            </w:r>
          </w:p>
        </w:tc>
      </w:tr>
      <w:tr>
        <w:trPr>
          <w:cantSplit/>
        </w:trPr>
        <w:tc>
          <w:tcPr>
            <w:tcW w:type="dxa" w:w="1512"/>
            <w:vAlign w:val="center"/>
          </w:tcPr>
          <w:p>
            <w:pPr>
              <w:spacing w:after="0" w:line="240" w:lineRule="auto"/>
            </w:pPr>
            <w:r/>
            <w:r>
              <w:rPr>
                <w:rFonts w:ascii="Arial" w:hAnsi="Arial"/>
                <w:b w:val="0"/>
                <w:sz w:val="14"/>
              </w:rPr>
              <w:t>5. Persist and reconstruct</w:t>
            </w:r>
          </w:p>
        </w:tc>
        <w:tc>
          <w:tcPr>
            <w:tcW w:type="dxa" w:w="5976"/>
            <w:vAlign w:val="center"/>
          </w:tcPr>
          <w:p>
            <w:pPr>
              <w:spacing w:after="0" w:line="240" w:lineRule="auto"/>
            </w:pPr>
            <w:r/>
            <w:r>
              <w:rPr>
                <w:rFonts w:ascii="Arial" w:hAnsi="Arial"/>
                <w:b w:val="0"/>
                <w:sz w:val="14"/>
              </w:rPr>
              <w:t>Snapshot/version/audit storage and historical rendering.</w:t>
            </w:r>
          </w:p>
        </w:tc>
        <w:tc>
          <w:tcPr>
            <w:tcW w:type="dxa" w:w="3384"/>
            <w:vAlign w:val="center"/>
          </w:tcPr>
          <w:p>
            <w:pPr>
              <w:spacing w:after="0" w:line="240" w:lineRule="auto"/>
            </w:pPr>
            <w:r/>
            <w:r>
              <w:rPr>
                <w:rFonts w:ascii="Arial" w:hAnsi="Arial"/>
                <w:b w:val="0"/>
                <w:sz w:val="14"/>
              </w:rPr>
              <w:t>Old assessments reproduce after new release.</w:t>
            </w:r>
          </w:p>
        </w:tc>
      </w:tr>
      <w:tr>
        <w:trPr>
          <w:cantSplit/>
        </w:trPr>
        <w:tc>
          <w:tcPr>
            <w:tcW w:type="dxa" w:w="1512"/>
            <w:vAlign w:val="center"/>
            <w:shd w:fill="EAF0F8"/>
          </w:tcPr>
          <w:p>
            <w:pPr>
              <w:spacing w:after="0" w:line="240" w:lineRule="auto"/>
            </w:pPr>
            <w:r/>
            <w:r>
              <w:rPr>
                <w:rFonts w:ascii="Arial" w:hAnsi="Arial"/>
                <w:b w:val="0"/>
                <w:sz w:val="14"/>
              </w:rPr>
              <w:t>6. Build quality suite</w:t>
            </w:r>
          </w:p>
        </w:tc>
        <w:tc>
          <w:tcPr>
            <w:tcW w:type="dxa" w:w="5976"/>
            <w:vAlign w:val="center"/>
            <w:shd w:fill="EAF0F8"/>
          </w:tcPr>
          <w:p>
            <w:pPr>
              <w:spacing w:after="0" w:line="240" w:lineRule="auto"/>
            </w:pPr>
            <w:r/>
            <w:r>
              <w:rPr>
                <w:rFonts w:ascii="Arial" w:hAnsi="Arial"/>
                <w:b w:val="0"/>
                <w:sz w:val="14"/>
              </w:rPr>
              <w:t>Boundary, contract, failure, readability, usability, and cross-channel tests.</w:t>
            </w:r>
          </w:p>
        </w:tc>
        <w:tc>
          <w:tcPr>
            <w:tcW w:type="dxa" w:w="3384"/>
            <w:vAlign w:val="center"/>
            <w:shd w:fill="EAF0F8"/>
          </w:tcPr>
          <w:p>
            <w:pPr>
              <w:spacing w:after="0" w:line="240" w:lineRule="auto"/>
            </w:pPr>
            <w:r/>
            <w:r>
              <w:rPr>
                <w:rFonts w:ascii="Arial" w:hAnsi="Arial"/>
                <w:b w:val="0"/>
                <w:sz w:val="14"/>
              </w:rPr>
              <w:t>All release gates meet acceptance thresholds.</w:t>
            </w:r>
          </w:p>
        </w:tc>
      </w:tr>
      <w:tr>
        <w:trPr>
          <w:cantSplit/>
        </w:trPr>
        <w:tc>
          <w:tcPr>
            <w:tcW w:type="dxa" w:w="1512"/>
            <w:vAlign w:val="center"/>
          </w:tcPr>
          <w:p>
            <w:pPr>
              <w:spacing w:after="0" w:line="240" w:lineRule="auto"/>
            </w:pPr>
            <w:r/>
            <w:r>
              <w:rPr>
                <w:rFonts w:ascii="Arial" w:hAnsi="Arial"/>
                <w:b w:val="0"/>
                <w:sz w:val="14"/>
              </w:rPr>
              <w:t>7. Operationalize governance</w:t>
            </w:r>
          </w:p>
        </w:tc>
        <w:tc>
          <w:tcPr>
            <w:tcW w:type="dxa" w:w="5976"/>
            <w:vAlign w:val="center"/>
          </w:tcPr>
          <w:p>
            <w:pPr>
              <w:spacing w:after="0" w:line="240" w:lineRule="auto"/>
            </w:pPr>
            <w:r/>
            <w:r>
              <w:rPr>
                <w:rFonts w:ascii="Arial" w:hAnsi="Arial"/>
                <w:b w:val="0"/>
                <w:sz w:val="14"/>
              </w:rPr>
              <w:t>Change workflow, approvals, release manifest, monitoring, incident, rollback, and training.</w:t>
            </w:r>
          </w:p>
        </w:tc>
        <w:tc>
          <w:tcPr>
            <w:tcW w:type="dxa" w:w="3384"/>
            <w:vAlign w:val="center"/>
          </w:tcPr>
          <w:p>
            <w:pPr>
              <w:spacing w:after="0" w:line="240" w:lineRule="auto"/>
            </w:pPr>
            <w:r/>
            <w:r>
              <w:rPr>
                <w:rFonts w:ascii="Arial" w:hAnsi="Arial"/>
                <w:b w:val="0"/>
                <w:sz w:val="14"/>
              </w:rPr>
              <w:t>Named owners and tested runbooks.</w:t>
            </w:r>
          </w:p>
        </w:tc>
      </w:tr>
      <w:tr>
        <w:trPr>
          <w:cantSplit/>
        </w:trPr>
        <w:tc>
          <w:tcPr>
            <w:tcW w:type="dxa" w:w="1512"/>
            <w:vAlign w:val="center"/>
            <w:shd w:fill="EAF0F8"/>
          </w:tcPr>
          <w:p>
            <w:pPr>
              <w:spacing w:after="0" w:line="240" w:lineRule="auto"/>
            </w:pPr>
            <w:r/>
            <w:r>
              <w:rPr>
                <w:rFonts w:ascii="Arial" w:hAnsi="Arial"/>
                <w:b w:val="0"/>
                <w:sz w:val="14"/>
              </w:rPr>
              <w:t>8. Controlled deployment</w:t>
            </w:r>
          </w:p>
        </w:tc>
        <w:tc>
          <w:tcPr>
            <w:tcW w:type="dxa" w:w="5976"/>
            <w:vAlign w:val="center"/>
            <w:shd w:fill="EAF0F8"/>
          </w:tcPr>
          <w:p>
            <w:pPr>
              <w:spacing w:after="0" w:line="240" w:lineRule="auto"/>
            </w:pPr>
            <w:r/>
            <w:r>
              <w:rPr>
                <w:rFonts w:ascii="Arial" w:hAnsi="Arial"/>
                <w:b w:val="0"/>
                <w:sz w:val="14"/>
              </w:rPr>
              <w:t>Backup, staged rollout, observation, feedback, and post-release review.</w:t>
            </w:r>
          </w:p>
        </w:tc>
        <w:tc>
          <w:tcPr>
            <w:tcW w:type="dxa" w:w="3384"/>
            <w:vAlign w:val="center"/>
            <w:shd w:fill="EAF0F8"/>
          </w:tcPr>
          <w:p>
            <w:pPr>
              <w:spacing w:after="0" w:line="240" w:lineRule="auto"/>
            </w:pPr>
            <w:r/>
            <w:r>
              <w:rPr>
                <w:rFonts w:ascii="Arial" w:hAnsi="Arial"/>
                <w:b w:val="0"/>
                <w:sz w:val="14"/>
              </w:rPr>
              <w:t>No unresolved critical/high defects; monitoring stable.</w:t>
            </w:r>
          </w:p>
        </w:tc>
      </w:tr>
      <w:tr>
        <w:trPr>
          <w:cantSplit/>
        </w:trPr>
        <w:tc>
          <w:tcPr>
            <w:tcW w:type="dxa" w:w="1512"/>
            <w:vAlign w:val="center"/>
          </w:tcPr>
          <w:p>
            <w:pPr>
              <w:spacing w:after="0" w:line="240" w:lineRule="auto"/>
            </w:pPr>
            <w:r/>
            <w:r>
              <w:rPr>
                <w:rFonts w:ascii="Arial" w:hAnsi="Arial"/>
                <w:b w:val="0"/>
                <w:sz w:val="14"/>
              </w:rPr>
              <w:t>9. Future enhancement research</w:t>
            </w:r>
          </w:p>
        </w:tc>
        <w:tc>
          <w:tcPr>
            <w:tcW w:type="dxa" w:w="5976"/>
            <w:vAlign w:val="center"/>
          </w:tcPr>
          <w:p>
            <w:pPr>
              <w:spacing w:after="0" w:line="240" w:lineRule="auto"/>
            </w:pPr>
            <w:r/>
            <w:r>
              <w:rPr>
                <w:rFonts w:ascii="Arial" w:hAnsi="Arial"/>
                <w:b w:val="0"/>
                <w:sz w:val="14"/>
              </w:rPr>
              <w:t>Only separately approved research for SHAP, localization, probability, or drift capabilities.</w:t>
            </w:r>
          </w:p>
        </w:tc>
        <w:tc>
          <w:tcPr>
            <w:tcW w:type="dxa" w:w="3384"/>
            <w:vAlign w:val="center"/>
          </w:tcPr>
          <w:p>
            <w:pPr>
              <w:spacing w:after="0" w:line="240" w:lineRule="auto"/>
            </w:pPr>
            <w:r/>
            <w:r>
              <w:rPr>
                <w:rFonts w:ascii="Arial" w:hAnsi="Arial"/>
                <w:b w:val="0"/>
                <w:sz w:val="14"/>
              </w:rPr>
              <w:t>Evidence and governance approval before production inclusion.</w:t>
            </w:r>
          </w:p>
        </w:tc>
      </w:tr>
    </w:tbl>
    <w:p>
      <w:pPr/>
    </w:p>
    <w:p>
      <w:pPr>
        <w:pStyle w:val="Heading1"/>
      </w:pPr>
      <w:r>
        <w:t>19. Executive Defense Synthesis</w:t>
      </w:r>
    </w:p>
    <w:p>
      <w:pPr>
        <w:pStyle w:val="Heading2"/>
      </w:pPr>
      <w:r>
        <w:t>19.1 One-minute system explanation</w:t>
      </w:r>
    </w:p>
    <w:p>
      <w:pPr>
        <w:pStyle w:val="BodyText"/>
      </w:pPr>
      <w:r>
        <w:t>The maternity CDSS uses a hybrid approach because a safety-sensitive clinic needs both explicit clinical rules and data-driven support. Laravel evaluates deterministic factors and coordinates a Random Forest model executed through Python. The final output is HIGH, LOW, or ASSESSMENT INCOMPLETE. Deterministic HIGH factors override an ML LOW result. LOW is allowed only when the required records are complete, the model output is valid LOW, and no configured high-risk rule triggers. The system then generates a structured explanation from the exact evidence used in that decision, adapts it for the intended user, and records versions and provenance so the result can be tested and reconstructed. It supports professional judgment and referral workflow; it does not diagnose or replace the midwife.</w:t>
      </w:r>
    </w:p>
    <w:p>
      <w:pPr>
        <w:pStyle w:val="Heading2"/>
      </w:pPr>
      <w:r>
        <w:t>19.2 Panel questions and suggested answers</w:t>
      </w:r>
    </w:p>
    <w:p>
      <w:pPr>
        <w:pStyle w:val="Heading3"/>
      </w:pPr>
      <w:r>
        <w:t>1. Why use a hybrid system instead of only machine learning?</w:t>
      </w:r>
    </w:p>
    <w:p>
      <w:pPr>
        <w:pStyle w:val="BodyText"/>
      </w:pPr>
      <w:r>
        <w:t>Deterministic rules preserve explicit safety thresholds and are directly reviewable, while the Random Forest can provide supporting pattern-based information. The hybrid policy prevents the model from overriding configured high-risk evidence.</w:t>
      </w:r>
    </w:p>
    <w:p>
      <w:pPr>
        <w:pStyle w:val="Heading3"/>
      </w:pPr>
      <w:r>
        <w:t>2. How do you know the explanation is faithful?</w:t>
      </w:r>
    </w:p>
    <w:p>
      <w:pPr>
        <w:pStyle w:val="BodyText"/>
      </w:pPr>
      <w:r>
        <w:t>The explanation is built from the same AssessmentSnapshot and DecisionEvidence used by the decision policy. Automated tests compare triggered reasons with displayed reasons and require 100% precision and recall in the reference suite.</w:t>
      </w:r>
    </w:p>
    <w:p>
      <w:pPr>
        <w:pStyle w:val="Heading3"/>
      </w:pPr>
      <w:r>
        <w:t>3. Why is ASSESSMENT INCOMPLETE necessary?</w:t>
      </w:r>
    </w:p>
    <w:p>
      <w:pPr>
        <w:pStyle w:val="BodyText"/>
      </w:pPr>
      <w:r>
        <w:t>It prevents the system from inventing certainty when required records are missing or the Python model fails. It is a safety state, not an error hidden from the user.</w:t>
      </w:r>
    </w:p>
    <w:p>
      <w:pPr>
        <w:pStyle w:val="Heading3"/>
      </w:pPr>
      <w:r>
        <w:t>4. Can LOW mean the pregnancy is safe?</w:t>
      </w:r>
    </w:p>
    <w:p>
      <w:pPr>
        <w:pStyle w:val="BodyText"/>
      </w:pPr>
      <w:r>
        <w:t>No. LOW means no configured high-risk factor was found from complete available records and the model returned valid LOW. The explanation explicitly preserves routine follow-up and warns that new symptoms or findings still require professional review.</w:t>
      </w:r>
    </w:p>
    <w:p>
      <w:pPr>
        <w:pStyle w:val="Heading3"/>
      </w:pPr>
      <w:r>
        <w:t>5. What happens when rules and ML disagree?</w:t>
      </w:r>
    </w:p>
    <w:p>
      <w:pPr>
        <w:pStyle w:val="BodyText"/>
      </w:pPr>
      <w:r>
        <w:t>Deterministic HIGH takes precedence over ML LOW, and the disagreement is disclosed. The model cannot cancel a configured clinical safety rule.</w:t>
      </w:r>
    </w:p>
    <w:p>
      <w:pPr>
        <w:pStyle w:val="Heading3"/>
      </w:pPr>
      <w:r>
        <w:t>6. Why not show Random Forest internal details to patients?</w:t>
      </w:r>
    </w:p>
    <w:p>
      <w:pPr>
        <w:pStyle w:val="BodyText"/>
      </w:pPr>
      <w:r>
        <w:t>Patients need understandable meaning and next steps, not unstable or technical internals. Technical provenance remains available to authorized developers and auditors, while patient wording is generated from the same facts.</w:t>
      </w:r>
    </w:p>
    <w:p>
      <w:pPr>
        <w:pStyle w:val="Heading3"/>
      </w:pPr>
      <w:r>
        <w:t>7. How are changes controlled?</w:t>
      </w:r>
    </w:p>
    <w:p>
      <w:pPr>
        <w:pStyle w:val="BodyText"/>
      </w:pPr>
      <w:r>
        <w:t>Rules, model artifacts, feature contracts, policies, reason catalogs, and templates are versioned in a release manifest. Material changes require impact assessment, testing, approval, deployment evidence, monitoring, and rollback planning.</w:t>
      </w:r>
    </w:p>
    <w:p>
      <w:pPr>
        <w:pStyle w:val="Heading3"/>
      </w:pPr>
      <w:r>
        <w:t>8. How is explanation quality different from model accuracy?</w:t>
      </w:r>
    </w:p>
    <w:p>
      <w:pPr>
        <w:pStyle w:val="BodyText"/>
      </w:pPr>
      <w:r>
        <w:t>Model accuracy evaluates predictions. Explanation quality evaluates whether the stated reasons are faithful, complete, consistent, understandable, actionable, uncertainty-aware, traceable, and robust. Both must be evaluated independently.</w:t>
      </w:r>
    </w:p>
    <w:p>
      <w:pPr>
        <w:pStyle w:val="Heading3"/>
      </w:pPr>
      <w:r>
        <w:t>9. What is the role of the midwife?</w:t>
      </w:r>
    </w:p>
    <w:p>
      <w:pPr>
        <w:pStyle w:val="BodyText"/>
      </w:pPr>
      <w:r>
        <w:t>The midwife reviews the evidence, considers the patient’s actual condition, communicates appropriately, and decides or coordinates the next clinical action under clinic policy. The software is advisory.</w:t>
      </w:r>
    </w:p>
    <w:p>
      <w:pPr>
        <w:pStyle w:val="Heading3"/>
      </w:pPr>
      <w:r>
        <w:t>10. Does the system interpret ultrasound images?</w:t>
      </w:r>
    </w:p>
    <w:p>
      <w:pPr>
        <w:pStyle w:val="BodyText"/>
      </w:pPr>
      <w:r>
        <w:t>No. It uses recorded ultrasound findings such as presentation, fluid category, and heartbeat category. Raw image interpretation is outside the current scope.</w:t>
      </w:r>
    </w:p>
    <w:p>
      <w:pPr>
        <w:pStyle w:val="Heading3"/>
      </w:pPr>
      <w:r>
        <w:t>11. How can an old decision be audited after an update?</w:t>
      </w:r>
    </w:p>
    <w:p>
      <w:pPr>
        <w:pStyle w:val="BodyText"/>
      </w:pPr>
      <w:r>
        <w:t>The assessment preserves the snapshot, reasons, model and rule versions, template/policy versions, actor, timestamps, and correlation identifier. Historical results are reconstructed using their original manifest rather than current assets.</w:t>
      </w:r>
    </w:p>
    <w:p>
      <w:pPr>
        <w:pStyle w:val="Heading3"/>
      </w:pPr>
      <w:r>
        <w:t>12. What is the most important safety control?</w:t>
      </w:r>
    </w:p>
    <w:p>
      <w:pPr>
        <w:pStyle w:val="BodyText"/>
      </w:pPr>
      <w:r>
        <w:t>No unsafe default to LOW. Missing records, invalid ML, hidden urgent evidence, or unexplained mismatch must block or produce an explicit incomplete/failure state.</w:t>
      </w:r>
    </w:p>
    <w:p>
      <w:pPr>
        <w:pStyle w:val="Heading3"/>
      </w:pPr>
      <w:r>
        <w:t>13. Why is FDA guidance mentioned in a Philippine capstone?</w:t>
      </w:r>
    </w:p>
    <w:p>
      <w:pPr>
        <w:pStyle w:val="BodyText"/>
      </w:pPr>
      <w:r>
        <w:t>It is used as an internationally recognized design reference for reviewability of CDS recommendations, not as a claim of FDA approval or direct legal classification. Local privacy and clinic policy still govern the project context.</w:t>
      </w:r>
    </w:p>
    <w:p>
      <w:pPr>
        <w:pStyle w:val="Heading3"/>
      </w:pPr>
      <w:r>
        <w:t>14. What future explainability feature would you add first?</w:t>
      </w:r>
    </w:p>
    <w:p>
      <w:pPr>
        <w:pStyle w:val="BodyText"/>
      </w:pPr>
      <w:r>
        <w:t>Only after the core system is validated, a carefully studied local feature-attribution method such as SHAP could be evaluated. It would remain supporting information and would require stability, clinical usefulness, and user-comprehension testing.</w:t>
      </w:r>
    </w:p>
    <w:p>
      <w:pPr>
        <w:pStyle w:val="Heading3"/>
      </w:pPr>
      <w:r>
        <w:t>15. What makes this explainability framework maintainable?</w:t>
      </w:r>
    </w:p>
    <w:p>
      <w:pPr>
        <w:pStyle w:val="BodyText"/>
      </w:pPr>
      <w:r>
        <w:t>It separates clinical logic from templates, uses structured reason codes and canonical objects, versions all governed assets, and couples every change to tests, approvals, monitoring, and reproducible audit evidence.</w:t>
      </w:r>
    </w:p>
    <w:p>
      <w:pPr>
        <w:pStyle w:val="Heading1"/>
      </w:pPr>
      <w:r>
        <w:t>20. Final Consolidated Explainability Requirements</w:t>
      </w:r>
    </w:p>
    <w:p>
      <w:pPr>
        <w:pStyle w:val="ListNumber"/>
      </w:pPr>
      <w:r>
        <w:t>XRS-01. The system shall produce only HIGH, LOW, or ASSESSMENT INCOMPLETE as final assessment states.</w:t>
      </w:r>
    </w:p>
    <w:p>
      <w:pPr>
        <w:pStyle w:val="ListNumber"/>
      </w:pPr>
      <w:r>
        <w:t>XRS-02. The system shall derive the decision and explanation from one immutable assessment snapshot.</w:t>
      </w:r>
    </w:p>
    <w:p>
      <w:pPr>
        <w:pStyle w:val="ListNumber"/>
      </w:pPr>
      <w:r>
        <w:t>XRS-03. The system shall evaluate all configured deterministic rules and preserve every triggered reason.</w:t>
      </w:r>
    </w:p>
    <w:p>
      <w:pPr>
        <w:pStyle w:val="ListNumber"/>
      </w:pPr>
      <w:r>
        <w:t>XRS-04. The system shall validate the Python model response and reject blank, malformed, error-like, unknown, stale, or incompatible output.</w:t>
      </w:r>
    </w:p>
    <w:p>
      <w:pPr>
        <w:pStyle w:val="ListNumber"/>
      </w:pPr>
      <w:r>
        <w:t>XRS-05. The system shall not allow ML LOW to override deterministic HIGH.</w:t>
      </w:r>
    </w:p>
    <w:p>
      <w:pPr>
        <w:pStyle w:val="ListNumber"/>
      </w:pPr>
      <w:r>
        <w:t>XRS-06. The system shall permit LOW only when all required records exist, ML is valid LOW, and no deterministic HIGH factor is present.</w:t>
      </w:r>
    </w:p>
    <w:p>
      <w:pPr>
        <w:pStyle w:val="ListNumber"/>
      </w:pPr>
      <w:r>
        <w:t>XRS-07. The system shall identify every missing required record or invalid model condition for ASSESSMENT INCOMPLETE.</w:t>
      </w:r>
    </w:p>
    <w:p>
      <w:pPr>
        <w:pStyle w:val="ListNumber"/>
      </w:pPr>
      <w:r>
        <w:t>XRS-08. The system shall distinguish deterministic evidence, model contribution, final decision basis, recommendation, and limitations.</w:t>
      </w:r>
    </w:p>
    <w:p>
      <w:pPr>
        <w:pStyle w:val="ListNumber"/>
      </w:pPr>
      <w:r>
        <w:t>XRS-09. The system shall disclose material rule-model disagreement.</w:t>
      </w:r>
    </w:p>
    <w:p>
      <w:pPr>
        <w:pStyle w:val="ListNumber"/>
      </w:pPr>
      <w:r>
        <w:t>XRS-10. The system shall provide audience-appropriate projections without changing underlying facts.</w:t>
      </w:r>
    </w:p>
    <w:p>
      <w:pPr>
        <w:pStyle w:val="ListNumber"/>
      </w:pPr>
      <w:r>
        <w:t>XRS-11. The system shall use patient wording that avoids diagnosis, guarantee, blame, and unexplained technical language.</w:t>
      </w:r>
    </w:p>
    <w:p>
      <w:pPr>
        <w:pStyle w:val="ListNumber"/>
      </w:pPr>
      <w:r>
        <w:t>XRS-12. The system shall preserve urgent findings and actions across all channels.</w:t>
      </w:r>
    </w:p>
    <w:p>
      <w:pPr>
        <w:pStyle w:val="ListNumber"/>
      </w:pPr>
      <w:r>
        <w:t>XRS-13. The system shall attach source identifiers, source dates, observed values, and governed versions to explanation evidence.</w:t>
      </w:r>
    </w:p>
    <w:p>
      <w:pPr>
        <w:pStyle w:val="ListNumber"/>
      </w:pPr>
      <w:r>
        <w:t>XRS-14. The system shall retain a VersionManifest that identifies all compatible rule, policy, model, feature, preprocessing, reason, schema, and template assets.</w:t>
      </w:r>
    </w:p>
    <w:p>
      <w:pPr>
        <w:pStyle w:val="ListNumber"/>
      </w:pPr>
      <w:r>
        <w:t>XRS-15. The system shall preserve historical reproducibility and prevent silent mutation of prior assessment evidence.</w:t>
      </w:r>
    </w:p>
    <w:p>
      <w:pPr>
        <w:pStyle w:val="ListNumber"/>
      </w:pPr>
      <w:r>
        <w:t>XRS-16. The system shall enforce role-based access and minimum necessary disclosure.</w:t>
      </w:r>
    </w:p>
    <w:p>
      <w:pPr>
        <w:pStyle w:val="ListNumber"/>
      </w:pPr>
      <w:r>
        <w:t>XRS-17. The system shall log material creation, viewing, update, referral, override, failure, and governance events as appropriate.</w:t>
      </w:r>
    </w:p>
    <w:p>
      <w:pPr>
        <w:pStyle w:val="ListNumber"/>
      </w:pPr>
      <w:r>
        <w:t>XRS-18. The system shall independently evaluate explanation fidelity, completeness, consistency, understandability, clinical relevance, actionability, uncertainty, traceability, and robustness.</w:t>
      </w:r>
    </w:p>
    <w:p>
      <w:pPr>
        <w:pStyle w:val="ListNumber"/>
      </w:pPr>
      <w:r>
        <w:t>XRS-19. The system shall block release when safety-critical explanation tests fail.</w:t>
      </w:r>
    </w:p>
    <w:p>
      <w:pPr>
        <w:pStyle w:val="ListNumber"/>
      </w:pPr>
      <w:r>
        <w:t>XRS-20. The system shall provide monitoring, incident containment, rollback, correction, and post-release review processes.</w:t>
      </w:r>
    </w:p>
    <w:p>
      <w:pPr>
        <w:pStyle w:val="ListNumber"/>
      </w:pPr>
      <w:r>
        <w:t>XRS-21. The system shall preserve human authority and state that the CDSS supports rather than replaces professional judgment.</w:t>
      </w:r>
    </w:p>
    <w:p>
      <w:pPr>
        <w:pStyle w:val="ListNumber"/>
      </w:pPr>
      <w:r>
        <w:t>XRS-22. The system shall clearly label future explainability functions as unimplemented until separately validated and approved.</w:t>
      </w:r>
    </w:p>
    <w:p>
      <w:pPr>
        <w:pStyle w:val="Heading1"/>
      </w:pPr>
      <w:r>
        <w:t>Conclusion</w:t>
      </w:r>
    </w:p>
    <w:p>
      <w:pPr>
        <w:pStyle w:val="BodyText"/>
      </w:pPr>
      <w:r>
        <w:t>Document 7 establishes explainability as a complete subsystem rather than a short text field attached to an AI prediction. Part 8 consolidates that subsystem into a single master specification: one decision source of truth, one canonical evidence model, controlled audience projections, independent quality evaluation, full provenance, governed change, and operational monitoring. The resulting design is deliberately conservative for a midwife-led lying-in clinic. It prioritizes explicit incompleteness over false certainty, deterministic safety precedence over model convenience, and human review over automation.</w:t>
      </w:r>
    </w:p>
    <w:p>
      <w:pPr>
        <w:pStyle w:val="BodyText"/>
      </w:pPr>
      <w:r>
        <w:t>The specification is also intentionally realistic about the project’s limits. It does not claim diagnosis, universal clinical validity, regulatory approval, raw-image interpretation, probabilistic certainty, or advanced feature attribution that has not been implemented and evaluated. Its strongest contribution is therefore not that the system can explain every internal detail of a Random Forest, but that every operational assessment can state what evidence was used, how rules and the model contributed, why the final status was selected, what the user should do next, what remains uncertain, and how the decision can be reproduced and governed over time.</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D9EAF7"/>
          </w:tcPr>
          <w:p>
            <w:pPr>
              <w:spacing w:after="40"/>
            </w:pPr>
            <w:r/>
            <w:r>
              <w:rPr>
                <w:rFonts w:ascii="Arial" w:hAnsi="Arial"/>
                <w:b/>
                <w:color w:val="1F4E79"/>
                <w:sz w:val="18"/>
              </w:rPr>
              <w:t>Document 7 completion statement</w:t>
              <w:br/>
            </w:r>
            <w:r>
              <w:rPr>
                <w:rFonts w:ascii="Arial" w:hAnsi="Arial"/>
                <w:sz w:val="17"/>
              </w:rPr>
              <w:t>Parts 1-8 together provide the complete explainability philosophy, architecture, deterministic specification, machine-learning specification, user-centered design, quality evaluation, governance lifecycle, and master implementation specification for the maternity CDSS.</w:t>
            </w:r>
          </w:p>
        </w:tc>
      </w:tr>
    </w:tbl>
    <w:p>
      <w:pPr/>
    </w:p>
    <w:p>
      <w:r>
        <w:br w:type="page"/>
      </w:r>
    </w:p>
    <w:p>
      <w:pPr>
        <w:pStyle w:val="Heading1"/>
      </w:pPr>
      <w:r>
        <w:t>References and Authoritative Guidance</w:t>
      </w:r>
    </w:p>
    <w:p>
      <w:pPr>
        <w:pStyle w:val="ListBullet"/>
      </w:pPr>
      <w:r>
        <w:t>World Health Organization. (2021). Ethics and governance of artificial intelligence for health: WHO guidance. ISBN 978-92-4-002920-0.</w:t>
      </w:r>
    </w:p>
    <w:p>
      <w:pPr>
        <w:pStyle w:val="ListBullet"/>
      </w:pPr>
      <w:r>
        <w:t>World Health Organization. (2024). Artificial Intelligence for Health: Supporting countries to deploy responsible AI technologies to accelerate equitable health for all.</w:t>
      </w:r>
    </w:p>
    <w:p>
      <w:pPr>
        <w:pStyle w:val="ListBullet"/>
      </w:pPr>
      <w:r>
        <w:t>National Institute of Standards and Technology. (2023). Artificial Intelligence Risk Management Framework (AI RMF 1.0), NIST AI 100-1.</w:t>
      </w:r>
    </w:p>
    <w:p>
      <w:pPr>
        <w:pStyle w:val="ListBullet"/>
      </w:pPr>
      <w:r>
        <w:t>National Institute of Standards and Technology. AI RMF Playbook and AI Resource Center materials supporting testing, evaluation, verification, and validation.</w:t>
      </w:r>
    </w:p>
    <w:p>
      <w:pPr>
        <w:pStyle w:val="ListBullet"/>
      </w:pPr>
      <w:r>
        <w:t>National Institute of Standards and Technology. (2021). Four Principles of Explainable Artificial Intelligence, NISTIR 8312.</w:t>
      </w:r>
    </w:p>
    <w:p>
      <w:pPr>
        <w:pStyle w:val="ListBullet"/>
      </w:pPr>
      <w:r>
        <w:t>U.S. Food and Drug Administration. (2026). Clinical Decision Support Software: Guidance for Industry and Food and Drug Administration Staff.</w:t>
      </w:r>
    </w:p>
    <w:p>
      <w:pPr>
        <w:pStyle w:val="ListBullet"/>
      </w:pPr>
      <w:r>
        <w:t>Republic Act No. 10173. Data Privacy Act of 2012, Republic of the Philippines.</w:t>
      </w:r>
    </w:p>
    <w:p>
      <w:pPr>
        <w:pStyle w:val="ListBullet"/>
      </w:pPr>
      <w:r>
        <w:t>National Privacy Commission. Implementing Rules and Regulations of Republic Act No. 10173 and related privacy/security guidance.</w:t>
      </w:r>
    </w:p>
    <w:p>
      <w:pPr>
        <w:pStyle w:val="ListBullet"/>
      </w:pPr>
      <w:r>
        <w:t>Centers for Disease Control and Prevention. Plain Language Materials and Resources for health communication.</w:t>
      </w:r>
    </w:p>
    <w:p>
      <w:pPr>
        <w:pStyle w:val="ListBullet"/>
      </w:pPr>
      <w:r>
        <w:t>Agency for Healthcare Research and Quality. Health Literacy Universal Precautions Toolkit.</w:t>
      </w:r>
    </w:p>
    <w:p>
      <w:pPr>
        <w:pStyle w:val="BodyText"/>
      </w:pPr>
      <w:r>
        <w:t>Note: These materials are design and governance references. Their inclusion does not represent certification, legal advice, regulatory approval, or a substitute for review by qualified clinical, legal, privacy, and institutional authorities.</w:t>
      </w:r>
    </w:p>
    <w:sectPr w:rsidR="00FC693F" w:rsidRPr="0006063C" w:rsidSect="00034616">
      <w:headerReference w:type="default" r:id="rId9"/>
      <w:footerReference w:type="default" r:id="rId10"/>
      <w:headerReference w:type="first" r:id="rId11"/>
      <w:headerReference w:type="even"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5A5A"/>
        <w:sz w:val="16"/>
      </w:rPr>
      <w:t>Complete Explainability Specification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414F62"/>
        <w:sz w:val="16"/>
      </w:rPr>
      <w:t>DOCUMENT 7 | PART 8 — COMPLETE EXPLAINABILITY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mall">
    <w:name w:val="Title Small"/>
    <w:rPr>
      <w:rFonts w:ascii="Arial" w:hAnsi="Arial"/>
      <w:b/>
      <w:color w:val="2F5496"/>
      <w:sz w:val="22"/>
    </w:rPr>
  </w:style>
  <w:style w:type="paragraph" w:customStyle="1" w:styleId="CaptionSmall">
    <w:name w:val="Caption Small"/>
    <w:rPr>
      <w:rFonts w:ascii="Arial" w:hAnsi="Arial"/>
      <w:i/>
      <w:color w:val="5A5A5A"/>
      <w:sz w:val="16"/>
    </w:rPr>
  </w:style>
  <w:style w:type="paragraph" w:customStyle="1" w:styleId="CodeBlock">
    <w:name w:val="Code Block"/>
    <w:pPr>
      <w:spacing w:before="80" w:after="80"/>
      <w:ind w:left="360" w:righ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8 — Complete Explainability Specification</dc:title>
  <dc:subject>Master explainability specification for the hybrid maternity CDSS</dc:subject>
  <dc:creator>Capstone Project Team</dc:creator>
  <cp:keywords>CDSS, explainability, maternity, Laravel, Random Forest, governance, verification</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