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b/>
          <w:color w:val="2F75B5"/>
          <w:sz w:val="24"/>
        </w:rPr>
        <w:t>DOCUMENT 1</w:t>
      </w:r>
    </w:p>
    <w:p>
      <w:pPr>
        <w:pStyle w:val="Title"/>
        <w:jc w:val="center"/>
      </w:pPr>
      <w:r>
        <w:t>Clinical Knowledge Base</w:t>
        <w:br/>
        <w:t>Part 11</w:t>
      </w:r>
    </w:p>
    <w:p>
      <w:pPr>
        <w:pStyle w:val="Subtitle"/>
        <w:jc w:val="center"/>
      </w:pPr>
      <w:r>
        <w:t>Maternal Warning Symptoms and Medical-History Conditions</w:t>
      </w:r>
    </w:p>
    <w:p>
      <w:pPr>
        <w:jc w:val="center"/>
      </w:pPr>
      <w:r>
        <w:rPr>
          <w:i/>
          <w:color w:val="666666"/>
          <w:sz w:val="20"/>
        </w:rPr>
        <w:t>Evidence-based clinical decision-support design for a Philippine lying-in clinic</w:t>
      </w:r>
    </w:p>
    <w:p/>
    <w:tbl>
      <w:tblPr>
        <w:tblW w:type="auto" w:w="0"/>
        <w:jc w:val="center"/>
        <w:tblLook w:firstColumn="1" w:firstRow="1" w:lastColumn="0" w:lastRow="0" w:noHBand="0" w:noVBand="1" w:val="04A0"/>
      </w:tblPr>
      <w:tblGrid>
        <w:gridCol w:w="10166"/>
      </w:tblGrid>
      <w:tr>
        <w:tc>
          <w:tcPr>
            <w:tcW w:type="dxa" w:w="10166"/>
            <w:shd w:fill="FCE4D6"/>
            <w:tcMar>
              <w:top w:w="110" w:type="dxa"/>
              <w:start w:w="130" w:type="dxa"/>
              <w:bottom w:w="105" w:type="dxa"/>
              <w:end w:w="130" w:type="dxa"/>
            </w:tcMar>
            <w:tcBorders>
              <w:top w:val="single" w:sz="4" w:color="FCE4D6"/>
              <w:left w:val="single" w:sz="18" w:color="C00000"/>
              <w:bottom w:val="single" w:sz="4" w:color="FCE4D6"/>
              <w:right w:val="single" w:sz="4" w:color="FCE4D6"/>
            </w:tcBorders>
          </w:tcPr>
          <w:p>
            <w:pPr>
              <w:spacing w:after="40"/>
            </w:pPr>
            <w:r>
              <w:rPr>
                <w:rFonts w:ascii="Aptos" w:hAnsi="Aptos"/>
                <w:b/>
                <w:color w:val="C00000"/>
                <w:sz w:val="19"/>
              </w:rPr>
              <w:t>CORE SAFETY POSITION</w:t>
            </w:r>
          </w:p>
          <w:p>
            <w:pPr>
              <w:spacing w:after="0"/>
            </w:pPr>
            <w:r>
              <w:rPr>
                <w:rFonts w:ascii="Aptos" w:hAnsi="Aptos"/>
                <w:sz w:val="17"/>
              </w:rPr>
              <w:t>The CDSS must recognize warning patterns, structure clinical information, explain why escalation is recommended, and document actions. It must not diagnose the cause of a symptom, prescribe treatment independently, delay emergency transfer, or replace assessment by a qualified clinician.</w:t>
            </w:r>
          </w:p>
        </w:tc>
      </w:tr>
    </w:tbl>
    <w:p>
      <w:pPr>
        <w:pStyle w:val="SmallNote"/>
      </w:pPr>
    </w:p>
    <w:p>
      <w:pPr>
        <w:jc w:val="center"/>
      </w:pPr>
      <w:r>
        <w:rPr>
          <w:color w:val="666666"/>
          <w:sz w:val="18"/>
        </w:rPr>
        <w:t>Prepared for capstone planning and implementation</w:t>
      </w:r>
    </w:p>
    <w:p>
      <w:r>
        <w:br w:type="page"/>
      </w:r>
    </w:p>
    <w:p>
      <w:pPr>
        <w:pStyle w:val="Heading1"/>
      </w:pPr>
      <w:r>
        <w:t>1. Purpose and Scope</w:t>
      </w:r>
    </w:p>
    <w:p>
      <w:r>
        <w:t>This chapter converts maternal warning symptoms and relevant medical-history conditions into a safe, explainable clinical knowledge layer for the maternity CDSS. It is designed for antenatal encounters in a lying-in clinic, while recognizing that serious pregnancy-related complications may also occur during labour and after birth. The primary software task is triage support: identify potentially urgent patterns, expose missing information, and recommend an appropriate level of care.</w:t>
      </w:r>
    </w:p>
    <w:tbl>
      <w:tblPr>
        <w:tblW w:type="auto" w:w="0"/>
        <w:jc w:val="center"/>
        <w:tblLook w:firstColumn="1" w:firstRow="1" w:lastColumn="0" w:lastRow="0" w:noHBand="0" w:noVBand="1" w:val="04A0"/>
      </w:tblPr>
      <w:tblGrid>
        <w:gridCol w:w="10166"/>
      </w:tblGrid>
      <w:tr>
        <w:tc>
          <w:tcPr>
            <w:tcW w:type="dxa" w:w="10166"/>
            <w:shd w:fill="EAF2F8"/>
            <w:tcMar>
              <w:top w:w="110" w:type="dxa"/>
              <w:start w:w="130" w:type="dxa"/>
              <w:bottom w:w="105" w:type="dxa"/>
              <w:end w:w="130" w:type="dxa"/>
            </w:tcMar>
            <w:tcBorders>
              <w:top w:val="single" w:sz="4" w:color="EAF2F8"/>
              <w:left w:val="single" w:sz="18" w:color="2F75B5"/>
              <w:bottom w:val="single" w:sz="4" w:color="EAF2F8"/>
              <w:right w:val="single" w:sz="4" w:color="EAF2F8"/>
            </w:tcBorders>
          </w:tcPr>
          <w:p>
            <w:pPr>
              <w:spacing w:after="40"/>
            </w:pPr>
            <w:r>
              <w:rPr>
                <w:rFonts w:ascii="Aptos" w:hAnsi="Aptos"/>
                <w:b/>
                <w:color w:val="2F75B5"/>
                <w:sz w:val="19"/>
              </w:rPr>
              <w:t>Interpretation rule</w:t>
            </w:r>
          </w:p>
          <w:p>
            <w:pPr>
              <w:spacing w:after="0"/>
            </w:pPr>
            <w:r>
              <w:rPr>
                <w:rFonts w:ascii="Aptos" w:hAnsi="Aptos"/>
                <w:sz w:val="17"/>
              </w:rPr>
              <w:t>Symptoms are not diagnoses. The same complaint can have benign or life-threatening causes. The system therefore classifies the required response—not the disease—using the woman's current condition, vital signs, gestational age, known history, associated findings, and facility capability.</w:t>
            </w:r>
          </w:p>
        </w:tc>
      </w:tr>
    </w:tbl>
    <w:p>
      <w:pPr>
        <w:pStyle w:val="SmallNote"/>
      </w:pPr>
    </w:p>
    <w:p>
      <w:pPr>
        <w:pStyle w:val="Heading2"/>
      </w:pPr>
      <w:r>
        <w:t>1.1 Evidence base and hierarchy</w:t>
      </w:r>
    </w:p>
    <w:p>
      <w:pPr>
        <w:pStyle w:val="ListBullet"/>
        <w:spacing w:after="40"/>
      </w:pPr>
      <w:r>
        <w:t>World Health Organization guidance on antenatal care, danger-sign education, substance-use enquiry, respectful care, and violence support.</w:t>
      </w:r>
    </w:p>
    <w:p>
      <w:pPr>
        <w:pStyle w:val="ListBullet"/>
        <w:spacing w:after="40"/>
      </w:pPr>
      <w:r>
        <w:t>NICE antenatal care, hypertension in pregnancy, mental-health, and complex-social-factor recommendations.</w:t>
      </w:r>
    </w:p>
    <w:p>
      <w:pPr>
        <w:pStyle w:val="ListBullet"/>
        <w:spacing w:after="40"/>
      </w:pPr>
      <w:r>
        <w:t>CDC/Alliance for Innovation on Maternal Health urgent maternal warning signs for pregnancy and the postpartum year.</w:t>
      </w:r>
    </w:p>
    <w:p>
      <w:pPr>
        <w:pStyle w:val="ListBullet"/>
        <w:spacing w:after="40"/>
      </w:pPr>
      <w:r>
        <w:t>Condition-specific professional guidance is used only to establish referral and safety principles; the system does not reproduce specialist diagnostic pathways.</w:t>
      </w:r>
    </w:p>
    <w:p>
      <w:pPr>
        <w:pStyle w:val="ListBullet"/>
        <w:spacing w:after="40"/>
      </w:pPr>
      <w:r>
        <w:t>When guidance differs by setting, the chapter chooses the safer action that remains feasible for a Philippine lying-in clinic and clearly labels the decision as a scope-of-care recommendation.</w:t>
      </w:r>
    </w:p>
    <w:p>
      <w:pPr>
        <w:pStyle w:val="Heading2"/>
      </w:pPr>
      <w:r>
        <w:t>1.2 Four action levels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00"/>
            <w:tcMar>
              <w:top w:w="60" w:type="dxa"/>
              <w:start w:w="70" w:type="dxa"/>
              <w:bottom w:w="60" w:type="dxa"/>
              <w:end w:w="70" w:type="dxa"/>
            </w:tcMar>
            <w:vAlign w:val="center"/>
            <w:shd w:fill="17365D"/>
            <w:tcBorders>
              <w:top w:val="single" w:sz="4" w:color="B7B7B7"/>
              <w:left w:val="single" w:sz="4" w:color="B7B7B7"/>
              <w:bottom w:val="single" w:sz="4" w:color="B7B7B7"/>
              <w:right w:val="single" w:sz="4" w:color="B7B7B7"/>
            </w:tcBorders>
          </w:tcPr>
          <w:p>
            <w:pPr>
              <w:spacing w:after="20" w:before="0"/>
            </w:pPr>
            <w:r>
              <w:rPr>
                <w:rFonts w:ascii="Aptos" w:hAnsi="Aptos"/>
                <w:b/>
                <w:color w:val="FFFFFF"/>
                <w:sz w:val="14"/>
              </w:rPr>
              <w:t>Action level</w:t>
            </w:r>
          </w:p>
        </w:tc>
        <w:tc>
          <w:tcPr>
            <w:tcW w:type="dxa" w:w="3672"/>
            <w:tcMar>
              <w:top w:w="60" w:type="dxa"/>
              <w:start w:w="70" w:type="dxa"/>
              <w:bottom w:w="60" w:type="dxa"/>
              <w:end w:w="70" w:type="dxa"/>
            </w:tcMar>
            <w:vAlign w:val="center"/>
            <w:shd w:fill="17365D"/>
            <w:tcBorders>
              <w:top w:val="single" w:sz="4" w:color="B7B7B7"/>
              <w:left w:val="single" w:sz="4" w:color="B7B7B7"/>
              <w:bottom w:val="single" w:sz="4" w:color="B7B7B7"/>
              <w:right w:val="single" w:sz="4" w:color="B7B7B7"/>
            </w:tcBorders>
          </w:tcPr>
          <w:p>
            <w:pPr>
              <w:spacing w:after="20" w:before="0"/>
            </w:pPr>
            <w:r>
              <w:rPr>
                <w:rFonts w:ascii="Aptos" w:hAnsi="Aptos"/>
                <w:b/>
                <w:color w:val="FFFFFF"/>
                <w:sz w:val="14"/>
              </w:rPr>
              <w:t>Meaning in the CDSS</w:t>
            </w:r>
          </w:p>
        </w:tc>
        <w:tc>
          <w:tcPr>
            <w:tcW w:type="dxa" w:w="4536"/>
            <w:tcMar>
              <w:top w:w="60" w:type="dxa"/>
              <w:start w:w="70" w:type="dxa"/>
              <w:bottom w:w="60" w:type="dxa"/>
              <w:end w:w="70" w:type="dxa"/>
            </w:tcMar>
            <w:vAlign w:val="center"/>
            <w:shd w:fill="17365D"/>
            <w:tcBorders>
              <w:top w:val="single" w:sz="4" w:color="B7B7B7"/>
              <w:left w:val="single" w:sz="4" w:color="B7B7B7"/>
              <w:bottom w:val="single" w:sz="4" w:color="B7B7B7"/>
              <w:right w:val="single" w:sz="4" w:color="B7B7B7"/>
            </w:tcBorders>
          </w:tcPr>
          <w:p>
            <w:pPr>
              <w:spacing w:after="20" w:before="0"/>
            </w:pPr>
            <w:r>
              <w:rPr>
                <w:rFonts w:ascii="Aptos" w:hAnsi="Aptos"/>
                <w:b/>
                <w:color w:val="FFFFFF"/>
                <w:sz w:val="14"/>
              </w:rPr>
              <w:t>Expected clinic response</w:t>
            </w:r>
          </w:p>
        </w:tc>
      </w:tr>
      <w:tr>
        <w:tc>
          <w:tcPr>
            <w:tcW w:type="dxa" w:w="1800"/>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EMERGENCY TRANSFER</w:t>
            </w:r>
          </w:p>
        </w:tc>
        <w:tc>
          <w:tcPr>
            <w:tcW w:type="dxa" w:w="3672"/>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Potentially life-threatening symptom, unstable vital sign, major bleeding, seizure, altered consciousness, severe respiratory/cardiac symptom, or dangerous combination.</w:t>
            </w:r>
          </w:p>
        </w:tc>
        <w:tc>
          <w:tcPr>
            <w:tcW w:type="dxa" w:w="4536"/>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Immediate clinician response, emergency protocol, stabilization within competence, arrange transfer/EMS, document time and handover. Do not wait for routine form completion.</w:t>
            </w:r>
          </w:p>
        </w:tc>
      </w:tr>
      <w:tr>
        <w:tc>
          <w:tcPr>
            <w:tcW w:type="dxa" w:w="1800"/>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URGENT SAME-DAY ASSESSMENT</w:t>
            </w:r>
          </w:p>
        </w:tc>
        <w:tc>
          <w:tcPr>
            <w:tcW w:type="dxa" w:w="3672"/>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Symptom or condition requires prompt obstetric/medical evaluation but the woman is not currently unstable.</w:t>
            </w:r>
          </w:p>
        </w:tc>
        <w:tc>
          <w:tcPr>
            <w:tcW w:type="dxa" w:w="4536"/>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Contact receiving facility/doctor, arrange same-day review, provide safety-net instructions, document acceptance or refusal.</w:t>
            </w:r>
          </w:p>
        </w:tc>
      </w:tr>
      <w:tr>
        <w:tc>
          <w:tcPr>
            <w:tcW w:type="dxa" w:w="1800"/>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EXPEDITED CLINICAL REVIEW</w:t>
            </w:r>
          </w:p>
        </w:tc>
        <w:tc>
          <w:tcPr>
            <w:tcW w:type="dxa" w:w="3672"/>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Important history, persistent symptom, medication concern, or abnormal pattern requiring planned review soon.</w:t>
            </w:r>
          </w:p>
        </w:tc>
        <w:tc>
          <w:tcPr>
            <w:tcW w:type="dxa" w:w="4536"/>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Clinician reviews within defined local timeframe; update care plan and referral pathway.</w:t>
            </w:r>
          </w:p>
        </w:tc>
      </w:tr>
      <w:tr>
        <w:tc>
          <w:tcPr>
            <w:tcW w:type="dxa" w:w="1800"/>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ROUTINE / DOCUMENT &amp; MONITOR</w:t>
            </w:r>
          </w:p>
        </w:tc>
        <w:tc>
          <w:tcPr>
            <w:tcW w:type="dxa" w:w="3672"/>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Stable, expected, or previously assessed finding with no red flags.</w:t>
            </w:r>
          </w:p>
        </w:tc>
        <w:tc>
          <w:tcPr>
            <w:tcW w:type="dxa" w:w="4536"/>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Record structured details, continue routine care, give return precautions, reassess at future contacts.</w:t>
            </w:r>
          </w:p>
        </w:tc>
      </w:tr>
    </w:tbl>
    <w:p>
      <w:pPr>
        <w:pStyle w:val="SmallNote"/>
      </w:pPr>
    </w:p>
    <w:p>
      <w:pPr>
        <w:pStyle w:val="Heading1"/>
      </w:pPr>
      <w:r>
        <w:t>2. Universal Maternal Warning-Symptom Framework</w:t>
      </w:r>
    </w:p>
    <w:p>
      <w:r>
        <w:t>Every symptom entry should collect enough context to determine urgency without pretending to establish a diagnosis.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016"/>
            <w:tcMar>
              <w:top w:w="60" w:type="dxa"/>
              <w:start w:w="70" w:type="dxa"/>
              <w:bottom w:w="60" w:type="dxa"/>
              <w:end w:w="70" w:type="dxa"/>
            </w:tcMar>
            <w:vAlign w:val="center"/>
            <w:shd w:fill="17365D"/>
            <w:tcBorders>
              <w:top w:val="single" w:sz="4" w:color="B7B7B7"/>
              <w:left w:val="single" w:sz="4" w:color="B7B7B7"/>
              <w:bottom w:val="single" w:sz="4" w:color="B7B7B7"/>
              <w:right w:val="single" w:sz="4" w:color="B7B7B7"/>
            </w:tcBorders>
          </w:tcPr>
          <w:p>
            <w:pPr>
              <w:spacing w:after="20" w:before="0"/>
            </w:pPr>
            <w:r>
              <w:rPr>
                <w:rFonts w:ascii="Aptos" w:hAnsi="Aptos"/>
                <w:b/>
                <w:color w:val="FFFFFF"/>
                <w:sz w:val="15"/>
              </w:rPr>
              <w:t>Data element</w:t>
            </w:r>
          </w:p>
        </w:tc>
        <w:tc>
          <w:tcPr>
            <w:tcW w:type="dxa" w:w="8064"/>
            <w:tcMar>
              <w:top w:w="60" w:type="dxa"/>
              <w:start w:w="70" w:type="dxa"/>
              <w:bottom w:w="60" w:type="dxa"/>
              <w:end w:w="70" w:type="dxa"/>
            </w:tcMar>
            <w:vAlign w:val="center"/>
            <w:shd w:fill="17365D"/>
            <w:tcBorders>
              <w:top w:val="single" w:sz="4" w:color="B7B7B7"/>
              <w:left w:val="single" w:sz="4" w:color="B7B7B7"/>
              <w:bottom w:val="single" w:sz="4" w:color="B7B7B7"/>
              <w:right w:val="single" w:sz="4" w:color="B7B7B7"/>
            </w:tcBorders>
          </w:tcPr>
          <w:p>
            <w:pPr>
              <w:spacing w:after="20" w:before="0"/>
            </w:pPr>
            <w:r>
              <w:rPr>
                <w:rFonts w:ascii="Aptos" w:hAnsi="Aptos"/>
                <w:b/>
                <w:color w:val="FFFFFF"/>
                <w:sz w:val="15"/>
              </w:rPr>
              <w:t>Minimum structured content</w:t>
            </w:r>
          </w:p>
        </w:tc>
      </w:tr>
      <w:tr>
        <w:tc>
          <w:tcPr>
            <w:tcW w:type="dxa" w:w="2016"/>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5"/>
              </w:rPr>
              <w:t>Symptom identity</w:t>
            </w:r>
          </w:p>
        </w:tc>
        <w:tc>
          <w:tcPr>
            <w:tcW w:type="dxa" w:w="8064"/>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5"/>
              </w:rPr>
              <w:t>Standardized symptom code plus patient wording.</w:t>
            </w:r>
          </w:p>
        </w:tc>
      </w:tr>
      <w:tr>
        <w:tc>
          <w:tcPr>
            <w:tcW w:type="dxa" w:w="2016"/>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5"/>
              </w:rPr>
              <w:t>Timing</w:t>
            </w:r>
          </w:p>
        </w:tc>
        <w:tc>
          <w:tcPr>
            <w:tcW w:type="dxa" w:w="8064"/>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5"/>
              </w:rPr>
              <w:t>Onset date/time, sudden or gradual, duration, intermittent or continuous.</w:t>
            </w:r>
          </w:p>
        </w:tc>
      </w:tr>
      <w:tr>
        <w:tc>
          <w:tcPr>
            <w:tcW w:type="dxa" w:w="2016"/>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5"/>
              </w:rPr>
              <w:t>Severity and trajectory</w:t>
            </w:r>
          </w:p>
        </w:tc>
        <w:tc>
          <w:tcPr>
            <w:tcW w:type="dxa" w:w="8064"/>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5"/>
              </w:rPr>
              <w:t>Mild/moderate/severe; improving, unchanged, or worsening; effect on daily function.</w:t>
            </w:r>
          </w:p>
        </w:tc>
      </w:tr>
      <w:tr>
        <w:tc>
          <w:tcPr>
            <w:tcW w:type="dxa" w:w="2016"/>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5"/>
              </w:rPr>
              <w:t>Associated findings</w:t>
            </w:r>
          </w:p>
        </w:tc>
        <w:tc>
          <w:tcPr>
            <w:tcW w:type="dxa" w:w="8064"/>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5"/>
              </w:rPr>
              <w:t>Bleeding, fever, headache, visual changes, pain location, dyspnoea, fainting, vomiting, urinary symptoms, fetal-movement change, trauma, etc.</w:t>
            </w:r>
          </w:p>
        </w:tc>
      </w:tr>
      <w:tr>
        <w:tc>
          <w:tcPr>
            <w:tcW w:type="dxa" w:w="2016"/>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5"/>
              </w:rPr>
              <w:t>Objective observations</w:t>
            </w:r>
          </w:p>
        </w:tc>
        <w:tc>
          <w:tcPr>
            <w:tcW w:type="dxa" w:w="8064"/>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5"/>
              </w:rPr>
              <w:t>Blood pressure, pulse, temperature, respiratory rate, oxygen saturation when available, mental status, and visible bleeding.</w:t>
            </w:r>
          </w:p>
        </w:tc>
      </w:tr>
      <w:tr>
        <w:tc>
          <w:tcPr>
            <w:tcW w:type="dxa" w:w="2016"/>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5"/>
              </w:rPr>
              <w:t>Pregnancy context</w:t>
            </w:r>
          </w:p>
        </w:tc>
        <w:tc>
          <w:tcPr>
            <w:tcW w:type="dxa" w:w="8064"/>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5"/>
              </w:rPr>
              <w:t>Gestational age and confidence, fetal number, placental report, previous cesarean, medical conditions, medicines, recent procedures.</w:t>
            </w:r>
          </w:p>
        </w:tc>
      </w:tr>
      <w:tr>
        <w:tc>
          <w:tcPr>
            <w:tcW w:type="dxa" w:w="2016"/>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5"/>
              </w:rPr>
              <w:t>Action and outcome</w:t>
            </w:r>
          </w:p>
        </w:tc>
        <w:tc>
          <w:tcPr>
            <w:tcW w:type="dxa" w:w="8064"/>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5"/>
              </w:rPr>
              <w:t>Advice, referral urgency, receiving facility, clinician notified, transport, refusal, resolution, and follow-up.</w:t>
            </w:r>
          </w:p>
        </w:tc>
      </w:tr>
    </w:tbl>
    <w:p>
      <w:pPr>
        <w:pStyle w:val="SmallNote"/>
      </w:pPr>
    </w:p>
    <w:p>
      <w:pPr>
        <w:pStyle w:val="Heading2"/>
      </w:pPr>
      <w:r>
        <w:t>2.1 Safety-net principle</w:t>
      </w:r>
    </w:p>
    <w:p>
      <w:r>
        <w:t>A woman who reports that something feels seriously wrong should not be dismissed because one numeric threshold is absent. CDC warning-sign guidance explicitly advises immediate care for listed urgent symptoms and encourages review when a concern is unusual or worrying. The CDSS should therefore allow clinician escalation even when no programmed rule fires.</w:t>
      </w:r>
    </w:p>
    <w:tbl>
      <w:tblPr>
        <w:tblW w:type="auto" w:w="0"/>
        <w:jc w:val="center"/>
        <w:tblLook w:firstColumn="1" w:firstRow="1" w:lastColumn="0" w:lastRow="0" w:noHBand="0" w:noVBand="1" w:val="04A0"/>
      </w:tblPr>
      <w:tblGrid>
        <w:gridCol w:w="10166"/>
      </w:tblGrid>
      <w:tr>
        <w:tc>
          <w:tcPr>
            <w:tcW w:type="dxa" w:w="10166"/>
            <w:shd w:fill="EAF2F8"/>
            <w:tcMar>
              <w:top w:w="110" w:type="dxa"/>
              <w:start w:w="130" w:type="dxa"/>
              <w:bottom w:w="105" w:type="dxa"/>
              <w:end w:w="130" w:type="dxa"/>
            </w:tcMar>
            <w:tcBorders>
              <w:top w:val="single" w:sz="4" w:color="EAF2F8"/>
              <w:left w:val="single" w:sz="18" w:color="2F75B5"/>
              <w:bottom w:val="single" w:sz="4" w:color="EAF2F8"/>
              <w:right w:val="single" w:sz="4" w:color="EAF2F8"/>
            </w:tcBorders>
          </w:tcPr>
          <w:p>
            <w:pPr>
              <w:spacing w:after="40"/>
            </w:pPr>
            <w:r>
              <w:rPr>
                <w:rFonts w:ascii="Aptos" w:hAnsi="Aptos"/>
                <w:b/>
                <w:color w:val="2F75B5"/>
                <w:sz w:val="19"/>
              </w:rPr>
              <w:t>No false reassurance</w:t>
            </w:r>
          </w:p>
          <w:p>
            <w:pPr>
              <w:spacing w:after="0"/>
            </w:pPr>
            <w:r>
              <w:rPr>
                <w:rFonts w:ascii="Aptos" w:hAnsi="Aptos"/>
                <w:sz w:val="17"/>
              </w:rPr>
              <w:t>A normal single blood-pressure, temperature, fetal-heart, or oxygen-saturation value does not automatically neutralize a severe symptom. The recommendation must consider the complete presentation and trend.</w:t>
            </w:r>
          </w:p>
        </w:tc>
      </w:tr>
    </w:tbl>
    <w:p>
      <w:pPr>
        <w:pStyle w:val="SmallNote"/>
      </w:pPr>
    </w:p>
    <w:p>
      <w:pPr>
        <w:pStyle w:val="Heading1"/>
      </w:pPr>
      <w:r>
        <w:t>3. Maternal Warning Symptoms: Evidence-to-Action Matrix</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tcMar>
              <w:top w:w="60" w:type="dxa"/>
              <w:start w:w="70" w:type="dxa"/>
              <w:bottom w:w="60" w:type="dxa"/>
              <w:end w:w="70" w:type="dxa"/>
            </w:tcMar>
            <w:vAlign w:val="center"/>
            <w:shd w:fill="17365D"/>
            <w:tcBorders>
              <w:top w:val="single" w:sz="4" w:color="B7B7B7"/>
              <w:left w:val="single" w:sz="4" w:color="B7B7B7"/>
              <w:bottom w:val="single" w:sz="4" w:color="B7B7B7"/>
              <w:right w:val="single" w:sz="4" w:color="B7B7B7"/>
            </w:tcBorders>
          </w:tcPr>
          <w:p>
            <w:pPr>
              <w:spacing w:after="20" w:before="0"/>
            </w:pPr>
            <w:r>
              <w:rPr>
                <w:rFonts w:ascii="Aptos" w:hAnsi="Aptos"/>
                <w:b/>
                <w:color w:val="FFFFFF"/>
                <w:sz w:val="13"/>
              </w:rPr>
              <w:t>Symptom / pattern</w:t>
            </w:r>
          </w:p>
        </w:tc>
        <w:tc>
          <w:tcPr>
            <w:tcW w:type="dxa" w:w="6120"/>
            <w:tcMar>
              <w:top w:w="60" w:type="dxa"/>
              <w:start w:w="70" w:type="dxa"/>
              <w:bottom w:w="60" w:type="dxa"/>
              <w:end w:w="70" w:type="dxa"/>
            </w:tcMar>
            <w:vAlign w:val="center"/>
            <w:shd w:fill="17365D"/>
            <w:tcBorders>
              <w:top w:val="single" w:sz="4" w:color="B7B7B7"/>
              <w:left w:val="single" w:sz="4" w:color="B7B7B7"/>
              <w:bottom w:val="single" w:sz="4" w:color="B7B7B7"/>
              <w:right w:val="single" w:sz="4" w:color="B7B7B7"/>
            </w:tcBorders>
          </w:tcPr>
          <w:p>
            <w:pPr>
              <w:spacing w:after="20" w:before="0"/>
            </w:pPr>
            <w:r>
              <w:rPr>
                <w:rFonts w:ascii="Aptos" w:hAnsi="Aptos"/>
                <w:b/>
                <w:color w:val="FFFFFF"/>
                <w:sz w:val="13"/>
              </w:rPr>
              <w:t>CDSS interpretation boundary</w:t>
            </w:r>
          </w:p>
        </w:tc>
        <w:tc>
          <w:tcPr>
            <w:tcW w:type="dxa" w:w="1800"/>
            <w:tcMar>
              <w:top w:w="60" w:type="dxa"/>
              <w:start w:w="70" w:type="dxa"/>
              <w:bottom w:w="60" w:type="dxa"/>
              <w:end w:w="70" w:type="dxa"/>
            </w:tcMar>
            <w:vAlign w:val="center"/>
            <w:shd w:fill="17365D"/>
            <w:tcBorders>
              <w:top w:val="single" w:sz="4" w:color="B7B7B7"/>
              <w:left w:val="single" w:sz="4" w:color="B7B7B7"/>
              <w:bottom w:val="single" w:sz="4" w:color="B7B7B7"/>
              <w:right w:val="single" w:sz="4" w:color="B7B7B7"/>
            </w:tcBorders>
          </w:tcPr>
          <w:p>
            <w:pPr>
              <w:spacing w:after="20" w:before="0"/>
            </w:pPr>
            <w:r>
              <w:rPr>
                <w:rFonts w:ascii="Aptos" w:hAnsi="Aptos"/>
                <w:b/>
                <w:color w:val="FFFFFF"/>
                <w:sz w:val="13"/>
              </w:rPr>
              <w:t>Action</w:t>
            </w:r>
          </w:p>
        </w:tc>
      </w:tr>
      <w:tr>
        <w:tc>
          <w:tcPr>
            <w:tcW w:type="dxa" w:w="2232"/>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Seizure, convulsion, loss of consciousness, new confusion</w:t>
            </w:r>
          </w:p>
        </w:tc>
        <w:tc>
          <w:tcPr>
            <w:tcW w:type="dxa" w:w="6120"/>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Any occurrence in pregnancy or postpartum is an emergency; consider eclampsia, neurologic, metabolic, infectious, or other causes without diagnosing.</w:t>
            </w:r>
          </w:p>
        </w:tc>
        <w:tc>
          <w:tcPr>
            <w:tcW w:type="dxa" w:w="1800"/>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EMERGENCY TRANSFER</w:t>
            </w:r>
          </w:p>
        </w:tc>
      </w:tr>
      <w:tr>
        <w:tc>
          <w:tcPr>
            <w:tcW w:type="dxa" w:w="2232"/>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Severe or worsening headache</w:t>
            </w:r>
          </w:p>
        </w:tc>
        <w:tc>
          <w:tcPr>
            <w:tcW w:type="dxa" w:w="6120"/>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Urgent when persistent, sudden/thunderclap, described as worst-ever, or accompanied by hypertension, visual symptoms, neurologic signs, epigastric/right-upper-quadrant pain, vomiting, or swelling.</w:t>
            </w:r>
          </w:p>
        </w:tc>
        <w:tc>
          <w:tcPr>
            <w:tcW w:type="dxa" w:w="1800"/>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EMERGENCY or URGENT SAME-DAY depending on stability</w:t>
            </w:r>
          </w:p>
        </w:tc>
      </w:tr>
      <w:tr>
        <w:tc>
          <w:tcPr>
            <w:tcW w:type="dxa" w:w="2232"/>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Visual disturbance</w:t>
            </w:r>
          </w:p>
        </w:tc>
        <w:tc>
          <w:tcPr>
            <w:tcW w:type="dxa" w:w="6120"/>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Blurred/double vision, flashes, scotomata, temporary loss of vision, especially with headache or hypertension, requires immediate evaluation.</w:t>
            </w:r>
          </w:p>
        </w:tc>
        <w:tc>
          <w:tcPr>
            <w:tcW w:type="dxa" w:w="1800"/>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URGENT SAME-DAY; EMERGENCY if severe/neurologic/unstable</w:t>
            </w:r>
          </w:p>
        </w:tc>
      </w:tr>
      <w:tr>
        <w:tc>
          <w:tcPr>
            <w:tcW w:type="dxa" w:w="2232"/>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Severe hypertension</w:t>
            </w:r>
          </w:p>
        </w:tc>
        <w:tc>
          <w:tcPr>
            <w:tcW w:type="dxa" w:w="6120"/>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BP at or above 160 systolic or 110 diastolic is severe in NICE guidance and requires urgent same-day secondary-care assessment; emergency response if symptomatic or unstable.</w:t>
            </w:r>
          </w:p>
        </w:tc>
        <w:tc>
          <w:tcPr>
            <w:tcW w:type="dxa" w:w="1800"/>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EMERGENCY / immediate transfer pathway</w:t>
            </w:r>
          </w:p>
        </w:tc>
      </w:tr>
      <w:tr>
        <w:tc>
          <w:tcPr>
            <w:tcW w:type="dxa" w:w="2232"/>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Vaginal bleeding</w:t>
            </w:r>
          </w:p>
        </w:tc>
        <w:tc>
          <w:tcPr>
            <w:tcW w:type="dxa" w:w="6120"/>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More than spotting, heavy or ongoing bleeding, bleeding with pain, dizziness, fainting, pallor, shock, placenta previa/PAS history, or later gestation requires urgent escalation.</w:t>
            </w:r>
          </w:p>
        </w:tc>
        <w:tc>
          <w:tcPr>
            <w:tcW w:type="dxa" w:w="1800"/>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EMERGENCY for heavy/unstable; otherwise URGENT SAME-DAY</w:t>
            </w:r>
          </w:p>
        </w:tc>
      </w:tr>
      <w:tr>
        <w:tc>
          <w:tcPr>
            <w:tcW w:type="dxa" w:w="2232"/>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Fluid leaking from vagina</w:t>
            </w:r>
          </w:p>
        </w:tc>
        <w:tc>
          <w:tcPr>
            <w:tcW w:type="dxa" w:w="6120"/>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Possible rupture of membranes cannot be confirmed by the CDSS. Record onset, color, odor, amount, gestation, contractions, fever, and fetal movement.</w:t>
            </w:r>
          </w:p>
        </w:tc>
        <w:tc>
          <w:tcPr>
            <w:tcW w:type="dxa" w:w="1800"/>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URGENT SAME-DAY; EMERGENCY if cord/prolapse concern, bleeding, fever, distress</w:t>
            </w:r>
          </w:p>
        </w:tc>
      </w:tr>
      <w:tr>
        <w:tc>
          <w:tcPr>
            <w:tcW w:type="dxa" w:w="2232"/>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Severe abdominal, pelvic, epigastric, rib, chest, shoulder, or back pain</w:t>
            </w:r>
          </w:p>
        </w:tc>
        <w:tc>
          <w:tcPr>
            <w:tcW w:type="dxa" w:w="6120"/>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Sudden, persistent, worsening, localized severe pain, pain with bleeding, previous cesarean, trauma, hypertension, fever, or syncope is high priority.</w:t>
            </w:r>
          </w:p>
        </w:tc>
        <w:tc>
          <w:tcPr>
            <w:tcW w:type="dxa" w:w="1800"/>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EMERGENCY or URGENT SAME-DAY</w:t>
            </w:r>
          </w:p>
        </w:tc>
      </w:tr>
      <w:tr>
        <w:tc>
          <w:tcPr>
            <w:tcW w:type="dxa" w:w="2232"/>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Fever</w:t>
            </w:r>
          </w:p>
        </w:tc>
        <w:tc>
          <w:tcPr>
            <w:tcW w:type="dxa" w:w="6120"/>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CDC urgent warning threshold is 38.0°C (100.4°F) or higher. Pregnancy plus systemic illness, altered mental status, breathing difficulty, tachycardia, hypotension, or foul discharge raises sepsis concern.</w:t>
            </w:r>
          </w:p>
        </w:tc>
        <w:tc>
          <w:tcPr>
            <w:tcW w:type="dxa" w:w="1800"/>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URGENT SAME-DAY; EMERGENCY when systemically unwell</w:t>
            </w:r>
          </w:p>
        </w:tc>
      </w:tr>
      <w:tr>
        <w:tc>
          <w:tcPr>
            <w:tcW w:type="dxa" w:w="2232"/>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Trouble breathing</w:t>
            </w:r>
          </w:p>
        </w:tc>
        <w:tc>
          <w:tcPr>
            <w:tcW w:type="dxa" w:w="6120"/>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Sudden or worsening breathlessness, inability to speak normally, chest tightness, orthopnoea, cyanosis, low saturation, or associated chest pain/fainting is potentially life-threatening.</w:t>
            </w:r>
          </w:p>
        </w:tc>
        <w:tc>
          <w:tcPr>
            <w:tcW w:type="dxa" w:w="1800"/>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EMERGENCY TRANSFER</w:t>
            </w:r>
          </w:p>
        </w:tc>
      </w:tr>
      <w:tr>
        <w:tc>
          <w:tcPr>
            <w:tcW w:type="dxa" w:w="2232"/>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Chest pain, palpitations, fast or irregular heartbeat</w:t>
            </w:r>
          </w:p>
        </w:tc>
        <w:tc>
          <w:tcPr>
            <w:tcW w:type="dxa" w:w="6120"/>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Chest pressure, radiating pain, dyspnoea, dizziness, fainting, or disorientation requires immediate assessment.</w:t>
            </w:r>
          </w:p>
        </w:tc>
        <w:tc>
          <w:tcPr>
            <w:tcW w:type="dxa" w:w="1800"/>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EMERGENCY TRANSFER</w:t>
            </w:r>
          </w:p>
        </w:tc>
      </w:tr>
      <w:tr>
        <w:tc>
          <w:tcPr>
            <w:tcW w:type="dxa" w:w="2232"/>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Dizziness or fainting</w:t>
            </w:r>
          </w:p>
        </w:tc>
        <w:tc>
          <w:tcPr>
            <w:tcW w:type="dxa" w:w="6120"/>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Actual syncope, persistent/recurrent dizziness, bleeding, chest symptoms, severe headache, neurologic signs, or dehydration requires urgent care.</w:t>
            </w:r>
          </w:p>
        </w:tc>
        <w:tc>
          <w:tcPr>
            <w:tcW w:type="dxa" w:w="1800"/>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EMERGENCY if unstable/associated red flags; otherwise URGENT SAME-DAY</w:t>
            </w:r>
          </w:p>
        </w:tc>
      </w:tr>
      <w:tr>
        <w:tc>
          <w:tcPr>
            <w:tcW w:type="dxa" w:w="2232"/>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Severe nausea and vomiting</w:t>
            </w:r>
          </w:p>
        </w:tc>
        <w:tc>
          <w:tcPr>
            <w:tcW w:type="dxa" w:w="6120"/>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Inability to keep fluids down, inability to eat, dehydration, reduced urine, confusion, fever, blood in vomit, severe pain, or late-pregnancy onset requires urgent assessment.</w:t>
            </w:r>
          </w:p>
        </w:tc>
        <w:tc>
          <w:tcPr>
            <w:tcW w:type="dxa" w:w="1800"/>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URGENT SAME-DAY; EMERGENCY if unstable</w:t>
            </w:r>
          </w:p>
        </w:tc>
      </w:tr>
      <w:tr>
        <w:tc>
          <w:tcPr>
            <w:tcW w:type="dxa" w:w="2232"/>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Extreme swelling of face or hands</w:t>
            </w:r>
          </w:p>
        </w:tc>
        <w:tc>
          <w:tcPr>
            <w:tcW w:type="dxa" w:w="6120"/>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Different from mild dependent edema; concerning when sudden/severe or combined with headache, visual change, hypertension, dyspnoea, or reduced urine.</w:t>
            </w:r>
          </w:p>
        </w:tc>
        <w:tc>
          <w:tcPr>
            <w:tcW w:type="dxa" w:w="1800"/>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URGENT SAME-DAY</w:t>
            </w:r>
          </w:p>
        </w:tc>
      </w:tr>
      <w:tr>
        <w:tc>
          <w:tcPr>
            <w:tcW w:type="dxa" w:w="2232"/>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Reduced urine / no urine</w:t>
            </w:r>
          </w:p>
        </w:tc>
        <w:tc>
          <w:tcPr>
            <w:tcW w:type="dxa" w:w="6120"/>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May reflect dehydration, renal dysfunction, obstruction, or severe disease; urgency increases with hypertension, swelling, vomiting, infection, or systemic illness.</w:t>
            </w:r>
          </w:p>
        </w:tc>
        <w:tc>
          <w:tcPr>
            <w:tcW w:type="dxa" w:w="1800"/>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URGENT SAME-DAY; EMERGENCY if severe/unstable</w:t>
            </w:r>
          </w:p>
        </w:tc>
      </w:tr>
      <w:tr>
        <w:tc>
          <w:tcPr>
            <w:tcW w:type="dxa" w:w="2232"/>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Painful urination, flank pain, foul discharge</w:t>
            </w:r>
          </w:p>
        </w:tc>
        <w:tc>
          <w:tcPr>
            <w:tcW w:type="dxa" w:w="6120"/>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May indicate urinary or genital infection. Fever, flank pain, vomiting, contractions, systemic illness, or pregnancy complications increase urgency.</w:t>
            </w:r>
          </w:p>
        </w:tc>
        <w:tc>
          <w:tcPr>
            <w:tcW w:type="dxa" w:w="1800"/>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URGENT SAME-DAY when fever/systemic or flank pain; otherwise EXPEDITED REVIEW</w:t>
            </w:r>
          </w:p>
        </w:tc>
      </w:tr>
      <w:tr>
        <w:tc>
          <w:tcPr>
            <w:tcW w:type="dxa" w:w="2232"/>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Severe unilateral leg or arm swelling, redness, warmth, pain</w:t>
            </w:r>
          </w:p>
        </w:tc>
        <w:tc>
          <w:tcPr>
            <w:tcW w:type="dxa" w:w="6120"/>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Possible thromboembolic warning pattern; do not diagnose or advise massage.</w:t>
            </w:r>
          </w:p>
        </w:tc>
        <w:tc>
          <w:tcPr>
            <w:tcW w:type="dxa" w:w="1800"/>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URGENT SAME-DAY; EMERGENCY if breathlessness/chest pain</w:t>
            </w:r>
          </w:p>
        </w:tc>
      </w:tr>
      <w:tr>
        <w:tc>
          <w:tcPr>
            <w:tcW w:type="dxa" w:w="2232"/>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Thoughts of self-harm, suicide, or harming the baby</w:t>
            </w:r>
          </w:p>
        </w:tc>
        <w:tc>
          <w:tcPr>
            <w:tcW w:type="dxa" w:w="6120"/>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Requires immediate private safety assessment and help matched to risk; imminent intent, plan, psychosis, severe agitation, or inability to maintain safety is an emergency.</w:t>
            </w:r>
          </w:p>
        </w:tc>
        <w:tc>
          <w:tcPr>
            <w:tcW w:type="dxa" w:w="1800"/>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EMERGENCY / urgent mental-health pathway</w:t>
            </w:r>
          </w:p>
        </w:tc>
      </w:tr>
      <w:tr>
        <w:tc>
          <w:tcPr>
            <w:tcW w:type="dxa" w:w="2232"/>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Trauma, assault, fall, or abdominal injury</w:t>
            </w:r>
          </w:p>
        </w:tc>
        <w:tc>
          <w:tcPr>
            <w:tcW w:type="dxa" w:w="6120"/>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Assess maternal stability, bleeding, pain, contractions, fluid loss, fetal movement, gestation, and safeguarding needs.</w:t>
            </w:r>
          </w:p>
        </w:tc>
        <w:tc>
          <w:tcPr>
            <w:tcW w:type="dxa" w:w="1800"/>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EMERGENCY or URGENT SAME-DAY depending on mechanism/findings</w:t>
            </w:r>
          </w:p>
        </w:tc>
      </w:tr>
      <w:tr>
        <w:tc>
          <w:tcPr>
            <w:tcW w:type="dxa" w:w="2232"/>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Overwhelming weakness or sudden extreme fatigue</w:t>
            </w:r>
          </w:p>
        </w:tc>
        <w:tc>
          <w:tcPr>
            <w:tcW w:type="dxa" w:w="6120"/>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Urgent when new/severe or associated with bleeding, dyspnoea, chest symptoms, fever, fainting, pallor, or inability to function.</w:t>
            </w:r>
          </w:p>
        </w:tc>
        <w:tc>
          <w:tcPr>
            <w:tcW w:type="dxa" w:w="1800"/>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URGENT SAME-DAY; EMERGENCY if unstable</w:t>
            </w:r>
          </w:p>
        </w:tc>
      </w:tr>
      <w:tr>
        <w:tc>
          <w:tcPr>
            <w:tcW w:type="dxa" w:w="2232"/>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Patient states 'something is seriously wrong'</w:t>
            </w:r>
          </w:p>
        </w:tc>
        <w:tc>
          <w:tcPr>
            <w:tcW w:type="dxa" w:w="6120"/>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A serious subjective concern is a valid escalation input even if current structured measurements appear normal.</w:t>
            </w:r>
          </w:p>
        </w:tc>
        <w:tc>
          <w:tcPr>
            <w:tcW w:type="dxa" w:w="1800"/>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Clinician review; urgency based on full assessment</w:t>
            </w:r>
          </w:p>
        </w:tc>
      </w:tr>
    </w:tbl>
    <w:p>
      <w:pPr>
        <w:pStyle w:val="SmallNote"/>
      </w:pPr>
    </w:p>
    <w:p>
      <w:pPr>
        <w:pStyle w:val="Heading1"/>
      </w:pPr>
      <w:r>
        <w:t>4. High-Priority Symptom Interactions</w:t>
      </w:r>
    </w:p>
    <w:p>
      <w:r>
        <w:t>Interactions are more informative than isolated checkboxes. These combinations should generate prominent, explainable alerts.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168"/>
            <w:tcMar>
              <w:top w:w="60" w:type="dxa"/>
              <w:start w:w="70" w:type="dxa"/>
              <w:bottom w:w="60" w:type="dxa"/>
              <w:end w:w="70" w:type="dxa"/>
            </w:tcMar>
            <w:vAlign w:val="center"/>
            <w:shd w:fill="17365D"/>
            <w:tcBorders>
              <w:top w:val="single" w:sz="4" w:color="B7B7B7"/>
              <w:left w:val="single" w:sz="4" w:color="B7B7B7"/>
              <w:bottom w:val="single" w:sz="4" w:color="B7B7B7"/>
              <w:right w:val="single" w:sz="4" w:color="B7B7B7"/>
            </w:tcBorders>
          </w:tcPr>
          <w:p>
            <w:pPr>
              <w:spacing w:after="20" w:before="0"/>
            </w:pPr>
            <w:r>
              <w:rPr>
                <w:rFonts w:ascii="Aptos" w:hAnsi="Aptos"/>
                <w:b/>
                <w:color w:val="FFFFFF"/>
                <w:sz w:val="14"/>
              </w:rPr>
              <w:t>Combination</w:t>
            </w:r>
          </w:p>
        </w:tc>
        <w:tc>
          <w:tcPr>
            <w:tcW w:type="dxa" w:w="3384"/>
            <w:tcMar>
              <w:top w:w="60" w:type="dxa"/>
              <w:start w:w="70" w:type="dxa"/>
              <w:bottom w:w="60" w:type="dxa"/>
              <w:end w:w="70" w:type="dxa"/>
            </w:tcMar>
            <w:vAlign w:val="center"/>
            <w:shd w:fill="17365D"/>
            <w:tcBorders>
              <w:top w:val="single" w:sz="4" w:color="B7B7B7"/>
              <w:left w:val="single" w:sz="4" w:color="B7B7B7"/>
              <w:bottom w:val="single" w:sz="4" w:color="B7B7B7"/>
              <w:right w:val="single" w:sz="4" w:color="B7B7B7"/>
            </w:tcBorders>
          </w:tcPr>
          <w:p>
            <w:pPr>
              <w:spacing w:after="20" w:before="0"/>
            </w:pPr>
            <w:r>
              <w:rPr>
                <w:rFonts w:ascii="Aptos" w:hAnsi="Aptos"/>
                <w:b/>
                <w:color w:val="FFFFFF"/>
                <w:sz w:val="14"/>
              </w:rPr>
              <w:t>Why it matters</w:t>
            </w:r>
          </w:p>
        </w:tc>
        <w:tc>
          <w:tcPr>
            <w:tcW w:type="dxa" w:w="3672"/>
            <w:tcMar>
              <w:top w:w="60" w:type="dxa"/>
              <w:start w:w="70" w:type="dxa"/>
              <w:bottom w:w="60" w:type="dxa"/>
              <w:end w:w="70" w:type="dxa"/>
            </w:tcMar>
            <w:vAlign w:val="center"/>
            <w:shd w:fill="17365D"/>
            <w:tcBorders>
              <w:top w:val="single" w:sz="4" w:color="B7B7B7"/>
              <w:left w:val="single" w:sz="4" w:color="B7B7B7"/>
              <w:bottom w:val="single" w:sz="4" w:color="B7B7B7"/>
              <w:right w:val="single" w:sz="4" w:color="B7B7B7"/>
            </w:tcBorders>
          </w:tcPr>
          <w:p>
            <w:pPr>
              <w:spacing w:after="20" w:before="0"/>
            </w:pPr>
            <w:r>
              <w:rPr>
                <w:rFonts w:ascii="Aptos" w:hAnsi="Aptos"/>
                <w:b/>
                <w:color w:val="FFFFFF"/>
                <w:sz w:val="14"/>
              </w:rPr>
              <w:t>CDSS response</w:t>
            </w:r>
          </w:p>
        </w:tc>
      </w:tr>
      <w:tr>
        <w:tc>
          <w:tcPr>
            <w:tcW w:type="dxa" w:w="3168"/>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Headache + visual disturbance + BP elevation</w:t>
            </w:r>
          </w:p>
        </w:tc>
        <w:tc>
          <w:tcPr>
            <w:tcW w:type="dxa" w:w="3384"/>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Possible severe hypertensive disorder warning pattern</w:t>
            </w:r>
          </w:p>
        </w:tc>
        <w:tc>
          <w:tcPr>
            <w:tcW w:type="dxa" w:w="3672"/>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Immediate obstetric assessment; emergency transfer when severe BP, neurologic signs, or deterioration</w:t>
            </w:r>
          </w:p>
        </w:tc>
      </w:tr>
      <w:tr>
        <w:tc>
          <w:tcPr>
            <w:tcW w:type="dxa" w:w="3168"/>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Bleeding + abdominal pain + dizziness/fainting</w:t>
            </w:r>
          </w:p>
        </w:tc>
        <w:tc>
          <w:tcPr>
            <w:tcW w:type="dxa" w:w="3384"/>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Potential major obstetric bleeding or shock pattern</w:t>
            </w:r>
          </w:p>
        </w:tc>
        <w:tc>
          <w:tcPr>
            <w:tcW w:type="dxa" w:w="3672"/>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Emergency transfer</w:t>
            </w:r>
          </w:p>
        </w:tc>
      </w:tr>
      <w:tr>
        <w:tc>
          <w:tcPr>
            <w:tcW w:type="dxa" w:w="3168"/>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Bleeding + known low-lying placenta/previa or previous CS</w:t>
            </w:r>
          </w:p>
        </w:tc>
        <w:tc>
          <w:tcPr>
            <w:tcW w:type="dxa" w:w="3384"/>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Higher-concern placental pathway</w:t>
            </w:r>
          </w:p>
        </w:tc>
        <w:tc>
          <w:tcPr>
            <w:tcW w:type="dxa" w:w="3672"/>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Emergency if active/heavy; otherwise urgent same-day obstetric review</w:t>
            </w:r>
          </w:p>
        </w:tc>
      </w:tr>
      <w:tr>
        <w:tc>
          <w:tcPr>
            <w:tcW w:type="dxa" w:w="3168"/>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Fever + foul discharge/fluid leak + maternal tachycardia or altered state</w:t>
            </w:r>
          </w:p>
        </w:tc>
        <w:tc>
          <w:tcPr>
            <w:tcW w:type="dxa" w:w="3384"/>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Maternal infection/sepsis warning pattern</w:t>
            </w:r>
          </w:p>
        </w:tc>
        <w:tc>
          <w:tcPr>
            <w:tcW w:type="dxa" w:w="3672"/>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Emergency transfer</w:t>
            </w:r>
          </w:p>
        </w:tc>
      </w:tr>
      <w:tr>
        <w:tc>
          <w:tcPr>
            <w:tcW w:type="dxa" w:w="3168"/>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Dyspnoea + chest pain/palpitations/fainting</w:t>
            </w:r>
          </w:p>
        </w:tc>
        <w:tc>
          <w:tcPr>
            <w:tcW w:type="dxa" w:w="3384"/>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Cardiopulmonary emergency pattern</w:t>
            </w:r>
          </w:p>
        </w:tc>
        <w:tc>
          <w:tcPr>
            <w:tcW w:type="dxa" w:w="3672"/>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Emergency transfer</w:t>
            </w:r>
          </w:p>
        </w:tc>
      </w:tr>
      <w:tr>
        <w:tc>
          <w:tcPr>
            <w:tcW w:type="dxa" w:w="3168"/>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Unilateral leg pain/swelling + dyspnoea/chest pain</w:t>
            </w:r>
          </w:p>
        </w:tc>
        <w:tc>
          <w:tcPr>
            <w:tcW w:type="dxa" w:w="3384"/>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Thromboembolic warning pattern</w:t>
            </w:r>
          </w:p>
        </w:tc>
        <w:tc>
          <w:tcPr>
            <w:tcW w:type="dxa" w:w="3672"/>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Emergency transfer</w:t>
            </w:r>
          </w:p>
        </w:tc>
      </w:tr>
      <w:tr>
        <w:tc>
          <w:tcPr>
            <w:tcW w:type="dxa" w:w="3168"/>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Persistent vomiting + inability to drink + reduced urine/dizziness</w:t>
            </w:r>
          </w:p>
        </w:tc>
        <w:tc>
          <w:tcPr>
            <w:tcW w:type="dxa" w:w="3384"/>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Dehydration and metabolic-risk pattern</w:t>
            </w:r>
          </w:p>
        </w:tc>
        <w:tc>
          <w:tcPr>
            <w:tcW w:type="dxa" w:w="3672"/>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Urgent same-day; emergency if unstable</w:t>
            </w:r>
          </w:p>
        </w:tc>
      </w:tr>
      <w:tr>
        <w:tc>
          <w:tcPr>
            <w:tcW w:type="dxa" w:w="3168"/>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Previous cesarean + sudden severe abdominal pain + bleeding/faintness</w:t>
            </w:r>
          </w:p>
        </w:tc>
        <w:tc>
          <w:tcPr>
            <w:tcW w:type="dxa" w:w="3384"/>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Scar/placental emergency warning pattern without diagnosing rupture</w:t>
            </w:r>
          </w:p>
        </w:tc>
        <w:tc>
          <w:tcPr>
            <w:tcW w:type="dxa" w:w="3672"/>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Emergency transfer</w:t>
            </w:r>
          </w:p>
        </w:tc>
      </w:tr>
      <w:tr>
        <w:tc>
          <w:tcPr>
            <w:tcW w:type="dxa" w:w="3168"/>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Trauma + bleeding/fluid loss/pain/reduced fetal movement</w:t>
            </w:r>
          </w:p>
        </w:tc>
        <w:tc>
          <w:tcPr>
            <w:tcW w:type="dxa" w:w="3384"/>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Maternal-fetal injury pattern</w:t>
            </w:r>
          </w:p>
        </w:tc>
        <w:tc>
          <w:tcPr>
            <w:tcW w:type="dxa" w:w="3672"/>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Emergency or urgent hospital assessment</w:t>
            </w:r>
          </w:p>
        </w:tc>
      </w:tr>
      <w:tr>
        <w:tc>
          <w:tcPr>
            <w:tcW w:type="dxa" w:w="3168"/>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Known cardiac, renal, respiratory, neurologic, or autoimmune disease + new related symptom</w:t>
            </w:r>
          </w:p>
        </w:tc>
        <w:tc>
          <w:tcPr>
            <w:tcW w:type="dxa" w:w="3384"/>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Lower threshold for specialist escalation</w:t>
            </w:r>
          </w:p>
        </w:tc>
        <w:tc>
          <w:tcPr>
            <w:tcW w:type="dxa" w:w="3672"/>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Urgent same-day or emergency based on stability</w:t>
            </w:r>
          </w:p>
        </w:tc>
      </w:tr>
      <w:tr>
        <w:tc>
          <w:tcPr>
            <w:tcW w:type="dxa" w:w="3168"/>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Self-harm thoughts + plan/intent/psychosis/no safe support</w:t>
            </w:r>
          </w:p>
        </w:tc>
        <w:tc>
          <w:tcPr>
            <w:tcW w:type="dxa" w:w="3384"/>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Immediate safety risk</w:t>
            </w:r>
          </w:p>
        </w:tc>
        <w:tc>
          <w:tcPr>
            <w:tcW w:type="dxa" w:w="3672"/>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Emergency mental-health and safeguarding response</w:t>
            </w:r>
          </w:p>
        </w:tc>
      </w:tr>
      <w:tr>
        <w:tc>
          <w:tcPr>
            <w:tcW w:type="dxa" w:w="3168"/>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Any warning symptom + inability to access transport / refusal</w:t>
            </w:r>
          </w:p>
        </w:tc>
        <w:tc>
          <w:tcPr>
            <w:tcW w:type="dxa" w:w="3384"/>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Operational risk; unresolved clinical danger</w:t>
            </w:r>
          </w:p>
        </w:tc>
        <w:tc>
          <w:tcPr>
            <w:tcW w:type="dxa" w:w="3672"/>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Escalate to clinician, document informed refusal, activate local emergency/community pathway</w:t>
            </w:r>
          </w:p>
        </w:tc>
      </w:tr>
    </w:tbl>
    <w:p>
      <w:pPr>
        <w:pStyle w:val="SmallNote"/>
      </w:pPr>
    </w:p>
    <w:p>
      <w:pPr>
        <w:pStyle w:val="Heading1"/>
      </w:pPr>
      <w:r>
        <w:t>5. Medical-History Conditions: How the CDSS Should Use Them</w:t>
      </w:r>
    </w:p>
    <w:p>
      <w:r>
        <w:t>A diagnosis in the history is not automatically an emergency and should not be reduced to a single HIGH/LOW label. The system should establish whether the condition is active, controlled, treated, reviewed by an appropriate clinician, and relevant to the current pregnancy.</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160"/>
            <w:tcMar>
              <w:top w:w="60" w:type="dxa"/>
              <w:start w:w="70" w:type="dxa"/>
              <w:bottom w:w="60" w:type="dxa"/>
              <w:end w:w="70" w:type="dxa"/>
            </w:tcMar>
            <w:vAlign w:val="center"/>
            <w:shd w:fill="17365D"/>
            <w:tcBorders>
              <w:top w:val="single" w:sz="4" w:color="B7B7B7"/>
              <w:left w:val="single" w:sz="4" w:color="B7B7B7"/>
              <w:bottom w:val="single" w:sz="4" w:color="B7B7B7"/>
              <w:right w:val="single" w:sz="4" w:color="B7B7B7"/>
            </w:tcBorders>
          </w:tcPr>
          <w:p>
            <w:pPr>
              <w:spacing w:after="20" w:before="0"/>
            </w:pPr>
            <w:r>
              <w:rPr>
                <w:rFonts w:ascii="Aptos" w:hAnsi="Aptos"/>
                <w:b/>
                <w:color w:val="FFFFFF"/>
                <w:sz w:val="13"/>
              </w:rPr>
              <w:t>Condition group</w:t>
            </w:r>
          </w:p>
        </w:tc>
        <w:tc>
          <w:tcPr>
            <w:tcW w:type="dxa" w:w="5112"/>
            <w:tcMar>
              <w:top w:w="60" w:type="dxa"/>
              <w:start w:w="70" w:type="dxa"/>
              <w:bottom w:w="60" w:type="dxa"/>
              <w:end w:w="70" w:type="dxa"/>
            </w:tcMar>
            <w:vAlign w:val="center"/>
            <w:shd w:fill="17365D"/>
            <w:tcBorders>
              <w:top w:val="single" w:sz="4" w:color="B7B7B7"/>
              <w:left w:val="single" w:sz="4" w:color="B7B7B7"/>
              <w:bottom w:val="single" w:sz="4" w:color="B7B7B7"/>
              <w:right w:val="single" w:sz="4" w:color="B7B7B7"/>
            </w:tcBorders>
          </w:tcPr>
          <w:p>
            <w:pPr>
              <w:spacing w:after="20" w:before="0"/>
            </w:pPr>
            <w:r>
              <w:rPr>
                <w:rFonts w:ascii="Aptos" w:hAnsi="Aptos"/>
                <w:b/>
                <w:color w:val="FFFFFF"/>
                <w:sz w:val="13"/>
              </w:rPr>
              <w:t>Required structured context</w:t>
            </w:r>
          </w:p>
        </w:tc>
        <w:tc>
          <w:tcPr>
            <w:tcW w:type="dxa" w:w="3240"/>
            <w:tcMar>
              <w:top w:w="60" w:type="dxa"/>
              <w:start w:w="70" w:type="dxa"/>
              <w:bottom w:w="60" w:type="dxa"/>
              <w:end w:w="70" w:type="dxa"/>
            </w:tcMar>
            <w:vAlign w:val="center"/>
            <w:shd w:fill="17365D"/>
            <w:tcBorders>
              <w:top w:val="single" w:sz="4" w:color="B7B7B7"/>
              <w:left w:val="single" w:sz="4" w:color="B7B7B7"/>
              <w:bottom w:val="single" w:sz="4" w:color="B7B7B7"/>
              <w:right w:val="single" w:sz="4" w:color="B7B7B7"/>
            </w:tcBorders>
          </w:tcPr>
          <w:p>
            <w:pPr>
              <w:spacing w:after="20" w:before="0"/>
            </w:pPr>
            <w:r>
              <w:rPr>
                <w:rFonts w:ascii="Aptos" w:hAnsi="Aptos"/>
                <w:b/>
                <w:color w:val="FFFFFF"/>
                <w:sz w:val="13"/>
              </w:rPr>
              <w:t>CDSS use</w:t>
            </w:r>
          </w:p>
        </w:tc>
      </w:tr>
      <w:tr>
        <w:tc>
          <w:tcPr>
            <w:tcW w:type="dxa" w:w="2160"/>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Cardiac disease / congenital heart disease / cardiomyopathy</w:t>
            </w:r>
          </w:p>
        </w:tc>
        <w:tc>
          <w:tcPr>
            <w:tcW w:type="dxa" w:w="5112"/>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Exact diagnosis, prior surgery, functional limitation, heart-failure history, medications, cardiology plan, current dyspnoea/chest pain/syncope.</w:t>
            </w:r>
          </w:p>
        </w:tc>
        <w:tc>
          <w:tcPr>
            <w:tcW w:type="dxa" w:w="3240"/>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Specialist-led pregnancy plan. Emergency if new chest pain, severe dyspnoea, fainting, cyanosis, or deterioration.</w:t>
            </w:r>
          </w:p>
        </w:tc>
      </w:tr>
      <w:tr>
        <w:tc>
          <w:tcPr>
            <w:tcW w:type="dxa" w:w="2160"/>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Chronic hypertension</w:t>
            </w:r>
          </w:p>
        </w:tc>
        <w:tc>
          <w:tcPr>
            <w:tcW w:type="dxa" w:w="5112"/>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Baseline BP, medication, complications, specialist review, renal disease, previous pre-eclampsia.</w:t>
            </w:r>
          </w:p>
        </w:tc>
        <w:tc>
          <w:tcPr>
            <w:tcW w:type="dxa" w:w="3240"/>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Use BP rules from Part 2; ensure medication review and specialist pathway.</w:t>
            </w:r>
          </w:p>
        </w:tc>
      </w:tr>
      <w:tr>
        <w:tc>
          <w:tcPr>
            <w:tcW w:type="dxa" w:w="2160"/>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Diabetes (type 1, type 2, gestational)</w:t>
            </w:r>
          </w:p>
        </w:tc>
        <w:tc>
          <w:tcPr>
            <w:tcW w:type="dxa" w:w="5112"/>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Type, treatment, glucose-monitoring plan, complications, hypoglycemia history, specialist follow-up.</w:t>
            </w:r>
          </w:p>
        </w:tc>
        <w:tc>
          <w:tcPr>
            <w:tcW w:type="dxa" w:w="3240"/>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Use Part 3 rules; acute altered state, persistent vomiting, or severe illness requires urgent escalation.</w:t>
            </w:r>
          </w:p>
        </w:tc>
      </w:tr>
      <w:tr>
        <w:tc>
          <w:tcPr>
            <w:tcW w:type="dxa" w:w="2160"/>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Kidney disease</w:t>
            </w:r>
          </w:p>
        </w:tc>
        <w:tc>
          <w:tcPr>
            <w:tcW w:type="dxa" w:w="5112"/>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Diagnosis/stage if known, dialysis/transplant, baseline renal function, proteinuria, BP, medicines, specialist plan.</w:t>
            </w:r>
          </w:p>
        </w:tc>
        <w:tc>
          <w:tcPr>
            <w:tcW w:type="dxa" w:w="3240"/>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Obstetric/renal review; lower threshold for urgent assessment with hypertension, oliguria, edema, vomiting, or infection.</w:t>
            </w:r>
          </w:p>
        </w:tc>
      </w:tr>
      <w:tr>
        <w:tc>
          <w:tcPr>
            <w:tcW w:type="dxa" w:w="2160"/>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Thyroid disease</w:t>
            </w:r>
          </w:p>
        </w:tc>
        <w:tc>
          <w:tcPr>
            <w:tcW w:type="dxa" w:w="5112"/>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Hyper/hypothyroid diagnosis, current control, latest tests when available, medication and dose, specialist plan.</w:t>
            </w:r>
          </w:p>
        </w:tc>
        <w:tc>
          <w:tcPr>
            <w:tcW w:type="dxa" w:w="3240"/>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Medication and clinician review; urgent escalation for severe systemic or cardiac symptoms.</w:t>
            </w:r>
          </w:p>
        </w:tc>
      </w:tr>
      <w:tr>
        <w:tc>
          <w:tcPr>
            <w:tcW w:type="dxa" w:w="2160"/>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Asthma / chronic respiratory disease</w:t>
            </w:r>
          </w:p>
        </w:tc>
        <w:tc>
          <w:tcPr>
            <w:tcW w:type="dxa" w:w="5112"/>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Severity, recent attacks/hospitalization, controller/rescue medicine, triggers, current breathlessness.</w:t>
            </w:r>
          </w:p>
        </w:tc>
        <w:tc>
          <w:tcPr>
            <w:tcW w:type="dxa" w:w="3240"/>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Do not advise stopping prescribed inhalers; emergency for severe breathlessness, inability to speak, cyanosis, low saturation, exhaustion.</w:t>
            </w:r>
          </w:p>
        </w:tc>
      </w:tr>
      <w:tr>
        <w:tc>
          <w:tcPr>
            <w:tcW w:type="dxa" w:w="2160"/>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Epilepsy / seizure disorder</w:t>
            </w:r>
          </w:p>
        </w:tc>
        <w:tc>
          <w:tcPr>
            <w:tcW w:type="dxa" w:w="5112"/>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Seizure type/frequency, last event, medication adherence, neurology plan, triggers.</w:t>
            </w:r>
          </w:p>
        </w:tc>
        <w:tc>
          <w:tcPr>
            <w:tcW w:type="dxa" w:w="3240"/>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Any seizure in pregnancy is an emergency until assessed; never assume it is 'usual epilepsy'.</w:t>
            </w:r>
          </w:p>
        </w:tc>
      </w:tr>
      <w:tr>
        <w:tc>
          <w:tcPr>
            <w:tcW w:type="dxa" w:w="2160"/>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Autoimmune disease / antiphospholipid syndrome</w:t>
            </w:r>
          </w:p>
        </w:tc>
        <w:tc>
          <w:tcPr>
            <w:tcW w:type="dxa" w:w="5112"/>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Exact condition, thrombosis history, pregnancy losses, medicines, specialist plan.</w:t>
            </w:r>
          </w:p>
        </w:tc>
        <w:tc>
          <w:tcPr>
            <w:tcW w:type="dxa" w:w="3240"/>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Specialist pathway; urgent escalation for thrombosis, neurologic, renal, hypertensive, or systemic symptoms.</w:t>
            </w:r>
          </w:p>
        </w:tc>
      </w:tr>
      <w:tr>
        <w:tc>
          <w:tcPr>
            <w:tcW w:type="dxa" w:w="2160"/>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Blood disorder / thrombophilia / sickle cell disease</w:t>
            </w:r>
          </w:p>
        </w:tc>
        <w:tc>
          <w:tcPr>
            <w:tcW w:type="dxa" w:w="5112"/>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Exact diagnosis, prior thrombosis/crisis, anticoagulants, transfusion history, specialist plan.</w:t>
            </w:r>
          </w:p>
        </w:tc>
        <w:tc>
          <w:tcPr>
            <w:tcW w:type="dxa" w:w="3240"/>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Specialist care; urgent/emergency assessment for pain crisis, chest symptoms, neurologic signs, bleeding, or thrombosis pattern.</w:t>
            </w:r>
          </w:p>
        </w:tc>
      </w:tr>
      <w:tr>
        <w:tc>
          <w:tcPr>
            <w:tcW w:type="dxa" w:w="2160"/>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HIV, hepatitis, tuberculosis, or other significant infection</w:t>
            </w:r>
          </w:p>
        </w:tc>
        <w:tc>
          <w:tcPr>
            <w:tcW w:type="dxa" w:w="5112"/>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Confirmed diagnosis, treatment, adherence, infectious-disease plan, confidentiality and transmission-prevention plan.</w:t>
            </w:r>
          </w:p>
        </w:tc>
        <w:tc>
          <w:tcPr>
            <w:tcW w:type="dxa" w:w="3240"/>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Do not stigmatize. Coordinate specialist care; urgent assessment for active systemic illness or respiratory compromise.</w:t>
            </w:r>
          </w:p>
        </w:tc>
      </w:tr>
      <w:tr>
        <w:tc>
          <w:tcPr>
            <w:tcW w:type="dxa" w:w="2160"/>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Severe mental illness, depression, anxiety, trauma</w:t>
            </w:r>
          </w:p>
        </w:tc>
        <w:tc>
          <w:tcPr>
            <w:tcW w:type="dxa" w:w="5112"/>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Current symptoms, previous admission/psychosis, medications, support, perinatal mental-health plan, self-harm risk.</w:t>
            </w:r>
          </w:p>
        </w:tc>
        <w:tc>
          <w:tcPr>
            <w:tcW w:type="dxa" w:w="3240"/>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Private screening and care plan; emergency for imminent self-harm, psychosis, or inability to maintain safety.</w:t>
            </w:r>
          </w:p>
        </w:tc>
      </w:tr>
      <w:tr>
        <w:tc>
          <w:tcPr>
            <w:tcW w:type="dxa" w:w="2160"/>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Prior surgery or major anesthesia complication</w:t>
            </w:r>
          </w:p>
        </w:tc>
        <w:tc>
          <w:tcPr>
            <w:tcW w:type="dxa" w:w="5112"/>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Procedure, date, operative details when available, uterine/cervical surgery, transfusion/anesthesia complications.</w:t>
            </w:r>
          </w:p>
        </w:tc>
        <w:tc>
          <w:tcPr>
            <w:tcW w:type="dxa" w:w="3240"/>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Relevant specialist/anesthesia/obstetric review; links to Parts 5 and 10 where applicable.</w:t>
            </w:r>
          </w:p>
        </w:tc>
      </w:tr>
      <w:tr>
        <w:tc>
          <w:tcPr>
            <w:tcW w:type="dxa" w:w="2160"/>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Allergy / previous severe drug reaction</w:t>
            </w:r>
          </w:p>
        </w:tc>
        <w:tc>
          <w:tcPr>
            <w:tcW w:type="dxa" w:w="5112"/>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Substance, reaction type, severity, date, confirmed vs suspected, emergency treatment history.</w:t>
            </w:r>
          </w:p>
        </w:tc>
        <w:tc>
          <w:tcPr>
            <w:tcW w:type="dxa" w:w="3240"/>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Prominent alert; distinguish intolerance from allergy; never recommend a contraindicated item.</w:t>
            </w:r>
          </w:p>
        </w:tc>
      </w:tr>
      <w:tr>
        <w:tc>
          <w:tcPr>
            <w:tcW w:type="dxa" w:w="2160"/>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Other chronic condition</w:t>
            </w:r>
          </w:p>
        </w:tc>
        <w:tc>
          <w:tcPr>
            <w:tcW w:type="dxa" w:w="5112"/>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Exact diagnosis, current control, treatment, clinician, pregnancy implications, emergency plan.</w:t>
            </w:r>
          </w:p>
        </w:tc>
        <w:tc>
          <w:tcPr>
            <w:tcW w:type="dxa" w:w="3240"/>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Route to relevant clinician; no automatic severity without condition-specific evidence and current status.</w:t>
            </w:r>
          </w:p>
        </w:tc>
      </w:tr>
    </w:tbl>
    <w:p>
      <w:pPr>
        <w:pStyle w:val="SmallNote"/>
      </w:pPr>
    </w:p>
    <w:p>
      <w:pPr>
        <w:pStyle w:val="Heading1"/>
      </w:pPr>
      <w:r>
        <w:t>6. Medicines, Allergies, Supplements, and Exposure History</w:t>
      </w:r>
    </w:p>
    <w:p>
      <w:pPr>
        <w:pStyle w:val="Heading2"/>
      </w:pPr>
      <w:r>
        <w:t>6.1 Medication reconciliation</w:t>
      </w:r>
    </w:p>
    <w:p>
      <w:r>
        <w:t>NICE recommends asking about current and recent prescription medicines, over-the-counter products, health supplements, herbal remedies, and allergies at booking, and referring for medical review when long-term medicines create concerns. The CDSS should record use; it must not independently tell the woman to stop or change essential treatment.</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088"/>
            <w:tcMar>
              <w:top w:w="60" w:type="dxa"/>
              <w:start w:w="70" w:type="dxa"/>
              <w:bottom w:w="60" w:type="dxa"/>
              <w:end w:w="70" w:type="dxa"/>
            </w:tcMar>
            <w:vAlign w:val="center"/>
            <w:shd w:fill="17365D"/>
            <w:tcBorders>
              <w:top w:val="single" w:sz="4" w:color="B7B7B7"/>
              <w:left w:val="single" w:sz="4" w:color="B7B7B7"/>
              <w:bottom w:val="single" w:sz="4" w:color="B7B7B7"/>
              <w:right w:val="single" w:sz="4" w:color="B7B7B7"/>
            </w:tcBorders>
          </w:tcPr>
          <w:p>
            <w:pPr>
              <w:spacing w:after="20" w:before="0"/>
            </w:pPr>
            <w:r>
              <w:rPr>
                <w:rFonts w:ascii="Aptos" w:hAnsi="Aptos"/>
                <w:b/>
                <w:color w:val="FFFFFF"/>
                <w:sz w:val="15"/>
              </w:rPr>
              <w:t>Field</w:t>
            </w:r>
          </w:p>
        </w:tc>
        <w:tc>
          <w:tcPr>
            <w:tcW w:type="dxa" w:w="7992"/>
            <w:tcMar>
              <w:top w:w="60" w:type="dxa"/>
              <w:start w:w="70" w:type="dxa"/>
              <w:bottom w:w="60" w:type="dxa"/>
              <w:end w:w="70" w:type="dxa"/>
            </w:tcMar>
            <w:vAlign w:val="center"/>
            <w:shd w:fill="17365D"/>
            <w:tcBorders>
              <w:top w:val="single" w:sz="4" w:color="B7B7B7"/>
              <w:left w:val="single" w:sz="4" w:color="B7B7B7"/>
              <w:bottom w:val="single" w:sz="4" w:color="B7B7B7"/>
              <w:right w:val="single" w:sz="4" w:color="B7B7B7"/>
            </w:tcBorders>
          </w:tcPr>
          <w:p>
            <w:pPr>
              <w:spacing w:after="20" w:before="0"/>
            </w:pPr>
            <w:r>
              <w:rPr>
                <w:rFonts w:ascii="Aptos" w:hAnsi="Aptos"/>
                <w:b/>
                <w:color w:val="FFFFFF"/>
                <w:sz w:val="15"/>
              </w:rPr>
              <w:t>Implementation requirement</w:t>
            </w:r>
          </w:p>
        </w:tc>
      </w:tr>
      <w:tr>
        <w:tc>
          <w:tcPr>
            <w:tcW w:type="dxa" w:w="2088"/>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5"/>
              </w:rPr>
              <w:t>Medicine</w:t>
            </w:r>
          </w:p>
        </w:tc>
        <w:tc>
          <w:tcPr>
            <w:tcW w:type="dxa" w:w="7992"/>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5"/>
              </w:rPr>
              <w:t>Generic/brand name where known; formulation and strength.</w:t>
            </w:r>
          </w:p>
        </w:tc>
      </w:tr>
      <w:tr>
        <w:tc>
          <w:tcPr>
            <w:tcW w:type="dxa" w:w="2088"/>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5"/>
              </w:rPr>
              <w:t>Use pattern</w:t>
            </w:r>
          </w:p>
        </w:tc>
        <w:tc>
          <w:tcPr>
            <w:tcW w:type="dxa" w:w="7992"/>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5"/>
              </w:rPr>
              <w:t>Dose, route, frequency, start/stop dates, prescribed vs self-initiated, adherence.</w:t>
            </w:r>
          </w:p>
        </w:tc>
      </w:tr>
      <w:tr>
        <w:tc>
          <w:tcPr>
            <w:tcW w:type="dxa" w:w="2088"/>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5"/>
              </w:rPr>
              <w:t>Indication and prescriber</w:t>
            </w:r>
          </w:p>
        </w:tc>
        <w:tc>
          <w:tcPr>
            <w:tcW w:type="dxa" w:w="7992"/>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5"/>
              </w:rPr>
              <w:t>Why it is used and which clinician manages it.</w:t>
            </w:r>
          </w:p>
        </w:tc>
      </w:tr>
      <w:tr>
        <w:tc>
          <w:tcPr>
            <w:tcW w:type="dxa" w:w="2088"/>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5"/>
              </w:rPr>
              <w:t>Pregnancy review</w:t>
            </w:r>
          </w:p>
        </w:tc>
        <w:tc>
          <w:tcPr>
            <w:tcW w:type="dxa" w:w="7992"/>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5"/>
              </w:rPr>
              <w:t>Reviewed/not reviewed/unknown; date and reviewer.</w:t>
            </w:r>
          </w:p>
        </w:tc>
      </w:tr>
      <w:tr>
        <w:tc>
          <w:tcPr>
            <w:tcW w:type="dxa" w:w="2088"/>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5"/>
              </w:rPr>
              <w:t>Alert status</w:t>
            </w:r>
          </w:p>
        </w:tc>
        <w:tc>
          <w:tcPr>
            <w:tcW w:type="dxa" w:w="7992"/>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5"/>
              </w:rPr>
              <w:t>Potential concern requiring clinician review—not an automated teratogenicity diagnosis.</w:t>
            </w:r>
          </w:p>
        </w:tc>
      </w:tr>
      <w:tr>
        <w:tc>
          <w:tcPr>
            <w:tcW w:type="dxa" w:w="2088"/>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5"/>
              </w:rPr>
              <w:t>Allergy link</w:t>
            </w:r>
          </w:p>
        </w:tc>
        <w:tc>
          <w:tcPr>
            <w:tcW w:type="dxa" w:w="7992"/>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5"/>
              </w:rPr>
              <w:t>Known reaction and severity; do not infer allergy from side effect.</w:t>
            </w:r>
          </w:p>
        </w:tc>
      </w:tr>
      <w:tr>
        <w:tc>
          <w:tcPr>
            <w:tcW w:type="dxa" w:w="2088"/>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5"/>
              </w:rPr>
              <w:t>Changes</w:t>
            </w:r>
          </w:p>
        </w:tc>
        <w:tc>
          <w:tcPr>
            <w:tcW w:type="dxa" w:w="7992"/>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5"/>
              </w:rPr>
              <w:t>Who changed the medicine, why, and when; retain audit history.</w:t>
            </w:r>
          </w:p>
        </w:tc>
      </w:tr>
    </w:tbl>
    <w:p>
      <w:pPr>
        <w:pStyle w:val="SmallNote"/>
      </w:pPr>
    </w:p>
    <w:tbl>
      <w:tblPr>
        <w:tblW w:type="auto" w:w="0"/>
        <w:jc w:val="center"/>
        <w:tblLook w:firstColumn="1" w:firstRow="1" w:lastColumn="0" w:lastRow="0" w:noHBand="0" w:noVBand="1" w:val="04A0"/>
      </w:tblPr>
      <w:tblGrid>
        <w:gridCol w:w="10166"/>
      </w:tblGrid>
      <w:tr>
        <w:tc>
          <w:tcPr>
            <w:tcW w:type="dxa" w:w="10166"/>
            <w:shd w:fill="EAF2F8"/>
            <w:tcMar>
              <w:top w:w="110" w:type="dxa"/>
              <w:start w:w="130" w:type="dxa"/>
              <w:bottom w:w="105" w:type="dxa"/>
              <w:end w:w="130" w:type="dxa"/>
            </w:tcMar>
            <w:tcBorders>
              <w:top w:val="single" w:sz="4" w:color="EAF2F8"/>
              <w:left w:val="single" w:sz="18" w:color="2F75B5"/>
              <w:bottom w:val="single" w:sz="4" w:color="EAF2F8"/>
              <w:right w:val="single" w:sz="4" w:color="EAF2F8"/>
            </w:tcBorders>
          </w:tcPr>
          <w:p>
            <w:pPr>
              <w:spacing w:after="40"/>
            </w:pPr>
            <w:r>
              <w:rPr>
                <w:rFonts w:ascii="Aptos" w:hAnsi="Aptos"/>
                <w:b/>
                <w:color w:val="2F75B5"/>
                <w:sz w:val="19"/>
              </w:rPr>
              <w:t>Medication safety rule</w:t>
            </w:r>
          </w:p>
          <w:p>
            <w:pPr>
              <w:spacing w:after="0"/>
            </w:pPr>
            <w:r>
              <w:rPr>
                <w:rFonts w:ascii="Aptos" w:hAnsi="Aptos"/>
                <w:sz w:val="17"/>
              </w:rPr>
              <w:t>The interface may flag that a medicine requires pregnancy-specific review, but it must avoid unsupervised stop/start instructions. Abrupt withdrawal of some medicines can also cause harm.</w:t>
            </w:r>
          </w:p>
        </w:tc>
      </w:tr>
    </w:tbl>
    <w:p>
      <w:pPr>
        <w:pStyle w:val="SmallNote"/>
      </w:pPr>
    </w:p>
    <w:p>
      <w:pPr>
        <w:pStyle w:val="Heading2"/>
      </w:pPr>
      <w:r>
        <w:t>6.2 Smoking, alcohol, and other substances</w:t>
      </w:r>
    </w:p>
    <w:p>
      <w:r>
        <w:t>WHO recommends asking about alcohol and other substance use early and at every antenatal visit. The system should use nonjudgmental language, permit confidential documentation, and connect identified use to counseling and coordinated care rather than punishment or automatic denial of services.</w:t>
      </w:r>
    </w:p>
    <w:p>
      <w:pPr>
        <w:pStyle w:val="ListBullet"/>
        <w:spacing w:after="40"/>
      </w:pPr>
      <w:r>
        <w:t>Record current, past, and recent use; substance; amount/frequency when known; route; last use; dependence/withdrawal risk; and readiness for support.</w:t>
      </w:r>
    </w:p>
    <w:p>
      <w:pPr>
        <w:pStyle w:val="ListBullet"/>
        <w:spacing w:after="40"/>
      </w:pPr>
      <w:r>
        <w:t>Immediate intoxication, overdose, severe withdrawal, altered consciousness, chest pain, seizure, or unsafe environment requires emergency assessment.</w:t>
      </w:r>
    </w:p>
    <w:p>
      <w:pPr>
        <w:pStyle w:val="ListBullet"/>
        <w:spacing w:after="40"/>
      </w:pPr>
      <w:r>
        <w:t>Smoking and substance use are modifiable risks and care-planning factors, not stand-alone diagnoses of pregnancy outcome.</w:t>
      </w:r>
    </w:p>
    <w:p>
      <w:pPr>
        <w:pStyle w:val="ListBullet"/>
        <w:spacing w:after="40"/>
      </w:pPr>
      <w:r>
        <w:t>Do not display sensitive substance or violence information in patient-facing printouts or shared screens without an explicit privacy design.</w:t>
      </w:r>
    </w:p>
    <w:p>
      <w:pPr>
        <w:pStyle w:val="Heading1"/>
      </w:pPr>
      <w:r>
        <w:t>7. Mental Health, Violence, and Safeguarding</w:t>
      </w:r>
    </w:p>
    <w:p>
      <w:r>
        <w:t>Maternal safety includes psychological and social safety. NICE advises assessment of previous and current mental-health concerns and action proportionate to self-harm risk. WHO and NICE guidance supports private, respectful inquiry and coordinated support for intimate-partner violence.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160"/>
            <w:tcMar>
              <w:top w:w="60" w:type="dxa"/>
              <w:start w:w="70" w:type="dxa"/>
              <w:bottom w:w="60" w:type="dxa"/>
              <w:end w:w="70" w:type="dxa"/>
            </w:tcMar>
            <w:vAlign w:val="center"/>
            <w:shd w:fill="17365D"/>
            <w:tcBorders>
              <w:top w:val="single" w:sz="4" w:color="B7B7B7"/>
              <w:left w:val="single" w:sz="4" w:color="B7B7B7"/>
              <w:bottom w:val="single" w:sz="4" w:color="B7B7B7"/>
              <w:right w:val="single" w:sz="4" w:color="B7B7B7"/>
            </w:tcBorders>
          </w:tcPr>
          <w:p>
            <w:pPr>
              <w:spacing w:after="20" w:before="0"/>
            </w:pPr>
            <w:r>
              <w:rPr>
                <w:rFonts w:ascii="Aptos" w:hAnsi="Aptos"/>
                <w:b/>
                <w:color w:val="FFFFFF"/>
                <w:sz w:val="14"/>
              </w:rPr>
              <w:t>Domain</w:t>
            </w:r>
          </w:p>
        </w:tc>
        <w:tc>
          <w:tcPr>
            <w:tcW w:type="dxa" w:w="5616"/>
            <w:tcMar>
              <w:top w:w="60" w:type="dxa"/>
              <w:start w:w="70" w:type="dxa"/>
              <w:bottom w:w="60" w:type="dxa"/>
              <w:end w:w="70" w:type="dxa"/>
            </w:tcMar>
            <w:vAlign w:val="center"/>
            <w:shd w:fill="17365D"/>
            <w:tcBorders>
              <w:top w:val="single" w:sz="4" w:color="B7B7B7"/>
              <w:left w:val="single" w:sz="4" w:color="B7B7B7"/>
              <w:bottom w:val="single" w:sz="4" w:color="B7B7B7"/>
              <w:right w:val="single" w:sz="4" w:color="B7B7B7"/>
            </w:tcBorders>
          </w:tcPr>
          <w:p>
            <w:pPr>
              <w:spacing w:after="20" w:before="0"/>
            </w:pPr>
            <w:r>
              <w:rPr>
                <w:rFonts w:ascii="Aptos" w:hAnsi="Aptos"/>
                <w:b/>
                <w:color w:val="FFFFFF"/>
                <w:sz w:val="14"/>
              </w:rPr>
              <w:t>CDSS requirement</w:t>
            </w:r>
          </w:p>
        </w:tc>
        <w:tc>
          <w:tcPr>
            <w:tcW w:type="dxa" w:w="2736"/>
            <w:tcMar>
              <w:top w:w="60" w:type="dxa"/>
              <w:start w:w="70" w:type="dxa"/>
              <w:bottom w:w="60" w:type="dxa"/>
              <w:end w:w="70" w:type="dxa"/>
            </w:tcMar>
            <w:vAlign w:val="center"/>
            <w:shd w:fill="17365D"/>
            <w:tcBorders>
              <w:top w:val="single" w:sz="4" w:color="B7B7B7"/>
              <w:left w:val="single" w:sz="4" w:color="B7B7B7"/>
              <w:bottom w:val="single" w:sz="4" w:color="B7B7B7"/>
              <w:right w:val="single" w:sz="4" w:color="B7B7B7"/>
            </w:tcBorders>
          </w:tcPr>
          <w:p>
            <w:pPr>
              <w:spacing w:after="20" w:before="0"/>
            </w:pPr>
            <w:r>
              <w:rPr>
                <w:rFonts w:ascii="Aptos" w:hAnsi="Aptos"/>
                <w:b/>
                <w:color w:val="FFFFFF"/>
                <w:sz w:val="14"/>
              </w:rPr>
              <w:t>Escalation</w:t>
            </w:r>
          </w:p>
        </w:tc>
      </w:tr>
      <w:tr>
        <w:tc>
          <w:tcPr>
            <w:tcW w:type="dxa" w:w="2160"/>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Self-harm or suicide</w:t>
            </w:r>
          </w:p>
        </w:tc>
        <w:tc>
          <w:tcPr>
            <w:tcW w:type="dxa" w:w="5616"/>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Ask privately about thoughts, intent, plan, means, prior attempt, protective support, and immediate safety. Do not rely on a total score alone.</w:t>
            </w:r>
          </w:p>
        </w:tc>
        <w:tc>
          <w:tcPr>
            <w:tcW w:type="dxa" w:w="2736"/>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Emergency when imminent risk, plan/intent, psychosis, severe agitation, or no safe supervision.</w:t>
            </w:r>
          </w:p>
        </w:tc>
      </w:tr>
      <w:tr>
        <w:tc>
          <w:tcPr>
            <w:tcW w:type="dxa" w:w="2160"/>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Psychosis / mania / severe disorganization</w:t>
            </w:r>
          </w:p>
        </w:tc>
        <w:tc>
          <w:tcPr>
            <w:tcW w:type="dxa" w:w="5616"/>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Record observed behavior and reported symptoms; do not diagnose subtype.</w:t>
            </w:r>
          </w:p>
        </w:tc>
        <w:tc>
          <w:tcPr>
            <w:tcW w:type="dxa" w:w="2736"/>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Emergency specialist assessment.</w:t>
            </w:r>
          </w:p>
        </w:tc>
      </w:tr>
      <w:tr>
        <w:tc>
          <w:tcPr>
            <w:tcW w:type="dxa" w:w="2160"/>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Depression / anxiety / trauma</w:t>
            </w:r>
          </w:p>
        </w:tc>
        <w:tc>
          <w:tcPr>
            <w:tcW w:type="dxa" w:w="5616"/>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Structured screen may support recognition but must not replace clinical interview. Record function, duration, treatment, support, and safety.</w:t>
            </w:r>
          </w:p>
        </w:tc>
        <w:tc>
          <w:tcPr>
            <w:tcW w:type="dxa" w:w="2736"/>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Expedited or urgent review according to severity and safety.</w:t>
            </w:r>
          </w:p>
        </w:tc>
      </w:tr>
      <w:tr>
        <w:tc>
          <w:tcPr>
            <w:tcW w:type="dxa" w:w="2160"/>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Intimate-partner or sexual violence</w:t>
            </w:r>
          </w:p>
        </w:tc>
        <w:tc>
          <w:tcPr>
            <w:tcW w:type="dxa" w:w="5616"/>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Provide a one-to-one opportunity, privacy, first-line supportive response, immediate-injury assessment, safety planning, and appropriate referral.</w:t>
            </w:r>
          </w:p>
        </w:tc>
        <w:tc>
          <w:tcPr>
            <w:tcW w:type="dxa" w:w="2736"/>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Emergency for immediate danger, major injury, strangulation, weapon threat, sexual assault emergency, or unsafe discharge.</w:t>
            </w:r>
          </w:p>
        </w:tc>
      </w:tr>
      <w:tr>
        <w:tc>
          <w:tcPr>
            <w:tcW w:type="dxa" w:w="2160"/>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Housing, poverty, migration, language, transport</w:t>
            </w:r>
          </w:p>
        </w:tc>
        <w:tc>
          <w:tcPr>
            <w:tcW w:type="dxa" w:w="5616"/>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Record barriers and support needs without converting social disadvantage into biological 'high risk'.</w:t>
            </w:r>
          </w:p>
        </w:tc>
        <w:tc>
          <w:tcPr>
            <w:tcW w:type="dxa" w:w="2736"/>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Care coordination; escalation when barrier prevents access to urgent care.</w:t>
            </w:r>
          </w:p>
        </w:tc>
      </w:tr>
      <w:tr>
        <w:tc>
          <w:tcPr>
            <w:tcW w:type="dxa" w:w="2160"/>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Child/adolescent safeguarding</w:t>
            </w:r>
          </w:p>
        </w:tc>
        <w:tc>
          <w:tcPr>
            <w:tcW w:type="dxa" w:w="5616"/>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Follow applicable Philippine law, institutional policy, consent/confidentiality rules, and designated safeguarding channels.</w:t>
            </w:r>
          </w:p>
        </w:tc>
        <w:tc>
          <w:tcPr>
            <w:tcW w:type="dxa" w:w="2736"/>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Immediate safeguarding action when abuse, exploitation, trafficking, or imminent danger is suspected.</w:t>
            </w:r>
          </w:p>
        </w:tc>
      </w:tr>
    </w:tbl>
    <w:p>
      <w:pPr>
        <w:pStyle w:val="SmallNote"/>
      </w:pPr>
    </w:p>
    <w:tbl>
      <w:tblPr>
        <w:tblW w:type="auto" w:w="0"/>
        <w:jc w:val="center"/>
        <w:tblLook w:firstColumn="1" w:firstRow="1" w:lastColumn="0" w:lastRow="0" w:noHBand="0" w:noVBand="1" w:val="04A0"/>
      </w:tblPr>
      <w:tblGrid>
        <w:gridCol w:w="10166"/>
      </w:tblGrid>
      <w:tr>
        <w:tc>
          <w:tcPr>
            <w:tcW w:type="dxa" w:w="10166"/>
            <w:shd w:fill="EAF2F8"/>
            <w:tcMar>
              <w:top w:w="110" w:type="dxa"/>
              <w:start w:w="130" w:type="dxa"/>
              <w:bottom w:w="105" w:type="dxa"/>
              <w:end w:w="130" w:type="dxa"/>
            </w:tcMar>
            <w:tcBorders>
              <w:top w:val="single" w:sz="4" w:color="EAF2F8"/>
              <w:left w:val="single" w:sz="18" w:color="2F75B5"/>
              <w:bottom w:val="single" w:sz="4" w:color="EAF2F8"/>
              <w:right w:val="single" w:sz="4" w:color="EAF2F8"/>
            </w:tcBorders>
          </w:tcPr>
          <w:p>
            <w:pPr>
              <w:spacing w:after="40"/>
            </w:pPr>
            <w:r>
              <w:rPr>
                <w:rFonts w:ascii="Aptos" w:hAnsi="Aptos"/>
                <w:b/>
                <w:color w:val="2F75B5"/>
                <w:sz w:val="19"/>
              </w:rPr>
              <w:t>Privacy-by-design</w:t>
            </w:r>
          </w:p>
          <w:p>
            <w:pPr>
              <w:spacing w:after="0"/>
            </w:pPr>
            <w:r>
              <w:rPr>
                <w:rFonts w:ascii="Aptos" w:hAnsi="Aptos"/>
                <w:sz w:val="17"/>
              </w:rPr>
              <w:t>Sensitive notes should have role-based access, an audit trail, discreet screen labels, and safe printing rules. The alleged perpetrator or accompanying person must not automatically receive access.</w:t>
            </w:r>
          </w:p>
        </w:tc>
      </w:tr>
    </w:tbl>
    <w:p>
      <w:pPr>
        <w:pStyle w:val="SmallNote"/>
      </w:pPr>
    </w:p>
    <w:p>
      <w:pPr>
        <w:pStyle w:val="Heading1"/>
      </w:pPr>
      <w:r>
        <w:t>8. Proposed CDSS Knowledge Rules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080"/>
            <w:tcMar>
              <w:top w:w="60" w:type="dxa"/>
              <w:start w:w="70" w:type="dxa"/>
              <w:bottom w:w="60" w:type="dxa"/>
              <w:end w:w="70" w:type="dxa"/>
            </w:tcMar>
            <w:vAlign w:val="center"/>
            <w:shd w:fill="17365D"/>
            <w:tcBorders>
              <w:top w:val="single" w:sz="4" w:color="B7B7B7"/>
              <w:left w:val="single" w:sz="4" w:color="B7B7B7"/>
              <w:bottom w:val="single" w:sz="4" w:color="B7B7B7"/>
              <w:right w:val="single" w:sz="4" w:color="B7B7B7"/>
            </w:tcBorders>
          </w:tcPr>
          <w:p>
            <w:pPr>
              <w:spacing w:after="20" w:before="0"/>
            </w:pPr>
            <w:r>
              <w:rPr>
                <w:rFonts w:ascii="Aptos" w:hAnsi="Aptos"/>
                <w:b/>
                <w:color w:val="FFFFFF"/>
                <w:sz w:val="14"/>
              </w:rPr>
              <w:t>ID</w:t>
            </w:r>
          </w:p>
        </w:tc>
        <w:tc>
          <w:tcPr>
            <w:tcW w:type="dxa" w:w="9000"/>
            <w:tcMar>
              <w:top w:w="60" w:type="dxa"/>
              <w:start w:w="70" w:type="dxa"/>
              <w:bottom w:w="60" w:type="dxa"/>
              <w:end w:w="70" w:type="dxa"/>
            </w:tcMar>
            <w:vAlign w:val="center"/>
            <w:shd w:fill="17365D"/>
            <w:tcBorders>
              <w:top w:val="single" w:sz="4" w:color="B7B7B7"/>
              <w:left w:val="single" w:sz="4" w:color="B7B7B7"/>
              <w:bottom w:val="single" w:sz="4" w:color="B7B7B7"/>
              <w:right w:val="single" w:sz="4" w:color="B7B7B7"/>
            </w:tcBorders>
          </w:tcPr>
          <w:p>
            <w:pPr>
              <w:spacing w:after="20" w:before="0"/>
            </w:pPr>
            <w:r>
              <w:rPr>
                <w:rFonts w:ascii="Aptos" w:hAnsi="Aptos"/>
                <w:b/>
                <w:color w:val="FFFFFF"/>
                <w:sz w:val="14"/>
              </w:rPr>
              <w:t>Rule</w:t>
            </w:r>
          </w:p>
        </w:tc>
      </w:tr>
      <w:tr>
        <w:tc>
          <w:tcPr>
            <w:tcW w:type="dxa" w:w="1080"/>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MW-01</w:t>
            </w:r>
          </w:p>
        </w:tc>
        <w:tc>
          <w:tcPr>
            <w:tcW w:type="dxa" w:w="9000"/>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Seizure, loss of consciousness, or new altered mental status activates EMERGENCY TRANSFER and bypasses routine workflow.</w:t>
            </w:r>
          </w:p>
        </w:tc>
      </w:tr>
      <w:tr>
        <w:tc>
          <w:tcPr>
            <w:tcW w:type="dxa" w:w="1080"/>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MW-02</w:t>
            </w:r>
          </w:p>
        </w:tc>
        <w:tc>
          <w:tcPr>
            <w:tcW w:type="dxa" w:w="9000"/>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Severe hypertension (≥160 systolic or ≥110 diastolic) activates immediate clinician review and emergency/urgent secondary-care transfer; repeat measurement must not delay care when symptoms or instability are present.</w:t>
            </w:r>
          </w:p>
        </w:tc>
      </w:tr>
      <w:tr>
        <w:tc>
          <w:tcPr>
            <w:tcW w:type="dxa" w:w="1080"/>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MW-03</w:t>
            </w:r>
          </w:p>
        </w:tc>
        <w:tc>
          <w:tcPr>
            <w:tcW w:type="dxa" w:w="9000"/>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Severe headache plus visual disturbance, neurologic feature, severe BP, or epigastric/right-upper-quadrant pain activates an emergency hypertensive-disorder warning pattern.</w:t>
            </w:r>
          </w:p>
        </w:tc>
      </w:tr>
      <w:tr>
        <w:tc>
          <w:tcPr>
            <w:tcW w:type="dxa" w:w="1080"/>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MW-04</w:t>
            </w:r>
          </w:p>
        </w:tc>
        <w:tc>
          <w:tcPr>
            <w:tcW w:type="dxa" w:w="9000"/>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Heavy/ongoing vaginal bleeding or bleeding with instability, severe pain, syncope, or known placental risk activates EMERGENCY TRANSFER.</w:t>
            </w:r>
          </w:p>
        </w:tc>
      </w:tr>
      <w:tr>
        <w:tc>
          <w:tcPr>
            <w:tcW w:type="dxa" w:w="1080"/>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MW-05</w:t>
            </w:r>
          </w:p>
        </w:tc>
        <w:tc>
          <w:tcPr>
            <w:tcW w:type="dxa" w:w="9000"/>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Any fluid leakage in pregnancy creates an urgent obstetric-assessment recommendation; fever, foul fluid, bleeding, cord concern, or maternal/fetal deterioration upgrades to emergency.</w:t>
            </w:r>
          </w:p>
        </w:tc>
      </w:tr>
      <w:tr>
        <w:tc>
          <w:tcPr>
            <w:tcW w:type="dxa" w:w="1080"/>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MW-06</w:t>
            </w:r>
          </w:p>
        </w:tc>
        <w:tc>
          <w:tcPr>
            <w:tcW w:type="dxa" w:w="9000"/>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Temperature ≥38.0°C creates an urgent maternal fever alert; systemic deterioration or sepsis pattern upgrades to emergency.</w:t>
            </w:r>
          </w:p>
        </w:tc>
      </w:tr>
      <w:tr>
        <w:tc>
          <w:tcPr>
            <w:tcW w:type="dxa" w:w="1080"/>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MW-07</w:t>
            </w:r>
          </w:p>
        </w:tc>
        <w:tc>
          <w:tcPr>
            <w:tcW w:type="dxa" w:w="9000"/>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Trouble breathing, chest pain, cyanosis, inability to speak normally, orthopnoea with deterioration, or dyspnoea plus syncope activates EMERGENCY TRANSFER.</w:t>
            </w:r>
          </w:p>
        </w:tc>
      </w:tr>
      <w:tr>
        <w:tc>
          <w:tcPr>
            <w:tcW w:type="dxa" w:w="1080"/>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MW-08</w:t>
            </w:r>
          </w:p>
        </w:tc>
        <w:tc>
          <w:tcPr>
            <w:tcW w:type="dxa" w:w="9000"/>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Severe unilateral limb swelling/pain creates urgent thromboembolism assessment; chest pain or dyspnoea upgrades to emergency.</w:t>
            </w:r>
          </w:p>
        </w:tc>
      </w:tr>
      <w:tr>
        <w:tc>
          <w:tcPr>
            <w:tcW w:type="dxa" w:w="1080"/>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MW-09</w:t>
            </w:r>
          </w:p>
        </w:tc>
        <w:tc>
          <w:tcPr>
            <w:tcW w:type="dxa" w:w="9000"/>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Persistent vomiting with inability to retain fluids, reduced urine, confusion, severe weakness, or instability requires urgent same-day assessment.</w:t>
            </w:r>
          </w:p>
        </w:tc>
      </w:tr>
      <w:tr>
        <w:tc>
          <w:tcPr>
            <w:tcW w:type="dxa" w:w="1080"/>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MW-10</w:t>
            </w:r>
          </w:p>
        </w:tc>
        <w:tc>
          <w:tcPr>
            <w:tcW w:type="dxa" w:w="9000"/>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Sudden severe abdominal pain, persistent worsening pain, or pain with bleeding/fainting/previous cesarean/trauma activates urgent or emergency escalation.</w:t>
            </w:r>
          </w:p>
        </w:tc>
      </w:tr>
      <w:tr>
        <w:tc>
          <w:tcPr>
            <w:tcW w:type="dxa" w:w="1080"/>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MW-11</w:t>
            </w:r>
          </w:p>
        </w:tc>
        <w:tc>
          <w:tcPr>
            <w:tcW w:type="dxa" w:w="9000"/>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Thoughts of self-harm or harming the baby trigger immediate private safety assessment; intent, plan, psychosis, or inability to remain safe activates emergency response.</w:t>
            </w:r>
          </w:p>
        </w:tc>
      </w:tr>
      <w:tr>
        <w:tc>
          <w:tcPr>
            <w:tcW w:type="dxa" w:w="1080"/>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MW-12</w:t>
            </w:r>
          </w:p>
        </w:tc>
        <w:tc>
          <w:tcPr>
            <w:tcW w:type="dxa" w:w="9000"/>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Trauma in pregnancy requires structured mechanism and symptom assessment; bleeding, fluid loss, severe pain, altered state, or reduced fetal movement triggers hospital assessment.</w:t>
            </w:r>
          </w:p>
        </w:tc>
      </w:tr>
      <w:tr>
        <w:tc>
          <w:tcPr>
            <w:tcW w:type="dxa" w:w="1080"/>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MW-13</w:t>
            </w:r>
          </w:p>
        </w:tc>
        <w:tc>
          <w:tcPr>
            <w:tcW w:type="dxa" w:w="9000"/>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A current chronic condition requires status fields: exact diagnosis, control, treatment, responsible clinician, pregnancy-specific plan, and current warning symptoms.</w:t>
            </w:r>
          </w:p>
        </w:tc>
      </w:tr>
      <w:tr>
        <w:tc>
          <w:tcPr>
            <w:tcW w:type="dxa" w:w="1080"/>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MW-14</w:t>
            </w:r>
          </w:p>
        </w:tc>
        <w:tc>
          <w:tcPr>
            <w:tcW w:type="dxa" w:w="9000"/>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A chronic-condition checkbox alone must not assign emergency status; current instability, disease-specific warnings, or missing specialist plan determines action.</w:t>
            </w:r>
          </w:p>
        </w:tc>
      </w:tr>
      <w:tr>
        <w:tc>
          <w:tcPr>
            <w:tcW w:type="dxa" w:w="1080"/>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MW-15</w:t>
            </w:r>
          </w:p>
        </w:tc>
        <w:tc>
          <w:tcPr>
            <w:tcW w:type="dxa" w:w="9000"/>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Any seizure is treated as a new emergency presentation even when epilepsy is documented.</w:t>
            </w:r>
          </w:p>
        </w:tc>
      </w:tr>
      <w:tr>
        <w:tc>
          <w:tcPr>
            <w:tcW w:type="dxa" w:w="1080"/>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MW-16</w:t>
            </w:r>
          </w:p>
        </w:tc>
        <w:tc>
          <w:tcPr>
            <w:tcW w:type="dxa" w:w="9000"/>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The CDSS must not advise stopping long-term medication without clinician review.</w:t>
            </w:r>
          </w:p>
        </w:tc>
      </w:tr>
      <w:tr>
        <w:tc>
          <w:tcPr>
            <w:tcW w:type="dxa" w:w="1080"/>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MW-17</w:t>
            </w:r>
          </w:p>
        </w:tc>
        <w:tc>
          <w:tcPr>
            <w:tcW w:type="dxa" w:w="9000"/>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Allergy alerts must include the actual reaction and severity; intolerance and unverified history remain distinguishable.</w:t>
            </w:r>
          </w:p>
        </w:tc>
      </w:tr>
      <w:tr>
        <w:tc>
          <w:tcPr>
            <w:tcW w:type="dxa" w:w="1080"/>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MW-18</w:t>
            </w:r>
          </w:p>
        </w:tc>
        <w:tc>
          <w:tcPr>
            <w:tcW w:type="dxa" w:w="9000"/>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Substance use prompts nonjudgmental counseling and coordinated care; overdose, severe withdrawal, seizure, altered state, or immediate safety threat activates emergency response.</w:t>
            </w:r>
          </w:p>
        </w:tc>
      </w:tr>
      <w:tr>
        <w:tc>
          <w:tcPr>
            <w:tcW w:type="dxa" w:w="1080"/>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MW-19</w:t>
            </w:r>
          </w:p>
        </w:tc>
        <w:tc>
          <w:tcPr>
            <w:tcW w:type="dxa" w:w="9000"/>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Violence screening and documentation must be private and access-controlled; immediate danger activates safeguarding/emergency pathways.</w:t>
            </w:r>
          </w:p>
        </w:tc>
      </w:tr>
      <w:tr>
        <w:tc>
          <w:tcPr>
            <w:tcW w:type="dxa" w:w="1080"/>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MW-20</w:t>
            </w:r>
          </w:p>
        </w:tc>
        <w:tc>
          <w:tcPr>
            <w:tcW w:type="dxa" w:w="9000"/>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A serious patient concern can be manually escalated even when programmed thresholds are absent.</w:t>
            </w:r>
          </w:p>
        </w:tc>
      </w:tr>
      <w:tr>
        <w:tc>
          <w:tcPr>
            <w:tcW w:type="dxa" w:w="1080"/>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MW-21</w:t>
            </w:r>
          </w:p>
        </w:tc>
        <w:tc>
          <w:tcPr>
            <w:tcW w:type="dxa" w:w="9000"/>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A normal isolated vital sign cannot automatically suppress an emergency symptom alert.</w:t>
            </w:r>
          </w:p>
        </w:tc>
      </w:tr>
      <w:tr>
        <w:tc>
          <w:tcPr>
            <w:tcW w:type="dxa" w:w="1080"/>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MW-22</w:t>
            </w:r>
          </w:p>
        </w:tc>
        <w:tc>
          <w:tcPr>
            <w:tcW w:type="dxa" w:w="9000"/>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Missing vital signs increase uncertainty but do not block escalation for major symptoms.</w:t>
            </w:r>
          </w:p>
        </w:tc>
      </w:tr>
      <w:tr>
        <w:tc>
          <w:tcPr>
            <w:tcW w:type="dxa" w:w="1080"/>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MW-23</w:t>
            </w:r>
          </w:p>
        </w:tc>
        <w:tc>
          <w:tcPr>
            <w:tcW w:type="dxa" w:w="9000"/>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Referral refusal must never erase the alert; document explanation, capacity, advice, witnesses where appropriate, and attempts to secure safe care.</w:t>
            </w:r>
          </w:p>
        </w:tc>
      </w:tr>
      <w:tr>
        <w:tc>
          <w:tcPr>
            <w:tcW w:type="dxa" w:w="1080"/>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MW-24</w:t>
            </w:r>
          </w:p>
        </w:tc>
        <w:tc>
          <w:tcPr>
            <w:tcW w:type="dxa" w:w="9000"/>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Every alert stores trigger facts, rule version, recommended action, clinician response, timestamps, and final disposition.</w:t>
            </w:r>
          </w:p>
        </w:tc>
      </w:tr>
      <w:tr>
        <w:tc>
          <w:tcPr>
            <w:tcW w:type="dxa" w:w="1080"/>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MW-25</w:t>
            </w:r>
          </w:p>
        </w:tc>
        <w:tc>
          <w:tcPr>
            <w:tcW w:type="dxa" w:w="9000"/>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Emergency alerts remain visually distinct from the longitudinal pregnancy risk index; an acute emergency cannot be averaged down by low chronic risk.</w:t>
            </w:r>
          </w:p>
        </w:tc>
      </w:tr>
      <w:tr>
        <w:tc>
          <w:tcPr>
            <w:tcW w:type="dxa" w:w="1080"/>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MW-26</w:t>
            </w:r>
          </w:p>
        </w:tc>
        <w:tc>
          <w:tcPr>
            <w:tcW w:type="dxa" w:w="9000"/>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Resolved symptoms remain in episode history and do not silently disappear from the longitudinal record.</w:t>
            </w:r>
          </w:p>
        </w:tc>
      </w:tr>
    </w:tbl>
    <w:p>
      <w:pPr>
        <w:pStyle w:val="SmallNote"/>
      </w:pPr>
    </w:p>
    <w:p>
      <w:pPr>
        <w:pStyle w:val="Heading1"/>
      </w:pPr>
      <w:r>
        <w:t>9. Database and Domain-Model Redesign</w:t>
      </w:r>
    </w:p>
    <w:p>
      <w:r>
        <w:t>The current medical-history form should evolve from fixed booleans and free-text notes into linked, auditable records. The final schema will be consolidated after Part 12; the tables below are factor-level proposals rather than an instruction to rebuild the live database immediately.</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952"/>
            <w:tcMar>
              <w:top w:w="60" w:type="dxa"/>
              <w:start w:w="70" w:type="dxa"/>
              <w:bottom w:w="60" w:type="dxa"/>
              <w:end w:w="70" w:type="dxa"/>
            </w:tcMar>
            <w:vAlign w:val="center"/>
            <w:shd w:fill="17365D"/>
            <w:tcBorders>
              <w:top w:val="single" w:sz="4" w:color="B7B7B7"/>
              <w:left w:val="single" w:sz="4" w:color="B7B7B7"/>
              <w:bottom w:val="single" w:sz="4" w:color="B7B7B7"/>
              <w:right w:val="single" w:sz="4" w:color="B7B7B7"/>
            </w:tcBorders>
          </w:tcPr>
          <w:p>
            <w:pPr>
              <w:spacing w:after="20" w:before="0"/>
            </w:pPr>
            <w:r>
              <w:rPr>
                <w:rFonts w:ascii="Aptos" w:hAnsi="Aptos"/>
                <w:b/>
                <w:color w:val="FFFFFF"/>
                <w:sz w:val="14"/>
              </w:rPr>
              <w:t>Proposed entity</w:t>
            </w:r>
          </w:p>
        </w:tc>
        <w:tc>
          <w:tcPr>
            <w:tcW w:type="dxa" w:w="7128"/>
            <w:tcMar>
              <w:top w:w="60" w:type="dxa"/>
              <w:start w:w="70" w:type="dxa"/>
              <w:bottom w:w="60" w:type="dxa"/>
              <w:end w:w="70" w:type="dxa"/>
            </w:tcMar>
            <w:vAlign w:val="center"/>
            <w:shd w:fill="17365D"/>
            <w:tcBorders>
              <w:top w:val="single" w:sz="4" w:color="B7B7B7"/>
              <w:left w:val="single" w:sz="4" w:color="B7B7B7"/>
              <w:bottom w:val="single" w:sz="4" w:color="B7B7B7"/>
              <w:right w:val="single" w:sz="4" w:color="B7B7B7"/>
            </w:tcBorders>
          </w:tcPr>
          <w:p>
            <w:pPr>
              <w:spacing w:after="20" w:before="0"/>
            </w:pPr>
            <w:r>
              <w:rPr>
                <w:rFonts w:ascii="Aptos" w:hAnsi="Aptos"/>
                <w:b/>
                <w:color w:val="FFFFFF"/>
                <w:sz w:val="14"/>
              </w:rPr>
              <w:t>Essential content</w:t>
            </w:r>
          </w:p>
        </w:tc>
      </w:tr>
      <w:tr>
        <w:tc>
          <w:tcPr>
            <w:tcW w:type="dxa" w:w="2952"/>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maternal_symptom_episodes</w:t>
            </w:r>
          </w:p>
        </w:tc>
        <w:tc>
          <w:tcPr>
            <w:tcW w:type="dxa" w:w="7128"/>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patient_pregnancy_id, symptom_code, patient_words, onset_at, severity, trajectory, resolved_at, notes, recorded_by</w:t>
            </w:r>
          </w:p>
        </w:tc>
      </w:tr>
      <w:tr>
        <w:tc>
          <w:tcPr>
            <w:tcW w:type="dxa" w:w="2952"/>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symptom_episode_findings</w:t>
            </w:r>
          </w:p>
        </w:tc>
        <w:tc>
          <w:tcPr>
            <w:tcW w:type="dxa" w:w="7128"/>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episode_id, finding_code, value, unit, observed_at, source (reported/measured/record)</w:t>
            </w:r>
          </w:p>
        </w:tc>
      </w:tr>
      <w:tr>
        <w:tc>
          <w:tcPr>
            <w:tcW w:type="dxa" w:w="2952"/>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maternal_conditions</w:t>
            </w:r>
          </w:p>
        </w:tc>
        <w:tc>
          <w:tcPr>
            <w:tcW w:type="dxa" w:w="7128"/>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patient_id or pregnancy_id, condition_code, exact_diagnosis, status, diagnosed_at, control_status, responsible_clinician</w:t>
            </w:r>
          </w:p>
        </w:tc>
      </w:tr>
      <w:tr>
        <w:tc>
          <w:tcPr>
            <w:tcW w:type="dxa" w:w="2952"/>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condition_pregnancy_plans</w:t>
            </w:r>
          </w:p>
        </w:tc>
        <w:tc>
          <w:tcPr>
            <w:tcW w:type="dxa" w:w="7128"/>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condition_id, pregnancy_id, specialist_reviewed_at, care_plan, restrictions, emergency_plan, next_review</w:t>
            </w:r>
          </w:p>
        </w:tc>
      </w:tr>
      <w:tr>
        <w:tc>
          <w:tcPr>
            <w:tcW w:type="dxa" w:w="2952"/>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medications</w:t>
            </w:r>
          </w:p>
        </w:tc>
        <w:tc>
          <w:tcPr>
            <w:tcW w:type="dxa" w:w="7128"/>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patient_id, medicine_name, strength, route, indication, prescriber</w:t>
            </w:r>
          </w:p>
        </w:tc>
      </w:tr>
      <w:tr>
        <w:tc>
          <w:tcPr>
            <w:tcW w:type="dxa" w:w="2952"/>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pregnancy_medication_use</w:t>
            </w:r>
          </w:p>
        </w:tc>
        <w:tc>
          <w:tcPr>
            <w:tcW w:type="dxa" w:w="7128"/>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pregnancy_id, medication_id, dose, frequency, started_at, stopped_at, adherence, pregnancy_review_status</w:t>
            </w:r>
          </w:p>
        </w:tc>
      </w:tr>
      <w:tr>
        <w:tc>
          <w:tcPr>
            <w:tcW w:type="dxa" w:w="2952"/>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allergies_adverse_reactions</w:t>
            </w:r>
          </w:p>
        </w:tc>
        <w:tc>
          <w:tcPr>
            <w:tcW w:type="dxa" w:w="7128"/>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patient_id, substance, reaction, severity, verified_status, occurred_at</w:t>
            </w:r>
          </w:p>
        </w:tc>
      </w:tr>
      <w:tr>
        <w:tc>
          <w:tcPr>
            <w:tcW w:type="dxa" w:w="2952"/>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substance_use_assessments</w:t>
            </w:r>
          </w:p>
        </w:tc>
        <w:tc>
          <w:tcPr>
            <w:tcW w:type="dxa" w:w="7128"/>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pregnancy_id, substance_code, current_status, frequency, amount, last_use, dependence_risk, support_offered</w:t>
            </w:r>
          </w:p>
        </w:tc>
      </w:tr>
      <w:tr>
        <w:tc>
          <w:tcPr>
            <w:tcW w:type="dxa" w:w="2952"/>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mental_health_assessments</w:t>
            </w:r>
          </w:p>
        </w:tc>
        <w:tc>
          <w:tcPr>
            <w:tcW w:type="dxa" w:w="7128"/>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pregnancy_id, assessment_at, symptoms, functional_impact, self_harm_risk, support, clinician_plan</w:t>
            </w:r>
          </w:p>
        </w:tc>
      </w:tr>
      <w:tr>
        <w:tc>
          <w:tcPr>
            <w:tcW w:type="dxa" w:w="2952"/>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safeguarding_events</w:t>
            </w:r>
          </w:p>
        </w:tc>
        <w:tc>
          <w:tcPr>
            <w:tcW w:type="dxa" w:w="7128"/>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pregnancy_id, restricted_summary, immediate_danger, action_taken, authorized_roles only</w:t>
            </w:r>
          </w:p>
        </w:tc>
      </w:tr>
      <w:tr>
        <w:tc>
          <w:tcPr>
            <w:tcW w:type="dxa" w:w="2952"/>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clinical_alerts</w:t>
            </w:r>
          </w:p>
        </w:tc>
        <w:tc>
          <w:tcPr>
            <w:tcW w:type="dxa" w:w="7128"/>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pregnancy_id, encounter_id, rule_id, rule_version, severity, explanation, created_at, acknowledged_by</w:t>
            </w:r>
          </w:p>
        </w:tc>
      </w:tr>
      <w:tr>
        <w:tc>
          <w:tcPr>
            <w:tcW w:type="dxa" w:w="2952"/>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referral_events</w:t>
            </w:r>
          </w:p>
        </w:tc>
        <w:tc>
          <w:tcPr>
            <w:tcW w:type="dxa" w:w="7128"/>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pregnancy_id, urgency, reason_codes, receiving_facility, contacted_at, accepted_at, transport, outcome</w:t>
            </w:r>
          </w:p>
        </w:tc>
      </w:tr>
      <w:tr>
        <w:tc>
          <w:tcPr>
            <w:tcW w:type="dxa" w:w="2952"/>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referral_refusals</w:t>
            </w:r>
          </w:p>
        </w:tc>
        <w:tc>
          <w:tcPr>
            <w:tcW w:type="dxa" w:w="7128"/>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referral_id, decision_capacity_noted, explanation_given, patient_reason, witnesses, safety_net, clinician</w:t>
            </w:r>
          </w:p>
        </w:tc>
      </w:tr>
      <w:tr>
        <w:tc>
          <w:tcPr>
            <w:tcW w:type="dxa" w:w="2952"/>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vital_sign_observations</w:t>
            </w:r>
          </w:p>
        </w:tc>
        <w:tc>
          <w:tcPr>
            <w:tcW w:type="dxa" w:w="7128"/>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encounter_id, BP, pulse, temperature, respiratory_rate, SpO2, mental_status, measured_at, device/source</w:t>
            </w:r>
          </w:p>
        </w:tc>
      </w:tr>
    </w:tbl>
    <w:p>
      <w:pPr>
        <w:pStyle w:val="SmallNote"/>
      </w:pPr>
    </w:p>
    <w:p>
      <w:pPr>
        <w:pStyle w:val="Heading2"/>
      </w:pPr>
      <w:r>
        <w:t>9.1 Data quality constraints</w:t>
      </w:r>
    </w:p>
    <w:p>
      <w:pPr>
        <w:pStyle w:val="ListBullet"/>
        <w:spacing w:after="40"/>
      </w:pPr>
      <w:r>
        <w:t>Never store 'normal' when an item was not assessed; use explicit unknown/not assessed/unavailable states.</w:t>
      </w:r>
    </w:p>
    <w:p>
      <w:pPr>
        <w:pStyle w:val="ListBullet"/>
        <w:spacing w:after="40"/>
      </w:pPr>
      <w:r>
        <w:t>Use coded values plus patient wording; coded data supports rules while original wording preserves clinical nuance.</w:t>
      </w:r>
    </w:p>
    <w:p>
      <w:pPr>
        <w:pStyle w:val="ListBullet"/>
        <w:spacing w:after="40"/>
      </w:pPr>
      <w:r>
        <w:t>Time-stamp every measurement and keep the source: patient-reported, clinic-measured, external report, or imported record.</w:t>
      </w:r>
    </w:p>
    <w:p>
      <w:pPr>
        <w:pStyle w:val="ListBullet"/>
        <w:spacing w:after="40"/>
      </w:pPr>
      <w:r>
        <w:t>Separate a historical condition from a current symptom episode.</w:t>
      </w:r>
    </w:p>
    <w:p>
      <w:pPr>
        <w:pStyle w:val="ListBullet"/>
        <w:spacing w:after="40"/>
      </w:pPr>
      <w:r>
        <w:t>Prevent deletion of acknowledged emergency alerts; corrections should create an audit entry.</w:t>
      </w:r>
    </w:p>
    <w:p>
      <w:pPr>
        <w:pStyle w:val="ListBullet"/>
        <w:spacing w:after="40"/>
      </w:pPr>
      <w:r>
        <w:t>Version every rule and store which version generated the recommendation.</w:t>
      </w:r>
    </w:p>
    <w:p>
      <w:pPr>
        <w:pStyle w:val="Heading1"/>
      </w:pPr>
      <w:r>
        <w:t>10. User Interface and Workflow Requirements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232"/>
            <w:tcMar>
              <w:top w:w="60" w:type="dxa"/>
              <w:start w:w="70" w:type="dxa"/>
              <w:bottom w:w="60" w:type="dxa"/>
              <w:end w:w="70" w:type="dxa"/>
            </w:tcMar>
            <w:vAlign w:val="center"/>
            <w:shd w:fill="17365D"/>
            <w:tcBorders>
              <w:top w:val="single" w:sz="4" w:color="B7B7B7"/>
              <w:left w:val="single" w:sz="4" w:color="B7B7B7"/>
              <w:bottom w:val="single" w:sz="4" w:color="B7B7B7"/>
              <w:right w:val="single" w:sz="4" w:color="B7B7B7"/>
            </w:tcBorders>
          </w:tcPr>
          <w:p>
            <w:pPr>
              <w:spacing w:after="20" w:before="0"/>
            </w:pPr>
            <w:r>
              <w:rPr>
                <w:rFonts w:ascii="Aptos" w:hAnsi="Aptos"/>
                <w:b/>
                <w:color w:val="FFFFFF"/>
                <w:sz w:val="14"/>
              </w:rPr>
              <w:t>Component</w:t>
            </w:r>
          </w:p>
        </w:tc>
        <w:tc>
          <w:tcPr>
            <w:tcW w:type="dxa" w:w="7848"/>
            <w:tcMar>
              <w:top w:w="60" w:type="dxa"/>
              <w:start w:w="70" w:type="dxa"/>
              <w:bottom w:w="60" w:type="dxa"/>
              <w:end w:w="70" w:type="dxa"/>
            </w:tcMar>
            <w:vAlign w:val="center"/>
            <w:shd w:fill="17365D"/>
            <w:tcBorders>
              <w:top w:val="single" w:sz="4" w:color="B7B7B7"/>
              <w:left w:val="single" w:sz="4" w:color="B7B7B7"/>
              <w:bottom w:val="single" w:sz="4" w:color="B7B7B7"/>
              <w:right w:val="single" w:sz="4" w:color="B7B7B7"/>
            </w:tcBorders>
          </w:tcPr>
          <w:p>
            <w:pPr>
              <w:spacing w:after="20" w:before="0"/>
            </w:pPr>
            <w:r>
              <w:rPr>
                <w:rFonts w:ascii="Aptos" w:hAnsi="Aptos"/>
                <w:b/>
                <w:color w:val="FFFFFF"/>
                <w:sz w:val="14"/>
              </w:rPr>
              <w:t>Required behavior</w:t>
            </w:r>
          </w:p>
        </w:tc>
      </w:tr>
      <w:tr>
        <w:tc>
          <w:tcPr>
            <w:tcW w:type="dxa" w:w="2232"/>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Rapid warning screen</w:t>
            </w:r>
          </w:p>
        </w:tc>
        <w:tc>
          <w:tcPr>
            <w:tcW w:type="dxa" w:w="7848"/>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One-tap access from every encounter; major symptoms visible without opening the full medical-history form.</w:t>
            </w:r>
          </w:p>
        </w:tc>
      </w:tr>
      <w:tr>
        <w:tc>
          <w:tcPr>
            <w:tcW w:type="dxa" w:w="2232"/>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Emergency banner</w:t>
            </w:r>
          </w:p>
        </w:tc>
        <w:tc>
          <w:tcPr>
            <w:tcW w:type="dxa" w:w="7848"/>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Persistent red banner with trigger facts, immediate action, timestamp, and acknowledgment; cannot be hidden by scrolling.</w:t>
            </w:r>
          </w:p>
        </w:tc>
      </w:tr>
      <w:tr>
        <w:tc>
          <w:tcPr>
            <w:tcW w:type="dxa" w:w="2232"/>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Guided symptom questions</w:t>
            </w:r>
          </w:p>
        </w:tc>
        <w:tc>
          <w:tcPr>
            <w:tcW w:type="dxa" w:w="7848"/>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Conditional fields based on the selected symptom; do not present a long undifferentiated checklist.</w:t>
            </w:r>
          </w:p>
        </w:tc>
      </w:tr>
      <w:tr>
        <w:tc>
          <w:tcPr>
            <w:tcW w:type="dxa" w:w="2232"/>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Vital signs panel</w:t>
            </w:r>
          </w:p>
        </w:tc>
        <w:tc>
          <w:tcPr>
            <w:tcW w:type="dxa" w:w="7848"/>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Shows value, time, trend, and missing-state. Severe values produce immediate alert.</w:t>
            </w:r>
          </w:p>
        </w:tc>
      </w:tr>
      <w:tr>
        <w:tc>
          <w:tcPr>
            <w:tcW w:type="dxa" w:w="2232"/>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Explainability panel</w:t>
            </w:r>
          </w:p>
        </w:tc>
        <w:tc>
          <w:tcPr>
            <w:tcW w:type="dxa" w:w="7848"/>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Displays 'Triggered by', 'Why it matters', 'Recommended action', 'What the system cannot determine', and source/version.</w:t>
            </w:r>
          </w:p>
        </w:tc>
      </w:tr>
      <w:tr>
        <w:tc>
          <w:tcPr>
            <w:tcW w:type="dxa" w:w="2232"/>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Referral handover</w:t>
            </w:r>
          </w:p>
        </w:tc>
        <w:tc>
          <w:tcPr>
            <w:tcW w:type="dxa" w:w="7848"/>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Auto-generates concise handover containing identity, gestation, symptoms, vital signs, history, actions, and attachments.</w:t>
            </w:r>
          </w:p>
        </w:tc>
      </w:tr>
      <w:tr>
        <w:tc>
          <w:tcPr>
            <w:tcW w:type="dxa" w:w="2232"/>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Override controls</w:t>
            </w:r>
          </w:p>
        </w:tc>
        <w:tc>
          <w:tcPr>
            <w:tcW w:type="dxa" w:w="7848"/>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Clinician may escalate or modify a recommendation with a documented reason; cannot downgrade an emergency silently.</w:t>
            </w:r>
          </w:p>
        </w:tc>
      </w:tr>
      <w:tr>
        <w:tc>
          <w:tcPr>
            <w:tcW w:type="dxa" w:w="2232"/>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Offline/resilience</w:t>
            </w:r>
          </w:p>
        </w:tc>
        <w:tc>
          <w:tcPr>
            <w:tcW w:type="dxa" w:w="7848"/>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Emergency guidance and local contact details should remain available during network interruption where feasible.</w:t>
            </w:r>
          </w:p>
        </w:tc>
      </w:tr>
      <w:tr>
        <w:tc>
          <w:tcPr>
            <w:tcW w:type="dxa" w:w="2232"/>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Privacy controls</w:t>
            </w:r>
          </w:p>
        </w:tc>
        <w:tc>
          <w:tcPr>
            <w:tcW w:type="dxa" w:w="7848"/>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Sensitive mental-health, substance-use, violence, and safeguarding data are role restricted and excluded from ordinary printouts.</w:t>
            </w:r>
          </w:p>
        </w:tc>
      </w:tr>
      <w:tr>
        <w:tc>
          <w:tcPr>
            <w:tcW w:type="dxa" w:w="2232"/>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Patient education</w:t>
            </w:r>
          </w:p>
        </w:tc>
        <w:tc>
          <w:tcPr>
            <w:tcW w:type="dxa" w:w="7848"/>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4"/>
              </w:rPr>
              <w:t>Plain-language warning-sign instructions in appropriate language; clearly states where and how to seek immediate care.</w:t>
            </w:r>
          </w:p>
        </w:tc>
      </w:tr>
    </w:tbl>
    <w:p>
      <w:pPr>
        <w:pStyle w:val="SmallNote"/>
      </w:pPr>
    </w:p>
    <w:p>
      <w:pPr>
        <w:pStyle w:val="Heading1"/>
      </w:pPr>
      <w:r>
        <w:t>11. Explainable Recommendation Templates</w:t>
      </w:r>
    </w:p>
    <w:tbl>
      <w:tblPr>
        <w:tblW w:type="auto" w:w="0"/>
        <w:jc w:val="center"/>
        <w:tblLook w:firstColumn="1" w:firstRow="1" w:lastColumn="0" w:lastRow="0" w:noHBand="0" w:noVBand="1" w:val="04A0"/>
      </w:tblPr>
      <w:tblGrid>
        <w:gridCol w:w="10166"/>
      </w:tblGrid>
      <w:tr>
        <w:tc>
          <w:tcPr>
            <w:tcW w:type="dxa" w:w="10166"/>
            <w:shd w:fill="FCE4D6"/>
            <w:tcMar>
              <w:top w:w="110" w:type="dxa"/>
              <w:start w:w="130" w:type="dxa"/>
              <w:bottom w:w="105" w:type="dxa"/>
              <w:end w:w="130" w:type="dxa"/>
            </w:tcMar>
            <w:tcBorders>
              <w:top w:val="single" w:sz="4" w:color="FCE4D6"/>
              <w:left w:val="single" w:sz="18" w:color="C00000"/>
              <w:bottom w:val="single" w:sz="4" w:color="FCE4D6"/>
              <w:right w:val="single" w:sz="4" w:color="FCE4D6"/>
            </w:tcBorders>
          </w:tcPr>
          <w:p>
            <w:pPr>
              <w:spacing w:after="40"/>
            </w:pPr>
            <w:r>
              <w:rPr>
                <w:rFonts w:ascii="Aptos" w:hAnsi="Aptos"/>
                <w:b/>
                <w:color w:val="C00000"/>
                <w:sz w:val="19"/>
              </w:rPr>
              <w:t>Emergency example</w:t>
            </w:r>
          </w:p>
          <w:p>
            <w:pPr>
              <w:spacing w:after="0"/>
            </w:pPr>
            <w:r>
              <w:rPr>
                <w:rFonts w:ascii="Aptos" w:hAnsi="Aptos"/>
                <w:sz w:val="17"/>
              </w:rPr>
              <w:t>EMERGENCY TRANSFER recommended. Triggered by: vaginal bleeding more than spotting, severe abdominal pain, and dizziness. Why this matters: this combination may represent serious pregnancy-related bleeding and cannot be safely evaluated in the lying-in clinic. Action: begin the clinic emergency protocol and arrange immediate hospital transfer. The CDSS does not determine the cause of bleeding.</w:t>
            </w:r>
          </w:p>
        </w:tc>
      </w:tr>
    </w:tbl>
    <w:p>
      <w:pPr>
        <w:pStyle w:val="SmallNote"/>
      </w:pPr>
    </w:p>
    <w:tbl>
      <w:tblPr>
        <w:tblW w:type="auto" w:w="0"/>
        <w:jc w:val="center"/>
        <w:tblLook w:firstColumn="1" w:firstRow="1" w:lastColumn="0" w:lastRow="0" w:noHBand="0" w:noVBand="1" w:val="04A0"/>
      </w:tblPr>
      <w:tblGrid>
        <w:gridCol w:w="10166"/>
      </w:tblGrid>
      <w:tr>
        <w:tc>
          <w:tcPr>
            <w:tcW w:type="dxa" w:w="10166"/>
            <w:shd w:fill="FCE4D6"/>
            <w:tcMar>
              <w:top w:w="110" w:type="dxa"/>
              <w:start w:w="130" w:type="dxa"/>
              <w:bottom w:w="105" w:type="dxa"/>
              <w:end w:w="130" w:type="dxa"/>
            </w:tcMar>
            <w:tcBorders>
              <w:top w:val="single" w:sz="4" w:color="FCE4D6"/>
              <w:left w:val="single" w:sz="18" w:color="C65911"/>
              <w:bottom w:val="single" w:sz="4" w:color="FCE4D6"/>
              <w:right w:val="single" w:sz="4" w:color="FCE4D6"/>
            </w:tcBorders>
          </w:tcPr>
          <w:p>
            <w:pPr>
              <w:spacing w:after="40"/>
            </w:pPr>
            <w:r>
              <w:rPr>
                <w:rFonts w:ascii="Aptos" w:hAnsi="Aptos"/>
                <w:b/>
                <w:color w:val="C65911"/>
                <w:sz w:val="19"/>
              </w:rPr>
              <w:t>Urgent same-day example</w:t>
            </w:r>
          </w:p>
          <w:p>
            <w:pPr>
              <w:spacing w:after="0"/>
            </w:pPr>
            <w:r>
              <w:rPr>
                <w:rFonts w:ascii="Aptos" w:hAnsi="Aptos"/>
                <w:sz w:val="17"/>
              </w:rPr>
              <w:t>URGENT SAME-DAY obstetric assessment recommended. Triggered by: reported leakage of fluid since 08:30. Additional information needed: gestational age, fluid color/odor, fever, contractions, bleeding, and fetal movement. The CDSS cannot confirm rupture of membranes.</w:t>
            </w:r>
          </w:p>
        </w:tc>
      </w:tr>
    </w:tbl>
    <w:p>
      <w:pPr>
        <w:pStyle w:val="SmallNote"/>
      </w:pPr>
    </w:p>
    <w:tbl>
      <w:tblPr>
        <w:tblW w:type="auto" w:w="0"/>
        <w:jc w:val="center"/>
        <w:tblLook w:firstColumn="1" w:firstRow="1" w:lastColumn="0" w:lastRow="0" w:noHBand="0" w:noVBand="1" w:val="04A0"/>
      </w:tblPr>
      <w:tblGrid>
        <w:gridCol w:w="10166"/>
      </w:tblGrid>
      <w:tr>
        <w:tc>
          <w:tcPr>
            <w:tcW w:type="dxa" w:w="10166"/>
            <w:shd w:fill="EAF2F8"/>
            <w:tcMar>
              <w:top w:w="110" w:type="dxa"/>
              <w:start w:w="130" w:type="dxa"/>
              <w:bottom w:w="105" w:type="dxa"/>
              <w:end w:w="130" w:type="dxa"/>
            </w:tcMar>
            <w:tcBorders>
              <w:top w:val="single" w:sz="4" w:color="EAF2F8"/>
              <w:left w:val="single" w:sz="18" w:color="2F75B5"/>
              <w:bottom w:val="single" w:sz="4" w:color="EAF2F8"/>
              <w:right w:val="single" w:sz="4" w:color="EAF2F8"/>
            </w:tcBorders>
          </w:tcPr>
          <w:p>
            <w:pPr>
              <w:spacing w:after="40"/>
            </w:pPr>
            <w:r>
              <w:rPr>
                <w:rFonts w:ascii="Aptos" w:hAnsi="Aptos"/>
                <w:b/>
                <w:color w:val="2F75B5"/>
                <w:sz w:val="19"/>
              </w:rPr>
              <w:t>Medical-history review example</w:t>
            </w:r>
          </w:p>
          <w:p>
            <w:pPr>
              <w:spacing w:after="0"/>
            </w:pPr>
            <w:r>
              <w:rPr>
                <w:rFonts w:ascii="Aptos" w:hAnsi="Aptos"/>
                <w:sz w:val="17"/>
              </w:rPr>
              <w:t>EXPEDITED MEDICATION REVIEW recommended. Triggered by: chronic thyroid disease with current medicine recorded but no pregnancy-specific review date. Continue care according to the prescribing clinician; the CDSS does not advise stopping or changing the medicine.</w:t>
            </w:r>
          </w:p>
        </w:tc>
      </w:tr>
    </w:tbl>
    <w:p>
      <w:pPr>
        <w:pStyle w:val="SmallNote"/>
      </w:pPr>
    </w:p>
    <w:p>
      <w:pPr>
        <w:pStyle w:val="Heading1"/>
      </w:pPr>
      <w:r>
        <w:t>12. Validation Scenarios for Future Laravel Testing</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792"/>
            <w:tcMar>
              <w:top w:w="60" w:type="dxa"/>
              <w:start w:w="70" w:type="dxa"/>
              <w:bottom w:w="60" w:type="dxa"/>
              <w:end w:w="70" w:type="dxa"/>
            </w:tcMar>
            <w:vAlign w:val="center"/>
            <w:shd w:fill="17365D"/>
            <w:tcBorders>
              <w:top w:val="single" w:sz="4" w:color="B7B7B7"/>
              <w:left w:val="single" w:sz="4" w:color="B7B7B7"/>
              <w:bottom w:val="single" w:sz="4" w:color="B7B7B7"/>
              <w:right w:val="single" w:sz="4" w:color="B7B7B7"/>
            </w:tcBorders>
          </w:tcPr>
          <w:p>
            <w:pPr>
              <w:spacing w:after="20" w:before="0"/>
            </w:pPr>
            <w:r>
              <w:rPr>
                <w:rFonts w:ascii="Aptos" w:hAnsi="Aptos"/>
                <w:b/>
                <w:color w:val="FFFFFF"/>
                <w:sz w:val="13"/>
              </w:rPr>
              <w:t>ID</w:t>
            </w:r>
          </w:p>
        </w:tc>
        <w:tc>
          <w:tcPr>
            <w:tcW w:type="dxa" w:w="3816"/>
            <w:tcMar>
              <w:top w:w="60" w:type="dxa"/>
              <w:start w:w="70" w:type="dxa"/>
              <w:bottom w:w="60" w:type="dxa"/>
              <w:end w:w="70" w:type="dxa"/>
            </w:tcMar>
            <w:vAlign w:val="center"/>
            <w:shd w:fill="17365D"/>
            <w:tcBorders>
              <w:top w:val="single" w:sz="4" w:color="B7B7B7"/>
              <w:left w:val="single" w:sz="4" w:color="B7B7B7"/>
              <w:bottom w:val="single" w:sz="4" w:color="B7B7B7"/>
              <w:right w:val="single" w:sz="4" w:color="B7B7B7"/>
            </w:tcBorders>
          </w:tcPr>
          <w:p>
            <w:pPr>
              <w:spacing w:after="20" w:before="0"/>
            </w:pPr>
            <w:r>
              <w:rPr>
                <w:rFonts w:ascii="Aptos" w:hAnsi="Aptos"/>
                <w:b/>
                <w:color w:val="FFFFFF"/>
                <w:sz w:val="13"/>
              </w:rPr>
              <w:t>Scenario</w:t>
            </w:r>
          </w:p>
        </w:tc>
        <w:tc>
          <w:tcPr>
            <w:tcW w:type="dxa" w:w="5472"/>
            <w:tcMar>
              <w:top w:w="60" w:type="dxa"/>
              <w:start w:w="70" w:type="dxa"/>
              <w:bottom w:w="60" w:type="dxa"/>
              <w:end w:w="70" w:type="dxa"/>
            </w:tcMar>
            <w:vAlign w:val="center"/>
            <w:shd w:fill="17365D"/>
            <w:tcBorders>
              <w:top w:val="single" w:sz="4" w:color="B7B7B7"/>
              <w:left w:val="single" w:sz="4" w:color="B7B7B7"/>
              <w:bottom w:val="single" w:sz="4" w:color="B7B7B7"/>
              <w:right w:val="single" w:sz="4" w:color="B7B7B7"/>
            </w:tcBorders>
          </w:tcPr>
          <w:p>
            <w:pPr>
              <w:spacing w:after="20" w:before="0"/>
            </w:pPr>
            <w:r>
              <w:rPr>
                <w:rFonts w:ascii="Aptos" w:hAnsi="Aptos"/>
                <w:b/>
                <w:color w:val="FFFFFF"/>
                <w:sz w:val="13"/>
              </w:rPr>
              <w:t>Expected system behavior</w:t>
            </w:r>
          </w:p>
        </w:tc>
      </w:tr>
      <w:tr>
        <w:tc>
          <w:tcPr>
            <w:tcW w:type="dxa" w:w="792"/>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V1</w:t>
            </w:r>
          </w:p>
        </w:tc>
        <w:tc>
          <w:tcPr>
            <w:tcW w:type="dxa" w:w="3816"/>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BP 165/112, severe headache</w:t>
            </w:r>
          </w:p>
        </w:tc>
        <w:tc>
          <w:tcPr>
            <w:tcW w:type="dxa" w:w="5472"/>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Emergency alert; immediate transfer pathway; no waiting for completion of all forms.</w:t>
            </w:r>
          </w:p>
        </w:tc>
      </w:tr>
      <w:tr>
        <w:tc>
          <w:tcPr>
            <w:tcW w:type="dxa" w:w="792"/>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V2</w:t>
            </w:r>
          </w:p>
        </w:tc>
        <w:tc>
          <w:tcPr>
            <w:tcW w:type="dxa" w:w="3816"/>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Severe headache, normal single BP, sudden worst-ever onset</w:t>
            </w:r>
          </w:p>
        </w:tc>
        <w:tc>
          <w:tcPr>
            <w:tcW w:type="dxa" w:w="5472"/>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Emergency/urgent neurologic evaluation; normal BP does not suppress alert.</w:t>
            </w:r>
          </w:p>
        </w:tc>
      </w:tr>
      <w:tr>
        <w:tc>
          <w:tcPr>
            <w:tcW w:type="dxa" w:w="792"/>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V3</w:t>
            </w:r>
          </w:p>
        </w:tc>
        <w:tc>
          <w:tcPr>
            <w:tcW w:type="dxa" w:w="3816"/>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Mild intermittent headache, normal BP, no red flags, improves</w:t>
            </w:r>
          </w:p>
        </w:tc>
        <w:tc>
          <w:tcPr>
            <w:tcW w:type="dxa" w:w="5472"/>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Record and routine/clinical review with safety-net; not automatic emergency.</w:t>
            </w:r>
          </w:p>
        </w:tc>
      </w:tr>
      <w:tr>
        <w:tc>
          <w:tcPr>
            <w:tcW w:type="dxa" w:w="792"/>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V4</w:t>
            </w:r>
          </w:p>
        </w:tc>
        <w:tc>
          <w:tcPr>
            <w:tcW w:type="dxa" w:w="3816"/>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Heavy bleeding, faint, tachycardic</w:t>
            </w:r>
          </w:p>
        </w:tc>
        <w:tc>
          <w:tcPr>
            <w:tcW w:type="dxa" w:w="5472"/>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Emergency transfer with major-bleeding handover.</w:t>
            </w:r>
          </w:p>
        </w:tc>
      </w:tr>
      <w:tr>
        <w:tc>
          <w:tcPr>
            <w:tcW w:type="dxa" w:w="792"/>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V5</w:t>
            </w:r>
          </w:p>
        </w:tc>
        <w:tc>
          <w:tcPr>
            <w:tcW w:type="dxa" w:w="3816"/>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Small spotting, stable, early pregnancy, no pain</w:t>
            </w:r>
          </w:p>
        </w:tc>
        <w:tc>
          <w:tcPr>
            <w:tcW w:type="dxa" w:w="5472"/>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Urgent clinician assessment according to local protocol; not labeled as confirmed miscarriage.</w:t>
            </w:r>
          </w:p>
        </w:tc>
      </w:tr>
      <w:tr>
        <w:tc>
          <w:tcPr>
            <w:tcW w:type="dxa" w:w="792"/>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V6</w:t>
            </w:r>
          </w:p>
        </w:tc>
        <w:tc>
          <w:tcPr>
            <w:tcW w:type="dxa" w:w="3816"/>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Clear fluid leakage at 34 weeks, stable</w:t>
            </w:r>
          </w:p>
        </w:tc>
        <w:tc>
          <w:tcPr>
            <w:tcW w:type="dxa" w:w="5472"/>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Urgent same-day obstetric assessment; collect fluid and infection context.</w:t>
            </w:r>
          </w:p>
        </w:tc>
      </w:tr>
      <w:tr>
        <w:tc>
          <w:tcPr>
            <w:tcW w:type="dxa" w:w="792"/>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V7</w:t>
            </w:r>
          </w:p>
        </w:tc>
        <w:tc>
          <w:tcPr>
            <w:tcW w:type="dxa" w:w="3816"/>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Fever 38.2°C, foul discharge, confusion</w:t>
            </w:r>
          </w:p>
        </w:tc>
        <w:tc>
          <w:tcPr>
            <w:tcW w:type="dxa" w:w="5472"/>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Emergency sepsis warning pattern.</w:t>
            </w:r>
          </w:p>
        </w:tc>
      </w:tr>
      <w:tr>
        <w:tc>
          <w:tcPr>
            <w:tcW w:type="dxa" w:w="792"/>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V8</w:t>
            </w:r>
          </w:p>
        </w:tc>
        <w:tc>
          <w:tcPr>
            <w:tcW w:type="dxa" w:w="3816"/>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Fever 38.1°C, otherwise stable</w:t>
            </w:r>
          </w:p>
        </w:tc>
        <w:tc>
          <w:tcPr>
            <w:tcW w:type="dxa" w:w="5472"/>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Urgent same-day assessment; not automatic sepsis diagnosis.</w:t>
            </w:r>
          </w:p>
        </w:tc>
      </w:tr>
      <w:tr>
        <w:tc>
          <w:tcPr>
            <w:tcW w:type="dxa" w:w="792"/>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V9</w:t>
            </w:r>
          </w:p>
        </w:tc>
        <w:tc>
          <w:tcPr>
            <w:tcW w:type="dxa" w:w="3816"/>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Sudden dyspnoea and chest pain</w:t>
            </w:r>
          </w:p>
        </w:tc>
        <w:tc>
          <w:tcPr>
            <w:tcW w:type="dxa" w:w="5472"/>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Emergency cardiopulmonary alert.</w:t>
            </w:r>
          </w:p>
        </w:tc>
      </w:tr>
      <w:tr>
        <w:tc>
          <w:tcPr>
            <w:tcW w:type="dxa" w:w="792"/>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V10</w:t>
            </w:r>
          </w:p>
        </w:tc>
        <w:tc>
          <w:tcPr>
            <w:tcW w:type="dxa" w:w="3816"/>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Known asthma, mild usual symptoms relieved by prescribed inhaler, stable</w:t>
            </w:r>
          </w:p>
        </w:tc>
        <w:tc>
          <w:tcPr>
            <w:tcW w:type="dxa" w:w="5472"/>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Document and clinician review; history alone does not create emergency.</w:t>
            </w:r>
          </w:p>
        </w:tc>
      </w:tr>
      <w:tr>
        <w:tc>
          <w:tcPr>
            <w:tcW w:type="dxa" w:w="792"/>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V11</w:t>
            </w:r>
          </w:p>
        </w:tc>
        <w:tc>
          <w:tcPr>
            <w:tcW w:type="dxa" w:w="3816"/>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Known epilepsy, witnessed seizure today</w:t>
            </w:r>
          </w:p>
        </w:tc>
        <w:tc>
          <w:tcPr>
            <w:tcW w:type="dxa" w:w="5472"/>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Emergency; do not classify as routine because epilepsy is known.</w:t>
            </w:r>
          </w:p>
        </w:tc>
      </w:tr>
      <w:tr>
        <w:tc>
          <w:tcPr>
            <w:tcW w:type="dxa" w:w="792"/>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V12</w:t>
            </w:r>
          </w:p>
        </w:tc>
        <w:tc>
          <w:tcPr>
            <w:tcW w:type="dxa" w:w="3816"/>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Persistent vomiting, unable to drink 10 hours, very little urine</w:t>
            </w:r>
          </w:p>
        </w:tc>
        <w:tc>
          <w:tcPr>
            <w:tcW w:type="dxa" w:w="5472"/>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Urgent same-day; emergency if instability develops.</w:t>
            </w:r>
          </w:p>
        </w:tc>
      </w:tr>
      <w:tr>
        <w:tc>
          <w:tcPr>
            <w:tcW w:type="dxa" w:w="792"/>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V13</w:t>
            </w:r>
          </w:p>
        </w:tc>
        <w:tc>
          <w:tcPr>
            <w:tcW w:type="dxa" w:w="3816"/>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Unilateral calf swelling and pain, no chest symptoms</w:t>
            </w:r>
          </w:p>
        </w:tc>
        <w:tc>
          <w:tcPr>
            <w:tcW w:type="dxa" w:w="5472"/>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Urgent same-day thromboembolism assessment.</w:t>
            </w:r>
          </w:p>
        </w:tc>
      </w:tr>
      <w:tr>
        <w:tc>
          <w:tcPr>
            <w:tcW w:type="dxa" w:w="792"/>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V14</w:t>
            </w:r>
          </w:p>
        </w:tc>
        <w:tc>
          <w:tcPr>
            <w:tcW w:type="dxa" w:w="3816"/>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Unilateral calf pain plus sudden breathlessness</w:t>
            </w:r>
          </w:p>
        </w:tc>
        <w:tc>
          <w:tcPr>
            <w:tcW w:type="dxa" w:w="5472"/>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Emergency transfer.</w:t>
            </w:r>
          </w:p>
        </w:tc>
      </w:tr>
      <w:tr>
        <w:tc>
          <w:tcPr>
            <w:tcW w:type="dxa" w:w="792"/>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V15</w:t>
            </w:r>
          </w:p>
        </w:tc>
        <w:tc>
          <w:tcPr>
            <w:tcW w:type="dxa" w:w="3816"/>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Previous CS, sudden severe abdominal pain and bleeding</w:t>
            </w:r>
          </w:p>
        </w:tc>
        <w:tc>
          <w:tcPr>
            <w:tcW w:type="dxa" w:w="5472"/>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Emergency alert without claiming uterine rupture.</w:t>
            </w:r>
          </w:p>
        </w:tc>
      </w:tr>
      <w:tr>
        <w:tc>
          <w:tcPr>
            <w:tcW w:type="dxa" w:w="792"/>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V16</w:t>
            </w:r>
          </w:p>
        </w:tc>
        <w:tc>
          <w:tcPr>
            <w:tcW w:type="dxa" w:w="3816"/>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Depression history, no current symptoms, treatment plan active</w:t>
            </w:r>
          </w:p>
        </w:tc>
        <w:tc>
          <w:tcPr>
            <w:tcW w:type="dxa" w:w="5472"/>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Document and maintain planned mental-health care; no automatic acute alert.</w:t>
            </w:r>
          </w:p>
        </w:tc>
      </w:tr>
      <w:tr>
        <w:tc>
          <w:tcPr>
            <w:tcW w:type="dxa" w:w="792"/>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V17</w:t>
            </w:r>
          </w:p>
        </w:tc>
        <w:tc>
          <w:tcPr>
            <w:tcW w:type="dxa" w:w="3816"/>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Current suicidal thoughts with plan and no safe support</w:t>
            </w:r>
          </w:p>
        </w:tc>
        <w:tc>
          <w:tcPr>
            <w:tcW w:type="dxa" w:w="5472"/>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Emergency mental-health/safety response.</w:t>
            </w:r>
          </w:p>
        </w:tc>
      </w:tr>
      <w:tr>
        <w:tc>
          <w:tcPr>
            <w:tcW w:type="dxa" w:w="792"/>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V18</w:t>
            </w:r>
          </w:p>
        </w:tc>
        <w:tc>
          <w:tcPr>
            <w:tcW w:type="dxa" w:w="3816"/>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Domestic violence disclosed privately, immediate threat tonight</w:t>
            </w:r>
          </w:p>
        </w:tc>
        <w:tc>
          <w:tcPr>
            <w:tcW w:type="dxa" w:w="5472"/>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Emergency safeguarding/safety pathway; restricted documentation.</w:t>
            </w:r>
          </w:p>
        </w:tc>
      </w:tr>
      <w:tr>
        <w:tc>
          <w:tcPr>
            <w:tcW w:type="dxa" w:w="792"/>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V19</w:t>
            </w:r>
          </w:p>
        </w:tc>
        <w:tc>
          <w:tcPr>
            <w:tcW w:type="dxa" w:w="3816"/>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Smoking disclosed, no acute symptoms</w:t>
            </w:r>
          </w:p>
        </w:tc>
        <w:tc>
          <w:tcPr>
            <w:tcW w:type="dxa" w:w="5472"/>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Nonjudgmental counseling/support; not emergency and not punitive.</w:t>
            </w:r>
          </w:p>
        </w:tc>
      </w:tr>
      <w:tr>
        <w:tc>
          <w:tcPr>
            <w:tcW w:type="dxa" w:w="792"/>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V20</w:t>
            </w:r>
          </w:p>
        </w:tc>
        <w:tc>
          <w:tcPr>
            <w:tcW w:type="dxa" w:w="3816"/>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Long-term medication entered with unknown pregnancy review</w:t>
            </w:r>
          </w:p>
        </w:tc>
        <w:tc>
          <w:tcPr>
            <w:tcW w:type="dxa" w:w="5472"/>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Expedited clinician/pharmacy review; no automatic stop instruction.</w:t>
            </w:r>
          </w:p>
        </w:tc>
      </w:tr>
      <w:tr>
        <w:tc>
          <w:tcPr>
            <w:tcW w:type="dxa" w:w="792"/>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V21</w:t>
            </w:r>
          </w:p>
        </w:tc>
        <w:tc>
          <w:tcPr>
            <w:tcW w:type="dxa" w:w="3816"/>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Severe penicillin anaphylaxis history</w:t>
            </w:r>
          </w:p>
        </w:tc>
        <w:tc>
          <w:tcPr>
            <w:tcW w:type="dxa" w:w="5472"/>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Prominent allergy warning including reaction; no recommendation containing penicillin.</w:t>
            </w:r>
          </w:p>
        </w:tc>
      </w:tr>
      <w:tr>
        <w:tc>
          <w:tcPr>
            <w:tcW w:type="dxa" w:w="792"/>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V22</w:t>
            </w:r>
          </w:p>
        </w:tc>
        <w:tc>
          <w:tcPr>
            <w:tcW w:type="dxa" w:w="3816"/>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Patient refuses emergency referral for heavy bleeding</w:t>
            </w:r>
          </w:p>
        </w:tc>
        <w:tc>
          <w:tcPr>
            <w:tcW w:type="dxa" w:w="5472"/>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Alert remains active; document explanation/refusal, clinician escalation, safety plan, and attempts to arrange care.</w:t>
            </w:r>
          </w:p>
        </w:tc>
      </w:tr>
      <w:tr>
        <w:tc>
          <w:tcPr>
            <w:tcW w:type="dxa" w:w="792"/>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V23</w:t>
            </w:r>
          </w:p>
        </w:tc>
        <w:tc>
          <w:tcPr>
            <w:tcW w:type="dxa" w:w="3816"/>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Major symptom entered but vital signs unavailable</w:t>
            </w:r>
          </w:p>
        </w:tc>
        <w:tc>
          <w:tcPr>
            <w:tcW w:type="dxa" w:w="5472"/>
            <w:tcMar>
              <w:top w:w="60" w:type="dxa"/>
              <w:start w:w="70" w:type="dxa"/>
              <w:bottom w:w="60" w:type="dxa"/>
              <w:end w:w="70" w:type="dxa"/>
            </w:tcMar>
            <w:vAlign w:val="center"/>
            <w:shd w:fill="FFFFFF"/>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Escalate based on symptom; mark uncertainty and missing observations.</w:t>
            </w:r>
          </w:p>
        </w:tc>
      </w:tr>
      <w:tr>
        <w:tc>
          <w:tcPr>
            <w:tcW w:type="dxa" w:w="792"/>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V24</w:t>
            </w:r>
          </w:p>
        </w:tc>
        <w:tc>
          <w:tcPr>
            <w:tcW w:type="dxa" w:w="3816"/>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Symptom resolved before visit</w:t>
            </w:r>
          </w:p>
        </w:tc>
        <w:tc>
          <w:tcPr>
            <w:tcW w:type="dxa" w:w="5472"/>
            <w:tcMar>
              <w:top w:w="60" w:type="dxa"/>
              <w:start w:w="70" w:type="dxa"/>
              <w:bottom w:w="60" w:type="dxa"/>
              <w:end w:w="70" w:type="dxa"/>
            </w:tcMar>
            <w:vAlign w:val="center"/>
            <w:shd w:fill="F2F2F2"/>
            <w:tcBorders>
              <w:top w:val="single" w:sz="4" w:color="B7B7B7"/>
              <w:left w:val="single" w:sz="4" w:color="B7B7B7"/>
              <w:bottom w:val="single" w:sz="4" w:color="B7B7B7"/>
              <w:right w:val="single" w:sz="4" w:color="B7B7B7"/>
            </w:tcBorders>
          </w:tcPr>
          <w:p>
            <w:pPr>
              <w:spacing w:after="20" w:before="0"/>
            </w:pPr>
            <w:r>
              <w:rPr>
                <w:rFonts w:ascii="Aptos" w:hAnsi="Aptos"/>
                <w:color w:val="222222"/>
                <w:sz w:val="13"/>
              </w:rPr>
              <w:t>Retain episode history, record resolution and prior severity; clinician decides ongoing action.</w:t>
            </w:r>
          </w:p>
        </w:tc>
      </w:tr>
    </w:tbl>
    <w:p>
      <w:pPr>
        <w:pStyle w:val="SmallNote"/>
      </w:pPr>
    </w:p>
    <w:p>
      <w:pPr>
        <w:pStyle w:val="Heading1"/>
      </w:pPr>
      <w:r>
        <w:t>13. Safety Constraints and Known Limitations</w:t>
      </w:r>
    </w:p>
    <w:p>
      <w:pPr>
        <w:pStyle w:val="ListBullet"/>
        <w:spacing w:after="40"/>
      </w:pPr>
      <w:r>
        <w:t>The CDSS does not diagnose pre-eclampsia, sepsis, ectopic pregnancy, placental abruption, thromboembolism, cardiac disease, rupture of membranes, or psychiatric disorders.</w:t>
      </w:r>
    </w:p>
    <w:p>
      <w:pPr>
        <w:pStyle w:val="ListBullet"/>
        <w:spacing w:after="40"/>
      </w:pPr>
      <w:r>
        <w:t>It must not delay transfer while attempting to calculate a complete risk score.</w:t>
      </w:r>
    </w:p>
    <w:p>
      <w:pPr>
        <w:pStyle w:val="ListBullet"/>
        <w:spacing w:after="40"/>
      </w:pPr>
      <w:r>
        <w:t>It must not interpret an absence of data as a negative finding.</w:t>
      </w:r>
    </w:p>
    <w:p>
      <w:pPr>
        <w:pStyle w:val="ListBullet"/>
        <w:spacing w:after="40"/>
      </w:pPr>
      <w:r>
        <w:t>It must not use a single composite score to override an acute emergency warning.</w:t>
      </w:r>
    </w:p>
    <w:p>
      <w:pPr>
        <w:pStyle w:val="ListBullet"/>
        <w:spacing w:after="40"/>
      </w:pPr>
      <w:r>
        <w:t>It must not provide medication dosing, prescribe treatment, or instruct discontinuation without an authorized clinician and locally approved protocol.</w:t>
      </w:r>
    </w:p>
    <w:p>
      <w:pPr>
        <w:pStyle w:val="ListBullet"/>
        <w:spacing w:after="40"/>
      </w:pPr>
      <w:r>
        <w:t>It must not expose violence, sexual-health, substance-use, or mental-health details to unauthorized users.</w:t>
      </w:r>
    </w:p>
    <w:p>
      <w:pPr>
        <w:pStyle w:val="ListBullet"/>
        <w:spacing w:after="40"/>
      </w:pPr>
      <w:r>
        <w:t>Clinical thresholds and referral destinations must be configurable and reviewed by the clinic's medical governance team before deployment.</w:t>
      </w:r>
    </w:p>
    <w:p>
      <w:pPr>
        <w:pStyle w:val="ListBullet"/>
        <w:spacing w:after="40"/>
      </w:pPr>
      <w:r>
        <w:t>Local emergency numbers, transport arrangements, receiving hospitals, and legal/safeguarding procedures must be confirmed for the implementation site.</w:t>
      </w:r>
    </w:p>
    <w:p>
      <w:pPr>
        <w:pStyle w:val="ListBullet"/>
        <w:spacing w:after="40"/>
      </w:pPr>
      <w:r>
        <w:t>The knowledge base supports clinicians and students in system design; it is not a substitute for official Philippine clinical protocols or professional judgment.</w:t>
      </w:r>
    </w:p>
    <w:p>
      <w:pPr>
        <w:pStyle w:val="Heading1"/>
      </w:pPr>
      <w:r>
        <w:t>14. Part 11 Synthesis and Transition</w:t>
      </w:r>
    </w:p>
    <w:p>
      <w:r>
        <w:t>Part 11 establishes the acute-safety layer of the future CDSS. It separates symptom triage from chronic pregnancy risk, creates emergency overrides that cannot be averaged away, and redesigns medical history as structured longitudinal data. It also introduces privacy, safeguarding, medication-reconciliation, referral-refusal, and audit requirements that are essential for safe real-world implementation.</w:t>
      </w:r>
    </w:p>
    <w:tbl>
      <w:tblPr>
        <w:tblW w:type="auto" w:w="0"/>
        <w:jc w:val="center"/>
        <w:tblLook w:firstColumn="1" w:firstRow="1" w:lastColumn="0" w:lastRow="0" w:noHBand="0" w:noVBand="1" w:val="04A0"/>
      </w:tblPr>
      <w:tblGrid>
        <w:gridCol w:w="10166"/>
      </w:tblGrid>
      <w:tr>
        <w:tc>
          <w:tcPr>
            <w:tcW w:type="dxa" w:w="10166"/>
            <w:shd w:fill="E2F0D9"/>
            <w:tcMar>
              <w:top w:w="110" w:type="dxa"/>
              <w:start w:w="130" w:type="dxa"/>
              <w:bottom w:w="105" w:type="dxa"/>
              <w:end w:w="130" w:type="dxa"/>
            </w:tcMar>
            <w:tcBorders>
              <w:top w:val="single" w:sz="4" w:color="E2F0D9"/>
              <w:left w:val="single" w:sz="18" w:color="548235"/>
              <w:bottom w:val="single" w:sz="4" w:color="E2F0D9"/>
              <w:right w:val="single" w:sz="4" w:color="E2F0D9"/>
            </w:tcBorders>
          </w:tcPr>
          <w:p>
            <w:pPr>
              <w:spacing w:after="40"/>
            </w:pPr>
            <w:r>
              <w:rPr>
                <w:rFonts w:ascii="Aptos" w:hAnsi="Aptos"/>
                <w:b/>
                <w:color w:val="548235"/>
                <w:sz w:val="19"/>
              </w:rPr>
              <w:t>What Part 12 must now do</w:t>
            </w:r>
          </w:p>
          <w:p>
            <w:pPr>
              <w:spacing w:after="0"/>
            </w:pPr>
            <w:r>
              <w:rPr>
                <w:rFonts w:ascii="Aptos" w:hAnsi="Aptos"/>
                <w:sz w:val="17"/>
              </w:rPr>
              <w:t>Part 12 will consolidate Parts 1-11 into a final evidence synthesis, define the unified knowledge architecture and terminology, resolve cross-part duplication, summarize remaining evidence gaps, and prepare the exact handoff into Document 2: the CDSS Decision Engine.</w:t>
            </w:r>
          </w:p>
        </w:tc>
      </w:tr>
    </w:tbl>
    <w:p>
      <w:pPr>
        <w:pStyle w:val="SmallNote"/>
      </w:pPr>
    </w:p>
    <w:p>
      <w:pPr>
        <w:pStyle w:val="Heading1"/>
      </w:pPr>
      <w:r>
        <w:t>15. Key References</w:t>
      </w:r>
    </w:p>
    <w:p>
      <w:pPr>
        <w:pStyle w:val="SmallNote"/>
        <w:ind w:left="288" w:hanging="288"/>
      </w:pPr>
      <w:r>
        <w:t>1. World Health Organization. WHO recommendations on antenatal care for a positive pregnancy experience. 2016, with subsequent topic updates. https://www.who.int/publications/i/item/9789241549912</w:t>
      </w:r>
    </w:p>
    <w:p>
      <w:pPr>
        <w:pStyle w:val="SmallNote"/>
        <w:ind w:left="288" w:hanging="288"/>
      </w:pPr>
      <w:r>
        <w:t>2. World Health Organization. Getting the health services you need during pregnancy. Updated 30 September 2022. https://www.who.int/tools/your-life-your-health/life-phase/pregnancy--birth-and-after-childbirth/getting-the-health-services-you-need-during-pregnancy</w:t>
      </w:r>
    </w:p>
    <w:p>
      <w:pPr>
        <w:pStyle w:val="SmallNote"/>
        <w:ind w:left="288" w:hanging="288"/>
      </w:pPr>
      <w:r>
        <w:t>3. World Health Organization. Health care for women subjected to intimate partner violence or sexual violence: a clinical handbook. 2014. https://www.who.int/publications/i/item/WHO-RHR-14.26</w:t>
      </w:r>
    </w:p>
    <w:p>
      <w:pPr>
        <w:pStyle w:val="SmallNote"/>
        <w:ind w:left="288" w:hanging="288"/>
      </w:pPr>
      <w:r>
        <w:t>4. National Institute for Health and Care Excellence. Antenatal care (NG201). Published 2021; last reviewed 2024. https://www.nice.org.uk/guidance/ng201</w:t>
      </w:r>
    </w:p>
    <w:p>
      <w:pPr>
        <w:pStyle w:val="SmallNote"/>
        <w:ind w:left="288" w:hanging="288"/>
      </w:pPr>
      <w:r>
        <w:t>5. National Institute for Health and Care Excellence. Hypertension in pregnancy: diagnosis and management (NG133). Updated 2023. https://www.nice.org.uk/guidance/ng133</w:t>
      </w:r>
    </w:p>
    <w:p>
      <w:pPr>
        <w:pStyle w:val="SmallNote"/>
        <w:ind w:left="288" w:hanging="288"/>
      </w:pPr>
      <w:r>
        <w:t>6. National Institute for Health and Care Excellence. Antenatal and postnatal mental health: clinical management and service guidance (CG192). https://www.nice.org.uk/guidance/cg192</w:t>
      </w:r>
    </w:p>
    <w:p>
      <w:pPr>
        <w:pStyle w:val="SmallNote"/>
        <w:ind w:left="288" w:hanging="288"/>
      </w:pPr>
      <w:r>
        <w:t>7. National Institute for Health and Care Excellence. Pregnancy and complex social factors (CG110). https://www.nice.org.uk/guidance/cg110</w:t>
      </w:r>
    </w:p>
    <w:p>
      <w:pPr>
        <w:pStyle w:val="SmallNote"/>
        <w:ind w:left="288" w:hanging="288"/>
      </w:pPr>
      <w:r>
        <w:t>8. Centers for Disease Control and Prevention. Urgent Maternal Warning Signs and Symptoms, HEAR HER Campaign. Updated 15 May 2024. https://www.cdc.gov/hearher/maternal-warning-signs/index.html</w:t>
      </w:r>
    </w:p>
    <w:p>
      <w:pPr>
        <w:pStyle w:val="SmallNote"/>
        <w:ind w:left="288" w:hanging="288"/>
      </w:pPr>
      <w:r>
        <w:t>9. World Health Organization. WHO recommendations on maternal and newborn care for a positive postnatal experience. 2022. https://www.who.int/publications/i/item/9789240045989</w:t>
      </w:r>
    </w:p>
    <w:tbl>
      <w:tblPr>
        <w:tblW w:type="auto" w:w="0"/>
        <w:jc w:val="center"/>
        <w:tblLook w:firstColumn="1" w:firstRow="1" w:lastColumn="0" w:lastRow="0" w:noHBand="0" w:noVBand="1" w:val="04A0"/>
      </w:tblPr>
      <w:tblGrid>
        <w:gridCol w:w="10166"/>
      </w:tblGrid>
      <w:tr>
        <w:tc>
          <w:tcPr>
            <w:tcW w:type="dxa" w:w="10166"/>
            <w:shd w:fill="F2F2F2"/>
            <w:tcMar>
              <w:top w:w="110" w:type="dxa"/>
              <w:start w:w="130" w:type="dxa"/>
              <w:bottom w:w="105" w:type="dxa"/>
              <w:end w:w="130" w:type="dxa"/>
            </w:tcMar>
            <w:tcBorders>
              <w:top w:val="single" w:sz="4" w:color="F2F2F2"/>
              <w:left w:val="single" w:sz="18" w:color="666666"/>
              <w:bottom w:val="single" w:sz="4" w:color="F2F2F2"/>
              <w:right w:val="single" w:sz="4" w:color="F2F2F2"/>
            </w:tcBorders>
          </w:tcPr>
          <w:p>
            <w:pPr>
              <w:spacing w:after="40"/>
            </w:pPr>
            <w:r>
              <w:rPr>
                <w:rFonts w:ascii="Aptos" w:hAnsi="Aptos"/>
                <w:b/>
                <w:color w:val="666666"/>
                <w:sz w:val="19"/>
              </w:rPr>
              <w:t>Reference-use note</w:t>
            </w:r>
          </w:p>
          <w:p>
            <w:pPr>
              <w:spacing w:after="0"/>
            </w:pPr>
            <w:r>
              <w:rPr>
                <w:rFonts w:ascii="Aptos" w:hAnsi="Aptos"/>
                <w:sz w:val="17"/>
              </w:rPr>
              <w:t>These sources support the knowledge-base principles and triage design. Before clinical deployment, the clinic must reconcile this academic synthesis with current Philippine Department of Health guidance, local hospital referral protocols, professional scope-of-practice requirements, and approval by qualified maternal-health clinicians.</w:t>
            </w:r>
          </w:p>
        </w:tc>
      </w:tr>
    </w:tbl>
    <w:p>
      <w:pPr>
        <w:pStyle w:val="SmallNote"/>
      </w:pP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5"/>
      </w:rPr>
      <w:t>Web-Based Maternity Management System CDSS  |  Evidence synthesis for academic system design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66666"/>
        <w:sz w:val="16"/>
      </w:rPr>
      <w:t>Clinical Knowledge Base | Document 1 - Part 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ptos" w:hAnsi="Aptos"/>
      <w:b/>
      <w:bCs/>
      <w:color w:val="22222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40"/>
    </w:pPr>
    <w:rPr>
      <w:rFonts w:asciiTheme="majorHAnsi" w:eastAsiaTheme="majorEastAsia" w:hAnsiTheme="majorHAnsi" w:cstheme="majorBidi" w:ascii="Aptos" w:hAnsi="Aptos"/>
      <w:b w:val="0"/>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ptos" w:hAnsi="Aptos"/>
      <w:color w:val="666666"/>
      <w:sz w:val="16"/>
    </w:rPr>
  </w:style>
  <w:style w:type="paragraph" w:customStyle="1" w:styleId="RuleText">
    <w:name w:val="Rule Text"/>
    <w:pPr>
      <w:spacing w:after="40"/>
    </w:pPr>
    <w:rPr>
      <w:rFonts w:ascii="Aptos" w:hAnsi="Apto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1 Clinical Knowledge Base Part 11</dc:title>
  <dc:subject>Maternal Warning Symptoms and Medical-History Conditions</dc:subject>
  <dc:creator>Capstone CDSS Project</dc:creator>
  <cp:keywords>maternal warning signs, medical history, CDSS, lying-in clinic, pregnancy</cp:keywords>
  <dc:description>generated by python-docx</dc:description>
  <cp:lastModifiedBy/>
  <cp:revision>1</cp:revision>
  <dcterms:created xsi:type="dcterms:W3CDTF">2013-12-23T23:15:00Z</dcterms:created>
  <dcterms:modified xsi:type="dcterms:W3CDTF">2013-12-23T23:15:00Z</dcterms:modified>
  <cp:category/>
</cp:coreProperties>
</file>