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36"/>
        </w:rPr>
        <w:t>DOCUMENT 1</w:t>
      </w:r>
    </w:p>
    <w:p>
      <w:pPr>
        <w:jc w:val="center"/>
      </w:pPr>
      <w:r>
        <w:rPr>
          <w:rFonts w:ascii="Arial" w:hAnsi="Arial"/>
          <w:b/>
          <w:sz w:val="48"/>
        </w:rPr>
        <w:t>Clinical Knowledge Base</w:t>
      </w:r>
    </w:p>
    <w:p>
      <w:pPr>
        <w:jc w:val="center"/>
      </w:pPr>
      <w:r>
        <w:rPr>
          <w:rFonts w:ascii="Arial" w:hAnsi="Arial"/>
          <w:sz w:val="30"/>
        </w:rPr>
        <w:t>Part 1: Research Method and Maternal Age</w:t>
      </w:r>
    </w:p>
    <w:p>
      <w:r>
        <w:br/>
      </w:r>
    </w:p>
    <w:p>
      <w:pPr>
        <w:jc w:val="center"/>
      </w:pPr>
      <w:r>
        <w:rPr>
          <w:sz w:val="24"/>
        </w:rPr>
        <w:t>Web-Based Maternity Management System</w:t>
        <w:br/>
        <w:t>Clinical Decision Support System Design</w:t>
      </w:r>
    </w:p>
    <w:p>
      <w:r>
        <w:br/>
        <w:br/>
      </w:r>
    </w:p>
    <w:p>
      <w:pPr>
        <w:jc w:val="center"/>
      </w:pPr>
      <w:r>
        <w:rPr>
          <w:sz w:val="20"/>
        </w:rPr>
        <w:t>Version 1.0 | July 2026</w:t>
      </w:r>
    </w:p>
    <w:p>
      <w:r>
        <w:br/>
        <w:br/>
      </w:r>
    </w:p>
    <w:tbl>
      <w:tblPr>
        <w:tblStyle w:val="TableGrid"/>
        <w:tblW w:type="auto" w:w="0"/>
        <w:jc w:val="center"/>
        <w:tblLook w:firstColumn="1" w:firstRow="1" w:lastColumn="0" w:lastRow="0" w:noHBand="0" w:noVBand="1" w:val="04A0"/>
      </w:tblPr>
      <w:tblGrid>
        <w:gridCol w:w="9792"/>
      </w:tblGrid>
      <w:tr>
        <w:tc>
          <w:tcPr>
            <w:tcW w:type="dxa" w:w="9792"/>
            <w:shd w:fill="FFF2CC"/>
          </w:tcPr>
          <w:p>
            <w:pPr>
              <w:jc w:val="center"/>
            </w:pPr>
            <w:r>
              <w:rPr>
                <w:b/>
                <w:sz w:val="20"/>
              </w:rPr>
              <w:t>Clinical safety statement: This document supports the design of a referral-support CDSS. It does not diagnose, prescribe treatment, replace clinical judgment, or authorize care outside the lawful scope of a licensed healthcare professional.</w:t>
            </w:r>
          </w:p>
        </w:tc>
      </w:tr>
    </w:tbl>
    <w:p>
      <w:r>
        <w:br w:type="page"/>
      </w:r>
    </w:p>
    <w:p>
      <w:pPr>
        <w:pStyle w:val="Heading1"/>
      </w:pPr>
      <w:r>
        <w:t>Document Status and Use</w:t>
      </w:r>
    </w:p>
    <w:p>
      <w:r>
        <w:t>This is the first completed part of Document 1. It establishes the evidence-review method that will be reused for every clinical factor and completes the knowledge-base chapter on maternal age. Later parts will add blood pressure, previous cesarean birth, miscarriage history, diabetes, anemia, gestational age, fetal findings, ultrasound findings, and other factors identified in Document 0.</w:t>
      </w:r>
    </w:p>
    <w:p>
      <w:r>
        <w:t>The recommendations in this paper are design decisions for a future clinical decision support system. They must be reviewed with the partner clinic and, before live clinical deployment, validated by a qualified obstetric or maternal-health professional and aligned with current Philippine Department of Health regulations, licensing standards, and local referral pathways.</w:t>
      </w:r>
    </w:p>
    <w:p>
      <w:pPr>
        <w:pStyle w:val="Heading1"/>
      </w:pPr>
      <w:r>
        <w:t>Executive Decision: Maternal Age</w:t>
      </w:r>
    </w:p>
    <w:p>
      <w:r>
        <w:t>Maternal age should be included in the CDSS, but age alone must not automatically label a pregnancy as clinically high risk, trigger an urgent referral, or determine the mode or place of delivery. The system should use age as a contextual risk and care-planning factor whose importance increases when combined with parity, medical conditions, obstetric history, current findings, gestational age, and the capability of the lying-in clinic.</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shd w:fill="D9EAF7"/>
            <w:vAlign w:val="center"/>
          </w:tcPr>
          <w:p>
            <w:pPr>
              <w:pStyle w:val="TableText"/>
            </w:pPr>
            <w:r>
              <w:rPr>
                <w:b/>
              </w:rPr>
              <w:t>Age group</w:t>
            </w:r>
          </w:p>
        </w:tc>
        <w:tc>
          <w:tcPr>
            <w:tcW w:type="dxa" w:w="4608"/>
            <w:shd w:fill="D9EAF7"/>
            <w:vAlign w:val="center"/>
          </w:tcPr>
          <w:p>
            <w:pPr>
              <w:pStyle w:val="TableText"/>
            </w:pPr>
            <w:r>
              <w:rPr>
                <w:b/>
              </w:rPr>
              <w:t>CDSS interpretation</w:t>
            </w:r>
          </w:p>
        </w:tc>
        <w:tc>
          <w:tcPr>
            <w:tcW w:type="dxa" w:w="4320"/>
            <w:shd w:fill="D9EAF7"/>
            <w:vAlign w:val="center"/>
          </w:tcPr>
          <w:p>
            <w:pPr>
              <w:pStyle w:val="TableText"/>
            </w:pPr>
            <w:r>
              <w:rPr>
                <w:b/>
              </w:rPr>
              <w:t>Standalone action</w:t>
            </w:r>
          </w:p>
        </w:tc>
      </w:tr>
      <w:tr>
        <w:tc>
          <w:tcPr>
            <w:tcW w:type="dxa" w:w="1728"/>
            <w:vAlign w:val="top"/>
          </w:tcPr>
          <w:p>
            <w:pPr>
              <w:pStyle w:val="TableText"/>
            </w:pPr>
            <w:r>
              <w:t>10-19 years</w:t>
            </w:r>
          </w:p>
        </w:tc>
        <w:tc>
          <w:tcPr>
            <w:tcW w:type="dxa" w:w="4608"/>
            <w:vAlign w:val="top"/>
          </w:tcPr>
          <w:p>
            <w:pPr>
              <w:pStyle w:val="TableText"/>
            </w:pPr>
            <w:r>
              <w:t>Adolescent pregnancy; increased maternal, neonatal, psychosocial, safeguarding, and access-to-care concerns.</w:t>
            </w:r>
          </w:p>
        </w:tc>
        <w:tc>
          <w:tcPr>
            <w:tcW w:type="dxa" w:w="4320"/>
            <w:vAlign w:val="top"/>
          </w:tcPr>
          <w:p>
            <w:pPr>
              <w:pStyle w:val="TableText"/>
            </w:pPr>
            <w:r>
              <w:t>Enhanced assessment and support. Referral decision depends on age detail, symptoms, comorbidities, obstetric findings, and local protocol.</w:t>
            </w:r>
          </w:p>
        </w:tc>
      </w:tr>
      <w:tr>
        <w:tc>
          <w:tcPr>
            <w:tcW w:type="dxa" w:w="1728"/>
            <w:vAlign w:val="top"/>
          </w:tcPr>
          <w:p>
            <w:pPr>
              <w:pStyle w:val="TableText"/>
            </w:pPr>
            <w:r>
              <w:t>20-34 years</w:t>
            </w:r>
          </w:p>
        </w:tc>
        <w:tc>
          <w:tcPr>
            <w:tcW w:type="dxa" w:w="4608"/>
            <w:vAlign w:val="top"/>
          </w:tcPr>
          <w:p>
            <w:pPr>
              <w:pStyle w:val="TableText"/>
            </w:pPr>
            <w:r>
              <w:t>Reference category for age only. This does not mean the pregnancy is automatically low risk.</w:t>
            </w:r>
          </w:p>
        </w:tc>
        <w:tc>
          <w:tcPr>
            <w:tcW w:type="dxa" w:w="4320"/>
            <w:vAlign w:val="top"/>
          </w:tcPr>
          <w:p>
            <w:pPr>
              <w:pStyle w:val="TableText"/>
            </w:pPr>
            <w:r>
              <w:t>No age-related escalation. Continue full assessment of all other factors.</w:t>
            </w:r>
          </w:p>
        </w:tc>
      </w:tr>
      <w:tr>
        <w:tc>
          <w:tcPr>
            <w:tcW w:type="dxa" w:w="1728"/>
            <w:vAlign w:val="top"/>
          </w:tcPr>
          <w:p>
            <w:pPr>
              <w:pStyle w:val="TableText"/>
            </w:pPr>
            <w:r>
              <w:t>35-39 years</w:t>
            </w:r>
          </w:p>
        </w:tc>
        <w:tc>
          <w:tcPr>
            <w:tcW w:type="dxa" w:w="4608"/>
            <w:vAlign w:val="top"/>
          </w:tcPr>
          <w:p>
            <w:pPr>
              <w:pStyle w:val="TableText"/>
            </w:pPr>
            <w:r>
              <w:t>Recognize as an age-associated risk factor. Risk is continuous and modified by comorbidities and obstetric history.</w:t>
            </w:r>
          </w:p>
        </w:tc>
        <w:tc>
          <w:tcPr>
            <w:tcW w:type="dxa" w:w="4320"/>
            <w:vAlign w:val="top"/>
          </w:tcPr>
          <w:p>
            <w:pPr>
              <w:pStyle w:val="TableText"/>
            </w:pPr>
            <w:r>
              <w:t>Closer review and individualized management planning; not automatic urgent referral.</w:t>
            </w:r>
          </w:p>
        </w:tc>
      </w:tr>
      <w:tr>
        <w:tc>
          <w:tcPr>
            <w:tcW w:type="dxa" w:w="1728"/>
            <w:vAlign w:val="top"/>
          </w:tcPr>
          <w:p>
            <w:pPr>
              <w:pStyle w:val="TableText"/>
            </w:pPr>
            <w:r>
              <w:t>40 years or older</w:t>
            </w:r>
          </w:p>
        </w:tc>
        <w:tc>
          <w:tcPr>
            <w:tcW w:type="dxa" w:w="4608"/>
            <w:vAlign w:val="top"/>
          </w:tcPr>
          <w:p>
            <w:pPr>
              <w:pStyle w:val="TableText"/>
            </w:pPr>
            <w:r>
              <w:t>Stronger age-associated concern, with greater evidence of increasing adverse outcomes and need for specialist planning.</w:t>
            </w:r>
          </w:p>
        </w:tc>
        <w:tc>
          <w:tcPr>
            <w:tcW w:type="dxa" w:w="4320"/>
            <w:vAlign w:val="top"/>
          </w:tcPr>
          <w:p>
            <w:pPr>
              <w:pStyle w:val="TableText"/>
            </w:pPr>
            <w:r>
              <w:t>Recommend obstetric review/referral planning according to local protocol; still not an emergency solely because of age.</w:t>
            </w:r>
          </w:p>
        </w:tc>
      </w:tr>
    </w:tbl>
    <w:p/>
    <w:p>
      <w:r>
        <w:br w:type="page"/>
      </w:r>
    </w:p>
    <w:p>
      <w:pPr>
        <w:pStyle w:val="Heading1"/>
      </w:pPr>
      <w:r>
        <w:t>1. Introduction</w:t>
      </w:r>
    </w:p>
    <w:p>
      <w:pPr>
        <w:pStyle w:val="Heading2"/>
      </w:pPr>
      <w:r>
        <w:t>1.1 Purpose</w:t>
      </w:r>
    </w:p>
    <w:p>
      <w:r>
        <w:t>The Clinical Knowledge Base translates external clinical evidence into transparent, computable, and defensible design decisions for the maternity system. It answers not only whether a data field is associated with an adverse outcome, but also whether the field can be assessed reliably by a midwife, whether it changes care in a lying-in clinic, whether it should affect referral support, and how the system should explain its reasoning.</w:t>
      </w:r>
    </w:p>
    <w:p>
      <w:pPr>
        <w:pStyle w:val="Heading2"/>
      </w:pPr>
      <w:r>
        <w:t>1.2 Clinical Decision Support Role</w:t>
      </w:r>
    </w:p>
    <w:p>
      <w:r>
        <w:t>The CDSS is designed to assist, not replace, the midwife. It should identify recorded findings that may require closer assessment, a change in monitoring, non-urgent referral planning, same-day referral, or emergency action. The final decision remains with the healthcare professional, who must consider the full clinical picture, patient preferences, available resources, and the receiving facility.</w:t>
      </w:r>
    </w:p>
    <w:p>
      <w:pPr>
        <w:pStyle w:val="Heading2"/>
      </w:pPr>
      <w:r>
        <w:t>1.3 Knowledge Engineering Principle</w:t>
      </w:r>
    </w:p>
    <w:p>
      <w:r>
        <w:t>A statistical association is not automatically a software rule. A factor becomes a CDSS rule only after the project team determines that the evidence is credible, the data are reliable, the factor is clinically actionable, the output can be explained, and the recommended action fits the clinic's scope and referral network.</w:t>
      </w:r>
    </w:p>
    <w:p>
      <w:pPr>
        <w:pStyle w:val="Heading1"/>
      </w:pPr>
      <w:r>
        <w:t>2. Research and Evidence Method</w:t>
      </w:r>
    </w:p>
    <w:p>
      <w:pPr>
        <w:pStyle w:val="Heading2"/>
      </w:pPr>
      <w:r>
        <w:t>2.1 Clinical Question Framework</w:t>
      </w:r>
    </w:p>
    <w:p>
      <w:r>
        <w:t>For every candidate factor, the review uses the following structured question: Should this factor be used by a Clinical Decision Support System in a Philippine lying-in clinic to support monitoring, care planning, or referral, and if so, under what conditions?</w:t>
      </w:r>
    </w:p>
    <w:p>
      <w:pPr>
        <w:pStyle w:val="Heading2"/>
      </w:pPr>
      <w:r>
        <w:t>2.2 Evidence Hierarchy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008"/>
            <w:shd w:fill="D9EAF7"/>
            <w:vAlign w:val="center"/>
          </w:tcPr>
          <w:p>
            <w:pPr>
              <w:pStyle w:val="TableText"/>
            </w:pPr>
            <w:r>
              <w:rPr>
                <w:b/>
              </w:rPr>
              <w:t>Priority</w:t>
            </w:r>
          </w:p>
        </w:tc>
        <w:tc>
          <w:tcPr>
            <w:tcW w:type="dxa" w:w="3744"/>
            <w:shd w:fill="D9EAF7"/>
            <w:vAlign w:val="center"/>
          </w:tcPr>
          <w:p>
            <w:pPr>
              <w:pStyle w:val="TableText"/>
            </w:pPr>
            <w:r>
              <w:rPr>
                <w:b/>
              </w:rPr>
              <w:t>Source type</w:t>
            </w:r>
          </w:p>
        </w:tc>
        <w:tc>
          <w:tcPr>
            <w:tcW w:type="dxa" w:w="5904"/>
            <w:shd w:fill="D9EAF7"/>
            <w:vAlign w:val="center"/>
          </w:tcPr>
          <w:p>
            <w:pPr>
              <w:pStyle w:val="TableText"/>
            </w:pPr>
            <w:r>
              <w:rPr>
                <w:b/>
              </w:rPr>
              <w:t>How it is used</w:t>
            </w:r>
          </w:p>
        </w:tc>
      </w:tr>
      <w:tr>
        <w:tc>
          <w:tcPr>
            <w:tcW w:type="dxa" w:w="1008"/>
            <w:vAlign w:val="top"/>
          </w:tcPr>
          <w:p>
            <w:pPr>
              <w:pStyle w:val="TableText"/>
            </w:pPr>
            <w:r>
              <w:t>1</w:t>
            </w:r>
          </w:p>
        </w:tc>
        <w:tc>
          <w:tcPr>
            <w:tcW w:type="dxa" w:w="3744"/>
            <w:vAlign w:val="top"/>
          </w:tcPr>
          <w:p>
            <w:pPr>
              <w:pStyle w:val="TableText"/>
            </w:pPr>
            <w:r>
              <w:t>Philippine laws, Department of Health policies, licensing standards, and official care pathways</w:t>
            </w:r>
          </w:p>
        </w:tc>
        <w:tc>
          <w:tcPr>
            <w:tcW w:type="dxa" w:w="5904"/>
            <w:vAlign w:val="top"/>
          </w:tcPr>
          <w:p>
            <w:pPr>
              <w:pStyle w:val="TableText"/>
            </w:pPr>
            <w:r>
              <w:t>Defines national scope, referral obligations, and local applicability.</w:t>
            </w:r>
          </w:p>
        </w:tc>
      </w:tr>
      <w:tr>
        <w:tc>
          <w:tcPr>
            <w:tcW w:type="dxa" w:w="1008"/>
            <w:vAlign w:val="top"/>
          </w:tcPr>
          <w:p>
            <w:pPr>
              <w:pStyle w:val="TableText"/>
            </w:pPr>
            <w:r>
              <w:t>2</w:t>
            </w:r>
          </w:p>
        </w:tc>
        <w:tc>
          <w:tcPr>
            <w:tcW w:type="dxa" w:w="3744"/>
            <w:vAlign w:val="top"/>
          </w:tcPr>
          <w:p>
            <w:pPr>
              <w:pStyle w:val="TableText"/>
            </w:pPr>
            <w:r>
              <w:t>World Health Organization guidelines</w:t>
            </w:r>
          </w:p>
        </w:tc>
        <w:tc>
          <w:tcPr>
            <w:tcW w:type="dxa" w:w="5904"/>
            <w:vAlign w:val="top"/>
          </w:tcPr>
          <w:p>
            <w:pPr>
              <w:pStyle w:val="TableText"/>
            </w:pPr>
            <w:r>
              <w:t>Provides global evidence-informed maternal and antenatal-care recommendations applicable across resource settings.</w:t>
            </w:r>
          </w:p>
        </w:tc>
      </w:tr>
      <w:tr>
        <w:tc>
          <w:tcPr>
            <w:tcW w:type="dxa" w:w="1008"/>
            <w:vAlign w:val="top"/>
          </w:tcPr>
          <w:p>
            <w:pPr>
              <w:pStyle w:val="TableText"/>
            </w:pPr>
            <w:r>
              <w:t>3</w:t>
            </w:r>
          </w:p>
        </w:tc>
        <w:tc>
          <w:tcPr>
            <w:tcW w:type="dxa" w:w="3744"/>
            <w:vAlign w:val="top"/>
          </w:tcPr>
          <w:p>
            <w:pPr>
              <w:pStyle w:val="TableText"/>
            </w:pPr>
            <w:r>
              <w:t>Specialty guidelines such as ACOG/SMFM and NICE</w:t>
            </w:r>
          </w:p>
        </w:tc>
        <w:tc>
          <w:tcPr>
            <w:tcW w:type="dxa" w:w="5904"/>
            <w:vAlign w:val="top"/>
          </w:tcPr>
          <w:p>
            <w:pPr>
              <w:pStyle w:val="TableText"/>
            </w:pPr>
            <w:r>
              <w:t>Provides detailed obstetric interpretation, thresholds, risk stratification, and management principles.</w:t>
            </w:r>
          </w:p>
        </w:tc>
      </w:tr>
      <w:tr>
        <w:tc>
          <w:tcPr>
            <w:tcW w:type="dxa" w:w="1008"/>
            <w:vAlign w:val="top"/>
          </w:tcPr>
          <w:p>
            <w:pPr>
              <w:pStyle w:val="TableText"/>
            </w:pPr>
            <w:r>
              <w:t>4</w:t>
            </w:r>
          </w:p>
        </w:tc>
        <w:tc>
          <w:tcPr>
            <w:tcW w:type="dxa" w:w="3744"/>
            <w:vAlign w:val="top"/>
          </w:tcPr>
          <w:p>
            <w:pPr>
              <w:pStyle w:val="TableText"/>
            </w:pPr>
            <w:r>
              <w:t>Systematic reviews, meta-analyses, and large cohort studies</w:t>
            </w:r>
          </w:p>
        </w:tc>
        <w:tc>
          <w:tcPr>
            <w:tcW w:type="dxa" w:w="5904"/>
            <w:vAlign w:val="top"/>
          </w:tcPr>
          <w:p>
            <w:pPr>
              <w:pStyle w:val="TableText"/>
            </w:pPr>
            <w:r>
              <w:t>Clarifies the magnitude, continuity, interactions, and limitations of observed risk.</w:t>
            </w:r>
          </w:p>
        </w:tc>
      </w:tr>
      <w:tr>
        <w:tc>
          <w:tcPr>
            <w:tcW w:type="dxa" w:w="1008"/>
            <w:vAlign w:val="top"/>
          </w:tcPr>
          <w:p>
            <w:pPr>
              <w:pStyle w:val="TableText"/>
            </w:pPr>
            <w:r>
              <w:t>5</w:t>
            </w:r>
          </w:p>
        </w:tc>
        <w:tc>
          <w:tcPr>
            <w:tcW w:type="dxa" w:w="3744"/>
            <w:vAlign w:val="top"/>
          </w:tcPr>
          <w:p>
            <w:pPr>
              <w:pStyle w:val="TableText"/>
            </w:pPr>
            <w:r>
              <w:t>Local clinic policy and expert validation</w:t>
            </w:r>
          </w:p>
        </w:tc>
        <w:tc>
          <w:tcPr>
            <w:tcW w:type="dxa" w:w="5904"/>
            <w:vAlign w:val="top"/>
          </w:tcPr>
          <w:p>
            <w:pPr>
              <w:pStyle w:val="TableText"/>
            </w:pPr>
            <w:r>
              <w:t>Converts evidence into an operational pathway that fits available staff, equipment, and referral facilities.</w:t>
            </w:r>
          </w:p>
        </w:tc>
      </w:tr>
    </w:tbl>
    <w:p/>
    <w:p>
      <w:pPr>
        <w:pStyle w:val="Heading2"/>
      </w:pPr>
      <w:r>
        <w:t>2.3 Inclusion Rules</w:t>
      </w:r>
    </w:p>
    <w:p>
      <w:pPr>
        <w:pStyle w:val="ListBullet"/>
      </w:pPr>
      <w:r>
        <w:t>Prefer current or reaffirmed official guidance and peer-reviewed evidence.</w:t>
      </w:r>
    </w:p>
    <w:p>
      <w:pPr>
        <w:pStyle w:val="ListBullet"/>
      </w:pPr>
      <w:r>
        <w:t>Use the exact scope of the source; do not generalize a recommendation beyond the population or setting studied.</w:t>
      </w:r>
    </w:p>
    <w:p>
      <w:pPr>
        <w:pStyle w:val="ListBullet"/>
      </w:pPr>
      <w:r>
        <w:t>Distinguish association from causation and weak evidence from strong evidence.</w:t>
      </w:r>
    </w:p>
    <w:p>
      <w:pPr>
        <w:pStyle w:val="ListBullet"/>
      </w:pPr>
      <w:r>
        <w:t>Do not create a treatment recommendation when the source only supports assessment or referral.</w:t>
      </w:r>
    </w:p>
    <w:p>
      <w:pPr>
        <w:pStyle w:val="ListBullet"/>
      </w:pPr>
      <w:r>
        <w:t>Do not treat a single threshold as a biological boundary when evidence describes risk as continuous.</w:t>
      </w:r>
    </w:p>
    <w:p>
      <w:pPr>
        <w:pStyle w:val="ListBullet"/>
      </w:pPr>
      <w:r>
        <w:t>Record disagreements, gaps, and limitations rather than hiding them.</w:t>
      </w:r>
    </w:p>
    <w:p>
      <w:pPr>
        <w:pStyle w:val="Heading2"/>
      </w:pPr>
      <w:r>
        <w:t>2.4 Evidence-to-Rule Translation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312"/>
            <w:shd w:fill="D9EAF7"/>
            <w:vAlign w:val="center"/>
          </w:tcPr>
          <w:p>
            <w:pPr>
              <w:pStyle w:val="TableText"/>
            </w:pPr>
            <w:r>
              <w:rPr>
                <w:b/>
              </w:rPr>
              <w:t>Question</w:t>
            </w:r>
          </w:p>
        </w:tc>
        <w:tc>
          <w:tcPr>
            <w:tcW w:type="dxa" w:w="7344"/>
            <w:shd w:fill="D9EAF7"/>
            <w:vAlign w:val="center"/>
          </w:tcPr>
          <w:p>
            <w:pPr>
              <w:pStyle w:val="TableText"/>
            </w:pPr>
            <w:r>
              <w:rPr>
                <w:b/>
              </w:rPr>
              <w:t>Required decision</w:t>
            </w:r>
          </w:p>
        </w:tc>
      </w:tr>
      <w:tr>
        <w:tc>
          <w:tcPr>
            <w:tcW w:type="dxa" w:w="3312"/>
            <w:vAlign w:val="top"/>
          </w:tcPr>
          <w:p>
            <w:pPr>
              <w:pStyle w:val="TableText"/>
            </w:pPr>
            <w:r>
              <w:t>Is the factor clinically relevant?</w:t>
            </w:r>
          </w:p>
        </w:tc>
        <w:tc>
          <w:tcPr>
            <w:tcW w:type="dxa" w:w="7344"/>
            <w:vAlign w:val="top"/>
          </w:tcPr>
          <w:p>
            <w:pPr>
              <w:pStyle w:val="TableText"/>
            </w:pPr>
            <w:r>
              <w:t>Include, exclude, or retain as documentation only.</w:t>
            </w:r>
          </w:p>
        </w:tc>
      </w:tr>
      <w:tr>
        <w:tc>
          <w:tcPr>
            <w:tcW w:type="dxa" w:w="3312"/>
            <w:vAlign w:val="top"/>
          </w:tcPr>
          <w:p>
            <w:pPr>
              <w:pStyle w:val="TableText"/>
            </w:pPr>
            <w:r>
              <w:t>Is it measurable from current system data?</w:t>
            </w:r>
          </w:p>
        </w:tc>
        <w:tc>
          <w:tcPr>
            <w:tcW w:type="dxa" w:w="7344"/>
            <w:vAlign w:val="top"/>
          </w:tcPr>
          <w:p>
            <w:pPr>
              <w:pStyle w:val="TableText"/>
            </w:pPr>
            <w:r>
              <w:t>Use directly, improve data structure, or mark assessment incomplete.</w:t>
            </w:r>
          </w:p>
        </w:tc>
      </w:tr>
      <w:tr>
        <w:tc>
          <w:tcPr>
            <w:tcW w:type="dxa" w:w="3312"/>
            <w:vAlign w:val="top"/>
          </w:tcPr>
          <w:p>
            <w:pPr>
              <w:pStyle w:val="TableText"/>
            </w:pPr>
            <w:r>
              <w:t>Does it independently demand action?</w:t>
            </w:r>
          </w:p>
        </w:tc>
        <w:tc>
          <w:tcPr>
            <w:tcW w:type="dxa" w:w="7344"/>
            <w:vAlign w:val="top"/>
          </w:tcPr>
          <w:p>
            <w:pPr>
              <w:pStyle w:val="TableText"/>
            </w:pPr>
            <w:r>
              <w:t>Urgent override, referral trigger, contextual contributor, or no automated action.</w:t>
            </w:r>
          </w:p>
        </w:tc>
      </w:tr>
      <w:tr>
        <w:tc>
          <w:tcPr>
            <w:tcW w:type="dxa" w:w="3312"/>
            <w:vAlign w:val="top"/>
          </w:tcPr>
          <w:p>
            <w:pPr>
              <w:pStyle w:val="TableText"/>
            </w:pPr>
            <w:r>
              <w:t>Can the clinic act on it?</w:t>
            </w:r>
          </w:p>
        </w:tc>
        <w:tc>
          <w:tcPr>
            <w:tcW w:type="dxa" w:w="7344"/>
            <w:vAlign w:val="top"/>
          </w:tcPr>
          <w:p>
            <w:pPr>
              <w:pStyle w:val="TableText"/>
            </w:pPr>
            <w:r>
              <w:t>Monitor locally, counsel, arrange referral, or initiate emergency pathway.</w:t>
            </w:r>
          </w:p>
        </w:tc>
      </w:tr>
      <w:tr>
        <w:tc>
          <w:tcPr>
            <w:tcW w:type="dxa" w:w="3312"/>
            <w:vAlign w:val="top"/>
          </w:tcPr>
          <w:p>
            <w:pPr>
              <w:pStyle w:val="TableText"/>
            </w:pPr>
            <w:r>
              <w:t>Can the recommendation be explained?</w:t>
            </w:r>
          </w:p>
        </w:tc>
        <w:tc>
          <w:tcPr>
            <w:tcW w:type="dxa" w:w="7344"/>
            <w:vAlign w:val="top"/>
          </w:tcPr>
          <w:p>
            <w:pPr>
              <w:pStyle w:val="TableText"/>
            </w:pPr>
            <w:r>
              <w:t>Generate a reason that names the finding and avoids diagnostic language.</w:t>
            </w:r>
          </w:p>
        </w:tc>
      </w:tr>
      <w:tr>
        <w:tc>
          <w:tcPr>
            <w:tcW w:type="dxa" w:w="3312"/>
            <w:vAlign w:val="top"/>
          </w:tcPr>
          <w:p>
            <w:pPr>
              <w:pStyle w:val="TableText"/>
            </w:pPr>
            <w:r>
              <w:t>What can go wrong?</w:t>
            </w:r>
          </w:p>
        </w:tc>
        <w:tc>
          <w:tcPr>
            <w:tcW w:type="dxa" w:w="7344"/>
            <w:vAlign w:val="top"/>
          </w:tcPr>
          <w:p>
            <w:pPr>
              <w:pStyle w:val="TableText"/>
            </w:pPr>
            <w:r>
              <w:t>Define missing-data, invalid-data, false-reassurance, and over-referral safeguards.</w:t>
            </w:r>
          </w:p>
        </w:tc>
      </w:tr>
    </w:tbl>
    <w:p/>
    <w:p>
      <w:r>
        <w:br w:type="page"/>
      </w:r>
    </w:p>
    <w:p>
      <w:pPr>
        <w:pStyle w:val="Heading1"/>
      </w:pPr>
      <w:r>
        <w:t>3. Maternal Age</w:t>
      </w:r>
    </w:p>
    <w:p>
      <w:pPr>
        <w:pStyle w:val="Heading2"/>
      </w:pPr>
      <w:r>
        <w:t>3.1 Clinical Question</w:t>
      </w:r>
    </w:p>
    <w:p>
      <w:r>
        <w:t>Should maternal age be used by a Clinical Decision Support System in a lying-in clinic to support referral decisions?</w:t>
      </w:r>
    </w:p>
    <w:p>
      <w:pPr>
        <w:pStyle w:val="Heading2"/>
      </w:pPr>
      <w:r>
        <w:t>3.2 Definition and Data Requirement</w:t>
      </w:r>
    </w:p>
    <w:p>
      <w:r>
        <w:t>Maternal age for the current pregnancy should be calculated from the patient's verified date of birth and a clinically appropriate reference date. ACOG's advanced-maternal-age guidance historically uses the anticipated age at delivery, not merely the patient's age when the record is opened. The database should therefore store date of birth rather than a manually typed, repeatedly editable age value. The system may display the calculated age but should preserve the underlying date used for calculation.</w:t>
      </w:r>
    </w:p>
    <w:p>
      <w:r>
        <w:t>For adolescent pregnancy, WHO defines adolescence as ages 10 to 19. For older pregnancy, ACOG recognizes anticipated delivery at age 35 years or older as a risk factor, while emphasizing that the age-35 boundary is historically derived and that risk increases on a continuum, particularly at age 40 and above.</w:t>
      </w:r>
    </w:p>
    <w:p>
      <w:pPr>
        <w:pStyle w:val="Heading2"/>
      </w:pPr>
      <w:r>
        <w:t>3.3 Why Maternal Age Matters</w:t>
      </w:r>
    </w:p>
    <w:p>
      <w:r>
        <w:t>Age can represent biological, obstetric, social, and health-system considerations. At younger ages, increased risks may include hypertensive complications, infection, anemia, preterm birth, low birth weight, severe neonatal conditions, reduced access to high-quality care, safeguarding concerns, and psychosocial needs. At older ages, observational evidence shows increasing rates of gestational diabetes, hypertensive disorders, preeclampsia, cesarean delivery, preterm birth, placental complications, and other maternal or neonatal outcomes. These associations are not uniform, and several are modified by parity, pre-existing disease, obesity, assisted reproduction, and age subgroup.</w:t>
      </w:r>
    </w:p>
    <w:p>
      <w:pPr>
        <w:pStyle w:val="Heading2"/>
      </w:pPr>
      <w:r>
        <w:t>3.4 Guideline Review</w:t>
      </w:r>
    </w:p>
    <w:p>
      <w:pPr>
        <w:pStyle w:val="Heading3"/>
      </w:pPr>
      <w:r>
        <w:t>3.4.1 World Health Organization</w:t>
      </w:r>
    </w:p>
    <w:p>
      <w:r>
        <w:t>WHO's antenatal-care guideline applies to all pregnant women and adolescent girls and frames antenatal care as a platform for health promotion, screening, prevention, and timely identification of complications. WHO's 2024 adolescent-pregnancy fact sheet states that adolescent mothers aged 10-19 face higher risks of eclampsia, puerperal endometritis, and systemic infections than women aged 20-24, while their babies face higher risks of low birth weight, preterm birth, and severe neonatal conditions. This supports treating adolescent pregnancy as requiring additional assessment and support, but the WHO sources reviewed do not support a software rule that every adolescent pregnancy is an emergency.</w:t>
      </w:r>
    </w:p>
    <w:p>
      <w:r>
        <w:t>WHO's current maternal-health recommendations emphasize evidence-based assessment and management across pregnancy, childbirth, and the postnatal period. For the CDSS, the important principle is repeated, person-centred assessment rather than a one-time permanent risk label.</w:t>
      </w:r>
    </w:p>
    <w:p>
      <w:pPr>
        <w:pStyle w:val="Heading3"/>
      </w:pPr>
      <w:r>
        <w:t>3.4.2 ACOG and SMFM</w:t>
      </w:r>
    </w:p>
    <w:p>
      <w:r>
        <w:t>ACOG and SMFM recommend recognizing anticipated delivery at age 35 years or older as a risk factor for adverse maternal, fetal, and neonatal outcomes when counseling and determining management plans. They explicitly state that counseling must be nuanced according to the specific age and comorbidities. Their consensus notes that the threshold of 35 years is historical and partly arbitrary, and that risk generally increases progressively, especially after age 40.</w:t>
      </w:r>
    </w:p>
    <w:p>
      <w:r>
        <w:t>The same guidance states that advancing age alone is not an indication for cesarean delivery. Recommendations for additional surveillance or timing of delivery become more specific at age 40 or older. This is important for the lying-in CDSS: the system may recognize age 35-39, but it must not convert that category automatically into an urgent referral or a mandated mode of delivery.</w:t>
      </w:r>
    </w:p>
    <w:p>
      <w:pPr>
        <w:pStyle w:val="Heading3"/>
      </w:pPr>
      <w:r>
        <w:t>3.4.3 NICE</w:t>
      </w:r>
    </w:p>
    <w:p>
      <w:r>
        <w:t>NICE requires ongoing risk assessment at every antenatal appointment and revision of the care plan when a patient needs additional care. It separately highlights young women under 20 as a population that may require care adapted to complex social factors. NICE therefore supports dynamic assessment and individualized additional care rather than a static label based on age alone. The routine antenatal-care guideline reviewed does not establish a universal rule that age 35 alone requires emergency referral.</w:t>
      </w:r>
    </w:p>
    <w:p>
      <w:pPr>
        <w:pStyle w:val="Heading3"/>
      </w:pPr>
      <w:r>
        <w:t>3.4.4 Philippine Context</w:t>
      </w:r>
    </w:p>
    <w:p>
      <w:r>
        <w:t>Republic Act No. 11148 requires regular antenatal follow-up, proper referral for high-risk pregnancies, early identification of pregnant adolescents, and psychosocial support, particularly for high-risk pregnant women and adolescent females. Philippine DOH health-promotion materials also emphasize prenatal assessment for low- versus high-risk pregnancy and timely referral. These sources support inclusion of maternal age in referral support, particularly for adolescents and older pregnancy, while preserving repeated clinical assessment.</w:t>
      </w:r>
    </w:p>
    <w:p>
      <w:r>
        <w:t>A limitation of this review is that a current, directly accessible national DOH document defining a universal age-only referral threshold for all birthing facilities was not verified from an official DOH publication page. Therefore, the software must not claim that a particular age category is a binding nationwide referral rule unless the clinic provides the controlling current policy or the rule is confirmed during expert validation.</w:t>
      </w:r>
    </w:p>
    <w:p>
      <w:pPr>
        <w:pStyle w:val="Heading2"/>
      </w:pPr>
      <w:r>
        <w:t>3.5 Peer-Reviewed Evidence</w:t>
      </w:r>
    </w:p>
    <w:p>
      <w:r>
        <w:t>Systematic reviews and large cohort studies support an age-outcome association but also demonstrate why simplistic binary rules are unsafe. A systematic review of advanced maternal age found associations with stillbirth and several adverse pregnancy outcomes, while ACOG's synthesis describes risk as progressive across age bands. A large prospective cohort reported nonlinear increases in several adverse outcomes, with many risks highest at age 45 or older and stronger effects among nulliparous patients. Other cohort evidence concludes that age should be combined with maternal characteristics and obstetric history when estimating individualized risk.</w:t>
      </w:r>
    </w:p>
    <w:p>
      <w:r>
        <w:t>For adolescents, a systematic review and meta-analysis found increased risks of preterm delivery, very preterm delivery, neonatal death, low birth weight, and perinatal death, with some risks greater among those aged 17 or younger. A separate meta-analysis reported substantial prevalence of preeclampsia/eclampsia among adolescents and variation by country income. These findings support enhanced monitoring and context-sensitive referral, not a single universal action for every person under 20.</w:t>
      </w:r>
    </w:p>
    <w:p>
      <w:pPr>
        <w:pStyle w:val="Heading2"/>
      </w:pPr>
      <w:r>
        <w:t>3.6 Evidence Interpretation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600"/>
            <w:shd w:fill="D9EAF7"/>
            <w:vAlign w:val="center"/>
          </w:tcPr>
          <w:p>
            <w:pPr>
              <w:pStyle w:val="TableText"/>
            </w:pPr>
            <w:r>
              <w:rPr>
                <w:b/>
              </w:rPr>
              <w:t>Finding</w:t>
            </w:r>
          </w:p>
        </w:tc>
        <w:tc>
          <w:tcPr>
            <w:tcW w:type="dxa" w:w="7056"/>
            <w:shd w:fill="D9EAF7"/>
            <w:vAlign w:val="center"/>
          </w:tcPr>
          <w:p>
            <w:pPr>
              <w:pStyle w:val="TableText"/>
            </w:pPr>
            <w:r>
              <w:rPr>
                <w:b/>
              </w:rPr>
              <w:t>Interpretation for the CDSS</w:t>
            </w:r>
          </w:p>
        </w:tc>
      </w:tr>
      <w:tr>
        <w:tc>
          <w:tcPr>
            <w:tcW w:type="dxa" w:w="3600"/>
            <w:vAlign w:val="top"/>
          </w:tcPr>
          <w:p>
            <w:pPr>
              <w:pStyle w:val="TableText"/>
            </w:pPr>
            <w:r>
              <w:t>Risk varies continuously with age.</w:t>
            </w:r>
          </w:p>
        </w:tc>
        <w:tc>
          <w:tcPr>
            <w:tcW w:type="dxa" w:w="7056"/>
            <w:vAlign w:val="top"/>
          </w:tcPr>
          <w:p>
            <w:pPr>
              <w:pStyle w:val="TableText"/>
            </w:pPr>
            <w:r>
              <w:t>Do not treat the day a patient turns 35 as a sudden biological change.</w:t>
            </w:r>
          </w:p>
        </w:tc>
      </w:tr>
      <w:tr>
        <w:tc>
          <w:tcPr>
            <w:tcW w:type="dxa" w:w="3600"/>
            <w:vAlign w:val="top"/>
          </w:tcPr>
          <w:p>
            <w:pPr>
              <w:pStyle w:val="TableText"/>
            </w:pPr>
            <w:r>
              <w:t>Age 35-39 carries recognized increased risk, but many management recommendations become stronger at 40 or older.</w:t>
            </w:r>
          </w:p>
        </w:tc>
        <w:tc>
          <w:tcPr>
            <w:tcW w:type="dxa" w:w="7056"/>
            <w:vAlign w:val="top"/>
          </w:tcPr>
          <w:p>
            <w:pPr>
              <w:pStyle w:val="TableText"/>
            </w:pPr>
            <w:r>
              <w:t>Use age bands and graduated responses rather than one HIGH label.</w:t>
            </w:r>
          </w:p>
        </w:tc>
      </w:tr>
      <w:tr>
        <w:tc>
          <w:tcPr>
            <w:tcW w:type="dxa" w:w="3600"/>
            <w:vAlign w:val="top"/>
          </w:tcPr>
          <w:p>
            <w:pPr>
              <w:pStyle w:val="TableText"/>
            </w:pPr>
            <w:r>
              <w:t>Adolescent risk includes clinical and social dimensions.</w:t>
            </w:r>
          </w:p>
        </w:tc>
        <w:tc>
          <w:tcPr>
            <w:tcW w:type="dxa" w:w="7056"/>
            <w:vAlign w:val="top"/>
          </w:tcPr>
          <w:p>
            <w:pPr>
              <w:pStyle w:val="TableText"/>
            </w:pPr>
            <w:r>
              <w:t>Prompt clinical assessment, support, safeguarding, nutrition, mental-health, and access-to-care review.</w:t>
            </w:r>
          </w:p>
        </w:tc>
      </w:tr>
      <w:tr>
        <w:tc>
          <w:tcPr>
            <w:tcW w:type="dxa" w:w="3600"/>
            <w:vAlign w:val="top"/>
          </w:tcPr>
          <w:p>
            <w:pPr>
              <w:pStyle w:val="TableText"/>
            </w:pPr>
            <w:r>
              <w:t>Comorbidities and parity modify risk.</w:t>
            </w:r>
          </w:p>
        </w:tc>
        <w:tc>
          <w:tcPr>
            <w:tcW w:type="dxa" w:w="7056"/>
            <w:vAlign w:val="top"/>
          </w:tcPr>
          <w:p>
            <w:pPr>
              <w:pStyle w:val="TableText"/>
            </w:pPr>
            <w:r>
              <w:t>Combine age with hypertension, diabetes, anemia, nulliparity/first pregnancy, previous cesarean, and current findings.</w:t>
            </w:r>
          </w:p>
        </w:tc>
      </w:tr>
      <w:tr>
        <w:tc>
          <w:tcPr>
            <w:tcW w:type="dxa" w:w="3600"/>
            <w:vAlign w:val="top"/>
          </w:tcPr>
          <w:p>
            <w:pPr>
              <w:pStyle w:val="TableText"/>
            </w:pPr>
            <w:r>
              <w:t>Age alone does not determine delivery mode.</w:t>
            </w:r>
          </w:p>
        </w:tc>
        <w:tc>
          <w:tcPr>
            <w:tcW w:type="dxa" w:w="7056"/>
            <w:vAlign w:val="top"/>
          </w:tcPr>
          <w:p>
            <w:pPr>
              <w:pStyle w:val="TableText"/>
            </w:pPr>
            <w:r>
              <w:t>Never output 'cesarean required' or similar language because of age alone.</w:t>
            </w:r>
          </w:p>
        </w:tc>
      </w:tr>
      <w:tr>
        <w:tc>
          <w:tcPr>
            <w:tcW w:type="dxa" w:w="3600"/>
            <w:vAlign w:val="top"/>
          </w:tcPr>
          <w:p>
            <w:pPr>
              <w:pStyle w:val="TableText"/>
            </w:pPr>
            <w:r>
              <w:t>Risk classification can change during pregnancy.</w:t>
            </w:r>
          </w:p>
        </w:tc>
        <w:tc>
          <w:tcPr>
            <w:tcW w:type="dxa" w:w="7056"/>
            <w:vAlign w:val="top"/>
          </w:tcPr>
          <w:p>
            <w:pPr>
              <w:pStyle w:val="TableText"/>
            </w:pPr>
            <w:r>
              <w:t>Recalculate at each relevant visit and after new records are added.</w:t>
            </w:r>
          </w:p>
        </w:tc>
      </w:tr>
    </w:tbl>
    <w:p/>
    <w:p>
      <w:r>
        <w:br w:type="page"/>
      </w:r>
    </w:p>
    <w:p>
      <w:pPr>
        <w:pStyle w:val="Heading2"/>
      </w:pPr>
      <w:r>
        <w:t>3.7 Midwife and Lying-In Clinic Applicability</w:t>
      </w:r>
    </w:p>
    <w:p>
      <w:r>
        <w:t>Maternal age is easy to ascertain and should be visible to the midwife. However, the action attached to age depends on the clinic's authorized services and referral pathway. The lying-in clinic can identify age-related concern, perform the routine assessment within scope, provide counseling, check for interacting risk factors, document the rationale, and recommend or arrange referral. It should not use the CDSS to make specialist-level diagnoses or to promise that delivery at the facility is safe solely because no other factor has yet been recorded.</w:t>
      </w:r>
    </w:p>
    <w:p>
      <w:pPr>
        <w:pStyle w:val="Heading2"/>
      </w:pPr>
      <w:r>
        <w:t>3.8 Final CDSS Classification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456"/>
            <w:shd w:fill="D9EAF7"/>
            <w:vAlign w:val="center"/>
          </w:tcPr>
          <w:p>
            <w:pPr>
              <w:pStyle w:val="TableText"/>
            </w:pPr>
            <w:r>
              <w:rPr>
                <w:b/>
              </w:rPr>
              <w:t>Property</w:t>
            </w:r>
          </w:p>
        </w:tc>
        <w:tc>
          <w:tcPr>
            <w:tcW w:type="dxa" w:w="7200"/>
            <w:shd w:fill="D9EAF7"/>
            <w:vAlign w:val="center"/>
          </w:tcPr>
          <w:p>
            <w:pPr>
              <w:pStyle w:val="TableText"/>
            </w:pPr>
            <w:r>
              <w:rPr>
                <w:b/>
              </w:rPr>
              <w:t>Decision</w:t>
            </w:r>
          </w:p>
        </w:tc>
      </w:tr>
      <w:tr>
        <w:tc>
          <w:tcPr>
            <w:tcW w:type="dxa" w:w="3456"/>
            <w:vAlign w:val="top"/>
          </w:tcPr>
          <w:p>
            <w:pPr>
              <w:pStyle w:val="TableText"/>
            </w:pPr>
            <w:r>
              <w:t>Include in knowledge engine?</w:t>
            </w:r>
          </w:p>
        </w:tc>
        <w:tc>
          <w:tcPr>
            <w:tcW w:type="dxa" w:w="7200"/>
            <w:vAlign w:val="top"/>
          </w:tcPr>
          <w:p>
            <w:pPr>
              <w:pStyle w:val="TableText"/>
            </w:pPr>
            <w:r>
              <w:t>Yes.</w:t>
            </w:r>
          </w:p>
        </w:tc>
      </w:tr>
      <w:tr>
        <w:tc>
          <w:tcPr>
            <w:tcW w:type="dxa" w:w="3456"/>
            <w:vAlign w:val="top"/>
          </w:tcPr>
          <w:p>
            <w:pPr>
              <w:pStyle w:val="TableText"/>
            </w:pPr>
            <w:r>
              <w:t>Role</w:t>
            </w:r>
          </w:p>
        </w:tc>
        <w:tc>
          <w:tcPr>
            <w:tcW w:type="dxa" w:w="7200"/>
            <w:vAlign w:val="top"/>
          </w:tcPr>
          <w:p>
            <w:pPr>
              <w:pStyle w:val="TableText"/>
            </w:pPr>
            <w:r>
              <w:t>Contextual risk and care-planning factor.</w:t>
            </w:r>
          </w:p>
        </w:tc>
      </w:tr>
      <w:tr>
        <w:tc>
          <w:tcPr>
            <w:tcW w:type="dxa" w:w="3456"/>
            <w:vAlign w:val="top"/>
          </w:tcPr>
          <w:p>
            <w:pPr>
              <w:pStyle w:val="TableText"/>
            </w:pPr>
            <w:r>
              <w:t>Urgent override by itself?</w:t>
            </w:r>
          </w:p>
        </w:tc>
        <w:tc>
          <w:tcPr>
            <w:tcW w:type="dxa" w:w="7200"/>
            <w:vAlign w:val="top"/>
          </w:tcPr>
          <w:p>
            <w:pPr>
              <w:pStyle w:val="TableText"/>
            </w:pPr>
            <w:r>
              <w:t>No.</w:t>
            </w:r>
          </w:p>
        </w:tc>
      </w:tr>
      <w:tr>
        <w:tc>
          <w:tcPr>
            <w:tcW w:type="dxa" w:w="3456"/>
            <w:vAlign w:val="top"/>
          </w:tcPr>
          <w:p>
            <w:pPr>
              <w:pStyle w:val="TableText"/>
            </w:pPr>
            <w:r>
              <w:t>Automatic HIGH label by itself?</w:t>
            </w:r>
          </w:p>
        </w:tc>
        <w:tc>
          <w:tcPr>
            <w:tcW w:type="dxa" w:w="7200"/>
            <w:vAlign w:val="top"/>
          </w:tcPr>
          <w:p>
            <w:pPr>
              <w:pStyle w:val="TableText"/>
            </w:pPr>
            <w:r>
              <w:t>No.</w:t>
            </w:r>
          </w:p>
        </w:tc>
      </w:tr>
      <w:tr>
        <w:tc>
          <w:tcPr>
            <w:tcW w:type="dxa" w:w="3456"/>
            <w:vAlign w:val="top"/>
          </w:tcPr>
          <w:p>
            <w:pPr>
              <w:pStyle w:val="TableText"/>
            </w:pPr>
            <w:r>
              <w:t>Can contribute to referral recommendation?</w:t>
            </w:r>
          </w:p>
        </w:tc>
        <w:tc>
          <w:tcPr>
            <w:tcW w:type="dxa" w:w="7200"/>
            <w:vAlign w:val="top"/>
          </w:tcPr>
          <w:p>
            <w:pPr>
              <w:pStyle w:val="TableText"/>
            </w:pPr>
            <w:r>
              <w:t>Yes, with age-specific strength and interaction analysis.</w:t>
            </w:r>
          </w:p>
        </w:tc>
      </w:tr>
      <w:tr>
        <w:tc>
          <w:tcPr>
            <w:tcW w:type="dxa" w:w="3456"/>
            <w:vAlign w:val="top"/>
          </w:tcPr>
          <w:p>
            <w:pPr>
              <w:pStyle w:val="TableText"/>
            </w:pPr>
            <w:r>
              <w:t>Reassessment frequency</w:t>
            </w:r>
          </w:p>
        </w:tc>
        <w:tc>
          <w:tcPr>
            <w:tcW w:type="dxa" w:w="7200"/>
            <w:vAlign w:val="top"/>
          </w:tcPr>
          <w:p>
            <w:pPr>
              <w:pStyle w:val="TableText"/>
            </w:pPr>
            <w:r>
              <w:t>At registration and whenever date, pregnancy dating, parity, medical history, or current findings change.</w:t>
            </w:r>
          </w:p>
        </w:tc>
      </w:tr>
      <w:tr>
        <w:tc>
          <w:tcPr>
            <w:tcW w:type="dxa" w:w="3456"/>
            <w:vAlign w:val="top"/>
          </w:tcPr>
          <w:p>
            <w:pPr>
              <w:pStyle w:val="TableText"/>
            </w:pPr>
            <w:r>
              <w:t>Required explanation</w:t>
            </w:r>
          </w:p>
        </w:tc>
        <w:tc>
          <w:tcPr>
            <w:tcW w:type="dxa" w:w="7200"/>
            <w:vAlign w:val="top"/>
          </w:tcPr>
          <w:p>
            <w:pPr>
              <w:pStyle w:val="TableText"/>
            </w:pPr>
            <w:r>
              <w:t>State the age group, explain that age modifies risk, and name interacting findings when present.</w:t>
            </w:r>
          </w:p>
        </w:tc>
      </w:tr>
      <w:tr>
        <w:tc>
          <w:tcPr>
            <w:tcW w:type="dxa" w:w="3456"/>
            <w:vAlign w:val="top"/>
          </w:tcPr>
          <w:p>
            <w:pPr>
              <w:pStyle w:val="TableText"/>
            </w:pPr>
            <w:r>
              <w:t>Clinical validation required?</w:t>
            </w:r>
          </w:p>
        </w:tc>
        <w:tc>
          <w:tcPr>
            <w:tcW w:type="dxa" w:w="7200"/>
            <w:vAlign w:val="top"/>
          </w:tcPr>
          <w:p>
            <w:pPr>
              <w:pStyle w:val="TableText"/>
            </w:pPr>
            <w:r>
              <w:t>Yes, including confirmation of the clinic's current DOH/local referral policy.</w:t>
            </w:r>
          </w:p>
        </w:tc>
      </w:tr>
    </w:tbl>
    <w:p/>
    <w:p>
      <w:pPr>
        <w:pStyle w:val="Heading2"/>
      </w:pPr>
      <w:r>
        <w:t>3.9 Proposed Age Categories and Actions</w:t>
      </w:r>
    </w:p>
    <w:p>
      <w:r>
        <w:t>The categories below are design categories for knowledge engineering. They are not diagnoses and should not be displayed as a permanent patient identity.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152"/>
            <w:shd w:fill="D9EAF7"/>
            <w:vAlign w:val="center"/>
          </w:tcPr>
          <w:p>
            <w:pPr>
              <w:pStyle w:val="TableText"/>
            </w:pPr>
            <w:r>
              <w:rPr>
                <w:b/>
              </w:rPr>
              <w:t>Rule ID</w:t>
            </w:r>
          </w:p>
        </w:tc>
        <w:tc>
          <w:tcPr>
            <w:tcW w:type="dxa" w:w="2160"/>
            <w:shd w:fill="D9EAF7"/>
            <w:vAlign w:val="center"/>
          </w:tcPr>
          <w:p>
            <w:pPr>
              <w:pStyle w:val="TableText"/>
            </w:pPr>
            <w:r>
              <w:rPr>
                <w:b/>
              </w:rPr>
              <w:t>Condition</w:t>
            </w:r>
          </w:p>
        </w:tc>
        <w:tc>
          <w:tcPr>
            <w:tcW w:type="dxa" w:w="3744"/>
            <w:shd w:fill="D9EAF7"/>
            <w:vAlign w:val="center"/>
          </w:tcPr>
          <w:p>
            <w:pPr>
              <w:pStyle w:val="TableText"/>
            </w:pPr>
            <w:r>
              <w:rPr>
                <w:b/>
              </w:rPr>
              <w:t>CDSS significance</w:t>
            </w:r>
          </w:p>
        </w:tc>
        <w:tc>
          <w:tcPr>
            <w:tcW w:type="dxa" w:w="4320"/>
            <w:shd w:fill="D9EAF7"/>
            <w:vAlign w:val="center"/>
          </w:tcPr>
          <w:p>
            <w:pPr>
              <w:pStyle w:val="TableText"/>
            </w:pPr>
            <w:r>
              <w:rPr>
                <w:b/>
              </w:rPr>
              <w:t>Suggested system action</w:t>
            </w:r>
          </w:p>
        </w:tc>
      </w:tr>
      <w:tr>
        <w:tc>
          <w:tcPr>
            <w:tcW w:type="dxa" w:w="1152"/>
            <w:vAlign w:val="top"/>
          </w:tcPr>
          <w:p>
            <w:pPr>
              <w:pStyle w:val="TableText"/>
            </w:pPr>
            <w:r>
              <w:t>AGE-A1</w:t>
            </w:r>
          </w:p>
        </w:tc>
        <w:tc>
          <w:tcPr>
            <w:tcW w:type="dxa" w:w="2160"/>
            <w:vAlign w:val="top"/>
          </w:tcPr>
          <w:p>
            <w:pPr>
              <w:pStyle w:val="TableText"/>
            </w:pPr>
            <w:r>
              <w:t>Age 10-14</w:t>
            </w:r>
          </w:p>
        </w:tc>
        <w:tc>
          <w:tcPr>
            <w:tcW w:type="dxa" w:w="3744"/>
            <w:vAlign w:val="top"/>
          </w:tcPr>
          <w:p>
            <w:pPr>
              <w:pStyle w:val="TableText"/>
            </w:pPr>
            <w:r>
              <w:t>Very young adolescent pregnancy with heightened clinical, safeguarding, consent, and social-support concerns.</w:t>
            </w:r>
          </w:p>
        </w:tc>
        <w:tc>
          <w:tcPr>
            <w:tcW w:type="dxa" w:w="4320"/>
            <w:vAlign w:val="top"/>
          </w:tcPr>
          <w:p>
            <w:pPr>
              <w:pStyle w:val="TableText"/>
            </w:pPr>
            <w:r>
              <w:t>High-priority clinician review and referral pathway according to law and local policy; assess immediate symptoms and safety. Age alone is not an emergency-code substitute.</w:t>
            </w:r>
          </w:p>
        </w:tc>
      </w:tr>
      <w:tr>
        <w:tc>
          <w:tcPr>
            <w:tcW w:type="dxa" w:w="1152"/>
            <w:vAlign w:val="top"/>
          </w:tcPr>
          <w:p>
            <w:pPr>
              <w:pStyle w:val="TableText"/>
            </w:pPr>
            <w:r>
              <w:t>AGE-A2</w:t>
            </w:r>
          </w:p>
        </w:tc>
        <w:tc>
          <w:tcPr>
            <w:tcW w:type="dxa" w:w="2160"/>
            <w:vAlign w:val="top"/>
          </w:tcPr>
          <w:p>
            <w:pPr>
              <w:pStyle w:val="TableText"/>
            </w:pPr>
            <w:r>
              <w:t>Age 15-17</w:t>
            </w:r>
          </w:p>
        </w:tc>
        <w:tc>
          <w:tcPr>
            <w:tcW w:type="dxa" w:w="3744"/>
            <w:vAlign w:val="top"/>
          </w:tcPr>
          <w:p>
            <w:pPr>
              <w:pStyle w:val="TableText"/>
            </w:pPr>
            <w:r>
              <w:t>Adolescent pregnancy; evidence suggests increased maternal and neonatal risk, with some outcomes greater at 17 or younger.</w:t>
            </w:r>
          </w:p>
        </w:tc>
        <w:tc>
          <w:tcPr>
            <w:tcW w:type="dxa" w:w="4320"/>
            <w:vAlign w:val="top"/>
          </w:tcPr>
          <w:p>
            <w:pPr>
              <w:pStyle w:val="TableText"/>
            </w:pPr>
            <w:r>
              <w:t>Enhanced assessment, nutrition and psychosocial review, safeguarding review, and referral consideration according to findings and protocol.</w:t>
            </w:r>
          </w:p>
        </w:tc>
      </w:tr>
      <w:tr>
        <w:tc>
          <w:tcPr>
            <w:tcW w:type="dxa" w:w="1152"/>
            <w:vAlign w:val="top"/>
          </w:tcPr>
          <w:p>
            <w:pPr>
              <w:pStyle w:val="TableText"/>
            </w:pPr>
            <w:r>
              <w:t>AGE-A3</w:t>
            </w:r>
          </w:p>
        </w:tc>
        <w:tc>
          <w:tcPr>
            <w:tcW w:type="dxa" w:w="2160"/>
            <w:vAlign w:val="top"/>
          </w:tcPr>
          <w:p>
            <w:pPr>
              <w:pStyle w:val="TableText"/>
            </w:pPr>
            <w:r>
              <w:t>Age 18-19</w:t>
            </w:r>
          </w:p>
        </w:tc>
        <w:tc>
          <w:tcPr>
            <w:tcW w:type="dxa" w:w="3744"/>
            <w:vAlign w:val="top"/>
          </w:tcPr>
          <w:p>
            <w:pPr>
              <w:pStyle w:val="TableText"/>
            </w:pPr>
            <w:r>
              <w:t>Adolescent pregnancy with elevated care and support needs, though risk may differ from younger adolescents.</w:t>
            </w:r>
          </w:p>
        </w:tc>
        <w:tc>
          <w:tcPr>
            <w:tcW w:type="dxa" w:w="4320"/>
            <w:vAlign w:val="top"/>
          </w:tcPr>
          <w:p>
            <w:pPr>
              <w:pStyle w:val="TableText"/>
            </w:pPr>
            <w:r>
              <w:t>Enhanced assessment and support; do not automatically classify as urgent or clinically high risk.</w:t>
            </w:r>
          </w:p>
        </w:tc>
      </w:tr>
      <w:tr>
        <w:tc>
          <w:tcPr>
            <w:tcW w:type="dxa" w:w="1152"/>
            <w:vAlign w:val="top"/>
          </w:tcPr>
          <w:p>
            <w:pPr>
              <w:pStyle w:val="TableText"/>
            </w:pPr>
            <w:r>
              <w:t>AGE-R</w:t>
            </w:r>
          </w:p>
        </w:tc>
        <w:tc>
          <w:tcPr>
            <w:tcW w:type="dxa" w:w="2160"/>
            <w:vAlign w:val="top"/>
          </w:tcPr>
          <w:p>
            <w:pPr>
              <w:pStyle w:val="TableText"/>
            </w:pPr>
            <w:r>
              <w:t>Age 20-34</w:t>
            </w:r>
          </w:p>
        </w:tc>
        <w:tc>
          <w:tcPr>
            <w:tcW w:type="dxa" w:w="3744"/>
            <w:vAlign w:val="top"/>
          </w:tcPr>
          <w:p>
            <w:pPr>
              <w:pStyle w:val="TableText"/>
            </w:pPr>
            <w:r>
              <w:t>Reference age band only.</w:t>
            </w:r>
          </w:p>
        </w:tc>
        <w:tc>
          <w:tcPr>
            <w:tcW w:type="dxa" w:w="4320"/>
            <w:vAlign w:val="top"/>
          </w:tcPr>
          <w:p>
            <w:pPr>
              <w:pStyle w:val="TableText"/>
            </w:pPr>
            <w:r>
              <w:t>No age-based escalation; full assessment remains mandatory.</w:t>
            </w:r>
          </w:p>
        </w:tc>
      </w:tr>
      <w:tr>
        <w:tc>
          <w:tcPr>
            <w:tcW w:type="dxa" w:w="1152"/>
            <w:vAlign w:val="top"/>
          </w:tcPr>
          <w:p>
            <w:pPr>
              <w:pStyle w:val="TableText"/>
            </w:pPr>
            <w:r>
              <w:t>AGE-O1</w:t>
            </w:r>
          </w:p>
        </w:tc>
        <w:tc>
          <w:tcPr>
            <w:tcW w:type="dxa" w:w="2160"/>
            <w:vAlign w:val="top"/>
          </w:tcPr>
          <w:p>
            <w:pPr>
              <w:pStyle w:val="TableText"/>
            </w:pPr>
            <w:r>
              <w:t>Age 35-39 at anticipated delivery</w:t>
            </w:r>
          </w:p>
        </w:tc>
        <w:tc>
          <w:tcPr>
            <w:tcW w:type="dxa" w:w="3744"/>
            <w:vAlign w:val="top"/>
          </w:tcPr>
          <w:p>
            <w:pPr>
              <w:pStyle w:val="TableText"/>
            </w:pPr>
            <w:r>
              <w:t>Recognized age-associated risk factor; risk should be interpreted with comorbidities and parity.</w:t>
            </w:r>
          </w:p>
        </w:tc>
        <w:tc>
          <w:tcPr>
            <w:tcW w:type="dxa" w:w="4320"/>
            <w:vAlign w:val="top"/>
          </w:tcPr>
          <w:p>
            <w:pPr>
              <w:pStyle w:val="TableText"/>
            </w:pPr>
            <w:r>
              <w:t>Flag for individualized review and interaction analysis. Recommend additional review/referral when combined with significant findings or required by clinic policy.</w:t>
            </w:r>
          </w:p>
        </w:tc>
      </w:tr>
      <w:tr>
        <w:tc>
          <w:tcPr>
            <w:tcW w:type="dxa" w:w="1152"/>
            <w:vAlign w:val="top"/>
          </w:tcPr>
          <w:p>
            <w:pPr>
              <w:pStyle w:val="TableText"/>
            </w:pPr>
            <w:r>
              <w:t>AGE-O2</w:t>
            </w:r>
          </w:p>
        </w:tc>
        <w:tc>
          <w:tcPr>
            <w:tcW w:type="dxa" w:w="2160"/>
            <w:vAlign w:val="top"/>
          </w:tcPr>
          <w:p>
            <w:pPr>
              <w:pStyle w:val="TableText"/>
            </w:pPr>
            <w:r>
              <w:t>Age 40-44 at anticipated delivery</w:t>
            </w:r>
          </w:p>
        </w:tc>
        <w:tc>
          <w:tcPr>
            <w:tcW w:type="dxa" w:w="3744"/>
            <w:vAlign w:val="top"/>
          </w:tcPr>
          <w:p>
            <w:pPr>
              <w:pStyle w:val="TableText"/>
            </w:pPr>
            <w:r>
              <w:t>Stronger age-associated concern and more specific specialist-management considerations.</w:t>
            </w:r>
          </w:p>
        </w:tc>
        <w:tc>
          <w:tcPr>
            <w:tcW w:type="dxa" w:w="4320"/>
            <w:vAlign w:val="top"/>
          </w:tcPr>
          <w:p>
            <w:pPr>
              <w:pStyle w:val="TableText"/>
            </w:pPr>
            <w:r>
              <w:t>Recommend obstetric review/referral planning; evaluate current symptoms for urgency.</w:t>
            </w:r>
          </w:p>
        </w:tc>
      </w:tr>
      <w:tr>
        <w:tc>
          <w:tcPr>
            <w:tcW w:type="dxa" w:w="1152"/>
            <w:vAlign w:val="top"/>
          </w:tcPr>
          <w:p>
            <w:pPr>
              <w:pStyle w:val="TableText"/>
            </w:pPr>
            <w:r>
              <w:t>AGE-O3</w:t>
            </w:r>
          </w:p>
        </w:tc>
        <w:tc>
          <w:tcPr>
            <w:tcW w:type="dxa" w:w="2160"/>
            <w:vAlign w:val="top"/>
          </w:tcPr>
          <w:p>
            <w:pPr>
              <w:pStyle w:val="TableText"/>
            </w:pPr>
            <w:r>
              <w:t>Age 45 or older at anticipated delivery</w:t>
            </w:r>
          </w:p>
        </w:tc>
        <w:tc>
          <w:tcPr>
            <w:tcW w:type="dxa" w:w="3744"/>
            <w:vAlign w:val="top"/>
          </w:tcPr>
          <w:p>
            <w:pPr>
              <w:pStyle w:val="TableText"/>
            </w:pPr>
            <w:r>
              <w:t>Substantially older pregnancy category with higher observed rates of several adverse outcomes.</w:t>
            </w:r>
          </w:p>
        </w:tc>
        <w:tc>
          <w:tcPr>
            <w:tcW w:type="dxa" w:w="4320"/>
            <w:vAlign w:val="top"/>
          </w:tcPr>
          <w:p>
            <w:pPr>
              <w:pStyle w:val="TableText"/>
            </w:pPr>
            <w:r>
              <w:t>Recommend specialist review/referral planning. Do not use age alone to state diagnosis or mode of delivery.</w:t>
            </w:r>
          </w:p>
        </w:tc>
      </w:tr>
    </w:tbl>
    <w:p/>
    <w:p>
      <w:pPr>
        <w:pStyle w:val="Heading2"/>
      </w:pPr>
      <w:r>
        <w:t>3.10 Interaction Rules</w:t>
      </w:r>
    </w:p>
    <w:p>
      <w:r>
        <w:t>The age factor becomes more clinically meaningful when another independently relevant factor is present. Interaction rules must be based on evidence and clinical validation rather than arbitrary point bonuses.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880"/>
            <w:shd w:fill="D9EAF7"/>
            <w:vAlign w:val="center"/>
          </w:tcPr>
          <w:p>
            <w:pPr>
              <w:pStyle w:val="TableText"/>
            </w:pPr>
            <w:r>
              <w:rPr>
                <w:b/>
              </w:rPr>
              <w:t>Combination</w:t>
            </w:r>
          </w:p>
        </w:tc>
        <w:tc>
          <w:tcPr>
            <w:tcW w:type="dxa" w:w="4032"/>
            <w:shd w:fill="D9EAF7"/>
            <w:vAlign w:val="center"/>
          </w:tcPr>
          <w:p>
            <w:pPr>
              <w:pStyle w:val="TableText"/>
            </w:pPr>
            <w:r>
              <w:rPr>
                <w:b/>
              </w:rPr>
              <w:t>Reason for increased attention</w:t>
            </w:r>
          </w:p>
        </w:tc>
        <w:tc>
          <w:tcPr>
            <w:tcW w:type="dxa" w:w="4032"/>
            <w:shd w:fill="D9EAF7"/>
            <w:vAlign w:val="center"/>
          </w:tcPr>
          <w:p>
            <w:pPr>
              <w:pStyle w:val="TableText"/>
            </w:pPr>
            <w:r>
              <w:rPr>
                <w:b/>
              </w:rPr>
              <w:t>Design response</w:t>
            </w:r>
          </w:p>
        </w:tc>
      </w:tr>
      <w:tr>
        <w:tc>
          <w:tcPr>
            <w:tcW w:type="dxa" w:w="2880"/>
            <w:vAlign w:val="top"/>
          </w:tcPr>
          <w:p>
            <w:pPr>
              <w:pStyle w:val="TableText"/>
            </w:pPr>
            <w:r>
              <w:t>Age 35+ and first pregnancy/nulliparity</w:t>
            </w:r>
          </w:p>
        </w:tc>
        <w:tc>
          <w:tcPr>
            <w:tcW w:type="dxa" w:w="4032"/>
            <w:vAlign w:val="top"/>
          </w:tcPr>
          <w:p>
            <w:pPr>
              <w:pStyle w:val="TableText"/>
            </w:pPr>
            <w:r>
              <w:t>Some evidence shows age-related risks are more pronounced in nulliparous patients.</w:t>
            </w:r>
          </w:p>
        </w:tc>
        <w:tc>
          <w:tcPr>
            <w:tcW w:type="dxa" w:w="4032"/>
            <w:vAlign w:val="top"/>
          </w:tcPr>
          <w:p>
            <w:pPr>
              <w:pStyle w:val="TableText"/>
            </w:pPr>
            <w:r>
              <w:t>Increase care-planning concern; review blood pressure, diabetes risk, fetal growth pathway, and referral plan.</w:t>
            </w:r>
          </w:p>
        </w:tc>
      </w:tr>
      <w:tr>
        <w:tc>
          <w:tcPr>
            <w:tcW w:type="dxa" w:w="2880"/>
            <w:vAlign w:val="top"/>
          </w:tcPr>
          <w:p>
            <w:pPr>
              <w:pStyle w:val="TableText"/>
            </w:pPr>
            <w:r>
              <w:t>Age 35+ and hypertension or elevated blood pressure</w:t>
            </w:r>
          </w:p>
        </w:tc>
        <w:tc>
          <w:tcPr>
            <w:tcW w:type="dxa" w:w="4032"/>
            <w:vAlign w:val="top"/>
          </w:tcPr>
          <w:p>
            <w:pPr>
              <w:pStyle w:val="TableText"/>
            </w:pPr>
            <w:r>
              <w:t>Age and hypertensive risk may compound maternal and fetal concerns.</w:t>
            </w:r>
          </w:p>
        </w:tc>
        <w:tc>
          <w:tcPr>
            <w:tcW w:type="dxa" w:w="4032"/>
            <w:vAlign w:val="top"/>
          </w:tcPr>
          <w:p>
            <w:pPr>
              <w:pStyle w:val="TableText"/>
            </w:pPr>
            <w:r>
              <w:t>The blood-pressure rule determines urgency; age strengthens the explanation but must not replace BP thresholds.</w:t>
            </w:r>
          </w:p>
        </w:tc>
      </w:tr>
      <w:tr>
        <w:tc>
          <w:tcPr>
            <w:tcW w:type="dxa" w:w="2880"/>
            <w:vAlign w:val="top"/>
          </w:tcPr>
          <w:p>
            <w:pPr>
              <w:pStyle w:val="TableText"/>
            </w:pPr>
            <w:r>
              <w:t>Age 35+ and diabetes</w:t>
            </w:r>
          </w:p>
        </w:tc>
        <w:tc>
          <w:tcPr>
            <w:tcW w:type="dxa" w:w="4032"/>
            <w:vAlign w:val="top"/>
          </w:tcPr>
          <w:p>
            <w:pPr>
              <w:pStyle w:val="TableText"/>
            </w:pPr>
            <w:r>
              <w:t>Older age is associated with gestational diabetes and diabetes independently changes pregnancy management.</w:t>
            </w:r>
          </w:p>
        </w:tc>
        <w:tc>
          <w:tcPr>
            <w:tcW w:type="dxa" w:w="4032"/>
            <w:vAlign w:val="top"/>
          </w:tcPr>
          <w:p>
            <w:pPr>
              <w:pStyle w:val="TableText"/>
            </w:pPr>
            <w:r>
              <w:t>Recommend appropriate medical/obstetric review based primarily on diabetes status and current guideline.</w:t>
            </w:r>
          </w:p>
        </w:tc>
      </w:tr>
      <w:tr>
        <w:tc>
          <w:tcPr>
            <w:tcW w:type="dxa" w:w="2880"/>
            <w:vAlign w:val="top"/>
          </w:tcPr>
          <w:p>
            <w:pPr>
              <w:pStyle w:val="TableText"/>
            </w:pPr>
            <w:r>
              <w:t>Age 35+ and previous cesarean</w:t>
            </w:r>
          </w:p>
        </w:tc>
        <w:tc>
          <w:tcPr>
            <w:tcW w:type="dxa" w:w="4032"/>
            <w:vAlign w:val="top"/>
          </w:tcPr>
          <w:p>
            <w:pPr>
              <w:pStyle w:val="TableText"/>
            </w:pPr>
            <w:r>
              <w:t>Delivery planning requires evaluation beyond what a basic lying-in clinic can infer from age alone.</w:t>
            </w:r>
          </w:p>
        </w:tc>
        <w:tc>
          <w:tcPr>
            <w:tcW w:type="dxa" w:w="4032"/>
            <w:vAlign w:val="top"/>
          </w:tcPr>
          <w:p>
            <w:pPr>
              <w:pStyle w:val="TableText"/>
            </w:pPr>
            <w:r>
              <w:t>Prompt documented obstetric review and facility-delivery planning according to local protocol.</w:t>
            </w:r>
          </w:p>
        </w:tc>
      </w:tr>
      <w:tr>
        <w:tc>
          <w:tcPr>
            <w:tcW w:type="dxa" w:w="2880"/>
            <w:vAlign w:val="top"/>
          </w:tcPr>
          <w:p>
            <w:pPr>
              <w:pStyle w:val="TableText"/>
            </w:pPr>
            <w:r>
              <w:t>Adolescent pregnancy and anemia/poor nutrition</w:t>
            </w:r>
          </w:p>
        </w:tc>
        <w:tc>
          <w:tcPr>
            <w:tcW w:type="dxa" w:w="4032"/>
            <w:vAlign w:val="top"/>
          </w:tcPr>
          <w:p>
            <w:pPr>
              <w:pStyle w:val="TableText"/>
            </w:pPr>
            <w:r>
              <w:t>Adolescent pregnancy may coexist with nutritional vulnerability and anemia.</w:t>
            </w:r>
          </w:p>
        </w:tc>
        <w:tc>
          <w:tcPr>
            <w:tcW w:type="dxa" w:w="4032"/>
            <w:vAlign w:val="top"/>
          </w:tcPr>
          <w:p>
            <w:pPr>
              <w:pStyle w:val="TableText"/>
            </w:pPr>
            <w:r>
              <w:t>Prompt nutritional and anemia assessment and referral based on severity, symptoms, and laboratory data.</w:t>
            </w:r>
          </w:p>
        </w:tc>
      </w:tr>
      <w:tr>
        <w:tc>
          <w:tcPr>
            <w:tcW w:type="dxa" w:w="2880"/>
            <w:vAlign w:val="top"/>
          </w:tcPr>
          <w:p>
            <w:pPr>
              <w:pStyle w:val="TableText"/>
            </w:pPr>
            <w:r>
              <w:t>Adolescent pregnancy and safeguarding/social concerns</w:t>
            </w:r>
          </w:p>
        </w:tc>
        <w:tc>
          <w:tcPr>
            <w:tcW w:type="dxa" w:w="4032"/>
            <w:vAlign w:val="top"/>
          </w:tcPr>
          <w:p>
            <w:pPr>
              <w:pStyle w:val="TableText"/>
            </w:pPr>
            <w:r>
              <w:t>Consent, violence, coercion, support, schooling, and access to care may affect safety and follow-up.</w:t>
            </w:r>
          </w:p>
        </w:tc>
        <w:tc>
          <w:tcPr>
            <w:tcW w:type="dxa" w:w="4032"/>
            <w:vAlign w:val="top"/>
          </w:tcPr>
          <w:p>
            <w:pPr>
              <w:pStyle w:val="TableText"/>
            </w:pPr>
            <w:r>
              <w:t>Activate confidential support and referral workflow; do not display stigmatizing labels.</w:t>
            </w:r>
          </w:p>
        </w:tc>
      </w:tr>
    </w:tbl>
    <w:p/>
    <w:p>
      <w:pPr>
        <w:pStyle w:val="Heading2"/>
      </w:pPr>
      <w:r>
        <w:t>3.11 Explainable Output Language</w:t>
      </w:r>
    </w:p>
    <w:p>
      <w:r>
        <w:t>Acceptable example for age 35-39:</w:t>
      </w:r>
    </w:p>
    <w:p>
      <w:pPr>
        <w:pStyle w:val="Quote"/>
      </w:pPr>
      <w:r>
        <w:t>Maternal age is recognized as a factor associated with increased pregnancy risk. Age alone does not determine the need for emergency referral. Review the patient's blood pressure, medical conditions, obstetric history, current findings, and the clinic's referral protocol.</w:t>
      </w:r>
    </w:p>
    <w:p>
      <w:r>
        <w:t>Acceptable example for an adolescent patient:</w:t>
      </w:r>
    </w:p>
    <w:p>
      <w:pPr>
        <w:pStyle w:val="Quote"/>
      </w:pPr>
      <w:r>
        <w:t>Adolescent pregnancy may require additional clinical, nutritional, psychosocial, and safeguarding support. Assess current symptoms and other risk factors and follow the clinic's referral pathway.</w:t>
      </w:r>
    </w:p>
    <w:p>
      <w:r>
        <w:t>Unacceptable outputs:</w:t>
      </w:r>
    </w:p>
    <w:p>
      <w:pPr>
        <w:pStyle w:val="ListBullet"/>
      </w:pPr>
      <w:r>
        <w:t>"Patient is high risk because she is 35."</w:t>
      </w:r>
    </w:p>
    <w:p>
      <w:pPr>
        <w:pStyle w:val="ListBullet"/>
      </w:pPr>
      <w:r>
        <w:t>"Cesarean delivery is required because of advanced maternal age."</w:t>
      </w:r>
    </w:p>
    <w:p>
      <w:pPr>
        <w:pStyle w:val="ListBullet"/>
      </w:pPr>
      <w:r>
        <w:t>"Patient is safe for lying-in delivery because she is 20-34 years old."</w:t>
      </w:r>
    </w:p>
    <w:p>
      <w:pPr>
        <w:pStyle w:val="ListBullet"/>
      </w:pPr>
      <w:r>
        <w:t>"Teen pregnancy automatically requires emergency transfer."</w:t>
      </w:r>
    </w:p>
    <w:p>
      <w:pPr>
        <w:pStyle w:val="Heading2"/>
      </w:pPr>
      <w:r>
        <w:t>3.12 Data Validation and Safety Requirements</w:t>
      </w:r>
    </w:p>
    <w:p>
      <w:pPr>
        <w:pStyle w:val="ListBullet"/>
      </w:pPr>
      <w:r>
        <w:t>Store and verify date of birth; calculate age automatically.</w:t>
      </w:r>
    </w:p>
    <w:p>
      <w:pPr>
        <w:pStyle w:val="ListBullet"/>
      </w:pPr>
      <w:r>
        <w:t>For older-pregnancy logic, calculate anticipated age at delivery using the best available estimated delivery date.</w:t>
      </w:r>
    </w:p>
    <w:p>
      <w:pPr>
        <w:pStyle w:val="ListBullet"/>
      </w:pPr>
      <w:r>
        <w:t>If date of birth or estimated delivery date is missing or inconsistent, show 'age assessment incomplete' rather than guessing.</w:t>
      </w:r>
    </w:p>
    <w:p>
      <w:pPr>
        <w:pStyle w:val="ListBullet"/>
      </w:pPr>
      <w:r>
        <w:t>Never allow a manually typed age to silently conflict with date of birth.</w:t>
      </w:r>
    </w:p>
    <w:p>
      <w:pPr>
        <w:pStyle w:val="ListBullet"/>
      </w:pPr>
      <w:r>
        <w:t>Record which guideline version and knowledge-base version generated the recommendation.</w:t>
      </w:r>
    </w:p>
    <w:p>
      <w:pPr>
        <w:pStyle w:val="ListBullet"/>
      </w:pPr>
      <w:r>
        <w:t>Do not suppress an urgent symptom or vital-sign referral because the age score is low.</w:t>
      </w:r>
    </w:p>
    <w:p>
      <w:pPr>
        <w:pStyle w:val="ListBullet"/>
      </w:pPr>
      <w:r>
        <w:t>Do not declare a pregnancy low risk based only on age 20-34.</w:t>
      </w:r>
    </w:p>
    <w:p>
      <w:pPr>
        <w:pStyle w:val="ListBullet"/>
      </w:pPr>
      <w:r>
        <w:t>Do not expose sensitive adolescent safeguarding notes to unauthorized users.</w:t>
      </w:r>
    </w:p>
    <w:p>
      <w:pPr>
        <w:pStyle w:val="Heading2"/>
      </w:pPr>
      <w:r>
        <w:t>3.13 Final Recommendation</w:t>
      </w:r>
    </w:p>
    <w:p>
      <w:r>
        <w:t>Maternal age should remain in the future CDSS as a graduated contextual factor. Adolescence should prompt enhanced clinical and psychosocial assessment. Age 35-39 should prompt individualized review rather than automatic referral. Age 40 or older should carry stronger referral-planning significance because multiple guidelines and large observational studies show progressively increasing risk and more specific specialist-care considerations. At every age, urgency must be determined by current symptoms, vital signs, medical and obstetric conditions, fetal findings, and local policy.</w:t>
      </w:r>
    </w:p>
    <w:p>
      <w:r>
        <w:br w:type="page"/>
      </w:r>
    </w:p>
    <w:p>
      <w:pPr>
        <w:pStyle w:val="Heading1"/>
      </w:pPr>
      <w:r>
        <w:t>4. Evidence Traceability Matrix: Maternal Age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4032"/>
            <w:shd w:fill="D9EAF7"/>
            <w:vAlign w:val="center"/>
          </w:tcPr>
          <w:p>
            <w:pPr>
              <w:pStyle w:val="TableText"/>
            </w:pPr>
            <w:r>
              <w:rPr>
                <w:b/>
              </w:rPr>
              <w:t>Knowledge claim</w:t>
            </w:r>
          </w:p>
        </w:tc>
        <w:tc>
          <w:tcPr>
            <w:tcW w:type="dxa" w:w="3600"/>
            <w:shd w:fill="D9EAF7"/>
            <w:vAlign w:val="center"/>
          </w:tcPr>
          <w:p>
            <w:pPr>
              <w:pStyle w:val="TableText"/>
            </w:pPr>
            <w:r>
              <w:rPr>
                <w:b/>
              </w:rPr>
              <w:t>Primary supporting source(s)</w:t>
            </w:r>
          </w:p>
        </w:tc>
        <w:tc>
          <w:tcPr>
            <w:tcW w:type="dxa" w:w="3312"/>
            <w:shd w:fill="D9EAF7"/>
            <w:vAlign w:val="center"/>
          </w:tcPr>
          <w:p>
            <w:pPr>
              <w:pStyle w:val="TableText"/>
            </w:pPr>
            <w:r>
              <w:rPr>
                <w:b/>
              </w:rPr>
              <w:t>Rule implication</w:t>
            </w:r>
          </w:p>
        </w:tc>
      </w:tr>
      <w:tr>
        <w:tc>
          <w:tcPr>
            <w:tcW w:type="dxa" w:w="4032"/>
            <w:vAlign w:val="top"/>
          </w:tcPr>
          <w:p>
            <w:pPr>
              <w:pStyle w:val="TableText"/>
            </w:pPr>
            <w:r>
              <w:t>WHO antenatal care applies to pregnant women and adolescent girls and emphasizes evidence-based, person-centred care.</w:t>
            </w:r>
          </w:p>
        </w:tc>
        <w:tc>
          <w:tcPr>
            <w:tcW w:type="dxa" w:w="3600"/>
            <w:vAlign w:val="top"/>
          </w:tcPr>
          <w:p>
            <w:pPr>
              <w:pStyle w:val="TableText"/>
            </w:pPr>
            <w:r>
              <w:t>WHO antenatal-care guideline (2016; living updates).</w:t>
            </w:r>
          </w:p>
        </w:tc>
        <w:tc>
          <w:tcPr>
            <w:tcW w:type="dxa" w:w="3312"/>
            <w:vAlign w:val="top"/>
          </w:tcPr>
          <w:p>
            <w:pPr>
              <w:pStyle w:val="TableText"/>
            </w:pPr>
            <w:r>
              <w:t>Use repeated assessment, not a permanent one-time label.</w:t>
            </w:r>
          </w:p>
        </w:tc>
      </w:tr>
      <w:tr>
        <w:tc>
          <w:tcPr>
            <w:tcW w:type="dxa" w:w="4032"/>
            <w:vAlign w:val="top"/>
          </w:tcPr>
          <w:p>
            <w:pPr>
              <w:pStyle w:val="TableText"/>
            </w:pPr>
            <w:r>
              <w:t>Adolescent mothers 10-19 have higher risks of selected maternal and neonatal outcomes than ages 20-24.</w:t>
            </w:r>
          </w:p>
        </w:tc>
        <w:tc>
          <w:tcPr>
            <w:tcW w:type="dxa" w:w="3600"/>
            <w:vAlign w:val="top"/>
          </w:tcPr>
          <w:p>
            <w:pPr>
              <w:pStyle w:val="TableText"/>
            </w:pPr>
            <w:r>
              <w:t>WHO adolescent pregnancy fact sheet (2024).</w:t>
            </w:r>
          </w:p>
        </w:tc>
        <w:tc>
          <w:tcPr>
            <w:tcW w:type="dxa" w:w="3312"/>
            <w:vAlign w:val="top"/>
          </w:tcPr>
          <w:p>
            <w:pPr>
              <w:pStyle w:val="TableText"/>
            </w:pPr>
            <w:r>
              <w:t>Adolescent pregnancy prompts enhanced assessment and support.</w:t>
            </w:r>
          </w:p>
        </w:tc>
      </w:tr>
      <w:tr>
        <w:tc>
          <w:tcPr>
            <w:tcW w:type="dxa" w:w="4032"/>
            <w:vAlign w:val="top"/>
          </w:tcPr>
          <w:p>
            <w:pPr>
              <w:pStyle w:val="TableText"/>
            </w:pPr>
            <w:r>
              <w:t>Age 35+ should be recognized as a risk factor, with nuanced management based on age and comorbidities.</w:t>
            </w:r>
          </w:p>
        </w:tc>
        <w:tc>
          <w:tcPr>
            <w:tcW w:type="dxa" w:w="3600"/>
            <w:vAlign w:val="top"/>
          </w:tcPr>
          <w:p>
            <w:pPr>
              <w:pStyle w:val="TableText"/>
            </w:pPr>
            <w:r>
              <w:t>ACOG/SMFM Obstetric Care Consensus No. 11, reaffirmed 2025.</w:t>
            </w:r>
          </w:p>
        </w:tc>
        <w:tc>
          <w:tcPr>
            <w:tcW w:type="dxa" w:w="3312"/>
            <w:vAlign w:val="top"/>
          </w:tcPr>
          <w:p>
            <w:pPr>
              <w:pStyle w:val="TableText"/>
            </w:pPr>
            <w:r>
              <w:t>Use as contextual contributor, not automatic urgent referral.</w:t>
            </w:r>
          </w:p>
        </w:tc>
      </w:tr>
      <w:tr>
        <w:tc>
          <w:tcPr>
            <w:tcW w:type="dxa" w:w="4032"/>
            <w:vAlign w:val="top"/>
          </w:tcPr>
          <w:p>
            <w:pPr>
              <w:pStyle w:val="TableText"/>
            </w:pPr>
            <w:r>
              <w:t>Risk increases progressively and becomes more important at older ages, especially 40+.</w:t>
            </w:r>
          </w:p>
        </w:tc>
        <w:tc>
          <w:tcPr>
            <w:tcW w:type="dxa" w:w="3600"/>
            <w:vAlign w:val="top"/>
          </w:tcPr>
          <w:p>
            <w:pPr>
              <w:pStyle w:val="TableText"/>
            </w:pPr>
            <w:r>
              <w:t>ACOG/SMFM; large cohort and meta-analytic evidence.</w:t>
            </w:r>
          </w:p>
        </w:tc>
        <w:tc>
          <w:tcPr>
            <w:tcW w:type="dxa" w:w="3312"/>
            <w:vAlign w:val="top"/>
          </w:tcPr>
          <w:p>
            <w:pPr>
              <w:pStyle w:val="TableText"/>
            </w:pPr>
            <w:r>
              <w:t>Use graduated age bands.</w:t>
            </w:r>
          </w:p>
        </w:tc>
      </w:tr>
      <w:tr>
        <w:tc>
          <w:tcPr>
            <w:tcW w:type="dxa" w:w="4032"/>
            <w:vAlign w:val="top"/>
          </w:tcPr>
          <w:p>
            <w:pPr>
              <w:pStyle w:val="TableText"/>
            </w:pPr>
            <w:r>
              <w:t>Age alone is not an indication for cesarean delivery.</w:t>
            </w:r>
          </w:p>
        </w:tc>
        <w:tc>
          <w:tcPr>
            <w:tcW w:type="dxa" w:w="3600"/>
            <w:vAlign w:val="top"/>
          </w:tcPr>
          <w:p>
            <w:pPr>
              <w:pStyle w:val="TableText"/>
            </w:pPr>
            <w:r>
              <w:t>ACOG/SMFM.</w:t>
            </w:r>
          </w:p>
        </w:tc>
        <w:tc>
          <w:tcPr>
            <w:tcW w:type="dxa" w:w="3312"/>
            <w:vAlign w:val="top"/>
          </w:tcPr>
          <w:p>
            <w:pPr>
              <w:pStyle w:val="TableText"/>
            </w:pPr>
            <w:r>
              <w:t>Prohibit delivery-mode recommendations based only on age.</w:t>
            </w:r>
          </w:p>
        </w:tc>
      </w:tr>
      <w:tr>
        <w:tc>
          <w:tcPr>
            <w:tcW w:type="dxa" w:w="4032"/>
            <w:vAlign w:val="top"/>
          </w:tcPr>
          <w:p>
            <w:pPr>
              <w:pStyle w:val="TableText"/>
            </w:pPr>
            <w:r>
              <w:t>Risk assessment should occur at every antenatal appointment and identify patients needing additional care.</w:t>
            </w:r>
          </w:p>
        </w:tc>
        <w:tc>
          <w:tcPr>
            <w:tcW w:type="dxa" w:w="3600"/>
            <w:vAlign w:val="top"/>
          </w:tcPr>
          <w:p>
            <w:pPr>
              <w:pStyle w:val="TableText"/>
            </w:pPr>
            <w:r>
              <w:t>NICE NG201; NICE QS22.</w:t>
            </w:r>
          </w:p>
        </w:tc>
        <w:tc>
          <w:tcPr>
            <w:tcW w:type="dxa" w:w="3312"/>
            <w:vAlign w:val="top"/>
          </w:tcPr>
          <w:p>
            <w:pPr>
              <w:pStyle w:val="TableText"/>
            </w:pPr>
            <w:r>
              <w:t>Recalculate after new visits and records.</w:t>
            </w:r>
          </w:p>
        </w:tc>
      </w:tr>
      <w:tr>
        <w:tc>
          <w:tcPr>
            <w:tcW w:type="dxa" w:w="4032"/>
            <w:vAlign w:val="top"/>
          </w:tcPr>
          <w:p>
            <w:pPr>
              <w:pStyle w:val="TableText"/>
            </w:pPr>
            <w:r>
              <w:t>Young women under 20 may need care adapted to social complexity.</w:t>
            </w:r>
          </w:p>
        </w:tc>
        <w:tc>
          <w:tcPr>
            <w:tcW w:type="dxa" w:w="3600"/>
            <w:vAlign w:val="top"/>
          </w:tcPr>
          <w:p>
            <w:pPr>
              <w:pStyle w:val="TableText"/>
            </w:pPr>
            <w:r>
              <w:t>NICE NG201.</w:t>
            </w:r>
          </w:p>
        </w:tc>
        <w:tc>
          <w:tcPr>
            <w:tcW w:type="dxa" w:w="3312"/>
            <w:vAlign w:val="top"/>
          </w:tcPr>
          <w:p>
            <w:pPr>
              <w:pStyle w:val="TableText"/>
            </w:pPr>
            <w:r>
              <w:t>Include psychosocial and safeguarding prompts.</w:t>
            </w:r>
          </w:p>
        </w:tc>
      </w:tr>
      <w:tr>
        <w:tc>
          <w:tcPr>
            <w:tcW w:type="dxa" w:w="4032"/>
            <w:vAlign w:val="top"/>
          </w:tcPr>
          <w:p>
            <w:pPr>
              <w:pStyle w:val="TableText"/>
            </w:pPr>
            <w:r>
              <w:t>Philippine antenatal programs require proper referral for high-risk pregnancies and attention to pregnant adolescents.</w:t>
            </w:r>
          </w:p>
        </w:tc>
        <w:tc>
          <w:tcPr>
            <w:tcW w:type="dxa" w:w="3600"/>
            <w:vAlign w:val="top"/>
          </w:tcPr>
          <w:p>
            <w:pPr>
              <w:pStyle w:val="TableText"/>
            </w:pPr>
            <w:r>
              <w:t>Republic Act No. 11148; DOH maternal-health materials.</w:t>
            </w:r>
          </w:p>
        </w:tc>
        <w:tc>
          <w:tcPr>
            <w:tcW w:type="dxa" w:w="3312"/>
            <w:vAlign w:val="top"/>
          </w:tcPr>
          <w:p>
            <w:pPr>
              <w:pStyle w:val="TableText"/>
            </w:pPr>
            <w:r>
              <w:t>Local referral pathway and expert validation are mandatory.</w:t>
            </w:r>
          </w:p>
        </w:tc>
      </w:tr>
      <w:tr>
        <w:tc>
          <w:tcPr>
            <w:tcW w:type="dxa" w:w="4032"/>
            <w:vAlign w:val="top"/>
          </w:tcPr>
          <w:p>
            <w:pPr>
              <w:pStyle w:val="TableText"/>
            </w:pPr>
            <w:r>
              <w:t>Age should be combined with other characteristics and obstetric history.</w:t>
            </w:r>
          </w:p>
        </w:tc>
        <w:tc>
          <w:tcPr>
            <w:tcW w:type="dxa" w:w="3600"/>
            <w:vAlign w:val="top"/>
          </w:tcPr>
          <w:p>
            <w:pPr>
              <w:pStyle w:val="TableText"/>
            </w:pPr>
            <w:r>
              <w:t>Peer-reviewed cohort evidence.</w:t>
            </w:r>
          </w:p>
        </w:tc>
        <w:tc>
          <w:tcPr>
            <w:tcW w:type="dxa" w:w="3312"/>
            <w:vAlign w:val="top"/>
          </w:tcPr>
          <w:p>
            <w:pPr>
              <w:pStyle w:val="TableText"/>
            </w:pPr>
            <w:r>
              <w:t>Interaction analysis is required before final recommendation.</w:t>
            </w:r>
          </w:p>
        </w:tc>
      </w:tr>
    </w:tbl>
    <w:p/>
    <w:p>
      <w:pPr>
        <w:pStyle w:val="Heading1"/>
      </w:pPr>
      <w:r>
        <w:t>5. Limitations and Required Validation</w:t>
      </w:r>
    </w:p>
    <w:p>
      <w:pPr>
        <w:pStyle w:val="ListBullet"/>
      </w:pPr>
      <w:r>
        <w:t>This review is not a substitute for a Philippine obstetric clinical practice guideline or facility license requirement.</w:t>
      </w:r>
    </w:p>
    <w:p>
      <w:pPr>
        <w:pStyle w:val="ListBullet"/>
      </w:pPr>
      <w:r>
        <w:t>The available official Philippine sources reviewed support risk assessment and referral but did not provide a verified universal national age-only algorithm suitable for direct coding.</w:t>
      </w:r>
    </w:p>
    <w:p>
      <w:pPr>
        <w:pStyle w:val="ListBullet"/>
      </w:pPr>
      <w:r>
        <w:t>Most advanced-maternal-age outcome evidence is observational and may be affected by comorbidities, parity, socioeconomic conditions, fertility treatment, and healthcare access.</w:t>
      </w:r>
    </w:p>
    <w:p>
      <w:pPr>
        <w:pStyle w:val="ListBullet"/>
      </w:pPr>
      <w:r>
        <w:t>Evidence from high-income settings may not transfer perfectly to a Philippine community lying-in clinic.</w:t>
      </w:r>
    </w:p>
    <w:p>
      <w:pPr>
        <w:pStyle w:val="ListBullet"/>
      </w:pPr>
      <w:r>
        <w:t>Adolescent outcomes are influenced by biological age and by social determinants, care access, nutrition, violence, coercion, and quality of care.</w:t>
      </w:r>
    </w:p>
    <w:p>
      <w:pPr>
        <w:pStyle w:val="ListBullet"/>
      </w:pPr>
      <w:r>
        <w:t>The proposed rule categories must be reviewed by the clinic's supervising physician or an obstetric specialist before implementation.</w:t>
      </w:r>
    </w:p>
    <w:p>
      <w:pPr>
        <w:pStyle w:val="ListBullet"/>
      </w:pPr>
      <w:r>
        <w:t>The CDSS must be tested for over-referral, under-referral, false reassurance, usability, and stigmatizing language.</w:t>
      </w:r>
    </w:p>
    <w:p>
      <w:pPr>
        <w:pStyle w:val="Heading1"/>
      </w:pPr>
      <w:r>
        <w:t>6. Next Knowledge-Base Chapter</w:t>
      </w:r>
    </w:p>
    <w:p>
      <w:r>
        <w:t>The next chapter should evaluate blood pressure and hypertensive disorders because blood pressure can represent a time-sensitive finding and may require same-day referral. Unlike maternal age, blood pressure may become an urgent override when verified thresholds and symptoms are present. The chapter must separately address measurement quality, repeat measurement, severe hypertension, proteinuria, warning symptoms, chronic hypertension, gestational hypertension, and preeclampsia referral logic.</w:t>
      </w:r>
    </w:p>
    <w:p>
      <w:r>
        <w:br w:type="page"/>
      </w:r>
    </w:p>
    <w:p>
      <w:pPr>
        <w:pStyle w:val="Heading1"/>
      </w:pPr>
      <w:r>
        <w:t>References</w:t>
      </w:r>
    </w:p>
    <w:p>
      <w:pPr>
        <w:ind w:left="432" w:hanging="432"/>
      </w:pPr>
      <w:r>
        <w:t>American College of Obstetricians and Gynecologists &amp; Society for Maternal-Fetal Medicine. (2022). Pregnancy at age 35 years or older: Obstetric Care Consensus No. 11. Obstetrics &amp; Gynecology, 140(2), 348-366. Reaffirmed 2025. https://www.acog.org/clinical/clinical-guidance/obstetric-care-consensus/articles/2022/08/pregnancy-at-age-35-years-or-older</w:t>
      </w:r>
    </w:p>
    <w:p>
      <w:pPr>
        <w:ind w:left="432" w:hanging="432"/>
      </w:pPr>
      <w:r>
        <w:t>Kahveci, B., Melekoglu, R., Evruke, I. C., &amp; Cetin, C. (2018). The effect of advanced maternal age on perinatal outcomes in nulliparous singleton pregnancies. BMC Pregnancy and Childbirth, 18, 343. https://doi.org/10.1186/s12884-018-1984-x</w:t>
      </w:r>
    </w:p>
    <w:p>
      <w:pPr>
        <w:ind w:left="432" w:hanging="432"/>
      </w:pPr>
      <w:r>
        <w:t>Marvin-Dowle, K., &amp; Soltani, H. (2020). A comparison of neonatal outcomes between adolescent and adult mothers in developed countries: A systematic review and meta-analysis. European Journal of Obstetrics &amp; Gynecology and Reproductive Biology: X, 6, 100109. https://doi.org/10.1016/j.eurox.2020.100109</w:t>
      </w:r>
    </w:p>
    <w:p>
      <w:pPr>
        <w:ind w:left="432" w:hanging="432"/>
      </w:pPr>
      <w:r>
        <w:t>National Institute for Health and Care Excellence. (2021). Antenatal care (NICE Guideline NG201). Last reviewed December 2024; subsequent minor updates noted by NICE. https://www.nice.org.uk/guidance/ng201</w:t>
      </w:r>
    </w:p>
    <w:p>
      <w:pPr>
        <w:ind w:left="432" w:hanging="432"/>
      </w:pPr>
      <w:r>
        <w:t>National Institute for Health and Care Excellence. (2023). Antenatal care: Quality statement 2 - Risk assessment (Quality Standard QS22). https://www.nice.org.uk/guidance/qs22/chapter/Quality-statement-2-Risk-assessment</w:t>
      </w:r>
    </w:p>
    <w:p>
      <w:pPr>
        <w:ind w:left="432" w:hanging="432"/>
      </w:pPr>
      <w:r>
        <w:t>Republic of the Philippines. (2018). Republic Act No. 11148: Kalusugan at Nutrisyon ng Mag-Nanay Act. https://lawphil.net/statutes/repacts/ra2018/ra_11148_2018.html</w:t>
      </w:r>
    </w:p>
    <w:p>
      <w:pPr>
        <w:ind w:left="432" w:hanging="432"/>
      </w:pPr>
      <w:r>
        <w:t>Sugai, S., Nishijima, K., Haino, K., &amp; Yoshihara, K. (2023). Pregnancy outcomes at maternal age over 45 years: A systematic review and meta-analysis. American Journal of Obstetrics &amp; Gynecology MFM, 5(4), 100885. https://doi.org/10.1016/j.ajogmf.2023.100885</w:t>
      </w:r>
    </w:p>
    <w:p>
      <w:pPr>
        <w:ind w:left="432" w:hanging="432"/>
      </w:pPr>
      <w:r>
        <w:t>World Health Organization. (2016). WHO recommendations on antenatal care for a positive pregnancy experience. https://www.who.int/publications/i/item/9789241549912</w:t>
      </w:r>
    </w:p>
    <w:p>
      <w:pPr>
        <w:ind w:left="432" w:hanging="432"/>
      </w:pPr>
      <w:r>
        <w:t>World Health Organization. (2024). Adolescent pregnancy. https://www.who.int/news-room/fact-sheets/detail/adolescent-pregnancy</w:t>
      </w:r>
    </w:p>
    <w:p>
      <w:pPr>
        <w:ind w:left="432" w:hanging="432"/>
      </w:pPr>
      <w:r>
        <w:t>World Health Organization. (2025). WHO recommendations on maternal health: Guidelines approved by the WHO Guidelines Review Committee (2nd ed.). https://www.who.int/publications/i/item/9789240080591</w:t>
      </w:r>
    </w:p>
    <w:p>
      <w:pPr>
        <w:ind w:left="432" w:hanging="432"/>
      </w:pPr>
      <w:r>
        <w:t>Zhang, Y., et al. (2023). Association of maternal age with adverse pregnancy outcomes: A prospective multicenter cohort study in China. [PubMed record]. https://pubmed.ncbi.nlm.nih.gov/38038697/</w:t>
      </w:r>
    </w:p>
    <w:p>
      <w:pPr>
        <w:ind w:left="432" w:hanging="432"/>
      </w:pPr>
      <w:r>
        <w:t>Laopaiboon, M., et al. (2014). Advanced maternal age and pregnancy outcomes: A multicountry assessment. BJOG, 121(Suppl 1), 49-56. https://doi.org/10.1111/1471-0528.12659</w:t>
      </w:r>
    </w:p>
    <w:p>
      <w:pPr>
        <w:ind w:left="432" w:hanging="432"/>
      </w:pPr>
      <w:r>
        <w:t>Lean, S. C., Derricott, H., Jones, R. L., &amp; Heazell, A. E. P. (2017). Advanced maternal age and adverse pregnancy outcomes: A systematic review and meta-analysis. PLOS ONE, 12(10), e0186287. https://doi.org/10.1371/journal.pone.0186287</w:t>
      </w:r>
    </w:p>
    <w:p>
      <w:pPr>
        <w:ind w:left="432" w:hanging="432"/>
      </w:pPr>
      <w:r>
        <w:t>Poon, L. C., et al. (2013). Maternal age and adverse pregnancy outcome: A cohort study. Ultrasound in Obstetrics &amp; Gynecology, 42(6), 634-643. https://doi.org/10.1002/uog.12494</w:t>
      </w:r>
    </w:p>
    <w:p>
      <w:pPr>
        <w:ind w:left="432" w:hanging="432"/>
      </w:pPr>
      <w:r>
        <w:t>Macedo, T. C. C., et al. (2020). Prevalence of preeclampsia and eclampsia in adolescent pregnancy: A systematic review and meta-analysis of 291,247 adolescents worldwide since 1969. European Journal of Obstetrics &amp; Gynecology and Reproductive Biology, 248, 177-186. https://doi.org/10.1016/j.ejogrb.2020.03.043</w:t>
      </w:r>
    </w:p>
    <w:p>
      <w:pPr>
        <w:pStyle w:val="Heading2"/>
      </w:pPr>
      <w:r>
        <w:t>Reference Use Note</w:t>
      </w:r>
    </w:p>
    <w:p>
      <w:r>
        <w:t>The reference list contains the sources used to support this part of the knowledge base. Before final thesis submission, the team should verify author lists, issue numbers, page ranges, DOI formatting, and any Philippine policy amendments using the institution's required citation style. No source should be cited for a claim that it does not directly support.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Arial" w:hAnsi="Arial"/>
      <w:i/>
      <w:sz w:val="18"/>
    </w:rPr>
  </w:style>
  <w:style w:type="paragraph" w:customStyle="1" w:styleId="TableText">
    <w:name w:val="Table Text"/>
    <w:pPr>
      <w:spacing w:after="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