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2</w:t>
      </w:r>
    </w:p>
    <w:p>
      <w:pPr>
        <w:jc w:val="center"/>
      </w:pPr>
      <w:r>
        <w:rPr>
          <w:rFonts w:ascii="Arial" w:hAnsi="Arial"/>
          <w:b/>
          <w:sz w:val="44"/>
        </w:rPr>
        <w:t>Clinical Decision Support Decision Engine Specification</w:t>
      </w:r>
    </w:p>
    <w:p>
      <w:pPr>
        <w:jc w:val="center"/>
      </w:pPr>
      <w:r>
        <w:rPr>
          <w:rFonts w:ascii="Arial" w:hAnsi="Arial"/>
          <w:b/>
          <w:sz w:val="32"/>
        </w:rPr>
        <w:t>Part 10 - Audit, Provenance, and Version Control Engine</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1.0 - Research and Architecture Draft</w:t>
      </w:r>
    </w:p>
    <w:p>
      <w:pPr>
        <w:jc w:val="center"/>
      </w:pPr>
      <w:r>
        <w:rPr>
          <w:i/>
        </w:rPr>
        <w:t>July 2026</w:t>
      </w:r>
    </w:p>
    <w:p>
      <w:r>
        <w:br w:type="page"/>
      </w:r>
    </w:p>
    <w:p>
      <w:pPr>
        <w:pStyle w:val="Heading1"/>
      </w:pPr>
      <w:r>
        <w:t>Clinical Safety Statement</w:t>
      </w:r>
    </w:p>
    <w:p>
      <w:pPr>
        <w:pStyle w:val="SafetyNote"/>
      </w:pPr>
      <w:r>
        <w:t>The Audit, Provenance, and Version Control Engine is a safety and governance component. It does not diagnose, prescribe, or determine clinical management. Its purpose is to preserve a complete and reviewable record of what information was available, which rules and guideline versions were used, what recommendation was produced, who reviewed or changed the record, and whether the final action differed from the system output.</w:t>
      </w:r>
    </w:p>
    <w:p>
      <w:r>
        <w:t>An audit record cannot prove that care was clinically correct. It can only preserve the decision context and software behavior for later review. Clinical accountability remains with the authorized healthcare professional and the clinic's governing policies. Audit logging must also respect applicable privacy, access-control, and records-management requirements.</w:t>
      </w:r>
    </w:p>
    <w:p>
      <w:pPr>
        <w:pStyle w:val="Heading1"/>
      </w:pPr>
      <w:r>
        <w:t>Document Status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Item</w:t>
            </w:r>
          </w:p>
        </w:tc>
        <w:tc>
          <w:tcPr>
            <w:tcW w:type="dxa" w:w="4896"/>
            <w:shd w:fill="D9EAF7"/>
            <w:vAlign w:val="center"/>
          </w:tcPr>
          <w:p>
            <w:pPr>
              <w:spacing w:after="0"/>
            </w:pPr>
            <w:r/>
            <w:r>
              <w:rPr>
                <w:rFonts w:ascii="Arial" w:hAnsi="Arial"/>
                <w:b/>
                <w:sz w:val="18"/>
              </w:rPr>
              <w:t>Description</w:t>
            </w:r>
          </w:p>
        </w:tc>
      </w:tr>
      <w:tr>
        <w:tc>
          <w:tcPr>
            <w:tcW w:type="dxa" w:w="4896"/>
            <w:vAlign w:val="top"/>
          </w:tcPr>
          <w:p>
            <w:pPr>
              <w:spacing w:after="0"/>
            </w:pPr>
            <w:r/>
            <w:r>
              <w:rPr>
                <w:rFonts w:ascii="Arial" w:hAnsi="Arial"/>
                <w:b w:val="0"/>
                <w:sz w:val="18"/>
              </w:rPr>
              <w:t>Document</w:t>
            </w:r>
          </w:p>
        </w:tc>
        <w:tc>
          <w:tcPr>
            <w:tcW w:type="dxa" w:w="4896"/>
            <w:vAlign w:val="top"/>
          </w:tcPr>
          <w:p>
            <w:pPr>
              <w:spacing w:after="0"/>
            </w:pPr>
            <w:r/>
            <w:r>
              <w:rPr>
                <w:rFonts w:ascii="Arial" w:hAnsi="Arial"/>
                <w:b w:val="0"/>
                <w:sz w:val="18"/>
              </w:rPr>
              <w:t>Document 2 - Clinical Decision Support Decision Engine Specification</w:t>
            </w:r>
          </w:p>
        </w:tc>
      </w:tr>
      <w:tr>
        <w:tc>
          <w:tcPr>
            <w:tcW w:type="dxa" w:w="4896"/>
            <w:vAlign w:val="top"/>
          </w:tcPr>
          <w:p>
            <w:pPr>
              <w:spacing w:after="0"/>
            </w:pPr>
            <w:r/>
            <w:r>
              <w:rPr>
                <w:rFonts w:ascii="Arial" w:hAnsi="Arial"/>
                <w:b w:val="0"/>
                <w:sz w:val="18"/>
              </w:rPr>
              <w:t>Part</w:t>
            </w:r>
          </w:p>
        </w:tc>
        <w:tc>
          <w:tcPr>
            <w:tcW w:type="dxa" w:w="4896"/>
            <w:vAlign w:val="top"/>
          </w:tcPr>
          <w:p>
            <w:pPr>
              <w:spacing w:after="0"/>
            </w:pPr>
            <w:r/>
            <w:r>
              <w:rPr>
                <w:rFonts w:ascii="Arial" w:hAnsi="Arial"/>
                <w:b w:val="0"/>
                <w:sz w:val="18"/>
              </w:rPr>
              <w:t>Part 10</w:t>
            </w:r>
          </w:p>
        </w:tc>
      </w:tr>
      <w:tr>
        <w:tc>
          <w:tcPr>
            <w:tcW w:type="dxa" w:w="4896"/>
            <w:vAlign w:val="top"/>
          </w:tcPr>
          <w:p>
            <w:pPr>
              <w:spacing w:after="0"/>
            </w:pPr>
            <w:r/>
            <w:r>
              <w:rPr>
                <w:rFonts w:ascii="Arial" w:hAnsi="Arial"/>
                <w:b w:val="0"/>
                <w:sz w:val="18"/>
              </w:rPr>
              <w:t>Title</w:t>
            </w:r>
          </w:p>
        </w:tc>
        <w:tc>
          <w:tcPr>
            <w:tcW w:type="dxa" w:w="4896"/>
            <w:vAlign w:val="top"/>
          </w:tcPr>
          <w:p>
            <w:pPr>
              <w:spacing w:after="0"/>
            </w:pPr>
            <w:r/>
            <w:r>
              <w:rPr>
                <w:rFonts w:ascii="Arial" w:hAnsi="Arial"/>
                <w:b w:val="0"/>
                <w:sz w:val="18"/>
              </w:rPr>
              <w:t>Audit, Provenance, and Version Control Engine</w:t>
            </w:r>
          </w:p>
        </w:tc>
      </w:tr>
      <w:tr>
        <w:tc>
          <w:tcPr>
            <w:tcW w:type="dxa" w:w="4896"/>
            <w:vAlign w:val="top"/>
          </w:tcPr>
          <w:p>
            <w:pPr>
              <w:spacing w:after="0"/>
            </w:pPr>
            <w:r/>
            <w:r>
              <w:rPr>
                <w:rFonts w:ascii="Arial" w:hAnsi="Arial"/>
                <w:b w:val="0"/>
                <w:sz w:val="18"/>
              </w:rPr>
              <w:t>Primary purpose</w:t>
            </w:r>
          </w:p>
        </w:tc>
        <w:tc>
          <w:tcPr>
            <w:tcW w:type="dxa" w:w="4896"/>
            <w:vAlign w:val="top"/>
          </w:tcPr>
          <w:p>
            <w:pPr>
              <w:spacing w:after="0"/>
            </w:pPr>
            <w:r/>
            <w:r>
              <w:rPr>
                <w:rFonts w:ascii="Arial" w:hAnsi="Arial"/>
                <w:b w:val="0"/>
                <w:sz w:val="18"/>
              </w:rPr>
              <w:t>Define traceability, audit logging, decision provenance, rule versioning, change control, rollback, and validation requirements.</w:t>
            </w:r>
          </w:p>
        </w:tc>
      </w:tr>
      <w:tr>
        <w:tc>
          <w:tcPr>
            <w:tcW w:type="dxa" w:w="4896"/>
            <w:vAlign w:val="top"/>
          </w:tcPr>
          <w:p>
            <w:pPr>
              <w:spacing w:after="0"/>
            </w:pPr>
            <w:r/>
            <w:r>
              <w:rPr>
                <w:rFonts w:ascii="Arial" w:hAnsi="Arial"/>
                <w:b w:val="0"/>
                <w:sz w:val="18"/>
              </w:rPr>
              <w:t>Depends on</w:t>
            </w:r>
          </w:p>
        </w:tc>
        <w:tc>
          <w:tcPr>
            <w:tcW w:type="dxa" w:w="4896"/>
            <w:vAlign w:val="top"/>
          </w:tcPr>
          <w:p>
            <w:pPr>
              <w:spacing w:after="0"/>
            </w:pPr>
            <w:r/>
            <w:r>
              <w:rPr>
                <w:rFonts w:ascii="Arial" w:hAnsi="Arial"/>
                <w:b w:val="0"/>
                <w:sz w:val="18"/>
              </w:rPr>
              <w:t>Document 0; Document 1 Parts 1-12; Document 2 Parts 1-9</w:t>
            </w:r>
          </w:p>
        </w:tc>
      </w:tr>
      <w:tr>
        <w:tc>
          <w:tcPr>
            <w:tcW w:type="dxa" w:w="4896"/>
            <w:vAlign w:val="top"/>
          </w:tcPr>
          <w:p>
            <w:pPr>
              <w:spacing w:after="0"/>
            </w:pPr>
            <w:r/>
            <w:r>
              <w:rPr>
                <w:rFonts w:ascii="Arial" w:hAnsi="Arial"/>
                <w:b w:val="0"/>
                <w:sz w:val="18"/>
              </w:rPr>
              <w:t>Feeds into</w:t>
            </w:r>
          </w:p>
        </w:tc>
        <w:tc>
          <w:tcPr>
            <w:tcW w:type="dxa" w:w="4896"/>
            <w:vAlign w:val="top"/>
          </w:tcPr>
          <w:p>
            <w:pPr>
              <w:spacing w:after="0"/>
            </w:pPr>
            <w:r/>
            <w:r>
              <w:rPr>
                <w:rFonts w:ascii="Arial" w:hAnsi="Arial"/>
                <w:b w:val="0"/>
                <w:sz w:val="18"/>
              </w:rPr>
              <w:t>Document 2 Parts 11-12 and Document 6 - CDSS Implementation Guide</w:t>
            </w:r>
          </w:p>
        </w:tc>
      </w:tr>
      <w:tr>
        <w:tc>
          <w:tcPr>
            <w:tcW w:type="dxa" w:w="4896"/>
            <w:vAlign w:val="top"/>
          </w:tcPr>
          <w:p>
            <w:pPr>
              <w:spacing w:after="0"/>
            </w:pPr>
            <w:r/>
            <w:r>
              <w:rPr>
                <w:rFonts w:ascii="Arial" w:hAnsi="Arial"/>
                <w:b w:val="0"/>
                <w:sz w:val="18"/>
              </w:rPr>
              <w:t>Implementation status</w:t>
            </w:r>
          </w:p>
        </w:tc>
        <w:tc>
          <w:tcPr>
            <w:tcW w:type="dxa" w:w="4896"/>
            <w:vAlign w:val="top"/>
          </w:tcPr>
          <w:p>
            <w:pPr>
              <w:spacing w:after="0"/>
            </w:pPr>
            <w:r/>
            <w:r>
              <w:rPr>
                <w:rFonts w:ascii="Arial" w:hAnsi="Arial"/>
                <w:b w:val="0"/>
                <w:sz w:val="18"/>
              </w:rPr>
              <w:t>Specification only; no production code is authorized by this document alone.</w:t>
            </w:r>
          </w:p>
        </w:tc>
      </w:tr>
    </w:tbl>
    <w:p/>
    <w:p>
      <w:pPr>
        <w:pStyle w:val="Heading1"/>
      </w:pPr>
      <w:r>
        <w:t>Executive Clinical and Engineering Decision</w:t>
      </w:r>
    </w:p>
    <w:p>
      <w:r>
        <w:t>The CDSS shall never store only a final label such as HIGH, LOW, or ASSESSMENT INCOMPLETE. Every generated output must be accompanied by a reproducible decision package containing the patient-specific inputs used, validation results, triggered rules, interactions, conflicts, emergency overrides, recommendation text, confidence and limitation statements, rule-set version, evidence source version, software version, user actions, and timestamps.</w:t>
      </w:r>
    </w:p>
    <w:p>
      <w:r>
        <w:t>Rules shall be immutable after publication. A corrected or updated rule must be released as a new version rather than silently replacing the historical version. Existing clinical decisions shall remain linked to the exact rule version used at the time of assessment. Recalculation may create a new decision record, but shall not erase or rewrite the previous decision.</w:t>
      </w:r>
    </w:p>
    <w:p>
      <w:r>
        <w:t>This architecture follows the broader direction of WHO SMART Guidelines, which promotes structured, software-neutral, machine-readable, adaptive, requirements-based, and testable implementation of guideline recommendations. It also supports independent review of the basis for a recommendation by making the required inputs, algorithmic logic, evidence basis, patient-specific information, and known limitations visible to the healthcare professional.</w:t>
      </w:r>
    </w:p>
    <w:p>
      <w:pPr>
        <w:pStyle w:val="Heading1"/>
      </w:pPr>
      <w:r>
        <w:t>1.0 Purpose and Scope</w:t>
      </w:r>
    </w:p>
    <w:p>
      <w:r>
        <w:t>Part 10 defines how the Decision Engine preserves an auditable history of its operation and how changes to clinical knowledge are governed over time. The engine is responsible for answering six questions for every assessment:</w:t>
      </w:r>
    </w:p>
    <w:p>
      <w:pPr>
        <w:pStyle w:val="ListNumber"/>
      </w:pPr>
      <w:r>
        <w:t>What patient information was used?</w:t>
      </w:r>
    </w:p>
    <w:p>
      <w:pPr>
        <w:pStyle w:val="ListNumber"/>
      </w:pPr>
      <w:r>
        <w:t>Which information was missing, uncertain, conflicting, or rejected?</w:t>
      </w:r>
    </w:p>
    <w:p>
      <w:pPr>
        <w:pStyle w:val="ListNumber"/>
      </w:pPr>
      <w:r>
        <w:t>Which clinical rules and interactions were evaluated and triggered?</w:t>
      </w:r>
    </w:p>
    <w:p>
      <w:pPr>
        <w:pStyle w:val="ListNumber"/>
      </w:pPr>
      <w:r>
        <w:t>Which guideline, knowledge-base, and software versions were active?</w:t>
      </w:r>
    </w:p>
    <w:p>
      <w:pPr>
        <w:pStyle w:val="ListNumber"/>
      </w:pPr>
      <w:r>
        <w:t>What recommendation and explanation were shown to the healthcare professional?</w:t>
      </w:r>
    </w:p>
    <w:p>
      <w:pPr>
        <w:pStyle w:val="ListNumber"/>
      </w:pPr>
      <w:r>
        <w:t>What did the user subsequently confirm, modify, defer, refer, or override?</w:t>
      </w:r>
    </w:p>
    <w:p>
      <w:r>
        <w:t>The scope includes clinical decision provenance, user activity logging, rule lifecycle management, knowledge release management, version compatibility, rollback, archival, validation, and implementation requirements. It excludes legal conclusions about mandatory retention periods, which must be confirmed against applicable Philippine laws, Department of Health rules, institutional policy, and professional record-keeping requirements before deployment.</w:t>
      </w:r>
    </w:p>
    <w:p>
      <w:pPr>
        <w:pStyle w:val="Heading1"/>
      </w:pPr>
      <w:r>
        <w:t>2.0 Definitions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Term</w:t>
            </w:r>
          </w:p>
        </w:tc>
        <w:tc>
          <w:tcPr>
            <w:tcW w:type="dxa" w:w="4896"/>
            <w:shd w:fill="D9EAF7"/>
            <w:vAlign w:val="center"/>
          </w:tcPr>
          <w:p>
            <w:pPr>
              <w:spacing w:after="0"/>
            </w:pPr>
            <w:r/>
            <w:r>
              <w:rPr>
                <w:rFonts w:ascii="Arial" w:hAnsi="Arial"/>
                <w:b/>
                <w:sz w:val="18"/>
              </w:rPr>
              <w:t>Operational definition</w:t>
            </w:r>
          </w:p>
        </w:tc>
      </w:tr>
      <w:tr>
        <w:tc>
          <w:tcPr>
            <w:tcW w:type="dxa" w:w="4896"/>
            <w:vAlign w:val="top"/>
          </w:tcPr>
          <w:p>
            <w:pPr>
              <w:spacing w:after="0"/>
            </w:pPr>
            <w:r/>
            <w:r>
              <w:rPr>
                <w:rFonts w:ascii="Arial" w:hAnsi="Arial"/>
                <w:b w:val="0"/>
                <w:sz w:val="18"/>
              </w:rPr>
              <w:t>Audit event</w:t>
            </w:r>
          </w:p>
        </w:tc>
        <w:tc>
          <w:tcPr>
            <w:tcW w:type="dxa" w:w="4896"/>
            <w:vAlign w:val="top"/>
          </w:tcPr>
          <w:p>
            <w:pPr>
              <w:spacing w:after="0"/>
            </w:pPr>
            <w:r/>
            <w:r>
              <w:rPr>
                <w:rFonts w:ascii="Arial" w:hAnsi="Arial"/>
                <w:b w:val="0"/>
                <w:sz w:val="18"/>
              </w:rPr>
              <w:t>A timestamped, attributable record of a clinically or technically meaningful action.</w:t>
            </w:r>
          </w:p>
        </w:tc>
      </w:tr>
      <w:tr>
        <w:tc>
          <w:tcPr>
            <w:tcW w:type="dxa" w:w="4896"/>
            <w:vAlign w:val="top"/>
          </w:tcPr>
          <w:p>
            <w:pPr>
              <w:spacing w:after="0"/>
            </w:pPr>
            <w:r/>
            <w:r>
              <w:rPr>
                <w:rFonts w:ascii="Arial" w:hAnsi="Arial"/>
                <w:b w:val="0"/>
                <w:sz w:val="18"/>
              </w:rPr>
              <w:t>Decision provenance</w:t>
            </w:r>
          </w:p>
        </w:tc>
        <w:tc>
          <w:tcPr>
            <w:tcW w:type="dxa" w:w="4896"/>
            <w:vAlign w:val="top"/>
          </w:tcPr>
          <w:p>
            <w:pPr>
              <w:spacing w:after="0"/>
            </w:pPr>
            <w:r/>
            <w:r>
              <w:rPr>
                <w:rFonts w:ascii="Arial" w:hAnsi="Arial"/>
                <w:b w:val="0"/>
                <w:sz w:val="18"/>
              </w:rPr>
              <w:t>The complete chain linking patient inputs, rules, evidence, processing steps, and the final output.</w:t>
            </w:r>
          </w:p>
        </w:tc>
      </w:tr>
      <w:tr>
        <w:tc>
          <w:tcPr>
            <w:tcW w:type="dxa" w:w="4896"/>
            <w:vAlign w:val="top"/>
          </w:tcPr>
          <w:p>
            <w:pPr>
              <w:spacing w:after="0"/>
            </w:pPr>
            <w:r/>
            <w:r>
              <w:rPr>
                <w:rFonts w:ascii="Arial" w:hAnsi="Arial"/>
                <w:b w:val="0"/>
                <w:sz w:val="18"/>
              </w:rPr>
              <w:t>Rule version</w:t>
            </w:r>
          </w:p>
        </w:tc>
        <w:tc>
          <w:tcPr>
            <w:tcW w:type="dxa" w:w="4896"/>
            <w:vAlign w:val="top"/>
          </w:tcPr>
          <w:p>
            <w:pPr>
              <w:spacing w:after="0"/>
            </w:pPr>
            <w:r/>
            <w:r>
              <w:rPr>
                <w:rFonts w:ascii="Arial" w:hAnsi="Arial"/>
                <w:b w:val="0"/>
                <w:sz w:val="18"/>
              </w:rPr>
              <w:t>An immutable published form of one computable rule, identified by a unique version.</w:t>
            </w:r>
          </w:p>
        </w:tc>
      </w:tr>
      <w:tr>
        <w:tc>
          <w:tcPr>
            <w:tcW w:type="dxa" w:w="4896"/>
            <w:vAlign w:val="top"/>
          </w:tcPr>
          <w:p>
            <w:pPr>
              <w:spacing w:after="0"/>
            </w:pPr>
            <w:r/>
            <w:r>
              <w:rPr>
                <w:rFonts w:ascii="Arial" w:hAnsi="Arial"/>
                <w:b w:val="0"/>
                <w:sz w:val="18"/>
              </w:rPr>
              <w:t>Rule set</w:t>
            </w:r>
          </w:p>
        </w:tc>
        <w:tc>
          <w:tcPr>
            <w:tcW w:type="dxa" w:w="4896"/>
            <w:vAlign w:val="top"/>
          </w:tcPr>
          <w:p>
            <w:pPr>
              <w:spacing w:after="0"/>
            </w:pPr>
            <w:r/>
            <w:r>
              <w:rPr>
                <w:rFonts w:ascii="Arial" w:hAnsi="Arial"/>
                <w:b w:val="0"/>
                <w:sz w:val="18"/>
              </w:rPr>
              <w:t>A coordinated release containing compatible versions of multiple clinical rules.</w:t>
            </w:r>
          </w:p>
        </w:tc>
      </w:tr>
      <w:tr>
        <w:tc>
          <w:tcPr>
            <w:tcW w:type="dxa" w:w="4896"/>
            <w:vAlign w:val="top"/>
          </w:tcPr>
          <w:p>
            <w:pPr>
              <w:spacing w:after="0"/>
            </w:pPr>
            <w:r/>
            <w:r>
              <w:rPr>
                <w:rFonts w:ascii="Arial" w:hAnsi="Arial"/>
                <w:b w:val="0"/>
                <w:sz w:val="18"/>
              </w:rPr>
              <w:t>Knowledge release</w:t>
            </w:r>
          </w:p>
        </w:tc>
        <w:tc>
          <w:tcPr>
            <w:tcW w:type="dxa" w:w="4896"/>
            <w:vAlign w:val="top"/>
          </w:tcPr>
          <w:p>
            <w:pPr>
              <w:spacing w:after="0"/>
            </w:pPr>
            <w:r/>
            <w:r>
              <w:rPr>
                <w:rFonts w:ascii="Arial" w:hAnsi="Arial"/>
                <w:b w:val="0"/>
                <w:sz w:val="18"/>
              </w:rPr>
              <w:t>A governed package containing rules, interaction definitions, recommendation templates, evidence mappings, and tests.</w:t>
            </w:r>
          </w:p>
        </w:tc>
      </w:tr>
      <w:tr>
        <w:tc>
          <w:tcPr>
            <w:tcW w:type="dxa" w:w="4896"/>
            <w:vAlign w:val="top"/>
          </w:tcPr>
          <w:p>
            <w:pPr>
              <w:spacing w:after="0"/>
            </w:pPr>
            <w:r/>
            <w:r>
              <w:rPr>
                <w:rFonts w:ascii="Arial" w:hAnsi="Arial"/>
                <w:b w:val="0"/>
                <w:sz w:val="18"/>
              </w:rPr>
              <w:t>Software version</w:t>
            </w:r>
          </w:p>
        </w:tc>
        <w:tc>
          <w:tcPr>
            <w:tcW w:type="dxa" w:w="4896"/>
            <w:vAlign w:val="top"/>
          </w:tcPr>
          <w:p>
            <w:pPr>
              <w:spacing w:after="0"/>
            </w:pPr>
            <w:r/>
            <w:r>
              <w:rPr>
                <w:rFonts w:ascii="Arial" w:hAnsi="Arial"/>
                <w:b w:val="0"/>
                <w:sz w:val="18"/>
              </w:rPr>
              <w:t>The deployed application build or release that executed the assessment.</w:t>
            </w:r>
          </w:p>
        </w:tc>
      </w:tr>
      <w:tr>
        <w:tc>
          <w:tcPr>
            <w:tcW w:type="dxa" w:w="4896"/>
            <w:vAlign w:val="top"/>
          </w:tcPr>
          <w:p>
            <w:pPr>
              <w:spacing w:after="0"/>
            </w:pPr>
            <w:r/>
            <w:r>
              <w:rPr>
                <w:rFonts w:ascii="Arial" w:hAnsi="Arial"/>
                <w:b w:val="0"/>
                <w:sz w:val="18"/>
              </w:rPr>
              <w:t>Recalculation</w:t>
            </w:r>
          </w:p>
        </w:tc>
        <w:tc>
          <w:tcPr>
            <w:tcW w:type="dxa" w:w="4896"/>
            <w:vAlign w:val="top"/>
          </w:tcPr>
          <w:p>
            <w:pPr>
              <w:spacing w:after="0"/>
            </w:pPr>
            <w:r/>
            <w:r>
              <w:rPr>
                <w:rFonts w:ascii="Arial" w:hAnsi="Arial"/>
                <w:b w:val="0"/>
                <w:sz w:val="18"/>
              </w:rPr>
              <w:t>Creation of a new decision result using updated data, rules, or software without overwriting the earlier result.</w:t>
            </w:r>
          </w:p>
        </w:tc>
      </w:tr>
      <w:tr>
        <w:tc>
          <w:tcPr>
            <w:tcW w:type="dxa" w:w="4896"/>
            <w:vAlign w:val="top"/>
          </w:tcPr>
          <w:p>
            <w:pPr>
              <w:spacing w:after="0"/>
            </w:pPr>
            <w:r/>
            <w:r>
              <w:rPr>
                <w:rFonts w:ascii="Arial" w:hAnsi="Arial"/>
                <w:b w:val="0"/>
                <w:sz w:val="18"/>
              </w:rPr>
              <w:t>Override</w:t>
            </w:r>
          </w:p>
        </w:tc>
        <w:tc>
          <w:tcPr>
            <w:tcW w:type="dxa" w:w="4896"/>
            <w:vAlign w:val="top"/>
          </w:tcPr>
          <w:p>
            <w:pPr>
              <w:spacing w:after="0"/>
            </w:pPr>
            <w:r/>
            <w:r>
              <w:rPr>
                <w:rFonts w:ascii="Arial" w:hAnsi="Arial"/>
                <w:b w:val="0"/>
                <w:sz w:val="18"/>
              </w:rPr>
              <w:t>A documented user decision not to follow or to modify the system's recommendation.</w:t>
            </w:r>
          </w:p>
        </w:tc>
      </w:tr>
      <w:tr>
        <w:tc>
          <w:tcPr>
            <w:tcW w:type="dxa" w:w="4896"/>
            <w:vAlign w:val="top"/>
          </w:tcPr>
          <w:p>
            <w:pPr>
              <w:spacing w:after="0"/>
            </w:pPr>
            <w:r/>
            <w:r>
              <w:rPr>
                <w:rFonts w:ascii="Arial" w:hAnsi="Arial"/>
                <w:b w:val="0"/>
                <w:sz w:val="18"/>
              </w:rPr>
              <w:t>Rollback</w:t>
            </w:r>
          </w:p>
        </w:tc>
        <w:tc>
          <w:tcPr>
            <w:tcW w:type="dxa" w:w="4896"/>
            <w:vAlign w:val="top"/>
          </w:tcPr>
          <w:p>
            <w:pPr>
              <w:spacing w:after="0"/>
            </w:pPr>
            <w:r/>
            <w:r>
              <w:rPr>
                <w:rFonts w:ascii="Arial" w:hAnsi="Arial"/>
                <w:b w:val="0"/>
                <w:sz w:val="18"/>
              </w:rPr>
              <w:t>Controlled reactivation of a previously approved knowledge or software release after a newer release is withdrawn.</w:t>
            </w:r>
          </w:p>
        </w:tc>
      </w:tr>
      <w:tr>
        <w:tc>
          <w:tcPr>
            <w:tcW w:type="dxa" w:w="4896"/>
            <w:vAlign w:val="top"/>
          </w:tcPr>
          <w:p>
            <w:pPr>
              <w:spacing w:after="0"/>
            </w:pPr>
            <w:r/>
            <w:r>
              <w:rPr>
                <w:rFonts w:ascii="Arial" w:hAnsi="Arial"/>
                <w:b w:val="0"/>
                <w:sz w:val="18"/>
              </w:rPr>
              <w:t>Immutable history</w:t>
            </w:r>
          </w:p>
        </w:tc>
        <w:tc>
          <w:tcPr>
            <w:tcW w:type="dxa" w:w="4896"/>
            <w:vAlign w:val="top"/>
          </w:tcPr>
          <w:p>
            <w:pPr>
              <w:spacing w:after="0"/>
            </w:pPr>
            <w:r/>
            <w:r>
              <w:rPr>
                <w:rFonts w:ascii="Arial" w:hAnsi="Arial"/>
                <w:b w:val="0"/>
                <w:sz w:val="18"/>
              </w:rPr>
              <w:t>A historical record that cannot be edited in place through ordinary application workflows.</w:t>
            </w:r>
          </w:p>
        </w:tc>
      </w:tr>
    </w:tbl>
    <w:p/>
    <w:p>
      <w:pPr>
        <w:pStyle w:val="Heading1"/>
      </w:pPr>
      <w:r>
        <w:t>3.0 Why Auditability Is a Clinical Safety Requirement</w:t>
      </w:r>
    </w:p>
    <w:p>
      <w:r>
        <w:t>A clinical recommendation may be unsafe even when the final wording appears reasonable if the system used outdated data, an incorrect rule version, a missing measurement, or a faulty transformation. Auditability allows reviewers to reconstruct the complete decision pathway and distinguish a knowledge error, data error, software error, workflow error, or user-action difference.</w:t>
      </w:r>
    </w:p>
    <w:p>
      <w:r>
        <w:t>The audit design must therefore capture more than login activity or record creation. It must preserve clinical provenance. A future reviewer should be able to reproduce the decision using the same input snapshot and rule-set release. If exact reproduction is impossible because a dependency changed or was not stored, the system must disclose that limitation.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Safety question</w:t>
            </w:r>
          </w:p>
        </w:tc>
        <w:tc>
          <w:tcPr>
            <w:tcW w:type="dxa" w:w="4896"/>
            <w:shd w:fill="D9EAF7"/>
            <w:vAlign w:val="center"/>
          </w:tcPr>
          <w:p>
            <w:pPr>
              <w:spacing w:after="0"/>
            </w:pPr>
            <w:r/>
            <w:r>
              <w:rPr>
                <w:rFonts w:ascii="Arial" w:hAnsi="Arial"/>
                <w:b/>
                <w:sz w:val="18"/>
              </w:rPr>
              <w:t>Required evidence in the audit record</w:t>
            </w:r>
          </w:p>
        </w:tc>
      </w:tr>
      <w:tr>
        <w:tc>
          <w:tcPr>
            <w:tcW w:type="dxa" w:w="4896"/>
            <w:vAlign w:val="top"/>
          </w:tcPr>
          <w:p>
            <w:pPr>
              <w:spacing w:after="0"/>
            </w:pPr>
            <w:r/>
            <w:r>
              <w:rPr>
                <w:rFonts w:ascii="Arial" w:hAnsi="Arial"/>
                <w:b w:val="0"/>
                <w:sz w:val="18"/>
              </w:rPr>
              <w:t>Was the correct patient evaluated?</w:t>
            </w:r>
          </w:p>
        </w:tc>
        <w:tc>
          <w:tcPr>
            <w:tcW w:type="dxa" w:w="4896"/>
            <w:vAlign w:val="top"/>
          </w:tcPr>
          <w:p>
            <w:pPr>
              <w:spacing w:after="0"/>
            </w:pPr>
            <w:r/>
            <w:r>
              <w:rPr>
                <w:rFonts w:ascii="Arial" w:hAnsi="Arial"/>
                <w:b w:val="0"/>
                <w:sz w:val="18"/>
              </w:rPr>
              <w:t>Patient and pregnancy identifiers, encounter identifier, authenticated user, and timestamp.</w:t>
            </w:r>
          </w:p>
        </w:tc>
      </w:tr>
      <w:tr>
        <w:tc>
          <w:tcPr>
            <w:tcW w:type="dxa" w:w="4896"/>
            <w:vAlign w:val="top"/>
          </w:tcPr>
          <w:p>
            <w:pPr>
              <w:spacing w:after="0"/>
            </w:pPr>
            <w:r/>
            <w:r>
              <w:rPr>
                <w:rFonts w:ascii="Arial" w:hAnsi="Arial"/>
                <w:b w:val="0"/>
                <w:sz w:val="18"/>
              </w:rPr>
              <w:t>Were the inputs current?</w:t>
            </w:r>
          </w:p>
        </w:tc>
        <w:tc>
          <w:tcPr>
            <w:tcW w:type="dxa" w:w="4896"/>
            <w:vAlign w:val="top"/>
          </w:tcPr>
          <w:p>
            <w:pPr>
              <w:spacing w:after="0"/>
            </w:pPr>
            <w:r/>
            <w:r>
              <w:rPr>
                <w:rFonts w:ascii="Arial" w:hAnsi="Arial"/>
                <w:b w:val="0"/>
                <w:sz w:val="18"/>
              </w:rPr>
              <w:t>Observation timestamps, source record IDs, status, and supersession relationships.</w:t>
            </w:r>
          </w:p>
        </w:tc>
      </w:tr>
      <w:tr>
        <w:tc>
          <w:tcPr>
            <w:tcW w:type="dxa" w:w="4896"/>
            <w:vAlign w:val="top"/>
          </w:tcPr>
          <w:p>
            <w:pPr>
              <w:spacing w:after="0"/>
            </w:pPr>
            <w:r/>
            <w:r>
              <w:rPr>
                <w:rFonts w:ascii="Arial" w:hAnsi="Arial"/>
                <w:b w:val="0"/>
                <w:sz w:val="18"/>
              </w:rPr>
              <w:t>Was anything missing?</w:t>
            </w:r>
          </w:p>
        </w:tc>
        <w:tc>
          <w:tcPr>
            <w:tcW w:type="dxa" w:w="4896"/>
            <w:vAlign w:val="top"/>
          </w:tcPr>
          <w:p>
            <w:pPr>
              <w:spacing w:after="0"/>
            </w:pPr>
            <w:r/>
            <w:r>
              <w:rPr>
                <w:rFonts w:ascii="Arial" w:hAnsi="Arial"/>
                <w:b w:val="0"/>
                <w:sz w:val="18"/>
              </w:rPr>
              <w:t>Validation findings and missing-data list.</w:t>
            </w:r>
          </w:p>
        </w:tc>
      </w:tr>
      <w:tr>
        <w:tc>
          <w:tcPr>
            <w:tcW w:type="dxa" w:w="4896"/>
            <w:vAlign w:val="top"/>
          </w:tcPr>
          <w:p>
            <w:pPr>
              <w:spacing w:after="0"/>
            </w:pPr>
            <w:r/>
            <w:r>
              <w:rPr>
                <w:rFonts w:ascii="Arial" w:hAnsi="Arial"/>
                <w:b w:val="0"/>
                <w:sz w:val="18"/>
              </w:rPr>
              <w:t>Why did a rule trigger?</w:t>
            </w:r>
          </w:p>
        </w:tc>
        <w:tc>
          <w:tcPr>
            <w:tcW w:type="dxa" w:w="4896"/>
            <w:vAlign w:val="top"/>
          </w:tcPr>
          <w:p>
            <w:pPr>
              <w:spacing w:after="0"/>
            </w:pPr>
            <w:r/>
            <w:r>
              <w:rPr>
                <w:rFonts w:ascii="Arial" w:hAnsi="Arial"/>
                <w:b w:val="0"/>
                <w:sz w:val="18"/>
              </w:rPr>
              <w:t>Rule ID, version, evaluated expression, relevant inputs, and result.</w:t>
            </w:r>
          </w:p>
        </w:tc>
      </w:tr>
      <w:tr>
        <w:tc>
          <w:tcPr>
            <w:tcW w:type="dxa" w:w="4896"/>
            <w:vAlign w:val="top"/>
          </w:tcPr>
          <w:p>
            <w:pPr>
              <w:spacing w:after="0"/>
            </w:pPr>
            <w:r/>
            <w:r>
              <w:rPr>
                <w:rFonts w:ascii="Arial" w:hAnsi="Arial"/>
                <w:b w:val="0"/>
                <w:sz w:val="18"/>
              </w:rPr>
              <w:t>Why did the final priority change?</w:t>
            </w:r>
          </w:p>
        </w:tc>
        <w:tc>
          <w:tcPr>
            <w:tcW w:type="dxa" w:w="4896"/>
            <w:vAlign w:val="top"/>
          </w:tcPr>
          <w:p>
            <w:pPr>
              <w:spacing w:after="0"/>
            </w:pPr>
            <w:r/>
            <w:r>
              <w:rPr>
                <w:rFonts w:ascii="Arial" w:hAnsi="Arial"/>
                <w:b w:val="0"/>
                <w:sz w:val="18"/>
              </w:rPr>
              <w:t>Interaction, conflict-resolution, and emergency-override records.</w:t>
            </w:r>
          </w:p>
        </w:tc>
      </w:tr>
      <w:tr>
        <w:tc>
          <w:tcPr>
            <w:tcW w:type="dxa" w:w="4896"/>
            <w:vAlign w:val="top"/>
          </w:tcPr>
          <w:p>
            <w:pPr>
              <w:spacing w:after="0"/>
            </w:pPr>
            <w:r/>
            <w:r>
              <w:rPr>
                <w:rFonts w:ascii="Arial" w:hAnsi="Arial"/>
                <w:b w:val="0"/>
                <w:sz w:val="18"/>
              </w:rPr>
              <w:t>What did the user see?</w:t>
            </w:r>
          </w:p>
        </w:tc>
        <w:tc>
          <w:tcPr>
            <w:tcW w:type="dxa" w:w="4896"/>
            <w:vAlign w:val="top"/>
          </w:tcPr>
          <w:p>
            <w:pPr>
              <w:spacing w:after="0"/>
            </w:pPr>
            <w:r/>
            <w:r>
              <w:rPr>
                <w:rFonts w:ascii="Arial" w:hAnsi="Arial"/>
                <w:b w:val="0"/>
                <w:sz w:val="18"/>
              </w:rPr>
              <w:t>Rendered recommendation and explanation snapshot.</w:t>
            </w:r>
          </w:p>
        </w:tc>
      </w:tr>
      <w:tr>
        <w:tc>
          <w:tcPr>
            <w:tcW w:type="dxa" w:w="4896"/>
            <w:vAlign w:val="top"/>
          </w:tcPr>
          <w:p>
            <w:pPr>
              <w:spacing w:after="0"/>
            </w:pPr>
            <w:r/>
            <w:r>
              <w:rPr>
                <w:rFonts w:ascii="Arial" w:hAnsi="Arial"/>
                <w:b w:val="0"/>
                <w:sz w:val="18"/>
              </w:rPr>
              <w:t>What happened afterward?</w:t>
            </w:r>
          </w:p>
        </w:tc>
        <w:tc>
          <w:tcPr>
            <w:tcW w:type="dxa" w:w="4896"/>
            <w:vAlign w:val="top"/>
          </w:tcPr>
          <w:p>
            <w:pPr>
              <w:spacing w:after="0"/>
            </w:pPr>
            <w:r/>
            <w:r>
              <w:rPr>
                <w:rFonts w:ascii="Arial" w:hAnsi="Arial"/>
                <w:b w:val="0"/>
                <w:sz w:val="18"/>
              </w:rPr>
              <w:t>Acknowledgement, referral, override, correction, or follow-up action.</w:t>
            </w:r>
          </w:p>
        </w:tc>
      </w:tr>
    </w:tbl>
    <w:p/>
    <w:p>
      <w:pPr>
        <w:pStyle w:val="Heading1"/>
      </w:pPr>
      <w:r>
        <w:t>4.0 Governing Design Principles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Principle</w:t>
            </w:r>
          </w:p>
        </w:tc>
        <w:tc>
          <w:tcPr>
            <w:tcW w:type="dxa" w:w="4896"/>
            <w:shd w:fill="D9EAF7"/>
            <w:vAlign w:val="center"/>
          </w:tcPr>
          <w:p>
            <w:pPr>
              <w:spacing w:after="0"/>
            </w:pPr>
            <w:r/>
            <w:r>
              <w:rPr>
                <w:rFonts w:ascii="Arial" w:hAnsi="Arial"/>
                <w:b/>
                <w:sz w:val="18"/>
              </w:rPr>
              <w:t>Required behavior</w:t>
            </w:r>
          </w:p>
        </w:tc>
      </w:tr>
      <w:tr>
        <w:tc>
          <w:tcPr>
            <w:tcW w:type="dxa" w:w="4896"/>
            <w:vAlign w:val="top"/>
          </w:tcPr>
          <w:p>
            <w:pPr>
              <w:spacing w:after="0"/>
            </w:pPr>
            <w:r/>
            <w:r>
              <w:rPr>
                <w:rFonts w:ascii="Arial" w:hAnsi="Arial"/>
                <w:b w:val="0"/>
                <w:sz w:val="18"/>
              </w:rPr>
              <w:t>Completeness</w:t>
            </w:r>
          </w:p>
        </w:tc>
        <w:tc>
          <w:tcPr>
            <w:tcW w:type="dxa" w:w="4896"/>
            <w:vAlign w:val="top"/>
          </w:tcPr>
          <w:p>
            <w:pPr>
              <w:spacing w:after="0"/>
            </w:pPr>
            <w:r/>
            <w:r>
              <w:rPr>
                <w:rFonts w:ascii="Arial" w:hAnsi="Arial"/>
                <w:b w:val="0"/>
                <w:sz w:val="18"/>
              </w:rPr>
              <w:t>Record all clinically meaningful processing stages, not only the final classification.</w:t>
            </w:r>
          </w:p>
        </w:tc>
      </w:tr>
      <w:tr>
        <w:tc>
          <w:tcPr>
            <w:tcW w:type="dxa" w:w="4896"/>
            <w:vAlign w:val="top"/>
          </w:tcPr>
          <w:p>
            <w:pPr>
              <w:spacing w:after="0"/>
            </w:pPr>
            <w:r/>
            <w:r>
              <w:rPr>
                <w:rFonts w:ascii="Arial" w:hAnsi="Arial"/>
                <w:b w:val="0"/>
                <w:sz w:val="18"/>
              </w:rPr>
              <w:t>Immutability</w:t>
            </w:r>
          </w:p>
        </w:tc>
        <w:tc>
          <w:tcPr>
            <w:tcW w:type="dxa" w:w="4896"/>
            <w:vAlign w:val="top"/>
          </w:tcPr>
          <w:p>
            <w:pPr>
              <w:spacing w:after="0"/>
            </w:pPr>
            <w:r/>
            <w:r>
              <w:rPr>
                <w:rFonts w:ascii="Arial" w:hAnsi="Arial"/>
                <w:b w:val="0"/>
                <w:sz w:val="18"/>
              </w:rPr>
              <w:t>Do not silently edit published rules or prior decision results.</w:t>
            </w:r>
          </w:p>
        </w:tc>
      </w:tr>
      <w:tr>
        <w:tc>
          <w:tcPr>
            <w:tcW w:type="dxa" w:w="4896"/>
            <w:vAlign w:val="top"/>
          </w:tcPr>
          <w:p>
            <w:pPr>
              <w:spacing w:after="0"/>
            </w:pPr>
            <w:r/>
            <w:r>
              <w:rPr>
                <w:rFonts w:ascii="Arial" w:hAnsi="Arial"/>
                <w:b w:val="0"/>
                <w:sz w:val="18"/>
              </w:rPr>
              <w:t>Attribution</w:t>
            </w:r>
          </w:p>
        </w:tc>
        <w:tc>
          <w:tcPr>
            <w:tcW w:type="dxa" w:w="4896"/>
            <w:vAlign w:val="top"/>
          </w:tcPr>
          <w:p>
            <w:pPr>
              <w:spacing w:after="0"/>
            </w:pPr>
            <w:r/>
            <w:r>
              <w:rPr>
                <w:rFonts w:ascii="Arial" w:hAnsi="Arial"/>
                <w:b w:val="0"/>
                <w:sz w:val="18"/>
              </w:rPr>
              <w:t>Associate human actions with an authenticated user or explicitly identified system process.</w:t>
            </w:r>
          </w:p>
        </w:tc>
      </w:tr>
      <w:tr>
        <w:tc>
          <w:tcPr>
            <w:tcW w:type="dxa" w:w="4896"/>
            <w:vAlign w:val="top"/>
          </w:tcPr>
          <w:p>
            <w:pPr>
              <w:spacing w:after="0"/>
            </w:pPr>
            <w:r/>
            <w:r>
              <w:rPr>
                <w:rFonts w:ascii="Arial" w:hAnsi="Arial"/>
                <w:b w:val="0"/>
                <w:sz w:val="18"/>
              </w:rPr>
              <w:t>Temporal accuracy</w:t>
            </w:r>
          </w:p>
        </w:tc>
        <w:tc>
          <w:tcPr>
            <w:tcW w:type="dxa" w:w="4896"/>
            <w:vAlign w:val="top"/>
          </w:tcPr>
          <w:p>
            <w:pPr>
              <w:spacing w:after="0"/>
            </w:pPr>
            <w:r/>
            <w:r>
              <w:rPr>
                <w:rFonts w:ascii="Arial" w:hAnsi="Arial"/>
                <w:b w:val="0"/>
                <w:sz w:val="18"/>
              </w:rPr>
              <w:t>Store event time, clinical observation time, and record-entry time separately where applicable.</w:t>
            </w:r>
          </w:p>
        </w:tc>
      </w:tr>
      <w:tr>
        <w:tc>
          <w:tcPr>
            <w:tcW w:type="dxa" w:w="4896"/>
            <w:vAlign w:val="top"/>
          </w:tcPr>
          <w:p>
            <w:pPr>
              <w:spacing w:after="0"/>
            </w:pPr>
            <w:r/>
            <w:r>
              <w:rPr>
                <w:rFonts w:ascii="Arial" w:hAnsi="Arial"/>
                <w:b w:val="0"/>
                <w:sz w:val="18"/>
              </w:rPr>
              <w:t>Reproducibility</w:t>
            </w:r>
          </w:p>
        </w:tc>
        <w:tc>
          <w:tcPr>
            <w:tcW w:type="dxa" w:w="4896"/>
            <w:vAlign w:val="top"/>
          </w:tcPr>
          <w:p>
            <w:pPr>
              <w:spacing w:after="0"/>
            </w:pPr>
            <w:r/>
            <w:r>
              <w:rPr>
                <w:rFonts w:ascii="Arial" w:hAnsi="Arial"/>
                <w:b w:val="0"/>
                <w:sz w:val="18"/>
              </w:rPr>
              <w:t>Retain sufficient information to reconstruct the decision pathway.</w:t>
            </w:r>
          </w:p>
        </w:tc>
      </w:tr>
      <w:tr>
        <w:tc>
          <w:tcPr>
            <w:tcW w:type="dxa" w:w="4896"/>
            <w:vAlign w:val="top"/>
          </w:tcPr>
          <w:p>
            <w:pPr>
              <w:spacing w:after="0"/>
            </w:pPr>
            <w:r/>
            <w:r>
              <w:rPr>
                <w:rFonts w:ascii="Arial" w:hAnsi="Arial"/>
                <w:b w:val="0"/>
                <w:sz w:val="18"/>
              </w:rPr>
              <w:t>Minimum necessary access</w:t>
            </w:r>
          </w:p>
        </w:tc>
        <w:tc>
          <w:tcPr>
            <w:tcW w:type="dxa" w:w="4896"/>
            <w:vAlign w:val="top"/>
          </w:tcPr>
          <w:p>
            <w:pPr>
              <w:spacing w:after="0"/>
            </w:pPr>
            <w:r/>
            <w:r>
              <w:rPr>
                <w:rFonts w:ascii="Arial" w:hAnsi="Arial"/>
                <w:b w:val="0"/>
                <w:sz w:val="18"/>
              </w:rPr>
              <w:t>Limit access to audit records according to role and legitimate operational need.</w:t>
            </w:r>
          </w:p>
        </w:tc>
      </w:tr>
      <w:tr>
        <w:tc>
          <w:tcPr>
            <w:tcW w:type="dxa" w:w="4896"/>
            <w:vAlign w:val="top"/>
          </w:tcPr>
          <w:p>
            <w:pPr>
              <w:spacing w:after="0"/>
            </w:pPr>
            <w:r/>
            <w:r>
              <w:rPr>
                <w:rFonts w:ascii="Arial" w:hAnsi="Arial"/>
                <w:b w:val="0"/>
                <w:sz w:val="18"/>
              </w:rPr>
              <w:t>Human reviewability</w:t>
            </w:r>
          </w:p>
        </w:tc>
        <w:tc>
          <w:tcPr>
            <w:tcW w:type="dxa" w:w="4896"/>
            <w:vAlign w:val="top"/>
          </w:tcPr>
          <w:p>
            <w:pPr>
              <w:spacing w:after="0"/>
            </w:pPr>
            <w:r/>
            <w:r>
              <w:rPr>
                <w:rFonts w:ascii="Arial" w:hAnsi="Arial"/>
                <w:b w:val="0"/>
                <w:sz w:val="18"/>
              </w:rPr>
              <w:t>Present provenance in language that a healthcare professional can independently review.</w:t>
            </w:r>
          </w:p>
        </w:tc>
      </w:tr>
      <w:tr>
        <w:tc>
          <w:tcPr>
            <w:tcW w:type="dxa" w:w="4896"/>
            <w:vAlign w:val="top"/>
          </w:tcPr>
          <w:p>
            <w:pPr>
              <w:spacing w:after="0"/>
            </w:pPr>
            <w:r/>
            <w:r>
              <w:rPr>
                <w:rFonts w:ascii="Arial" w:hAnsi="Arial"/>
                <w:b w:val="0"/>
                <w:sz w:val="18"/>
              </w:rPr>
              <w:t>Fail-safe behavior</w:t>
            </w:r>
          </w:p>
        </w:tc>
        <w:tc>
          <w:tcPr>
            <w:tcW w:type="dxa" w:w="4896"/>
            <w:vAlign w:val="top"/>
          </w:tcPr>
          <w:p>
            <w:pPr>
              <w:spacing w:after="0"/>
            </w:pPr>
            <w:r/>
            <w:r>
              <w:rPr>
                <w:rFonts w:ascii="Arial" w:hAnsi="Arial"/>
                <w:b w:val="0"/>
                <w:sz w:val="18"/>
              </w:rPr>
              <w:t>If required provenance cannot be written, do not claim the decision is fully auditable.</w:t>
            </w:r>
          </w:p>
        </w:tc>
      </w:tr>
      <w:tr>
        <w:tc>
          <w:tcPr>
            <w:tcW w:type="dxa" w:w="4896"/>
            <w:vAlign w:val="top"/>
          </w:tcPr>
          <w:p>
            <w:pPr>
              <w:spacing w:after="0"/>
            </w:pPr>
            <w:r/>
            <w:r>
              <w:rPr>
                <w:rFonts w:ascii="Arial" w:hAnsi="Arial"/>
                <w:b w:val="0"/>
                <w:sz w:val="18"/>
              </w:rPr>
              <w:t>Version transparency</w:t>
            </w:r>
          </w:p>
        </w:tc>
        <w:tc>
          <w:tcPr>
            <w:tcW w:type="dxa" w:w="4896"/>
            <w:vAlign w:val="top"/>
          </w:tcPr>
          <w:p>
            <w:pPr>
              <w:spacing w:after="0"/>
            </w:pPr>
            <w:r/>
            <w:r>
              <w:rPr>
                <w:rFonts w:ascii="Arial" w:hAnsi="Arial"/>
                <w:b w:val="0"/>
                <w:sz w:val="18"/>
              </w:rPr>
              <w:t>Display the active knowledge and software versions in administrative and decision-detail views.</w:t>
            </w:r>
          </w:p>
        </w:tc>
      </w:tr>
      <w:tr>
        <w:tc>
          <w:tcPr>
            <w:tcW w:type="dxa" w:w="4896"/>
            <w:vAlign w:val="top"/>
          </w:tcPr>
          <w:p>
            <w:pPr>
              <w:spacing w:after="0"/>
            </w:pPr>
            <w:r/>
            <w:r>
              <w:rPr>
                <w:rFonts w:ascii="Arial" w:hAnsi="Arial"/>
                <w:b w:val="0"/>
                <w:sz w:val="18"/>
              </w:rPr>
              <w:t>Non-repudiation support</w:t>
            </w:r>
          </w:p>
        </w:tc>
        <w:tc>
          <w:tcPr>
            <w:tcW w:type="dxa" w:w="4896"/>
            <w:vAlign w:val="top"/>
          </w:tcPr>
          <w:p>
            <w:pPr>
              <w:spacing w:after="0"/>
            </w:pPr>
            <w:r/>
            <w:r>
              <w:rPr>
                <w:rFonts w:ascii="Arial" w:hAnsi="Arial"/>
                <w:b w:val="0"/>
                <w:sz w:val="18"/>
              </w:rPr>
              <w:t>Preserve who performed an action and protect records against ordinary modification.</w:t>
            </w:r>
          </w:p>
        </w:tc>
      </w:tr>
    </w:tbl>
    <w:p/>
    <w:p>
      <w:pPr>
        <w:pStyle w:val="Heading1"/>
      </w:pPr>
      <w:r>
        <w:t>5.0 Audit Event Architecture</w:t>
      </w:r>
    </w:p>
    <w:p>
      <w:r>
        <w:t>The system shall use event-based logging. Each event records one meaningful action and links to a common decision execution identifier. This allows a single assessment to be reconstructed chronologically without combining unrelated activity.</w:t>
      </w:r>
    </w:p>
    <w:p>
      <w:pPr>
        <w:pStyle w:val="Heading2"/>
      </w:pPr>
      <w:r>
        <w:t>5.1 Minimum Audit Event Categories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Category</w:t>
            </w:r>
          </w:p>
        </w:tc>
        <w:tc>
          <w:tcPr>
            <w:tcW w:type="dxa" w:w="4896"/>
            <w:shd w:fill="D9EAF7"/>
            <w:vAlign w:val="center"/>
          </w:tcPr>
          <w:p>
            <w:pPr>
              <w:spacing w:after="0"/>
            </w:pPr>
            <w:r/>
            <w:r>
              <w:rPr>
                <w:rFonts w:ascii="Arial" w:hAnsi="Arial"/>
                <w:b/>
                <w:sz w:val="18"/>
              </w:rPr>
              <w:t>Examples</w:t>
            </w:r>
          </w:p>
        </w:tc>
      </w:tr>
      <w:tr>
        <w:tc>
          <w:tcPr>
            <w:tcW w:type="dxa" w:w="4896"/>
            <w:vAlign w:val="top"/>
          </w:tcPr>
          <w:p>
            <w:pPr>
              <w:spacing w:after="0"/>
            </w:pPr>
            <w:r/>
            <w:r>
              <w:rPr>
                <w:rFonts w:ascii="Arial" w:hAnsi="Arial"/>
                <w:b w:val="0"/>
                <w:sz w:val="18"/>
              </w:rPr>
              <w:t>Authentication and authorization</w:t>
            </w:r>
          </w:p>
        </w:tc>
        <w:tc>
          <w:tcPr>
            <w:tcW w:type="dxa" w:w="4896"/>
            <w:vAlign w:val="top"/>
          </w:tcPr>
          <w:p>
            <w:pPr>
              <w:spacing w:after="0"/>
            </w:pPr>
            <w:r/>
            <w:r>
              <w:rPr>
                <w:rFonts w:ascii="Arial" w:hAnsi="Arial"/>
                <w:b w:val="0"/>
                <w:sz w:val="18"/>
              </w:rPr>
              <w:t>Login, failed login, role change, unauthorized access attempt.</w:t>
            </w:r>
          </w:p>
        </w:tc>
      </w:tr>
      <w:tr>
        <w:tc>
          <w:tcPr>
            <w:tcW w:type="dxa" w:w="4896"/>
            <w:vAlign w:val="top"/>
          </w:tcPr>
          <w:p>
            <w:pPr>
              <w:spacing w:after="0"/>
            </w:pPr>
            <w:r/>
            <w:r>
              <w:rPr>
                <w:rFonts w:ascii="Arial" w:hAnsi="Arial"/>
                <w:b w:val="0"/>
                <w:sz w:val="18"/>
              </w:rPr>
              <w:t>Clinical record lifecycle</w:t>
            </w:r>
          </w:p>
        </w:tc>
        <w:tc>
          <w:tcPr>
            <w:tcW w:type="dxa" w:w="4896"/>
            <w:vAlign w:val="top"/>
          </w:tcPr>
          <w:p>
            <w:pPr>
              <w:spacing w:after="0"/>
            </w:pPr>
            <w:r/>
            <w:r>
              <w:rPr>
                <w:rFonts w:ascii="Arial" w:hAnsi="Arial"/>
                <w:b w:val="0"/>
                <w:sz w:val="18"/>
              </w:rPr>
              <w:t>Create, update, correction, soft deletion, restoration, delivery completion, new pregnancy creation.</w:t>
            </w:r>
          </w:p>
        </w:tc>
      </w:tr>
      <w:tr>
        <w:tc>
          <w:tcPr>
            <w:tcW w:type="dxa" w:w="4896"/>
            <w:vAlign w:val="top"/>
          </w:tcPr>
          <w:p>
            <w:pPr>
              <w:spacing w:after="0"/>
            </w:pPr>
            <w:r/>
            <w:r>
              <w:rPr>
                <w:rFonts w:ascii="Arial" w:hAnsi="Arial"/>
                <w:b w:val="0"/>
                <w:sz w:val="18"/>
              </w:rPr>
              <w:t>Validation</w:t>
            </w:r>
          </w:p>
        </w:tc>
        <w:tc>
          <w:tcPr>
            <w:tcW w:type="dxa" w:w="4896"/>
            <w:vAlign w:val="top"/>
          </w:tcPr>
          <w:p>
            <w:pPr>
              <w:spacing w:after="0"/>
            </w:pPr>
            <w:r/>
            <w:r>
              <w:rPr>
                <w:rFonts w:ascii="Arial" w:hAnsi="Arial"/>
                <w:b w:val="0"/>
                <w:sz w:val="18"/>
              </w:rPr>
              <w:t>Missing field, invalid value, inconsistent date, stale observation, rejected input.</w:t>
            </w:r>
          </w:p>
        </w:tc>
      </w:tr>
      <w:tr>
        <w:tc>
          <w:tcPr>
            <w:tcW w:type="dxa" w:w="4896"/>
            <w:vAlign w:val="top"/>
          </w:tcPr>
          <w:p>
            <w:pPr>
              <w:spacing w:after="0"/>
            </w:pPr>
            <w:r/>
            <w:r>
              <w:rPr>
                <w:rFonts w:ascii="Arial" w:hAnsi="Arial"/>
                <w:b w:val="0"/>
                <w:sz w:val="18"/>
              </w:rPr>
              <w:t>Rule evaluation</w:t>
            </w:r>
          </w:p>
        </w:tc>
        <w:tc>
          <w:tcPr>
            <w:tcW w:type="dxa" w:w="4896"/>
            <w:vAlign w:val="top"/>
          </w:tcPr>
          <w:p>
            <w:pPr>
              <w:spacing w:after="0"/>
            </w:pPr>
            <w:r/>
            <w:r>
              <w:rPr>
                <w:rFonts w:ascii="Arial" w:hAnsi="Arial"/>
                <w:b w:val="0"/>
                <w:sz w:val="18"/>
              </w:rPr>
              <w:t>Rule evaluated, triggered, not triggered, skipped, or unable to evaluate.</w:t>
            </w:r>
          </w:p>
        </w:tc>
      </w:tr>
      <w:tr>
        <w:tc>
          <w:tcPr>
            <w:tcW w:type="dxa" w:w="4896"/>
            <w:vAlign w:val="top"/>
          </w:tcPr>
          <w:p>
            <w:pPr>
              <w:spacing w:after="0"/>
            </w:pPr>
            <w:r/>
            <w:r>
              <w:rPr>
                <w:rFonts w:ascii="Arial" w:hAnsi="Arial"/>
                <w:b w:val="0"/>
                <w:sz w:val="18"/>
              </w:rPr>
              <w:t>Interaction processing</w:t>
            </w:r>
          </w:p>
        </w:tc>
        <w:tc>
          <w:tcPr>
            <w:tcW w:type="dxa" w:w="4896"/>
            <w:vAlign w:val="top"/>
          </w:tcPr>
          <w:p>
            <w:pPr>
              <w:spacing w:after="0"/>
            </w:pPr>
            <w:r/>
            <w:r>
              <w:rPr>
                <w:rFonts w:ascii="Arial" w:hAnsi="Arial"/>
                <w:b w:val="0"/>
                <w:sz w:val="18"/>
              </w:rPr>
              <w:t>Interaction detected, contributing rule IDs, priority effect.</w:t>
            </w:r>
          </w:p>
        </w:tc>
      </w:tr>
      <w:tr>
        <w:tc>
          <w:tcPr>
            <w:tcW w:type="dxa" w:w="4896"/>
            <w:vAlign w:val="top"/>
          </w:tcPr>
          <w:p>
            <w:pPr>
              <w:spacing w:after="0"/>
            </w:pPr>
            <w:r/>
            <w:r>
              <w:rPr>
                <w:rFonts w:ascii="Arial" w:hAnsi="Arial"/>
                <w:b w:val="0"/>
                <w:sz w:val="18"/>
              </w:rPr>
              <w:t>Conflict resolution</w:t>
            </w:r>
          </w:p>
        </w:tc>
        <w:tc>
          <w:tcPr>
            <w:tcW w:type="dxa" w:w="4896"/>
            <w:vAlign w:val="top"/>
          </w:tcPr>
          <w:p>
            <w:pPr>
              <w:spacing w:after="0"/>
            </w:pPr>
            <w:r/>
            <w:r>
              <w:rPr>
                <w:rFonts w:ascii="Arial" w:hAnsi="Arial"/>
                <w:b w:val="0"/>
                <w:sz w:val="18"/>
              </w:rPr>
              <w:t>Conflict detected, precedence rule used, unresolved conflict.</w:t>
            </w:r>
          </w:p>
        </w:tc>
      </w:tr>
      <w:tr>
        <w:tc>
          <w:tcPr>
            <w:tcW w:type="dxa" w:w="4896"/>
            <w:vAlign w:val="top"/>
          </w:tcPr>
          <w:p>
            <w:pPr>
              <w:spacing w:after="0"/>
            </w:pPr>
            <w:r/>
            <w:r>
              <w:rPr>
                <w:rFonts w:ascii="Arial" w:hAnsi="Arial"/>
                <w:b w:val="0"/>
                <w:sz w:val="18"/>
              </w:rPr>
              <w:t>Emergency override</w:t>
            </w:r>
          </w:p>
        </w:tc>
        <w:tc>
          <w:tcPr>
            <w:tcW w:type="dxa" w:w="4896"/>
            <w:vAlign w:val="top"/>
          </w:tcPr>
          <w:p>
            <w:pPr>
              <w:spacing w:after="0"/>
            </w:pPr>
            <w:r/>
            <w:r>
              <w:rPr>
                <w:rFonts w:ascii="Arial" w:hAnsi="Arial"/>
                <w:b w:val="0"/>
                <w:sz w:val="18"/>
              </w:rPr>
              <w:t>Emergency criterion triggered, routine workflow interrupted.</w:t>
            </w:r>
          </w:p>
        </w:tc>
      </w:tr>
      <w:tr>
        <w:tc>
          <w:tcPr>
            <w:tcW w:type="dxa" w:w="4896"/>
            <w:vAlign w:val="top"/>
          </w:tcPr>
          <w:p>
            <w:pPr>
              <w:spacing w:after="0"/>
            </w:pPr>
            <w:r/>
            <w:r>
              <w:rPr>
                <w:rFonts w:ascii="Arial" w:hAnsi="Arial"/>
                <w:b w:val="0"/>
                <w:sz w:val="18"/>
              </w:rPr>
              <w:t>Recommendation</w:t>
            </w:r>
          </w:p>
        </w:tc>
        <w:tc>
          <w:tcPr>
            <w:tcW w:type="dxa" w:w="4896"/>
            <w:vAlign w:val="top"/>
          </w:tcPr>
          <w:p>
            <w:pPr>
              <w:spacing w:after="0"/>
            </w:pPr>
            <w:r/>
            <w:r>
              <w:rPr>
                <w:rFonts w:ascii="Arial" w:hAnsi="Arial"/>
                <w:b w:val="0"/>
                <w:sz w:val="18"/>
              </w:rPr>
              <w:t>Recommendation generated, suppressed, combined, prioritized, or withdrawn.</w:t>
            </w:r>
          </w:p>
        </w:tc>
      </w:tr>
      <w:tr>
        <w:tc>
          <w:tcPr>
            <w:tcW w:type="dxa" w:w="4896"/>
            <w:vAlign w:val="top"/>
          </w:tcPr>
          <w:p>
            <w:pPr>
              <w:spacing w:after="0"/>
            </w:pPr>
            <w:r/>
            <w:r>
              <w:rPr>
                <w:rFonts w:ascii="Arial" w:hAnsi="Arial"/>
                <w:b w:val="0"/>
                <w:sz w:val="18"/>
              </w:rPr>
              <w:t>Explainability</w:t>
            </w:r>
          </w:p>
        </w:tc>
        <w:tc>
          <w:tcPr>
            <w:tcW w:type="dxa" w:w="4896"/>
            <w:vAlign w:val="top"/>
          </w:tcPr>
          <w:p>
            <w:pPr>
              <w:spacing w:after="0"/>
            </w:pPr>
            <w:r/>
            <w:r>
              <w:rPr>
                <w:rFonts w:ascii="Arial" w:hAnsi="Arial"/>
                <w:b w:val="0"/>
                <w:sz w:val="18"/>
              </w:rPr>
              <w:t>Explanation generated and displayed.</w:t>
            </w:r>
          </w:p>
        </w:tc>
      </w:tr>
      <w:tr>
        <w:tc>
          <w:tcPr>
            <w:tcW w:type="dxa" w:w="4896"/>
            <w:vAlign w:val="top"/>
          </w:tcPr>
          <w:p>
            <w:pPr>
              <w:spacing w:after="0"/>
            </w:pPr>
            <w:r/>
            <w:r>
              <w:rPr>
                <w:rFonts w:ascii="Arial" w:hAnsi="Arial"/>
                <w:b w:val="0"/>
                <w:sz w:val="18"/>
              </w:rPr>
              <w:t>Confidence and limitations</w:t>
            </w:r>
          </w:p>
        </w:tc>
        <w:tc>
          <w:tcPr>
            <w:tcW w:type="dxa" w:w="4896"/>
            <w:vAlign w:val="top"/>
          </w:tcPr>
          <w:p>
            <w:pPr>
              <w:spacing w:after="0"/>
            </w:pPr>
            <w:r/>
            <w:r>
              <w:rPr>
                <w:rFonts w:ascii="Arial" w:hAnsi="Arial"/>
                <w:b w:val="0"/>
                <w:sz w:val="18"/>
              </w:rPr>
              <w:t>Confidence status assigned or reduced; limitation disclosed.</w:t>
            </w:r>
          </w:p>
        </w:tc>
      </w:tr>
      <w:tr>
        <w:tc>
          <w:tcPr>
            <w:tcW w:type="dxa" w:w="4896"/>
            <w:vAlign w:val="top"/>
          </w:tcPr>
          <w:p>
            <w:pPr>
              <w:spacing w:after="0"/>
            </w:pPr>
            <w:r/>
            <w:r>
              <w:rPr>
                <w:rFonts w:ascii="Arial" w:hAnsi="Arial"/>
                <w:b w:val="0"/>
                <w:sz w:val="18"/>
              </w:rPr>
              <w:t>Human response</w:t>
            </w:r>
          </w:p>
        </w:tc>
        <w:tc>
          <w:tcPr>
            <w:tcW w:type="dxa" w:w="4896"/>
            <w:vAlign w:val="top"/>
          </w:tcPr>
          <w:p>
            <w:pPr>
              <w:spacing w:after="0"/>
            </w:pPr>
            <w:r/>
            <w:r>
              <w:rPr>
                <w:rFonts w:ascii="Arial" w:hAnsi="Arial"/>
                <w:b w:val="0"/>
                <w:sz w:val="18"/>
              </w:rPr>
              <w:t>Acknowledged, referred, deferred, overridden, corrected, or escalated.</w:t>
            </w:r>
          </w:p>
        </w:tc>
      </w:tr>
      <w:tr>
        <w:tc>
          <w:tcPr>
            <w:tcW w:type="dxa" w:w="4896"/>
            <w:vAlign w:val="top"/>
          </w:tcPr>
          <w:p>
            <w:pPr>
              <w:spacing w:after="0"/>
            </w:pPr>
            <w:r/>
            <w:r>
              <w:rPr>
                <w:rFonts w:ascii="Arial" w:hAnsi="Arial"/>
                <w:b w:val="0"/>
                <w:sz w:val="18"/>
              </w:rPr>
              <w:t>Knowledge administration</w:t>
            </w:r>
          </w:p>
        </w:tc>
        <w:tc>
          <w:tcPr>
            <w:tcW w:type="dxa" w:w="4896"/>
            <w:vAlign w:val="top"/>
          </w:tcPr>
          <w:p>
            <w:pPr>
              <w:spacing w:after="0"/>
            </w:pPr>
            <w:r/>
            <w:r>
              <w:rPr>
                <w:rFonts w:ascii="Arial" w:hAnsi="Arial"/>
                <w:b w:val="0"/>
                <w:sz w:val="18"/>
              </w:rPr>
              <w:t>Draft created, reviewed, approved, published, deprecated, rolled back.</w:t>
            </w:r>
          </w:p>
        </w:tc>
      </w:tr>
      <w:tr>
        <w:tc>
          <w:tcPr>
            <w:tcW w:type="dxa" w:w="4896"/>
            <w:vAlign w:val="top"/>
          </w:tcPr>
          <w:p>
            <w:pPr>
              <w:spacing w:after="0"/>
            </w:pPr>
            <w:r/>
            <w:r>
              <w:rPr>
                <w:rFonts w:ascii="Arial" w:hAnsi="Arial"/>
                <w:b w:val="0"/>
                <w:sz w:val="18"/>
              </w:rPr>
              <w:t>System administration</w:t>
            </w:r>
          </w:p>
        </w:tc>
        <w:tc>
          <w:tcPr>
            <w:tcW w:type="dxa" w:w="4896"/>
            <w:vAlign w:val="top"/>
          </w:tcPr>
          <w:p>
            <w:pPr>
              <w:spacing w:after="0"/>
            </w:pPr>
            <w:r/>
            <w:r>
              <w:rPr>
                <w:rFonts w:ascii="Arial" w:hAnsi="Arial"/>
                <w:b w:val="0"/>
                <w:sz w:val="18"/>
              </w:rPr>
              <w:t>Deployment, configuration change, maintenance, backup restoration.</w:t>
            </w:r>
          </w:p>
        </w:tc>
      </w:tr>
    </w:tbl>
    <w:p/>
    <w:p>
      <w:pPr>
        <w:pStyle w:val="Heading2"/>
      </w:pPr>
      <w:r>
        <w:t>5.2 Minimum Event Data Set</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Field</w:t>
            </w:r>
          </w:p>
        </w:tc>
        <w:tc>
          <w:tcPr>
            <w:tcW w:type="dxa" w:w="4896"/>
            <w:shd w:fill="D9EAF7"/>
            <w:vAlign w:val="center"/>
          </w:tcPr>
          <w:p>
            <w:pPr>
              <w:spacing w:after="0"/>
            </w:pPr>
            <w:r/>
            <w:r>
              <w:rPr>
                <w:rFonts w:ascii="Arial" w:hAnsi="Arial"/>
                <w:b/>
                <w:sz w:val="18"/>
              </w:rPr>
              <w:t>Requirement</w:t>
            </w:r>
          </w:p>
        </w:tc>
      </w:tr>
      <w:tr>
        <w:tc>
          <w:tcPr>
            <w:tcW w:type="dxa" w:w="4896"/>
            <w:vAlign w:val="top"/>
          </w:tcPr>
          <w:p>
            <w:pPr>
              <w:spacing w:after="0"/>
            </w:pPr>
            <w:r/>
            <w:r>
              <w:rPr>
                <w:rFonts w:ascii="Arial" w:hAnsi="Arial"/>
                <w:b w:val="0"/>
                <w:sz w:val="18"/>
              </w:rPr>
              <w:t>event_id</w:t>
            </w:r>
          </w:p>
        </w:tc>
        <w:tc>
          <w:tcPr>
            <w:tcW w:type="dxa" w:w="4896"/>
            <w:vAlign w:val="top"/>
          </w:tcPr>
          <w:p>
            <w:pPr>
              <w:spacing w:after="0"/>
            </w:pPr>
            <w:r/>
            <w:r>
              <w:rPr>
                <w:rFonts w:ascii="Arial" w:hAnsi="Arial"/>
                <w:b w:val="0"/>
                <w:sz w:val="18"/>
              </w:rPr>
              <w:t>Globally unique identifier.</w:t>
            </w:r>
          </w:p>
        </w:tc>
      </w:tr>
      <w:tr>
        <w:tc>
          <w:tcPr>
            <w:tcW w:type="dxa" w:w="4896"/>
            <w:vAlign w:val="top"/>
          </w:tcPr>
          <w:p>
            <w:pPr>
              <w:spacing w:after="0"/>
            </w:pPr>
            <w:r/>
            <w:r>
              <w:rPr>
                <w:rFonts w:ascii="Arial" w:hAnsi="Arial"/>
                <w:b w:val="0"/>
                <w:sz w:val="18"/>
              </w:rPr>
              <w:t>decision_execution_id</w:t>
            </w:r>
          </w:p>
        </w:tc>
        <w:tc>
          <w:tcPr>
            <w:tcW w:type="dxa" w:w="4896"/>
            <w:vAlign w:val="top"/>
          </w:tcPr>
          <w:p>
            <w:pPr>
              <w:spacing w:after="0"/>
            </w:pPr>
            <w:r/>
            <w:r>
              <w:rPr>
                <w:rFonts w:ascii="Arial" w:hAnsi="Arial"/>
                <w:b w:val="0"/>
                <w:sz w:val="18"/>
              </w:rPr>
              <w:t>Links all events belonging to one assessment run.</w:t>
            </w:r>
          </w:p>
        </w:tc>
      </w:tr>
      <w:tr>
        <w:tc>
          <w:tcPr>
            <w:tcW w:type="dxa" w:w="4896"/>
            <w:vAlign w:val="top"/>
          </w:tcPr>
          <w:p>
            <w:pPr>
              <w:spacing w:after="0"/>
            </w:pPr>
            <w:r/>
            <w:r>
              <w:rPr>
                <w:rFonts w:ascii="Arial" w:hAnsi="Arial"/>
                <w:b w:val="0"/>
                <w:sz w:val="18"/>
              </w:rPr>
              <w:t>event_type</w:t>
            </w:r>
          </w:p>
        </w:tc>
        <w:tc>
          <w:tcPr>
            <w:tcW w:type="dxa" w:w="4896"/>
            <w:vAlign w:val="top"/>
          </w:tcPr>
          <w:p>
            <w:pPr>
              <w:spacing w:after="0"/>
            </w:pPr>
            <w:r/>
            <w:r>
              <w:rPr>
                <w:rFonts w:ascii="Arial" w:hAnsi="Arial"/>
                <w:b w:val="0"/>
                <w:sz w:val="18"/>
              </w:rPr>
              <w:t>Controlled vocabulary identifying the action.</w:t>
            </w:r>
          </w:p>
        </w:tc>
      </w:tr>
      <w:tr>
        <w:tc>
          <w:tcPr>
            <w:tcW w:type="dxa" w:w="4896"/>
            <w:vAlign w:val="top"/>
          </w:tcPr>
          <w:p>
            <w:pPr>
              <w:spacing w:after="0"/>
            </w:pPr>
            <w:r/>
            <w:r>
              <w:rPr>
                <w:rFonts w:ascii="Arial" w:hAnsi="Arial"/>
                <w:b w:val="0"/>
                <w:sz w:val="18"/>
              </w:rPr>
              <w:t>event_time</w:t>
            </w:r>
          </w:p>
        </w:tc>
        <w:tc>
          <w:tcPr>
            <w:tcW w:type="dxa" w:w="4896"/>
            <w:vAlign w:val="top"/>
          </w:tcPr>
          <w:p>
            <w:pPr>
              <w:spacing w:after="0"/>
            </w:pPr>
            <w:r/>
            <w:r>
              <w:rPr>
                <w:rFonts w:ascii="Arial" w:hAnsi="Arial"/>
                <w:b w:val="0"/>
                <w:sz w:val="18"/>
              </w:rPr>
              <w:t>System timestamp with time-zone handling.</w:t>
            </w:r>
          </w:p>
        </w:tc>
      </w:tr>
      <w:tr>
        <w:tc>
          <w:tcPr>
            <w:tcW w:type="dxa" w:w="4896"/>
            <w:vAlign w:val="top"/>
          </w:tcPr>
          <w:p>
            <w:pPr>
              <w:spacing w:after="0"/>
            </w:pPr>
            <w:r/>
            <w:r>
              <w:rPr>
                <w:rFonts w:ascii="Arial" w:hAnsi="Arial"/>
                <w:b w:val="0"/>
                <w:sz w:val="18"/>
              </w:rPr>
              <w:t>clinical_time</w:t>
            </w:r>
          </w:p>
        </w:tc>
        <w:tc>
          <w:tcPr>
            <w:tcW w:type="dxa" w:w="4896"/>
            <w:vAlign w:val="top"/>
          </w:tcPr>
          <w:p>
            <w:pPr>
              <w:spacing w:after="0"/>
            </w:pPr>
            <w:r/>
            <w:r>
              <w:rPr>
                <w:rFonts w:ascii="Arial" w:hAnsi="Arial"/>
                <w:b w:val="0"/>
                <w:sz w:val="18"/>
              </w:rPr>
              <w:t>Time the clinical observation occurred, when different from event time.</w:t>
            </w:r>
          </w:p>
        </w:tc>
      </w:tr>
      <w:tr>
        <w:tc>
          <w:tcPr>
            <w:tcW w:type="dxa" w:w="4896"/>
            <w:vAlign w:val="top"/>
          </w:tcPr>
          <w:p>
            <w:pPr>
              <w:spacing w:after="0"/>
            </w:pPr>
            <w:r/>
            <w:r>
              <w:rPr>
                <w:rFonts w:ascii="Arial" w:hAnsi="Arial"/>
                <w:b w:val="0"/>
                <w:sz w:val="18"/>
              </w:rPr>
              <w:t>actor_type and actor_id</w:t>
            </w:r>
          </w:p>
        </w:tc>
        <w:tc>
          <w:tcPr>
            <w:tcW w:type="dxa" w:w="4896"/>
            <w:vAlign w:val="top"/>
          </w:tcPr>
          <w:p>
            <w:pPr>
              <w:spacing w:after="0"/>
            </w:pPr>
            <w:r/>
            <w:r>
              <w:rPr>
                <w:rFonts w:ascii="Arial" w:hAnsi="Arial"/>
                <w:b w:val="0"/>
                <w:sz w:val="18"/>
              </w:rPr>
              <w:t>Authenticated user, system service, migration process, or integration.</w:t>
            </w:r>
          </w:p>
        </w:tc>
      </w:tr>
      <w:tr>
        <w:tc>
          <w:tcPr>
            <w:tcW w:type="dxa" w:w="4896"/>
            <w:vAlign w:val="top"/>
          </w:tcPr>
          <w:p>
            <w:pPr>
              <w:spacing w:after="0"/>
            </w:pPr>
            <w:r/>
            <w:r>
              <w:rPr>
                <w:rFonts w:ascii="Arial" w:hAnsi="Arial"/>
                <w:b w:val="0"/>
                <w:sz w:val="18"/>
              </w:rPr>
              <w:t>patient_id and pregnancy_id</w:t>
            </w:r>
          </w:p>
        </w:tc>
        <w:tc>
          <w:tcPr>
            <w:tcW w:type="dxa" w:w="4896"/>
            <w:vAlign w:val="top"/>
          </w:tcPr>
          <w:p>
            <w:pPr>
              <w:spacing w:after="0"/>
            </w:pPr>
            <w:r/>
            <w:r>
              <w:rPr>
                <w:rFonts w:ascii="Arial" w:hAnsi="Arial"/>
                <w:b w:val="0"/>
                <w:sz w:val="18"/>
              </w:rPr>
              <w:t>Required for patient-specific decisions; use internal identifiers.</w:t>
            </w:r>
          </w:p>
        </w:tc>
      </w:tr>
      <w:tr>
        <w:tc>
          <w:tcPr>
            <w:tcW w:type="dxa" w:w="4896"/>
            <w:vAlign w:val="top"/>
          </w:tcPr>
          <w:p>
            <w:pPr>
              <w:spacing w:after="0"/>
            </w:pPr>
            <w:r/>
            <w:r>
              <w:rPr>
                <w:rFonts w:ascii="Arial" w:hAnsi="Arial"/>
                <w:b w:val="0"/>
                <w:sz w:val="18"/>
              </w:rPr>
              <w:t>encounter_id / prenatal_visit_id</w:t>
            </w:r>
          </w:p>
        </w:tc>
        <w:tc>
          <w:tcPr>
            <w:tcW w:type="dxa" w:w="4896"/>
            <w:vAlign w:val="top"/>
          </w:tcPr>
          <w:p>
            <w:pPr>
              <w:spacing w:after="0"/>
            </w:pPr>
            <w:r/>
            <w:r>
              <w:rPr>
                <w:rFonts w:ascii="Arial" w:hAnsi="Arial"/>
                <w:b w:val="0"/>
                <w:sz w:val="18"/>
              </w:rPr>
              <w:t>Included when the decision is encounter-specific.</w:t>
            </w:r>
          </w:p>
        </w:tc>
      </w:tr>
      <w:tr>
        <w:tc>
          <w:tcPr>
            <w:tcW w:type="dxa" w:w="4896"/>
            <w:vAlign w:val="top"/>
          </w:tcPr>
          <w:p>
            <w:pPr>
              <w:spacing w:after="0"/>
            </w:pPr>
            <w:r/>
            <w:r>
              <w:rPr>
                <w:rFonts w:ascii="Arial" w:hAnsi="Arial"/>
                <w:b w:val="0"/>
                <w:sz w:val="18"/>
              </w:rPr>
              <w:t>source_record_type and source_record_id</w:t>
            </w:r>
          </w:p>
        </w:tc>
        <w:tc>
          <w:tcPr>
            <w:tcW w:type="dxa" w:w="4896"/>
            <w:vAlign w:val="top"/>
          </w:tcPr>
          <w:p>
            <w:pPr>
              <w:spacing w:after="0"/>
            </w:pPr>
            <w:r/>
            <w:r>
              <w:rPr>
                <w:rFonts w:ascii="Arial" w:hAnsi="Arial"/>
                <w:b w:val="0"/>
                <w:sz w:val="18"/>
              </w:rPr>
              <w:t>Identifies the exact originating data record.</w:t>
            </w:r>
          </w:p>
        </w:tc>
      </w:tr>
      <w:tr>
        <w:tc>
          <w:tcPr>
            <w:tcW w:type="dxa" w:w="4896"/>
            <w:vAlign w:val="top"/>
          </w:tcPr>
          <w:p>
            <w:pPr>
              <w:spacing w:after="0"/>
            </w:pPr>
            <w:r/>
            <w:r>
              <w:rPr>
                <w:rFonts w:ascii="Arial" w:hAnsi="Arial"/>
                <w:b w:val="0"/>
                <w:sz w:val="18"/>
              </w:rPr>
              <w:t>before_snapshot / after_snapshot</w:t>
            </w:r>
          </w:p>
        </w:tc>
        <w:tc>
          <w:tcPr>
            <w:tcW w:type="dxa" w:w="4896"/>
            <w:vAlign w:val="top"/>
          </w:tcPr>
          <w:p>
            <w:pPr>
              <w:spacing w:after="0"/>
            </w:pPr>
            <w:r/>
            <w:r>
              <w:rPr>
                <w:rFonts w:ascii="Arial" w:hAnsi="Arial"/>
                <w:b w:val="0"/>
                <w:sz w:val="18"/>
              </w:rPr>
              <w:t>Required for controlled record changes; protected against casual viewing.</w:t>
            </w:r>
          </w:p>
        </w:tc>
      </w:tr>
      <w:tr>
        <w:tc>
          <w:tcPr>
            <w:tcW w:type="dxa" w:w="4896"/>
            <w:vAlign w:val="top"/>
          </w:tcPr>
          <w:p>
            <w:pPr>
              <w:spacing w:after="0"/>
            </w:pPr>
            <w:r/>
            <w:r>
              <w:rPr>
                <w:rFonts w:ascii="Arial" w:hAnsi="Arial"/>
                <w:b w:val="0"/>
                <w:sz w:val="18"/>
              </w:rPr>
              <w:t>rule_id and rule_version</w:t>
            </w:r>
          </w:p>
        </w:tc>
        <w:tc>
          <w:tcPr>
            <w:tcW w:type="dxa" w:w="4896"/>
            <w:vAlign w:val="top"/>
          </w:tcPr>
          <w:p>
            <w:pPr>
              <w:spacing w:after="0"/>
            </w:pPr>
            <w:r/>
            <w:r>
              <w:rPr>
                <w:rFonts w:ascii="Arial" w:hAnsi="Arial"/>
                <w:b w:val="0"/>
                <w:sz w:val="18"/>
              </w:rPr>
              <w:t>Required for rule events.</w:t>
            </w:r>
          </w:p>
        </w:tc>
      </w:tr>
      <w:tr>
        <w:tc>
          <w:tcPr>
            <w:tcW w:type="dxa" w:w="4896"/>
            <w:vAlign w:val="top"/>
          </w:tcPr>
          <w:p>
            <w:pPr>
              <w:spacing w:after="0"/>
            </w:pPr>
            <w:r/>
            <w:r>
              <w:rPr>
                <w:rFonts w:ascii="Arial" w:hAnsi="Arial"/>
                <w:b w:val="0"/>
                <w:sz w:val="18"/>
              </w:rPr>
              <w:t>rule_set_version</w:t>
            </w:r>
          </w:p>
        </w:tc>
        <w:tc>
          <w:tcPr>
            <w:tcW w:type="dxa" w:w="4896"/>
            <w:vAlign w:val="top"/>
          </w:tcPr>
          <w:p>
            <w:pPr>
              <w:spacing w:after="0"/>
            </w:pPr>
            <w:r/>
            <w:r>
              <w:rPr>
                <w:rFonts w:ascii="Arial" w:hAnsi="Arial"/>
                <w:b w:val="0"/>
                <w:sz w:val="18"/>
              </w:rPr>
              <w:t>Required for every clinical decision execution.</w:t>
            </w:r>
          </w:p>
        </w:tc>
      </w:tr>
      <w:tr>
        <w:tc>
          <w:tcPr>
            <w:tcW w:type="dxa" w:w="4896"/>
            <w:vAlign w:val="top"/>
          </w:tcPr>
          <w:p>
            <w:pPr>
              <w:spacing w:after="0"/>
            </w:pPr>
            <w:r/>
            <w:r>
              <w:rPr>
                <w:rFonts w:ascii="Arial" w:hAnsi="Arial"/>
                <w:b w:val="0"/>
                <w:sz w:val="18"/>
              </w:rPr>
              <w:t>software_version</w:t>
            </w:r>
          </w:p>
        </w:tc>
        <w:tc>
          <w:tcPr>
            <w:tcW w:type="dxa" w:w="4896"/>
            <w:vAlign w:val="top"/>
          </w:tcPr>
          <w:p>
            <w:pPr>
              <w:spacing w:after="0"/>
            </w:pPr>
            <w:r/>
            <w:r>
              <w:rPr>
                <w:rFonts w:ascii="Arial" w:hAnsi="Arial"/>
                <w:b w:val="0"/>
                <w:sz w:val="18"/>
              </w:rPr>
              <w:t>Application release that executed the logic.</w:t>
            </w:r>
          </w:p>
        </w:tc>
      </w:tr>
      <w:tr>
        <w:tc>
          <w:tcPr>
            <w:tcW w:type="dxa" w:w="4896"/>
            <w:vAlign w:val="top"/>
          </w:tcPr>
          <w:p>
            <w:pPr>
              <w:spacing w:after="0"/>
            </w:pPr>
            <w:r/>
            <w:r>
              <w:rPr>
                <w:rFonts w:ascii="Arial" w:hAnsi="Arial"/>
                <w:b w:val="0"/>
                <w:sz w:val="18"/>
              </w:rPr>
              <w:t>outcome</w:t>
            </w:r>
          </w:p>
        </w:tc>
        <w:tc>
          <w:tcPr>
            <w:tcW w:type="dxa" w:w="4896"/>
            <w:vAlign w:val="top"/>
          </w:tcPr>
          <w:p>
            <w:pPr>
              <w:spacing w:after="0"/>
            </w:pPr>
            <w:r/>
            <w:r>
              <w:rPr>
                <w:rFonts w:ascii="Arial" w:hAnsi="Arial"/>
                <w:b w:val="0"/>
                <w:sz w:val="18"/>
              </w:rPr>
              <w:t>Success, failure, triggered, skipped, incomplete, overridden, or other controlled state.</w:t>
            </w:r>
          </w:p>
        </w:tc>
      </w:tr>
      <w:tr>
        <w:tc>
          <w:tcPr>
            <w:tcW w:type="dxa" w:w="4896"/>
            <w:vAlign w:val="top"/>
          </w:tcPr>
          <w:p>
            <w:pPr>
              <w:spacing w:after="0"/>
            </w:pPr>
            <w:r/>
            <w:r>
              <w:rPr>
                <w:rFonts w:ascii="Arial" w:hAnsi="Arial"/>
                <w:b w:val="0"/>
                <w:sz w:val="18"/>
              </w:rPr>
              <w:t>reason</w:t>
            </w:r>
          </w:p>
        </w:tc>
        <w:tc>
          <w:tcPr>
            <w:tcW w:type="dxa" w:w="4896"/>
            <w:vAlign w:val="top"/>
          </w:tcPr>
          <w:p>
            <w:pPr>
              <w:spacing w:after="0"/>
            </w:pPr>
            <w:r/>
            <w:r>
              <w:rPr>
                <w:rFonts w:ascii="Arial" w:hAnsi="Arial"/>
                <w:b w:val="0"/>
                <w:sz w:val="18"/>
              </w:rPr>
              <w:t>Structured code plus human-readable explanation.</w:t>
            </w:r>
          </w:p>
        </w:tc>
      </w:tr>
      <w:tr>
        <w:tc>
          <w:tcPr>
            <w:tcW w:type="dxa" w:w="4896"/>
            <w:vAlign w:val="top"/>
          </w:tcPr>
          <w:p>
            <w:pPr>
              <w:spacing w:after="0"/>
            </w:pPr>
            <w:r/>
            <w:r>
              <w:rPr>
                <w:rFonts w:ascii="Arial" w:hAnsi="Arial"/>
                <w:b w:val="0"/>
                <w:sz w:val="18"/>
              </w:rPr>
              <w:t>correlation_id</w:t>
            </w:r>
          </w:p>
        </w:tc>
        <w:tc>
          <w:tcPr>
            <w:tcW w:type="dxa" w:w="4896"/>
            <w:vAlign w:val="top"/>
          </w:tcPr>
          <w:p>
            <w:pPr>
              <w:spacing w:after="0"/>
            </w:pPr>
            <w:r/>
            <w:r>
              <w:rPr>
                <w:rFonts w:ascii="Arial" w:hAnsi="Arial"/>
                <w:b w:val="0"/>
                <w:sz w:val="18"/>
              </w:rPr>
              <w:t>Links related application, queue, and integration activity.</w:t>
            </w:r>
          </w:p>
        </w:tc>
      </w:tr>
      <w:tr>
        <w:tc>
          <w:tcPr>
            <w:tcW w:type="dxa" w:w="4896"/>
            <w:vAlign w:val="top"/>
          </w:tcPr>
          <w:p>
            <w:pPr>
              <w:spacing w:after="0"/>
            </w:pPr>
            <w:r/>
            <w:r>
              <w:rPr>
                <w:rFonts w:ascii="Arial" w:hAnsi="Arial"/>
                <w:b w:val="0"/>
                <w:sz w:val="18"/>
              </w:rPr>
              <w:t>integrity_metadata</w:t>
            </w:r>
          </w:p>
        </w:tc>
        <w:tc>
          <w:tcPr>
            <w:tcW w:type="dxa" w:w="4896"/>
            <w:vAlign w:val="top"/>
          </w:tcPr>
          <w:p>
            <w:pPr>
              <w:spacing w:after="0"/>
            </w:pPr>
            <w:r/>
            <w:r>
              <w:rPr>
                <w:rFonts w:ascii="Arial" w:hAnsi="Arial"/>
                <w:b w:val="0"/>
                <w:sz w:val="18"/>
              </w:rPr>
              <w:t>Optional hash, signature, sequence, or append-only control used to detect tampering.</w:t>
            </w:r>
          </w:p>
        </w:tc>
      </w:tr>
    </w:tbl>
    <w:p/>
    <w:p>
      <w:pPr>
        <w:pStyle w:val="Heading1"/>
      </w:pPr>
      <w:r>
        <w:t>6.0 Decision Provenance Package</w:t>
      </w:r>
    </w:p>
    <w:p>
      <w:r>
        <w:t>Each completed assessment shall produce a provenance package. This package is the authoritative explanation of what the engine did during that execution. It should be stored independently from mutable patient-facing summary fields so that changes to a display page cannot alter the historical reasoning record.</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Provenance layer</w:t>
            </w:r>
          </w:p>
        </w:tc>
        <w:tc>
          <w:tcPr>
            <w:tcW w:type="dxa" w:w="4896"/>
            <w:shd w:fill="D9EAF7"/>
            <w:vAlign w:val="center"/>
          </w:tcPr>
          <w:p>
            <w:pPr>
              <w:spacing w:after="0"/>
            </w:pPr>
            <w:r/>
            <w:r>
              <w:rPr>
                <w:rFonts w:ascii="Arial" w:hAnsi="Arial"/>
                <w:b/>
                <w:sz w:val="18"/>
              </w:rPr>
              <w:t>Required contents</w:t>
            </w:r>
          </w:p>
        </w:tc>
      </w:tr>
      <w:tr>
        <w:tc>
          <w:tcPr>
            <w:tcW w:type="dxa" w:w="4896"/>
            <w:vAlign w:val="top"/>
          </w:tcPr>
          <w:p>
            <w:pPr>
              <w:spacing w:after="0"/>
            </w:pPr>
            <w:r/>
            <w:r>
              <w:rPr>
                <w:rFonts w:ascii="Arial" w:hAnsi="Arial"/>
                <w:b w:val="0"/>
                <w:sz w:val="18"/>
              </w:rPr>
              <w:t>Input snapshot</w:t>
            </w:r>
          </w:p>
        </w:tc>
        <w:tc>
          <w:tcPr>
            <w:tcW w:type="dxa" w:w="4896"/>
            <w:vAlign w:val="top"/>
          </w:tcPr>
          <w:p>
            <w:pPr>
              <w:spacing w:after="0"/>
            </w:pPr>
            <w:r/>
            <w:r>
              <w:rPr>
                <w:rFonts w:ascii="Arial" w:hAnsi="Arial"/>
                <w:b w:val="0"/>
                <w:sz w:val="18"/>
              </w:rPr>
              <w:t>Exact structured values used, source IDs, timestamps, units, status, and data-quality markers.</w:t>
            </w:r>
          </w:p>
        </w:tc>
      </w:tr>
      <w:tr>
        <w:tc>
          <w:tcPr>
            <w:tcW w:type="dxa" w:w="4896"/>
            <w:vAlign w:val="top"/>
          </w:tcPr>
          <w:p>
            <w:pPr>
              <w:spacing w:after="0"/>
            </w:pPr>
            <w:r/>
            <w:r>
              <w:rPr>
                <w:rFonts w:ascii="Arial" w:hAnsi="Arial"/>
                <w:b w:val="0"/>
                <w:sz w:val="18"/>
              </w:rPr>
              <w:t>Validation layer</w:t>
            </w:r>
          </w:p>
        </w:tc>
        <w:tc>
          <w:tcPr>
            <w:tcW w:type="dxa" w:w="4896"/>
            <w:vAlign w:val="top"/>
          </w:tcPr>
          <w:p>
            <w:pPr>
              <w:spacing w:after="0"/>
            </w:pPr>
            <w:r/>
            <w:r>
              <w:rPr>
                <w:rFonts w:ascii="Arial" w:hAnsi="Arial"/>
                <w:b w:val="0"/>
                <w:sz w:val="18"/>
              </w:rPr>
              <w:t>Completeness, format, plausibility, conflict, and freshness results.</w:t>
            </w:r>
          </w:p>
        </w:tc>
      </w:tr>
      <w:tr>
        <w:tc>
          <w:tcPr>
            <w:tcW w:type="dxa" w:w="4896"/>
            <w:vAlign w:val="top"/>
          </w:tcPr>
          <w:p>
            <w:pPr>
              <w:spacing w:after="0"/>
            </w:pPr>
            <w:r/>
            <w:r>
              <w:rPr>
                <w:rFonts w:ascii="Arial" w:hAnsi="Arial"/>
                <w:b w:val="0"/>
                <w:sz w:val="18"/>
              </w:rPr>
              <w:t>Knowledge layer</w:t>
            </w:r>
          </w:p>
        </w:tc>
        <w:tc>
          <w:tcPr>
            <w:tcW w:type="dxa" w:w="4896"/>
            <w:vAlign w:val="top"/>
          </w:tcPr>
          <w:p>
            <w:pPr>
              <w:spacing w:after="0"/>
            </w:pPr>
            <w:r/>
            <w:r>
              <w:rPr>
                <w:rFonts w:ascii="Arial" w:hAnsi="Arial"/>
                <w:b w:val="0"/>
                <w:sz w:val="18"/>
              </w:rPr>
              <w:t>Rules evaluated, inputs used, outcomes, rule versions, and evidence links.</w:t>
            </w:r>
          </w:p>
        </w:tc>
      </w:tr>
      <w:tr>
        <w:tc>
          <w:tcPr>
            <w:tcW w:type="dxa" w:w="4896"/>
            <w:vAlign w:val="top"/>
          </w:tcPr>
          <w:p>
            <w:pPr>
              <w:spacing w:after="0"/>
            </w:pPr>
            <w:r/>
            <w:r>
              <w:rPr>
                <w:rFonts w:ascii="Arial" w:hAnsi="Arial"/>
                <w:b w:val="0"/>
                <w:sz w:val="18"/>
              </w:rPr>
              <w:t>Interaction layer</w:t>
            </w:r>
          </w:p>
        </w:tc>
        <w:tc>
          <w:tcPr>
            <w:tcW w:type="dxa" w:w="4896"/>
            <w:vAlign w:val="top"/>
          </w:tcPr>
          <w:p>
            <w:pPr>
              <w:spacing w:after="0"/>
            </w:pPr>
            <w:r/>
            <w:r>
              <w:rPr>
                <w:rFonts w:ascii="Arial" w:hAnsi="Arial"/>
                <w:b w:val="0"/>
                <w:sz w:val="18"/>
              </w:rPr>
              <w:t>Combinations detected and their effect on priority or recommendation.</w:t>
            </w:r>
          </w:p>
        </w:tc>
      </w:tr>
      <w:tr>
        <w:tc>
          <w:tcPr>
            <w:tcW w:type="dxa" w:w="4896"/>
            <w:vAlign w:val="top"/>
          </w:tcPr>
          <w:p>
            <w:pPr>
              <w:spacing w:after="0"/>
            </w:pPr>
            <w:r/>
            <w:r>
              <w:rPr>
                <w:rFonts w:ascii="Arial" w:hAnsi="Arial"/>
                <w:b w:val="0"/>
                <w:sz w:val="18"/>
              </w:rPr>
              <w:t>Conflict layer</w:t>
            </w:r>
          </w:p>
        </w:tc>
        <w:tc>
          <w:tcPr>
            <w:tcW w:type="dxa" w:w="4896"/>
            <w:vAlign w:val="top"/>
          </w:tcPr>
          <w:p>
            <w:pPr>
              <w:spacing w:after="0"/>
            </w:pPr>
            <w:r/>
            <w:r>
              <w:rPr>
                <w:rFonts w:ascii="Arial" w:hAnsi="Arial"/>
                <w:b w:val="0"/>
                <w:sz w:val="18"/>
              </w:rPr>
              <w:t>Competing outputs, precedence logic, and unresolved uncertainty.</w:t>
            </w:r>
          </w:p>
        </w:tc>
      </w:tr>
      <w:tr>
        <w:tc>
          <w:tcPr>
            <w:tcW w:type="dxa" w:w="4896"/>
            <w:vAlign w:val="top"/>
          </w:tcPr>
          <w:p>
            <w:pPr>
              <w:spacing w:after="0"/>
            </w:pPr>
            <w:r/>
            <w:r>
              <w:rPr>
                <w:rFonts w:ascii="Arial" w:hAnsi="Arial"/>
                <w:b w:val="0"/>
                <w:sz w:val="18"/>
              </w:rPr>
              <w:t>Emergency layer</w:t>
            </w:r>
          </w:p>
        </w:tc>
        <w:tc>
          <w:tcPr>
            <w:tcW w:type="dxa" w:w="4896"/>
            <w:vAlign w:val="top"/>
          </w:tcPr>
          <w:p>
            <w:pPr>
              <w:spacing w:after="0"/>
            </w:pPr>
            <w:r/>
            <w:r>
              <w:rPr>
                <w:rFonts w:ascii="Arial" w:hAnsi="Arial"/>
                <w:b w:val="0"/>
                <w:sz w:val="18"/>
              </w:rPr>
              <w:t>Emergency triggers, interruption point, and escalation pathway.</w:t>
            </w:r>
          </w:p>
        </w:tc>
      </w:tr>
      <w:tr>
        <w:tc>
          <w:tcPr>
            <w:tcW w:type="dxa" w:w="4896"/>
            <w:vAlign w:val="top"/>
          </w:tcPr>
          <w:p>
            <w:pPr>
              <w:spacing w:after="0"/>
            </w:pPr>
            <w:r/>
            <w:r>
              <w:rPr>
                <w:rFonts w:ascii="Arial" w:hAnsi="Arial"/>
                <w:b w:val="0"/>
                <w:sz w:val="18"/>
              </w:rPr>
              <w:t>Recommendation layer</w:t>
            </w:r>
          </w:p>
        </w:tc>
        <w:tc>
          <w:tcPr>
            <w:tcW w:type="dxa" w:w="4896"/>
            <w:vAlign w:val="top"/>
          </w:tcPr>
          <w:p>
            <w:pPr>
              <w:spacing w:after="0"/>
            </w:pPr>
            <w:r/>
            <w:r>
              <w:rPr>
                <w:rFonts w:ascii="Arial" w:hAnsi="Arial"/>
                <w:b w:val="0"/>
                <w:sz w:val="18"/>
              </w:rPr>
              <w:t>Recommendation IDs, priority, wording, referral state, and limitations.</w:t>
            </w:r>
          </w:p>
        </w:tc>
      </w:tr>
      <w:tr>
        <w:tc>
          <w:tcPr>
            <w:tcW w:type="dxa" w:w="4896"/>
            <w:vAlign w:val="top"/>
          </w:tcPr>
          <w:p>
            <w:pPr>
              <w:spacing w:after="0"/>
            </w:pPr>
            <w:r/>
            <w:r>
              <w:rPr>
                <w:rFonts w:ascii="Arial" w:hAnsi="Arial"/>
                <w:b w:val="0"/>
                <w:sz w:val="18"/>
              </w:rPr>
              <w:t>Explainability layer</w:t>
            </w:r>
          </w:p>
        </w:tc>
        <w:tc>
          <w:tcPr>
            <w:tcW w:type="dxa" w:w="4896"/>
            <w:vAlign w:val="top"/>
          </w:tcPr>
          <w:p>
            <w:pPr>
              <w:spacing w:after="0"/>
            </w:pPr>
            <w:r/>
            <w:r>
              <w:rPr>
                <w:rFonts w:ascii="Arial" w:hAnsi="Arial"/>
                <w:b w:val="0"/>
                <w:sz w:val="18"/>
              </w:rPr>
              <w:t>Clinician-readable reasoning narrative.</w:t>
            </w:r>
          </w:p>
        </w:tc>
      </w:tr>
      <w:tr>
        <w:tc>
          <w:tcPr>
            <w:tcW w:type="dxa" w:w="4896"/>
            <w:vAlign w:val="top"/>
          </w:tcPr>
          <w:p>
            <w:pPr>
              <w:spacing w:after="0"/>
            </w:pPr>
            <w:r/>
            <w:r>
              <w:rPr>
                <w:rFonts w:ascii="Arial" w:hAnsi="Arial"/>
                <w:b w:val="0"/>
                <w:sz w:val="18"/>
              </w:rPr>
              <w:t>Human action layer</w:t>
            </w:r>
          </w:p>
        </w:tc>
        <w:tc>
          <w:tcPr>
            <w:tcW w:type="dxa" w:w="4896"/>
            <w:vAlign w:val="top"/>
          </w:tcPr>
          <w:p>
            <w:pPr>
              <w:spacing w:after="0"/>
            </w:pPr>
            <w:r/>
            <w:r>
              <w:rPr>
                <w:rFonts w:ascii="Arial" w:hAnsi="Arial"/>
                <w:b w:val="0"/>
                <w:sz w:val="18"/>
              </w:rPr>
              <w:t>Acknowledgement, override, referral creation, notes, and follow-up actions.</w:t>
            </w:r>
          </w:p>
        </w:tc>
      </w:tr>
      <w:tr>
        <w:tc>
          <w:tcPr>
            <w:tcW w:type="dxa" w:w="4896"/>
            <w:vAlign w:val="top"/>
          </w:tcPr>
          <w:p>
            <w:pPr>
              <w:spacing w:after="0"/>
            </w:pPr>
            <w:r/>
            <w:r>
              <w:rPr>
                <w:rFonts w:ascii="Arial" w:hAnsi="Arial"/>
                <w:b w:val="0"/>
                <w:sz w:val="18"/>
              </w:rPr>
              <w:t>Technical layer</w:t>
            </w:r>
          </w:p>
        </w:tc>
        <w:tc>
          <w:tcPr>
            <w:tcW w:type="dxa" w:w="4896"/>
            <w:vAlign w:val="top"/>
          </w:tcPr>
          <w:p>
            <w:pPr>
              <w:spacing w:after="0"/>
            </w:pPr>
            <w:r/>
            <w:r>
              <w:rPr>
                <w:rFonts w:ascii="Arial" w:hAnsi="Arial"/>
                <w:b w:val="0"/>
                <w:sz w:val="18"/>
              </w:rPr>
              <w:t>Software build, rule-set release, execution duration, failure states, and correlation ID.</w:t>
            </w:r>
          </w:p>
        </w:tc>
      </w:tr>
    </w:tbl>
    <w:p/>
    <w:p>
      <w:pPr>
        <w:pStyle w:val="Heading1"/>
      </w:pPr>
      <w:r>
        <w:t>7.0 Rule and Knowledge Version Model</w:t>
      </w:r>
    </w:p>
    <w:p>
      <w:r>
        <w:t>A rule must have a stable identifier and an immutable published version. The stable identifier represents the clinical concept, while the version identifies the exact computable form. For example, BP-HYP-001 may identify a blood-pressure rule family, while BP-HYP-001 v1.2.0 identifies one approved expression, explanation, and evidence mapping.</w:t>
      </w:r>
    </w:p>
    <w:p>
      <w:pPr>
        <w:pStyle w:val="Heading2"/>
      </w:pPr>
      <w:r>
        <w:t>7.1 Recommended Version Components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D9EAF7"/>
            <w:vAlign w:val="center"/>
          </w:tcPr>
          <w:p>
            <w:pPr>
              <w:spacing w:after="0"/>
            </w:pPr>
            <w:r/>
            <w:r>
              <w:rPr>
                <w:rFonts w:ascii="Arial" w:hAnsi="Arial"/>
                <w:b/>
                <w:sz w:val="18"/>
              </w:rPr>
              <w:t>Component</w:t>
            </w:r>
          </w:p>
        </w:tc>
        <w:tc>
          <w:tcPr>
            <w:tcW w:type="dxa" w:w="3264"/>
            <w:shd w:fill="D9EAF7"/>
            <w:vAlign w:val="center"/>
          </w:tcPr>
          <w:p>
            <w:pPr>
              <w:spacing w:after="0"/>
            </w:pPr>
            <w:r/>
            <w:r>
              <w:rPr>
                <w:rFonts w:ascii="Arial" w:hAnsi="Arial"/>
                <w:b/>
                <w:sz w:val="18"/>
              </w:rPr>
              <w:t>Example</w:t>
            </w:r>
          </w:p>
        </w:tc>
        <w:tc>
          <w:tcPr>
            <w:tcW w:type="dxa" w:w="3264"/>
            <w:shd w:fill="D9EAF7"/>
            <w:vAlign w:val="center"/>
          </w:tcPr>
          <w:p>
            <w:pPr>
              <w:spacing w:after="0"/>
            </w:pPr>
            <w:r/>
            <w:r>
              <w:rPr>
                <w:rFonts w:ascii="Arial" w:hAnsi="Arial"/>
                <w:b/>
                <w:sz w:val="18"/>
              </w:rPr>
              <w:t>Purpose</w:t>
            </w:r>
          </w:p>
        </w:tc>
      </w:tr>
      <w:tr>
        <w:tc>
          <w:tcPr>
            <w:tcW w:type="dxa" w:w="3264"/>
            <w:vAlign w:val="top"/>
          </w:tcPr>
          <w:p>
            <w:pPr>
              <w:spacing w:after="0"/>
            </w:pPr>
            <w:r/>
            <w:r>
              <w:rPr>
                <w:rFonts w:ascii="Arial" w:hAnsi="Arial"/>
                <w:b w:val="0"/>
                <w:sz w:val="18"/>
              </w:rPr>
              <w:t>Stable rule ID</w:t>
            </w:r>
          </w:p>
        </w:tc>
        <w:tc>
          <w:tcPr>
            <w:tcW w:type="dxa" w:w="3264"/>
            <w:vAlign w:val="top"/>
          </w:tcPr>
          <w:p>
            <w:pPr>
              <w:spacing w:after="0"/>
            </w:pPr>
            <w:r/>
            <w:r>
              <w:rPr>
                <w:rFonts w:ascii="Arial" w:hAnsi="Arial"/>
                <w:b w:val="0"/>
                <w:sz w:val="18"/>
              </w:rPr>
              <w:t>BP-HYP-001</w:t>
            </w:r>
          </w:p>
        </w:tc>
        <w:tc>
          <w:tcPr>
            <w:tcW w:type="dxa" w:w="3264"/>
            <w:vAlign w:val="top"/>
          </w:tcPr>
          <w:p>
            <w:pPr>
              <w:spacing w:after="0"/>
            </w:pPr>
            <w:r/>
            <w:r>
              <w:rPr>
                <w:rFonts w:ascii="Arial" w:hAnsi="Arial"/>
                <w:b w:val="0"/>
                <w:sz w:val="18"/>
              </w:rPr>
              <w:t>Keeps the clinical concept recognizable across versions.</w:t>
            </w:r>
          </w:p>
        </w:tc>
      </w:tr>
      <w:tr>
        <w:tc>
          <w:tcPr>
            <w:tcW w:type="dxa" w:w="3264"/>
            <w:vAlign w:val="top"/>
          </w:tcPr>
          <w:p>
            <w:pPr>
              <w:spacing w:after="0"/>
            </w:pPr>
            <w:r/>
            <w:r>
              <w:rPr>
                <w:rFonts w:ascii="Arial" w:hAnsi="Arial"/>
                <w:b w:val="0"/>
                <w:sz w:val="18"/>
              </w:rPr>
              <w:t>Rule version</w:t>
            </w:r>
          </w:p>
        </w:tc>
        <w:tc>
          <w:tcPr>
            <w:tcW w:type="dxa" w:w="3264"/>
            <w:vAlign w:val="top"/>
          </w:tcPr>
          <w:p>
            <w:pPr>
              <w:spacing w:after="0"/>
            </w:pPr>
            <w:r/>
            <w:r>
              <w:rPr>
                <w:rFonts w:ascii="Arial" w:hAnsi="Arial"/>
                <w:b w:val="0"/>
                <w:sz w:val="18"/>
              </w:rPr>
              <w:t>1.2.0</w:t>
            </w:r>
          </w:p>
        </w:tc>
        <w:tc>
          <w:tcPr>
            <w:tcW w:type="dxa" w:w="3264"/>
            <w:vAlign w:val="top"/>
          </w:tcPr>
          <w:p>
            <w:pPr>
              <w:spacing w:after="0"/>
            </w:pPr>
            <w:r/>
            <w:r>
              <w:rPr>
                <w:rFonts w:ascii="Arial" w:hAnsi="Arial"/>
                <w:b w:val="0"/>
                <w:sz w:val="18"/>
              </w:rPr>
              <w:t>Identifies the exact computable implementation.</w:t>
            </w:r>
          </w:p>
        </w:tc>
      </w:tr>
      <w:tr>
        <w:tc>
          <w:tcPr>
            <w:tcW w:type="dxa" w:w="3264"/>
            <w:vAlign w:val="top"/>
          </w:tcPr>
          <w:p>
            <w:pPr>
              <w:spacing w:after="0"/>
            </w:pPr>
            <w:r/>
            <w:r>
              <w:rPr>
                <w:rFonts w:ascii="Arial" w:hAnsi="Arial"/>
                <w:b w:val="0"/>
                <w:sz w:val="18"/>
              </w:rPr>
              <w:t>Rule-set version</w:t>
            </w:r>
          </w:p>
        </w:tc>
        <w:tc>
          <w:tcPr>
            <w:tcW w:type="dxa" w:w="3264"/>
            <w:vAlign w:val="top"/>
          </w:tcPr>
          <w:p>
            <w:pPr>
              <w:spacing w:after="0"/>
            </w:pPr>
            <w:r/>
            <w:r>
              <w:rPr>
                <w:rFonts w:ascii="Arial" w:hAnsi="Arial"/>
                <w:b w:val="0"/>
                <w:sz w:val="18"/>
              </w:rPr>
              <w:t>D2-RULESET-1.0.0</w:t>
            </w:r>
          </w:p>
        </w:tc>
        <w:tc>
          <w:tcPr>
            <w:tcW w:type="dxa" w:w="3264"/>
            <w:vAlign w:val="top"/>
          </w:tcPr>
          <w:p>
            <w:pPr>
              <w:spacing w:after="0"/>
            </w:pPr>
            <w:r/>
            <w:r>
              <w:rPr>
                <w:rFonts w:ascii="Arial" w:hAnsi="Arial"/>
                <w:b w:val="0"/>
                <w:sz w:val="18"/>
              </w:rPr>
              <w:t>Identifies a compatible release of all active rules.</w:t>
            </w:r>
          </w:p>
        </w:tc>
      </w:tr>
      <w:tr>
        <w:tc>
          <w:tcPr>
            <w:tcW w:type="dxa" w:w="3264"/>
            <w:vAlign w:val="top"/>
          </w:tcPr>
          <w:p>
            <w:pPr>
              <w:spacing w:after="0"/>
            </w:pPr>
            <w:r/>
            <w:r>
              <w:rPr>
                <w:rFonts w:ascii="Arial" w:hAnsi="Arial"/>
                <w:b w:val="0"/>
                <w:sz w:val="18"/>
              </w:rPr>
              <w:t>Evidence version</w:t>
            </w:r>
          </w:p>
        </w:tc>
        <w:tc>
          <w:tcPr>
            <w:tcW w:type="dxa" w:w="3264"/>
            <w:vAlign w:val="top"/>
          </w:tcPr>
          <w:p>
            <w:pPr>
              <w:spacing w:after="0"/>
            </w:pPr>
            <w:r/>
            <w:r>
              <w:rPr>
                <w:rFonts w:ascii="Arial" w:hAnsi="Arial"/>
                <w:b w:val="0"/>
                <w:sz w:val="18"/>
              </w:rPr>
              <w:t>WHO-ANC-2021 / local adaptation 2026-01</w:t>
            </w:r>
          </w:p>
        </w:tc>
        <w:tc>
          <w:tcPr>
            <w:tcW w:type="dxa" w:w="3264"/>
            <w:vAlign w:val="top"/>
          </w:tcPr>
          <w:p>
            <w:pPr>
              <w:spacing w:after="0"/>
            </w:pPr>
            <w:r/>
            <w:r>
              <w:rPr>
                <w:rFonts w:ascii="Arial" w:hAnsi="Arial"/>
                <w:b w:val="0"/>
                <w:sz w:val="18"/>
              </w:rPr>
              <w:t>Identifies the source and local adaptation state.</w:t>
            </w:r>
          </w:p>
        </w:tc>
      </w:tr>
      <w:tr>
        <w:tc>
          <w:tcPr>
            <w:tcW w:type="dxa" w:w="3264"/>
            <w:vAlign w:val="top"/>
          </w:tcPr>
          <w:p>
            <w:pPr>
              <w:spacing w:after="0"/>
            </w:pPr>
            <w:r/>
            <w:r>
              <w:rPr>
                <w:rFonts w:ascii="Arial" w:hAnsi="Arial"/>
                <w:b w:val="0"/>
                <w:sz w:val="18"/>
              </w:rPr>
              <w:t>Recommendation-template version</w:t>
            </w:r>
          </w:p>
        </w:tc>
        <w:tc>
          <w:tcPr>
            <w:tcW w:type="dxa" w:w="3264"/>
            <w:vAlign w:val="top"/>
          </w:tcPr>
          <w:p>
            <w:pPr>
              <w:spacing w:after="0"/>
            </w:pPr>
            <w:r/>
            <w:r>
              <w:rPr>
                <w:rFonts w:ascii="Arial" w:hAnsi="Arial"/>
                <w:b w:val="0"/>
                <w:sz w:val="18"/>
              </w:rPr>
              <w:t>REC-REFERRAL-URGENT v1.1</w:t>
            </w:r>
          </w:p>
        </w:tc>
        <w:tc>
          <w:tcPr>
            <w:tcW w:type="dxa" w:w="3264"/>
            <w:vAlign w:val="top"/>
          </w:tcPr>
          <w:p>
            <w:pPr>
              <w:spacing w:after="0"/>
            </w:pPr>
            <w:r/>
            <w:r>
              <w:rPr>
                <w:rFonts w:ascii="Arial" w:hAnsi="Arial"/>
                <w:b w:val="0"/>
                <w:sz w:val="18"/>
              </w:rPr>
              <w:t>Preserves exact user-facing wording.</w:t>
            </w:r>
          </w:p>
        </w:tc>
      </w:tr>
      <w:tr>
        <w:tc>
          <w:tcPr>
            <w:tcW w:type="dxa" w:w="3264"/>
            <w:vAlign w:val="top"/>
          </w:tcPr>
          <w:p>
            <w:pPr>
              <w:spacing w:after="0"/>
            </w:pPr>
            <w:r/>
            <w:r>
              <w:rPr>
                <w:rFonts w:ascii="Arial" w:hAnsi="Arial"/>
                <w:b w:val="0"/>
                <w:sz w:val="18"/>
              </w:rPr>
              <w:t>Software version</w:t>
            </w:r>
          </w:p>
        </w:tc>
        <w:tc>
          <w:tcPr>
            <w:tcW w:type="dxa" w:w="3264"/>
            <w:vAlign w:val="top"/>
          </w:tcPr>
          <w:p>
            <w:pPr>
              <w:spacing w:after="0"/>
            </w:pPr>
            <w:r/>
            <w:r>
              <w:rPr>
                <w:rFonts w:ascii="Arial" w:hAnsi="Arial"/>
                <w:b w:val="0"/>
                <w:sz w:val="18"/>
              </w:rPr>
              <w:t>maternity-cdss 2.0.0</w:t>
            </w:r>
          </w:p>
        </w:tc>
        <w:tc>
          <w:tcPr>
            <w:tcW w:type="dxa" w:w="3264"/>
            <w:vAlign w:val="top"/>
          </w:tcPr>
          <w:p>
            <w:pPr>
              <w:spacing w:after="0"/>
            </w:pPr>
            <w:r/>
            <w:r>
              <w:rPr>
                <w:rFonts w:ascii="Arial" w:hAnsi="Arial"/>
                <w:b w:val="0"/>
                <w:sz w:val="18"/>
              </w:rPr>
              <w:t>Identifies the executing application build.</w:t>
            </w:r>
          </w:p>
        </w:tc>
      </w:tr>
      <w:tr>
        <w:tc>
          <w:tcPr>
            <w:tcW w:type="dxa" w:w="3264"/>
            <w:vAlign w:val="top"/>
          </w:tcPr>
          <w:p>
            <w:pPr>
              <w:spacing w:after="0"/>
            </w:pPr>
            <w:r/>
            <w:r>
              <w:rPr>
                <w:rFonts w:ascii="Arial" w:hAnsi="Arial"/>
                <w:b w:val="0"/>
                <w:sz w:val="18"/>
              </w:rPr>
              <w:t>Database schema version</w:t>
            </w:r>
          </w:p>
        </w:tc>
        <w:tc>
          <w:tcPr>
            <w:tcW w:type="dxa" w:w="3264"/>
            <w:vAlign w:val="top"/>
          </w:tcPr>
          <w:p>
            <w:pPr>
              <w:spacing w:after="0"/>
            </w:pPr>
            <w:r/>
            <w:r>
              <w:rPr>
                <w:rFonts w:ascii="Arial" w:hAnsi="Arial"/>
                <w:b w:val="0"/>
                <w:sz w:val="18"/>
              </w:rPr>
              <w:t>migration batch or schema release</w:t>
            </w:r>
          </w:p>
        </w:tc>
        <w:tc>
          <w:tcPr>
            <w:tcW w:type="dxa" w:w="3264"/>
            <w:vAlign w:val="top"/>
          </w:tcPr>
          <w:p>
            <w:pPr>
              <w:spacing w:after="0"/>
            </w:pPr>
            <w:r/>
            <w:r>
              <w:rPr>
                <w:rFonts w:ascii="Arial" w:hAnsi="Arial"/>
                <w:b w:val="0"/>
                <w:sz w:val="18"/>
              </w:rPr>
              <w:t>Supports reproducibility after structural changes.</w:t>
            </w:r>
          </w:p>
        </w:tc>
      </w:tr>
    </w:tbl>
    <w:p/>
    <w:p>
      <w:pPr>
        <w:pStyle w:val="Heading2"/>
      </w:pPr>
      <w:r>
        <w:t>7.2 Semantic Meaning of Changes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D9EAF7"/>
            <w:vAlign w:val="center"/>
          </w:tcPr>
          <w:p>
            <w:pPr>
              <w:spacing w:after="0"/>
            </w:pPr>
            <w:r/>
            <w:r>
              <w:rPr>
                <w:rFonts w:ascii="Arial" w:hAnsi="Arial"/>
                <w:b/>
                <w:sz w:val="18"/>
              </w:rPr>
              <w:t>Change class</w:t>
            </w:r>
          </w:p>
        </w:tc>
        <w:tc>
          <w:tcPr>
            <w:tcW w:type="dxa" w:w="3264"/>
            <w:shd w:fill="D9EAF7"/>
            <w:vAlign w:val="center"/>
          </w:tcPr>
          <w:p>
            <w:pPr>
              <w:spacing w:after="0"/>
            </w:pPr>
            <w:r/>
            <w:r>
              <w:rPr>
                <w:rFonts w:ascii="Arial" w:hAnsi="Arial"/>
                <w:b/>
                <w:sz w:val="18"/>
              </w:rPr>
              <w:t>Version effect</w:t>
            </w:r>
          </w:p>
        </w:tc>
        <w:tc>
          <w:tcPr>
            <w:tcW w:type="dxa" w:w="3264"/>
            <w:shd w:fill="D9EAF7"/>
            <w:vAlign w:val="center"/>
          </w:tcPr>
          <w:p>
            <w:pPr>
              <w:spacing w:after="0"/>
            </w:pPr>
            <w:r/>
            <w:r>
              <w:rPr>
                <w:rFonts w:ascii="Arial" w:hAnsi="Arial"/>
                <w:b/>
                <w:sz w:val="18"/>
              </w:rPr>
              <w:t>Examples</w:t>
            </w:r>
          </w:p>
        </w:tc>
      </w:tr>
      <w:tr>
        <w:tc>
          <w:tcPr>
            <w:tcW w:type="dxa" w:w="3264"/>
            <w:vAlign w:val="top"/>
          </w:tcPr>
          <w:p>
            <w:pPr>
              <w:spacing w:after="0"/>
            </w:pPr>
            <w:r/>
            <w:r>
              <w:rPr>
                <w:rFonts w:ascii="Arial" w:hAnsi="Arial"/>
                <w:b w:val="0"/>
                <w:sz w:val="18"/>
              </w:rPr>
              <w:t>Major</w:t>
            </w:r>
          </w:p>
        </w:tc>
        <w:tc>
          <w:tcPr>
            <w:tcW w:type="dxa" w:w="3264"/>
            <w:vAlign w:val="top"/>
          </w:tcPr>
          <w:p>
            <w:pPr>
              <w:spacing w:after="0"/>
            </w:pPr>
            <w:r/>
            <w:r>
              <w:rPr>
                <w:rFonts w:ascii="Arial" w:hAnsi="Arial"/>
                <w:b w:val="0"/>
                <w:sz w:val="18"/>
              </w:rPr>
              <w:t>Increment first number</w:t>
            </w:r>
          </w:p>
        </w:tc>
        <w:tc>
          <w:tcPr>
            <w:tcW w:type="dxa" w:w="3264"/>
            <w:vAlign w:val="top"/>
          </w:tcPr>
          <w:p>
            <w:pPr>
              <w:spacing w:after="0"/>
            </w:pPr>
            <w:r/>
            <w:r>
              <w:rPr>
                <w:rFonts w:ascii="Arial" w:hAnsi="Arial"/>
                <w:b w:val="0"/>
                <w:sz w:val="18"/>
              </w:rPr>
              <w:t>Change in decision meaning, precedence, clinical scope, or incompatible data requirements.</w:t>
            </w:r>
          </w:p>
        </w:tc>
      </w:tr>
      <w:tr>
        <w:tc>
          <w:tcPr>
            <w:tcW w:type="dxa" w:w="3264"/>
            <w:vAlign w:val="top"/>
          </w:tcPr>
          <w:p>
            <w:pPr>
              <w:spacing w:after="0"/>
            </w:pPr>
            <w:r/>
            <w:r>
              <w:rPr>
                <w:rFonts w:ascii="Arial" w:hAnsi="Arial"/>
                <w:b w:val="0"/>
                <w:sz w:val="18"/>
              </w:rPr>
              <w:t>Minor</w:t>
            </w:r>
          </w:p>
        </w:tc>
        <w:tc>
          <w:tcPr>
            <w:tcW w:type="dxa" w:w="3264"/>
            <w:vAlign w:val="top"/>
          </w:tcPr>
          <w:p>
            <w:pPr>
              <w:spacing w:after="0"/>
            </w:pPr>
            <w:r/>
            <w:r>
              <w:rPr>
                <w:rFonts w:ascii="Arial" w:hAnsi="Arial"/>
                <w:b w:val="0"/>
                <w:sz w:val="18"/>
              </w:rPr>
              <w:t>Increment second number</w:t>
            </w:r>
          </w:p>
        </w:tc>
        <w:tc>
          <w:tcPr>
            <w:tcW w:type="dxa" w:w="3264"/>
            <w:vAlign w:val="top"/>
          </w:tcPr>
          <w:p>
            <w:pPr>
              <w:spacing w:after="0"/>
            </w:pPr>
            <w:r/>
            <w:r>
              <w:rPr>
                <w:rFonts w:ascii="Arial" w:hAnsi="Arial"/>
                <w:b w:val="0"/>
                <w:sz w:val="18"/>
              </w:rPr>
              <w:t>Backward-compatible addition of a rule, explanation field, or validated interaction.</w:t>
            </w:r>
          </w:p>
        </w:tc>
      </w:tr>
      <w:tr>
        <w:tc>
          <w:tcPr>
            <w:tcW w:type="dxa" w:w="3264"/>
            <w:vAlign w:val="top"/>
          </w:tcPr>
          <w:p>
            <w:pPr>
              <w:spacing w:after="0"/>
            </w:pPr>
            <w:r/>
            <w:r>
              <w:rPr>
                <w:rFonts w:ascii="Arial" w:hAnsi="Arial"/>
                <w:b w:val="0"/>
                <w:sz w:val="18"/>
              </w:rPr>
              <w:t>Patch</w:t>
            </w:r>
          </w:p>
        </w:tc>
        <w:tc>
          <w:tcPr>
            <w:tcW w:type="dxa" w:w="3264"/>
            <w:vAlign w:val="top"/>
          </w:tcPr>
          <w:p>
            <w:pPr>
              <w:spacing w:after="0"/>
            </w:pPr>
            <w:r/>
            <w:r>
              <w:rPr>
                <w:rFonts w:ascii="Arial" w:hAnsi="Arial"/>
                <w:b w:val="0"/>
                <w:sz w:val="18"/>
              </w:rPr>
              <w:t>Increment third number</w:t>
            </w:r>
          </w:p>
        </w:tc>
        <w:tc>
          <w:tcPr>
            <w:tcW w:type="dxa" w:w="3264"/>
            <w:vAlign w:val="top"/>
          </w:tcPr>
          <w:p>
            <w:pPr>
              <w:spacing w:after="0"/>
            </w:pPr>
            <w:r/>
            <w:r>
              <w:rPr>
                <w:rFonts w:ascii="Arial" w:hAnsi="Arial"/>
                <w:b w:val="0"/>
                <w:sz w:val="18"/>
              </w:rPr>
              <w:t>Non-clinical correction that does not change decision meaning, such as typo or metadata correction.</w:t>
            </w:r>
          </w:p>
        </w:tc>
      </w:tr>
    </w:tbl>
    <w:p/>
    <w:p>
      <w:r>
        <w:t>The project shall not rely on version numbers alone to determine safety. Every release must also include a change summary, clinical impact assessment, affected rules, test results, approvers, effective date, and rollback plan.</w:t>
      </w:r>
    </w:p>
    <w:p>
      <w:pPr>
        <w:pStyle w:val="Heading1"/>
      </w:pPr>
      <w:r>
        <w:t>8.0 Knowledge Lifecycle and Change Control</w:t>
      </w:r>
    </w:p>
    <w:p>
      <w:pPr>
        <w:pStyle w:val="ListNumber"/>
      </w:pPr>
      <w:r>
        <w:t>Identify a change request from new guidance, local policy, defect report, validation finding, or usability review.</w:t>
      </w:r>
    </w:p>
    <w:p>
      <w:pPr>
        <w:pStyle w:val="ListNumber"/>
      </w:pPr>
      <w:r>
        <w:t>Record the source, rationale, affected population, and expected decision impact.</w:t>
      </w:r>
    </w:p>
    <w:p>
      <w:pPr>
        <w:pStyle w:val="ListNumber"/>
      </w:pPr>
      <w:r>
        <w:t>Draft the revised rule, interaction, recommendation template, or data requirement.</w:t>
      </w:r>
    </w:p>
    <w:p>
      <w:pPr>
        <w:pStyle w:val="ListNumber"/>
      </w:pPr>
      <w:r>
        <w:t>Conduct clinical review by an appropriately qualified reviewer.</w:t>
      </w:r>
    </w:p>
    <w:p>
      <w:pPr>
        <w:pStyle w:val="ListNumber"/>
      </w:pPr>
      <w:r>
        <w:t>Conduct technical review for computability, data availability, and implementation risk.</w:t>
      </w:r>
    </w:p>
    <w:p>
      <w:pPr>
        <w:pStyle w:val="ListNumber"/>
      </w:pPr>
      <w:r>
        <w:t>Create or update test cases, including boundary, missing-data, conflict, and regression scenarios.</w:t>
      </w:r>
    </w:p>
    <w:p>
      <w:pPr>
        <w:pStyle w:val="ListNumber"/>
      </w:pPr>
      <w:r>
        <w:t>Approve the release through the defined governance authority.</w:t>
      </w:r>
    </w:p>
    <w:p>
      <w:pPr>
        <w:pStyle w:val="ListNumber"/>
      </w:pPr>
      <w:r>
        <w:t>Publish the new immutable version with an effective date.</w:t>
      </w:r>
    </w:p>
    <w:p>
      <w:pPr>
        <w:pStyle w:val="ListNumber"/>
      </w:pPr>
      <w:r>
        <w:t>Monitor early use for unexpected behavior and safety signals.</w:t>
      </w:r>
    </w:p>
    <w:p>
      <w:pPr>
        <w:pStyle w:val="ListNumber"/>
      </w:pPr>
      <w:r>
        <w:t>Deprecate or roll back the release when necessary without deleting historical versions.</w:t>
      </w:r>
    </w:p>
    <w:p>
      <w:r>
        <w:t>Draft, review, approved, published, deprecated, and withdrawn must be explicit lifecycle states. A rule in draft or review state must never execute in the production decision pathway.</w:t>
      </w:r>
    </w:p>
    <w:p>
      <w:pPr>
        <w:pStyle w:val="Heading1"/>
      </w:pPr>
      <w:r>
        <w:t>9.0 Publication, Activation, Deprecation, and Rollback</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State</w:t>
            </w:r>
          </w:p>
        </w:tc>
        <w:tc>
          <w:tcPr>
            <w:tcW w:type="dxa" w:w="4896"/>
            <w:shd w:fill="D9EAF7"/>
            <w:vAlign w:val="center"/>
          </w:tcPr>
          <w:p>
            <w:pPr>
              <w:spacing w:after="0"/>
            </w:pPr>
            <w:r/>
            <w:r>
              <w:rPr>
                <w:rFonts w:ascii="Arial" w:hAnsi="Arial"/>
                <w:b/>
                <w:sz w:val="18"/>
              </w:rPr>
              <w:t>Permitted behavior</w:t>
            </w:r>
          </w:p>
        </w:tc>
      </w:tr>
      <w:tr>
        <w:tc>
          <w:tcPr>
            <w:tcW w:type="dxa" w:w="4896"/>
            <w:vAlign w:val="top"/>
          </w:tcPr>
          <w:p>
            <w:pPr>
              <w:spacing w:after="0"/>
            </w:pPr>
            <w:r/>
            <w:r>
              <w:rPr>
                <w:rFonts w:ascii="Arial" w:hAnsi="Arial"/>
                <w:b w:val="0"/>
                <w:sz w:val="18"/>
              </w:rPr>
              <w:t>Draft</w:t>
            </w:r>
          </w:p>
        </w:tc>
        <w:tc>
          <w:tcPr>
            <w:tcW w:type="dxa" w:w="4896"/>
            <w:vAlign w:val="top"/>
          </w:tcPr>
          <w:p>
            <w:pPr>
              <w:spacing w:after="0"/>
            </w:pPr>
            <w:r/>
            <w:r>
              <w:rPr>
                <w:rFonts w:ascii="Arial" w:hAnsi="Arial"/>
                <w:b w:val="0"/>
                <w:sz w:val="18"/>
              </w:rPr>
              <w:t>Editable by authorized knowledge authors; not executable in production.</w:t>
            </w:r>
          </w:p>
        </w:tc>
      </w:tr>
      <w:tr>
        <w:tc>
          <w:tcPr>
            <w:tcW w:type="dxa" w:w="4896"/>
            <w:vAlign w:val="top"/>
          </w:tcPr>
          <w:p>
            <w:pPr>
              <w:spacing w:after="0"/>
            </w:pPr>
            <w:r/>
            <w:r>
              <w:rPr>
                <w:rFonts w:ascii="Arial" w:hAnsi="Arial"/>
                <w:b w:val="0"/>
                <w:sz w:val="18"/>
              </w:rPr>
              <w:t>Under review</w:t>
            </w:r>
          </w:p>
        </w:tc>
        <w:tc>
          <w:tcPr>
            <w:tcW w:type="dxa" w:w="4896"/>
            <w:vAlign w:val="top"/>
          </w:tcPr>
          <w:p>
            <w:pPr>
              <w:spacing w:after="0"/>
            </w:pPr>
            <w:r/>
            <w:r>
              <w:rPr>
                <w:rFonts w:ascii="Arial" w:hAnsi="Arial"/>
                <w:b w:val="0"/>
                <w:sz w:val="18"/>
              </w:rPr>
              <w:t>Locked for formal clinical and technical review; not executable.</w:t>
            </w:r>
          </w:p>
        </w:tc>
      </w:tr>
      <w:tr>
        <w:tc>
          <w:tcPr>
            <w:tcW w:type="dxa" w:w="4896"/>
            <w:vAlign w:val="top"/>
          </w:tcPr>
          <w:p>
            <w:pPr>
              <w:spacing w:after="0"/>
            </w:pPr>
            <w:r/>
            <w:r>
              <w:rPr>
                <w:rFonts w:ascii="Arial" w:hAnsi="Arial"/>
                <w:b w:val="0"/>
                <w:sz w:val="18"/>
              </w:rPr>
              <w:t>Approved</w:t>
            </w:r>
          </w:p>
        </w:tc>
        <w:tc>
          <w:tcPr>
            <w:tcW w:type="dxa" w:w="4896"/>
            <w:vAlign w:val="top"/>
          </w:tcPr>
          <w:p>
            <w:pPr>
              <w:spacing w:after="0"/>
            </w:pPr>
            <w:r/>
            <w:r>
              <w:rPr>
                <w:rFonts w:ascii="Arial" w:hAnsi="Arial"/>
                <w:b w:val="0"/>
                <w:sz w:val="18"/>
              </w:rPr>
              <w:t>Ready for scheduled publication but not yet active.</w:t>
            </w:r>
          </w:p>
        </w:tc>
      </w:tr>
      <w:tr>
        <w:tc>
          <w:tcPr>
            <w:tcW w:type="dxa" w:w="4896"/>
            <w:vAlign w:val="top"/>
          </w:tcPr>
          <w:p>
            <w:pPr>
              <w:spacing w:after="0"/>
            </w:pPr>
            <w:r/>
            <w:r>
              <w:rPr>
                <w:rFonts w:ascii="Arial" w:hAnsi="Arial"/>
                <w:b w:val="0"/>
                <w:sz w:val="18"/>
              </w:rPr>
              <w:t>Active</w:t>
            </w:r>
          </w:p>
        </w:tc>
        <w:tc>
          <w:tcPr>
            <w:tcW w:type="dxa" w:w="4896"/>
            <w:vAlign w:val="top"/>
          </w:tcPr>
          <w:p>
            <w:pPr>
              <w:spacing w:after="0"/>
            </w:pPr>
            <w:r/>
            <w:r>
              <w:rPr>
                <w:rFonts w:ascii="Arial" w:hAnsi="Arial"/>
                <w:b w:val="0"/>
                <w:sz w:val="18"/>
              </w:rPr>
              <w:t>Executable for new decision runs within its effective-date range.</w:t>
            </w:r>
          </w:p>
        </w:tc>
      </w:tr>
      <w:tr>
        <w:tc>
          <w:tcPr>
            <w:tcW w:type="dxa" w:w="4896"/>
            <w:vAlign w:val="top"/>
          </w:tcPr>
          <w:p>
            <w:pPr>
              <w:spacing w:after="0"/>
            </w:pPr>
            <w:r/>
            <w:r>
              <w:rPr>
                <w:rFonts w:ascii="Arial" w:hAnsi="Arial"/>
                <w:b w:val="0"/>
                <w:sz w:val="18"/>
              </w:rPr>
              <w:t>Deprecated</w:t>
            </w:r>
          </w:p>
        </w:tc>
        <w:tc>
          <w:tcPr>
            <w:tcW w:type="dxa" w:w="4896"/>
            <w:vAlign w:val="top"/>
          </w:tcPr>
          <w:p>
            <w:pPr>
              <w:spacing w:after="0"/>
            </w:pPr>
            <w:r/>
            <w:r>
              <w:rPr>
                <w:rFonts w:ascii="Arial" w:hAnsi="Arial"/>
                <w:b w:val="0"/>
                <w:sz w:val="18"/>
              </w:rPr>
              <w:t>Not used for new runs but retained for historical reproduction.</w:t>
            </w:r>
          </w:p>
        </w:tc>
      </w:tr>
      <w:tr>
        <w:tc>
          <w:tcPr>
            <w:tcW w:type="dxa" w:w="4896"/>
            <w:vAlign w:val="top"/>
          </w:tcPr>
          <w:p>
            <w:pPr>
              <w:spacing w:after="0"/>
            </w:pPr>
            <w:r/>
            <w:r>
              <w:rPr>
                <w:rFonts w:ascii="Arial" w:hAnsi="Arial"/>
                <w:b w:val="0"/>
                <w:sz w:val="18"/>
              </w:rPr>
              <w:t>Withdrawn</w:t>
            </w:r>
          </w:p>
        </w:tc>
        <w:tc>
          <w:tcPr>
            <w:tcW w:type="dxa" w:w="4896"/>
            <w:vAlign w:val="top"/>
          </w:tcPr>
          <w:p>
            <w:pPr>
              <w:spacing w:after="0"/>
            </w:pPr>
            <w:r/>
            <w:r>
              <w:rPr>
                <w:rFonts w:ascii="Arial" w:hAnsi="Arial"/>
                <w:b w:val="0"/>
                <w:sz w:val="18"/>
              </w:rPr>
              <w:t>Removed from new use because of a safety, evidence, or implementation concern; retained for audit.</w:t>
            </w:r>
          </w:p>
        </w:tc>
      </w:tr>
      <w:tr>
        <w:tc>
          <w:tcPr>
            <w:tcW w:type="dxa" w:w="4896"/>
            <w:vAlign w:val="top"/>
          </w:tcPr>
          <w:p>
            <w:pPr>
              <w:spacing w:after="0"/>
            </w:pPr>
            <w:r/>
            <w:r>
              <w:rPr>
                <w:rFonts w:ascii="Arial" w:hAnsi="Arial"/>
                <w:b w:val="0"/>
                <w:sz w:val="18"/>
              </w:rPr>
              <w:t>Rolled back</w:t>
            </w:r>
          </w:p>
        </w:tc>
        <w:tc>
          <w:tcPr>
            <w:tcW w:type="dxa" w:w="4896"/>
            <w:vAlign w:val="top"/>
          </w:tcPr>
          <w:p>
            <w:pPr>
              <w:spacing w:after="0"/>
            </w:pPr>
            <w:r/>
            <w:r>
              <w:rPr>
                <w:rFonts w:ascii="Arial" w:hAnsi="Arial"/>
                <w:b w:val="0"/>
                <w:sz w:val="18"/>
              </w:rPr>
              <w:t>Earlier approved release reactivated through a documented release action.</w:t>
            </w:r>
          </w:p>
        </w:tc>
      </w:tr>
    </w:tbl>
    <w:p/>
    <w:p>
      <w:r>
        <w:t>Rollback shall be a new governed event, not a deletion. The system must record why the newer release was withdrawn, which earlier release became active, who authorized the action, and the effective timestamp. Previously generated decisions remain linked to the release that actually produced them.</w:t>
      </w:r>
    </w:p>
    <w:p>
      <w:pPr>
        <w:pStyle w:val="Heading1"/>
      </w:pPr>
      <w:r>
        <w:t>10.0 Recalculation and Historical Integrity</w:t>
      </w:r>
    </w:p>
    <w:p>
      <w:r>
        <w:t>When patient data are corrected or required records become available, the system may recalculate the assessment. Recalculation must create a new decision execution with a parent link to the earlier execution. It must not overwrite the previous result. The user interface may show the latest result prominently, but the complete chronology must remain available.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Scenario</w:t>
            </w:r>
          </w:p>
        </w:tc>
        <w:tc>
          <w:tcPr>
            <w:tcW w:type="dxa" w:w="4896"/>
            <w:shd w:fill="D9EAF7"/>
            <w:vAlign w:val="center"/>
          </w:tcPr>
          <w:p>
            <w:pPr>
              <w:spacing w:after="0"/>
            </w:pPr>
            <w:r/>
            <w:r>
              <w:rPr>
                <w:rFonts w:ascii="Arial" w:hAnsi="Arial"/>
                <w:b/>
                <w:sz w:val="18"/>
              </w:rPr>
              <w:t>Required behavior</w:t>
            </w:r>
          </w:p>
        </w:tc>
      </w:tr>
      <w:tr>
        <w:tc>
          <w:tcPr>
            <w:tcW w:type="dxa" w:w="4896"/>
            <w:vAlign w:val="top"/>
          </w:tcPr>
          <w:p>
            <w:pPr>
              <w:spacing w:after="0"/>
            </w:pPr>
            <w:r/>
            <w:r>
              <w:rPr>
                <w:rFonts w:ascii="Arial" w:hAnsi="Arial"/>
                <w:b w:val="0"/>
                <w:sz w:val="18"/>
              </w:rPr>
              <w:t>Missing ultrasound later added</w:t>
            </w:r>
          </w:p>
        </w:tc>
        <w:tc>
          <w:tcPr>
            <w:tcW w:type="dxa" w:w="4896"/>
            <w:vAlign w:val="top"/>
          </w:tcPr>
          <w:p>
            <w:pPr>
              <w:spacing w:after="0"/>
            </w:pPr>
            <w:r/>
            <w:r>
              <w:rPr>
                <w:rFonts w:ascii="Arial" w:hAnsi="Arial"/>
                <w:b w:val="0"/>
                <w:sz w:val="18"/>
              </w:rPr>
              <w:t>Create a new execution; retain the earlier ASSESSMENT INCOMPLETE result.</w:t>
            </w:r>
          </w:p>
        </w:tc>
      </w:tr>
      <w:tr>
        <w:tc>
          <w:tcPr>
            <w:tcW w:type="dxa" w:w="4896"/>
            <w:vAlign w:val="top"/>
          </w:tcPr>
          <w:p>
            <w:pPr>
              <w:spacing w:after="0"/>
            </w:pPr>
            <w:r/>
            <w:r>
              <w:rPr>
                <w:rFonts w:ascii="Arial" w:hAnsi="Arial"/>
                <w:b w:val="0"/>
                <w:sz w:val="18"/>
              </w:rPr>
              <w:t>Blood pressure corrected</w:t>
            </w:r>
          </w:p>
        </w:tc>
        <w:tc>
          <w:tcPr>
            <w:tcW w:type="dxa" w:w="4896"/>
            <w:vAlign w:val="top"/>
          </w:tcPr>
          <w:p>
            <w:pPr>
              <w:spacing w:after="0"/>
            </w:pPr>
            <w:r/>
            <w:r>
              <w:rPr>
                <w:rFonts w:ascii="Arial" w:hAnsi="Arial"/>
                <w:b w:val="0"/>
                <w:sz w:val="18"/>
              </w:rPr>
              <w:t>Record the correction event, preserve before/after values, and generate a new execution.</w:t>
            </w:r>
          </w:p>
        </w:tc>
      </w:tr>
      <w:tr>
        <w:tc>
          <w:tcPr>
            <w:tcW w:type="dxa" w:w="4896"/>
            <w:vAlign w:val="top"/>
          </w:tcPr>
          <w:p>
            <w:pPr>
              <w:spacing w:after="0"/>
            </w:pPr>
            <w:r/>
            <w:r>
              <w:rPr>
                <w:rFonts w:ascii="Arial" w:hAnsi="Arial"/>
                <w:b w:val="0"/>
                <w:sz w:val="18"/>
              </w:rPr>
              <w:t>Rule set updated</w:t>
            </w:r>
          </w:p>
        </w:tc>
        <w:tc>
          <w:tcPr>
            <w:tcW w:type="dxa" w:w="4896"/>
            <w:vAlign w:val="top"/>
          </w:tcPr>
          <w:p>
            <w:pPr>
              <w:spacing w:after="0"/>
            </w:pPr>
            <w:r/>
            <w:r>
              <w:rPr>
                <w:rFonts w:ascii="Arial" w:hAnsi="Arial"/>
                <w:b w:val="0"/>
                <w:sz w:val="18"/>
              </w:rPr>
              <w:t>New assessments use the new release after activation; prior assessments retain their original release link.</w:t>
            </w:r>
          </w:p>
        </w:tc>
      </w:tr>
      <w:tr>
        <w:tc>
          <w:tcPr>
            <w:tcW w:type="dxa" w:w="4896"/>
            <w:vAlign w:val="top"/>
          </w:tcPr>
          <w:p>
            <w:pPr>
              <w:spacing w:after="0"/>
            </w:pPr>
            <w:r/>
            <w:r>
              <w:rPr>
                <w:rFonts w:ascii="Arial" w:hAnsi="Arial"/>
                <w:b w:val="0"/>
                <w:sz w:val="18"/>
              </w:rPr>
              <w:t>Emergency rule found defective</w:t>
            </w:r>
          </w:p>
        </w:tc>
        <w:tc>
          <w:tcPr>
            <w:tcW w:type="dxa" w:w="4896"/>
            <w:vAlign w:val="top"/>
          </w:tcPr>
          <w:p>
            <w:pPr>
              <w:spacing w:after="0"/>
            </w:pPr>
            <w:r/>
            <w:r>
              <w:rPr>
                <w:rFonts w:ascii="Arial" w:hAnsi="Arial"/>
                <w:b w:val="0"/>
                <w:sz w:val="18"/>
              </w:rPr>
              <w:t>Withdraw release, activate approved rollback, document affected decisions, and initiate safety review.</w:t>
            </w:r>
          </w:p>
        </w:tc>
      </w:tr>
      <w:tr>
        <w:tc>
          <w:tcPr>
            <w:tcW w:type="dxa" w:w="4896"/>
            <w:vAlign w:val="top"/>
          </w:tcPr>
          <w:p>
            <w:pPr>
              <w:spacing w:after="0"/>
            </w:pPr>
            <w:r/>
            <w:r>
              <w:rPr>
                <w:rFonts w:ascii="Arial" w:hAnsi="Arial"/>
                <w:b w:val="0"/>
                <w:sz w:val="18"/>
              </w:rPr>
              <w:t>User manually changes final display label</w:t>
            </w:r>
          </w:p>
        </w:tc>
        <w:tc>
          <w:tcPr>
            <w:tcW w:type="dxa" w:w="4896"/>
            <w:vAlign w:val="top"/>
          </w:tcPr>
          <w:p>
            <w:pPr>
              <w:spacing w:after="0"/>
            </w:pPr>
            <w:r/>
            <w:r>
              <w:rPr>
                <w:rFonts w:ascii="Arial" w:hAnsi="Arial"/>
                <w:b w:val="0"/>
                <w:sz w:val="18"/>
              </w:rPr>
              <w:t>Prohibit direct edit; require a documented override or new assessment process.</w:t>
            </w:r>
          </w:p>
        </w:tc>
      </w:tr>
    </w:tbl>
    <w:p/>
    <w:p>
      <w:pPr>
        <w:pStyle w:val="Heading1"/>
      </w:pPr>
      <w:r>
        <w:t>11.0 Human Review, Acknowledgement, and Override</w:t>
      </w:r>
    </w:p>
    <w:p>
      <w:r>
        <w:t>The system must distinguish between viewing a recommendation, acknowledging it, acting on it, and overriding it. These states have different meanings and must not be collapsed into a single 'completed' flag.</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Human action</w:t>
            </w:r>
          </w:p>
        </w:tc>
        <w:tc>
          <w:tcPr>
            <w:tcW w:type="dxa" w:w="4896"/>
            <w:shd w:fill="D9EAF7"/>
            <w:vAlign w:val="center"/>
          </w:tcPr>
          <w:p>
            <w:pPr>
              <w:spacing w:after="0"/>
            </w:pPr>
            <w:r/>
            <w:r>
              <w:rPr>
                <w:rFonts w:ascii="Arial" w:hAnsi="Arial"/>
                <w:b/>
                <w:sz w:val="18"/>
              </w:rPr>
              <w:t>Minimum captured information</w:t>
            </w:r>
          </w:p>
        </w:tc>
      </w:tr>
      <w:tr>
        <w:tc>
          <w:tcPr>
            <w:tcW w:type="dxa" w:w="4896"/>
            <w:vAlign w:val="top"/>
          </w:tcPr>
          <w:p>
            <w:pPr>
              <w:spacing w:after="0"/>
            </w:pPr>
            <w:r/>
            <w:r>
              <w:rPr>
                <w:rFonts w:ascii="Arial" w:hAnsi="Arial"/>
                <w:b w:val="0"/>
                <w:sz w:val="18"/>
              </w:rPr>
              <w:t>Viewed</w:t>
            </w:r>
          </w:p>
        </w:tc>
        <w:tc>
          <w:tcPr>
            <w:tcW w:type="dxa" w:w="4896"/>
            <w:vAlign w:val="top"/>
          </w:tcPr>
          <w:p>
            <w:pPr>
              <w:spacing w:after="0"/>
            </w:pPr>
            <w:r/>
            <w:r>
              <w:rPr>
                <w:rFonts w:ascii="Arial" w:hAnsi="Arial"/>
                <w:b w:val="0"/>
                <w:sz w:val="18"/>
              </w:rPr>
              <w:t>User, timestamp, recommendation version displayed.</w:t>
            </w:r>
          </w:p>
        </w:tc>
      </w:tr>
      <w:tr>
        <w:tc>
          <w:tcPr>
            <w:tcW w:type="dxa" w:w="4896"/>
            <w:vAlign w:val="top"/>
          </w:tcPr>
          <w:p>
            <w:pPr>
              <w:spacing w:after="0"/>
            </w:pPr>
            <w:r/>
            <w:r>
              <w:rPr>
                <w:rFonts w:ascii="Arial" w:hAnsi="Arial"/>
                <w:b w:val="0"/>
                <w:sz w:val="18"/>
              </w:rPr>
              <w:t>Acknowledged</w:t>
            </w:r>
          </w:p>
        </w:tc>
        <w:tc>
          <w:tcPr>
            <w:tcW w:type="dxa" w:w="4896"/>
            <w:vAlign w:val="top"/>
          </w:tcPr>
          <w:p>
            <w:pPr>
              <w:spacing w:after="0"/>
            </w:pPr>
            <w:r/>
            <w:r>
              <w:rPr>
                <w:rFonts w:ascii="Arial" w:hAnsi="Arial"/>
                <w:b w:val="0"/>
                <w:sz w:val="18"/>
              </w:rPr>
              <w:t>User confirmation that the output was reviewed; no implication of agreement.</w:t>
            </w:r>
          </w:p>
        </w:tc>
      </w:tr>
      <w:tr>
        <w:tc>
          <w:tcPr>
            <w:tcW w:type="dxa" w:w="4896"/>
            <w:vAlign w:val="top"/>
          </w:tcPr>
          <w:p>
            <w:pPr>
              <w:spacing w:after="0"/>
            </w:pPr>
            <w:r/>
            <w:r>
              <w:rPr>
                <w:rFonts w:ascii="Arial" w:hAnsi="Arial"/>
                <w:b w:val="0"/>
                <w:sz w:val="18"/>
              </w:rPr>
              <w:t>Accepted / acted upon</w:t>
            </w:r>
          </w:p>
        </w:tc>
        <w:tc>
          <w:tcPr>
            <w:tcW w:type="dxa" w:w="4896"/>
            <w:vAlign w:val="top"/>
          </w:tcPr>
          <w:p>
            <w:pPr>
              <w:spacing w:after="0"/>
            </w:pPr>
            <w:r/>
            <w:r>
              <w:rPr>
                <w:rFonts w:ascii="Arial" w:hAnsi="Arial"/>
                <w:b w:val="0"/>
                <w:sz w:val="18"/>
              </w:rPr>
              <w:t>Action taken, such as referral created or follow-up arranged.</w:t>
            </w:r>
          </w:p>
        </w:tc>
      </w:tr>
      <w:tr>
        <w:tc>
          <w:tcPr>
            <w:tcW w:type="dxa" w:w="4896"/>
            <w:vAlign w:val="top"/>
          </w:tcPr>
          <w:p>
            <w:pPr>
              <w:spacing w:after="0"/>
            </w:pPr>
            <w:r/>
            <w:r>
              <w:rPr>
                <w:rFonts w:ascii="Arial" w:hAnsi="Arial"/>
                <w:b w:val="0"/>
                <w:sz w:val="18"/>
              </w:rPr>
              <w:t>Deferred</w:t>
            </w:r>
          </w:p>
        </w:tc>
        <w:tc>
          <w:tcPr>
            <w:tcW w:type="dxa" w:w="4896"/>
            <w:vAlign w:val="top"/>
          </w:tcPr>
          <w:p>
            <w:pPr>
              <w:spacing w:after="0"/>
            </w:pPr>
            <w:r/>
            <w:r>
              <w:rPr>
                <w:rFonts w:ascii="Arial" w:hAnsi="Arial"/>
                <w:b w:val="0"/>
                <w:sz w:val="18"/>
              </w:rPr>
              <w:t>Reason and intended review time, where permitted.</w:t>
            </w:r>
          </w:p>
        </w:tc>
      </w:tr>
      <w:tr>
        <w:tc>
          <w:tcPr>
            <w:tcW w:type="dxa" w:w="4896"/>
            <w:vAlign w:val="top"/>
          </w:tcPr>
          <w:p>
            <w:pPr>
              <w:spacing w:after="0"/>
            </w:pPr>
            <w:r/>
            <w:r>
              <w:rPr>
                <w:rFonts w:ascii="Arial" w:hAnsi="Arial"/>
                <w:b w:val="0"/>
                <w:sz w:val="18"/>
              </w:rPr>
              <w:t>Overridden</w:t>
            </w:r>
          </w:p>
        </w:tc>
        <w:tc>
          <w:tcPr>
            <w:tcW w:type="dxa" w:w="4896"/>
            <w:vAlign w:val="top"/>
          </w:tcPr>
          <w:p>
            <w:pPr>
              <w:spacing w:after="0"/>
            </w:pPr>
            <w:r/>
            <w:r>
              <w:rPr>
                <w:rFonts w:ascii="Arial" w:hAnsi="Arial"/>
                <w:b w:val="0"/>
                <w:sz w:val="18"/>
              </w:rPr>
              <w:t>User, reason, alternative action, and optional supervisor review.</w:t>
            </w:r>
          </w:p>
        </w:tc>
      </w:tr>
      <w:tr>
        <w:tc>
          <w:tcPr>
            <w:tcW w:type="dxa" w:w="4896"/>
            <w:vAlign w:val="top"/>
          </w:tcPr>
          <w:p>
            <w:pPr>
              <w:spacing w:after="0"/>
            </w:pPr>
            <w:r/>
            <w:r>
              <w:rPr>
                <w:rFonts w:ascii="Arial" w:hAnsi="Arial"/>
                <w:b w:val="0"/>
                <w:sz w:val="18"/>
              </w:rPr>
              <w:t>Corrected data</w:t>
            </w:r>
          </w:p>
        </w:tc>
        <w:tc>
          <w:tcPr>
            <w:tcW w:type="dxa" w:w="4896"/>
            <w:vAlign w:val="top"/>
          </w:tcPr>
          <w:p>
            <w:pPr>
              <w:spacing w:after="0"/>
            </w:pPr>
            <w:r/>
            <w:r>
              <w:rPr>
                <w:rFonts w:ascii="Arial" w:hAnsi="Arial"/>
                <w:b w:val="0"/>
                <w:sz w:val="18"/>
              </w:rPr>
              <w:t>Original and corrected value, reason, source, and new decision execution.</w:t>
            </w:r>
          </w:p>
        </w:tc>
      </w:tr>
    </w:tbl>
    <w:p/>
    <w:p>
      <w:r>
        <w:t>An override must never alter the historical recommendation. It creates a separate user-action record. The interface must avoid punitive wording that discourages appropriate professional judgment, while still requiring a clinically meaningful reason.</w:t>
      </w:r>
    </w:p>
    <w:p>
      <w:pPr>
        <w:pStyle w:val="Heading1"/>
      </w:pPr>
      <w:r>
        <w:t>12.0 Privacy, Security, and Access Boundaries</w:t>
      </w:r>
    </w:p>
    <w:p>
      <w:r>
        <w:t>Audit logs contain sensitive clinical and workforce information. The principle of maximum logging must therefore be balanced with minimum necessary access. Ordinary users should see clinically relevant provenance for their patients, while security, administrative, and detailed technical logs may require separate permissions.</w:t>
      </w:r>
    </w:p>
    <w:p>
      <w:pPr>
        <w:pStyle w:val="ListBullet"/>
      </w:pPr>
      <w:r>
        <w:t>Use role-based access control for audit and knowledge-administration functions.</w:t>
      </w:r>
    </w:p>
    <w:p>
      <w:pPr>
        <w:pStyle w:val="ListBullet"/>
      </w:pPr>
      <w:r>
        <w:t>Prevent ordinary application workflows from editing or deleting audit events.</w:t>
      </w:r>
    </w:p>
    <w:p>
      <w:pPr>
        <w:pStyle w:val="ListBullet"/>
      </w:pPr>
      <w:r>
        <w:t>Do not record passwords, authentication tokens, secret keys, or unnecessary free-text personal information.</w:t>
      </w:r>
    </w:p>
    <w:p>
      <w:pPr>
        <w:pStyle w:val="ListBullet"/>
      </w:pPr>
      <w:r>
        <w:t>Protect exported audit reports and restrict bulk export.</w:t>
      </w:r>
    </w:p>
    <w:p>
      <w:pPr>
        <w:pStyle w:val="ListBullet"/>
      </w:pPr>
      <w:r>
        <w:t>Synchronize system clocks and store time-zone-aware timestamps.</w:t>
      </w:r>
    </w:p>
    <w:p>
      <w:pPr>
        <w:pStyle w:val="ListBullet"/>
      </w:pPr>
      <w:r>
        <w:t>Record access to highly sensitive audit views where feasible.</w:t>
      </w:r>
    </w:p>
    <w:p>
      <w:pPr>
        <w:pStyle w:val="ListBullet"/>
      </w:pPr>
      <w:r>
        <w:t>Define retention, archival, backup, and disposal rules before production deployment.</w:t>
      </w:r>
    </w:p>
    <w:p>
      <w:pPr>
        <w:pStyle w:val="ListBullet"/>
      </w:pPr>
      <w:r>
        <w:t>Test recovery procedures so audit history is not lost during backup restoration.</w:t>
      </w:r>
    </w:p>
    <w:p>
      <w:pPr>
        <w:pStyle w:val="Heading1"/>
      </w:pPr>
      <w:r>
        <w:t>13.0 Database Blueprint</w:t>
      </w:r>
    </w:p>
    <w:p>
      <w:r>
        <w:t>The following blueprint is implementation-oriented but remains software-neutral. Exact names may be adapted during Document 6.</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D9EAF7"/>
            <w:vAlign w:val="center"/>
          </w:tcPr>
          <w:p>
            <w:pPr>
              <w:spacing w:after="0"/>
            </w:pPr>
            <w:r/>
            <w:r>
              <w:rPr>
                <w:rFonts w:ascii="Arial" w:hAnsi="Arial"/>
                <w:b/>
                <w:sz w:val="18"/>
              </w:rPr>
              <w:t>Table / entity</w:t>
            </w:r>
          </w:p>
        </w:tc>
        <w:tc>
          <w:tcPr>
            <w:tcW w:type="dxa" w:w="3264"/>
            <w:shd w:fill="D9EAF7"/>
            <w:vAlign w:val="center"/>
          </w:tcPr>
          <w:p>
            <w:pPr>
              <w:spacing w:after="0"/>
            </w:pPr>
            <w:r/>
            <w:r>
              <w:rPr>
                <w:rFonts w:ascii="Arial" w:hAnsi="Arial"/>
                <w:b/>
                <w:sz w:val="18"/>
              </w:rPr>
              <w:t>Purpose</w:t>
            </w:r>
          </w:p>
        </w:tc>
        <w:tc>
          <w:tcPr>
            <w:tcW w:type="dxa" w:w="3264"/>
            <w:shd w:fill="D9EAF7"/>
            <w:vAlign w:val="center"/>
          </w:tcPr>
          <w:p>
            <w:pPr>
              <w:spacing w:after="0"/>
            </w:pPr>
            <w:r/>
            <w:r>
              <w:rPr>
                <w:rFonts w:ascii="Arial" w:hAnsi="Arial"/>
                <w:b/>
                <w:sz w:val="18"/>
              </w:rPr>
              <w:t>Key fields</w:t>
            </w:r>
          </w:p>
        </w:tc>
      </w:tr>
      <w:tr>
        <w:tc>
          <w:tcPr>
            <w:tcW w:type="dxa" w:w="3264"/>
            <w:vAlign w:val="top"/>
          </w:tcPr>
          <w:p>
            <w:pPr>
              <w:spacing w:after="0"/>
            </w:pPr>
            <w:r/>
            <w:r>
              <w:rPr>
                <w:rFonts w:ascii="Arial" w:hAnsi="Arial"/>
                <w:b w:val="0"/>
                <w:sz w:val="18"/>
              </w:rPr>
              <w:t>decision_executions</w:t>
            </w:r>
          </w:p>
        </w:tc>
        <w:tc>
          <w:tcPr>
            <w:tcW w:type="dxa" w:w="3264"/>
            <w:vAlign w:val="top"/>
          </w:tcPr>
          <w:p>
            <w:pPr>
              <w:spacing w:after="0"/>
            </w:pPr>
            <w:r/>
            <w:r>
              <w:rPr>
                <w:rFonts w:ascii="Arial" w:hAnsi="Arial"/>
                <w:b w:val="0"/>
                <w:sz w:val="18"/>
              </w:rPr>
              <w:t>One record per assessment run.</w:t>
            </w:r>
          </w:p>
        </w:tc>
        <w:tc>
          <w:tcPr>
            <w:tcW w:type="dxa" w:w="3264"/>
            <w:vAlign w:val="top"/>
          </w:tcPr>
          <w:p>
            <w:pPr>
              <w:spacing w:after="0"/>
            </w:pPr>
            <w:r/>
            <w:r>
              <w:rPr>
                <w:rFonts w:ascii="Arial" w:hAnsi="Arial"/>
                <w:b w:val="0"/>
                <w:sz w:val="18"/>
              </w:rPr>
              <w:t>id, patient_id, pregnancy_id, encounter_id, status, started_at, completed_at, rule_set_version, software_version, parent_execution_id</w:t>
            </w:r>
          </w:p>
        </w:tc>
      </w:tr>
      <w:tr>
        <w:tc>
          <w:tcPr>
            <w:tcW w:type="dxa" w:w="3264"/>
            <w:vAlign w:val="top"/>
          </w:tcPr>
          <w:p>
            <w:pPr>
              <w:spacing w:after="0"/>
            </w:pPr>
            <w:r/>
            <w:r>
              <w:rPr>
                <w:rFonts w:ascii="Arial" w:hAnsi="Arial"/>
                <w:b w:val="0"/>
                <w:sz w:val="18"/>
              </w:rPr>
              <w:t>decision_input_snapshots</w:t>
            </w:r>
          </w:p>
        </w:tc>
        <w:tc>
          <w:tcPr>
            <w:tcW w:type="dxa" w:w="3264"/>
            <w:vAlign w:val="top"/>
          </w:tcPr>
          <w:p>
            <w:pPr>
              <w:spacing w:after="0"/>
            </w:pPr>
            <w:r/>
            <w:r>
              <w:rPr>
                <w:rFonts w:ascii="Arial" w:hAnsi="Arial"/>
                <w:b w:val="0"/>
                <w:sz w:val="18"/>
              </w:rPr>
              <w:t>Immutable values used by the engine.</w:t>
            </w:r>
          </w:p>
        </w:tc>
        <w:tc>
          <w:tcPr>
            <w:tcW w:type="dxa" w:w="3264"/>
            <w:vAlign w:val="top"/>
          </w:tcPr>
          <w:p>
            <w:pPr>
              <w:spacing w:after="0"/>
            </w:pPr>
            <w:r/>
            <w:r>
              <w:rPr>
                <w:rFonts w:ascii="Arial" w:hAnsi="Arial"/>
                <w:b w:val="0"/>
                <w:sz w:val="18"/>
              </w:rPr>
              <w:t>execution_id, source_type, source_id, field_name, value, unit, observed_at, quality_status</w:t>
            </w:r>
          </w:p>
        </w:tc>
      </w:tr>
      <w:tr>
        <w:tc>
          <w:tcPr>
            <w:tcW w:type="dxa" w:w="3264"/>
            <w:vAlign w:val="top"/>
          </w:tcPr>
          <w:p>
            <w:pPr>
              <w:spacing w:after="0"/>
            </w:pPr>
            <w:r/>
            <w:r>
              <w:rPr>
                <w:rFonts w:ascii="Arial" w:hAnsi="Arial"/>
                <w:b w:val="0"/>
                <w:sz w:val="18"/>
              </w:rPr>
              <w:t>decision_rule_results</w:t>
            </w:r>
          </w:p>
        </w:tc>
        <w:tc>
          <w:tcPr>
            <w:tcW w:type="dxa" w:w="3264"/>
            <w:vAlign w:val="top"/>
          </w:tcPr>
          <w:p>
            <w:pPr>
              <w:spacing w:after="0"/>
            </w:pPr>
            <w:r/>
            <w:r>
              <w:rPr>
                <w:rFonts w:ascii="Arial" w:hAnsi="Arial"/>
                <w:b w:val="0"/>
                <w:sz w:val="18"/>
              </w:rPr>
              <w:t>Outcome of every rule evaluation.</w:t>
            </w:r>
          </w:p>
        </w:tc>
        <w:tc>
          <w:tcPr>
            <w:tcW w:type="dxa" w:w="3264"/>
            <w:vAlign w:val="top"/>
          </w:tcPr>
          <w:p>
            <w:pPr>
              <w:spacing w:after="0"/>
            </w:pPr>
            <w:r/>
            <w:r>
              <w:rPr>
                <w:rFonts w:ascii="Arial" w:hAnsi="Arial"/>
                <w:b w:val="0"/>
                <w:sz w:val="18"/>
              </w:rPr>
              <w:t>execution_id, rule_id, rule_version, result, rationale, input_snapshot_refs</w:t>
            </w:r>
          </w:p>
        </w:tc>
      </w:tr>
      <w:tr>
        <w:tc>
          <w:tcPr>
            <w:tcW w:type="dxa" w:w="3264"/>
            <w:vAlign w:val="top"/>
          </w:tcPr>
          <w:p>
            <w:pPr>
              <w:spacing w:after="0"/>
            </w:pPr>
            <w:r/>
            <w:r>
              <w:rPr>
                <w:rFonts w:ascii="Arial" w:hAnsi="Arial"/>
                <w:b w:val="0"/>
                <w:sz w:val="18"/>
              </w:rPr>
              <w:t>decision_interactions</w:t>
            </w:r>
          </w:p>
        </w:tc>
        <w:tc>
          <w:tcPr>
            <w:tcW w:type="dxa" w:w="3264"/>
            <w:vAlign w:val="top"/>
          </w:tcPr>
          <w:p>
            <w:pPr>
              <w:spacing w:after="0"/>
            </w:pPr>
            <w:r/>
            <w:r>
              <w:rPr>
                <w:rFonts w:ascii="Arial" w:hAnsi="Arial"/>
                <w:b w:val="0"/>
                <w:sz w:val="18"/>
              </w:rPr>
              <w:t>Recorded interaction evaluations.</w:t>
            </w:r>
          </w:p>
        </w:tc>
        <w:tc>
          <w:tcPr>
            <w:tcW w:type="dxa" w:w="3264"/>
            <w:vAlign w:val="top"/>
          </w:tcPr>
          <w:p>
            <w:pPr>
              <w:spacing w:after="0"/>
            </w:pPr>
            <w:r/>
            <w:r>
              <w:rPr>
                <w:rFonts w:ascii="Arial" w:hAnsi="Arial"/>
                <w:b w:val="0"/>
                <w:sz w:val="18"/>
              </w:rPr>
              <w:t>execution_id, interaction_id, version, contributors, outcome</w:t>
            </w:r>
          </w:p>
        </w:tc>
      </w:tr>
      <w:tr>
        <w:tc>
          <w:tcPr>
            <w:tcW w:type="dxa" w:w="3264"/>
            <w:vAlign w:val="top"/>
          </w:tcPr>
          <w:p>
            <w:pPr>
              <w:spacing w:after="0"/>
            </w:pPr>
            <w:r/>
            <w:r>
              <w:rPr>
                <w:rFonts w:ascii="Arial" w:hAnsi="Arial"/>
                <w:b w:val="0"/>
                <w:sz w:val="18"/>
              </w:rPr>
              <w:t>decision_conflicts</w:t>
            </w:r>
          </w:p>
        </w:tc>
        <w:tc>
          <w:tcPr>
            <w:tcW w:type="dxa" w:w="3264"/>
            <w:vAlign w:val="top"/>
          </w:tcPr>
          <w:p>
            <w:pPr>
              <w:spacing w:after="0"/>
            </w:pPr>
            <w:r/>
            <w:r>
              <w:rPr>
                <w:rFonts w:ascii="Arial" w:hAnsi="Arial"/>
                <w:b w:val="0"/>
                <w:sz w:val="18"/>
              </w:rPr>
              <w:t>Conflicts and precedence resolution.</w:t>
            </w:r>
          </w:p>
        </w:tc>
        <w:tc>
          <w:tcPr>
            <w:tcW w:type="dxa" w:w="3264"/>
            <w:vAlign w:val="top"/>
          </w:tcPr>
          <w:p>
            <w:pPr>
              <w:spacing w:after="0"/>
            </w:pPr>
            <w:r/>
            <w:r>
              <w:rPr>
                <w:rFonts w:ascii="Arial" w:hAnsi="Arial"/>
                <w:b w:val="0"/>
                <w:sz w:val="18"/>
              </w:rPr>
              <w:t>execution_id, conflict_type, participants, resolution_rule, status</w:t>
            </w:r>
          </w:p>
        </w:tc>
      </w:tr>
      <w:tr>
        <w:tc>
          <w:tcPr>
            <w:tcW w:type="dxa" w:w="3264"/>
            <w:vAlign w:val="top"/>
          </w:tcPr>
          <w:p>
            <w:pPr>
              <w:spacing w:after="0"/>
            </w:pPr>
            <w:r/>
            <w:r>
              <w:rPr>
                <w:rFonts w:ascii="Arial" w:hAnsi="Arial"/>
                <w:b w:val="0"/>
                <w:sz w:val="18"/>
              </w:rPr>
              <w:t>decision_emergency_events</w:t>
            </w:r>
          </w:p>
        </w:tc>
        <w:tc>
          <w:tcPr>
            <w:tcW w:type="dxa" w:w="3264"/>
            <w:vAlign w:val="top"/>
          </w:tcPr>
          <w:p>
            <w:pPr>
              <w:spacing w:after="0"/>
            </w:pPr>
            <w:r/>
            <w:r>
              <w:rPr>
                <w:rFonts w:ascii="Arial" w:hAnsi="Arial"/>
                <w:b w:val="0"/>
                <w:sz w:val="18"/>
              </w:rPr>
              <w:t>Emergency override activity.</w:t>
            </w:r>
          </w:p>
        </w:tc>
        <w:tc>
          <w:tcPr>
            <w:tcW w:type="dxa" w:w="3264"/>
            <w:vAlign w:val="top"/>
          </w:tcPr>
          <w:p>
            <w:pPr>
              <w:spacing w:after="0"/>
            </w:pPr>
            <w:r/>
            <w:r>
              <w:rPr>
                <w:rFonts w:ascii="Arial" w:hAnsi="Arial"/>
                <w:b w:val="0"/>
                <w:sz w:val="18"/>
              </w:rPr>
              <w:t>execution_id, trigger_id, trigger_version, interrupted_stage, priority</w:t>
            </w:r>
          </w:p>
        </w:tc>
      </w:tr>
      <w:tr>
        <w:tc>
          <w:tcPr>
            <w:tcW w:type="dxa" w:w="3264"/>
            <w:vAlign w:val="top"/>
          </w:tcPr>
          <w:p>
            <w:pPr>
              <w:spacing w:after="0"/>
            </w:pPr>
            <w:r/>
            <w:r>
              <w:rPr>
                <w:rFonts w:ascii="Arial" w:hAnsi="Arial"/>
                <w:b w:val="0"/>
                <w:sz w:val="18"/>
              </w:rPr>
              <w:t>decision_recommendations</w:t>
            </w:r>
          </w:p>
        </w:tc>
        <w:tc>
          <w:tcPr>
            <w:tcW w:type="dxa" w:w="3264"/>
            <w:vAlign w:val="top"/>
          </w:tcPr>
          <w:p>
            <w:pPr>
              <w:spacing w:after="0"/>
            </w:pPr>
            <w:r/>
            <w:r>
              <w:rPr>
                <w:rFonts w:ascii="Arial" w:hAnsi="Arial"/>
                <w:b w:val="0"/>
                <w:sz w:val="18"/>
              </w:rPr>
              <w:t>Exact recommendation shown.</w:t>
            </w:r>
          </w:p>
        </w:tc>
        <w:tc>
          <w:tcPr>
            <w:tcW w:type="dxa" w:w="3264"/>
            <w:vAlign w:val="top"/>
          </w:tcPr>
          <w:p>
            <w:pPr>
              <w:spacing w:after="0"/>
            </w:pPr>
            <w:r/>
            <w:r>
              <w:rPr>
                <w:rFonts w:ascii="Arial" w:hAnsi="Arial"/>
                <w:b w:val="0"/>
                <w:sz w:val="18"/>
              </w:rPr>
              <w:t>execution_id, recommendation_id, template_version, priority, text_snapshot</w:t>
            </w:r>
          </w:p>
        </w:tc>
      </w:tr>
      <w:tr>
        <w:tc>
          <w:tcPr>
            <w:tcW w:type="dxa" w:w="3264"/>
            <w:vAlign w:val="top"/>
          </w:tcPr>
          <w:p>
            <w:pPr>
              <w:spacing w:after="0"/>
            </w:pPr>
            <w:r/>
            <w:r>
              <w:rPr>
                <w:rFonts w:ascii="Arial" w:hAnsi="Arial"/>
                <w:b w:val="0"/>
                <w:sz w:val="18"/>
              </w:rPr>
              <w:t>decision_explanations</w:t>
            </w:r>
          </w:p>
        </w:tc>
        <w:tc>
          <w:tcPr>
            <w:tcW w:type="dxa" w:w="3264"/>
            <w:vAlign w:val="top"/>
          </w:tcPr>
          <w:p>
            <w:pPr>
              <w:spacing w:after="0"/>
            </w:pPr>
            <w:r/>
            <w:r>
              <w:rPr>
                <w:rFonts w:ascii="Arial" w:hAnsi="Arial"/>
                <w:b w:val="0"/>
                <w:sz w:val="18"/>
              </w:rPr>
              <w:t>Human-readable reasoning snapshot.</w:t>
            </w:r>
          </w:p>
        </w:tc>
        <w:tc>
          <w:tcPr>
            <w:tcW w:type="dxa" w:w="3264"/>
            <w:vAlign w:val="top"/>
          </w:tcPr>
          <w:p>
            <w:pPr>
              <w:spacing w:after="0"/>
            </w:pPr>
            <w:r/>
            <w:r>
              <w:rPr>
                <w:rFonts w:ascii="Arial" w:hAnsi="Arial"/>
                <w:b w:val="0"/>
                <w:sz w:val="18"/>
              </w:rPr>
              <w:t>execution_id, explanation_text, limitations, evidence_refs</w:t>
            </w:r>
          </w:p>
        </w:tc>
      </w:tr>
      <w:tr>
        <w:tc>
          <w:tcPr>
            <w:tcW w:type="dxa" w:w="3264"/>
            <w:vAlign w:val="top"/>
          </w:tcPr>
          <w:p>
            <w:pPr>
              <w:spacing w:after="0"/>
            </w:pPr>
            <w:r/>
            <w:r>
              <w:rPr>
                <w:rFonts w:ascii="Arial" w:hAnsi="Arial"/>
                <w:b w:val="0"/>
                <w:sz w:val="18"/>
              </w:rPr>
              <w:t>decision_user_actions</w:t>
            </w:r>
          </w:p>
        </w:tc>
        <w:tc>
          <w:tcPr>
            <w:tcW w:type="dxa" w:w="3264"/>
            <w:vAlign w:val="top"/>
          </w:tcPr>
          <w:p>
            <w:pPr>
              <w:spacing w:after="0"/>
            </w:pPr>
            <w:r/>
            <w:r>
              <w:rPr>
                <w:rFonts w:ascii="Arial" w:hAnsi="Arial"/>
                <w:b w:val="0"/>
                <w:sz w:val="18"/>
              </w:rPr>
              <w:t>Acknowledgement, referral, override, or deferral.</w:t>
            </w:r>
          </w:p>
        </w:tc>
        <w:tc>
          <w:tcPr>
            <w:tcW w:type="dxa" w:w="3264"/>
            <w:vAlign w:val="top"/>
          </w:tcPr>
          <w:p>
            <w:pPr>
              <w:spacing w:after="0"/>
            </w:pPr>
            <w:r/>
            <w:r>
              <w:rPr>
                <w:rFonts w:ascii="Arial" w:hAnsi="Arial"/>
                <w:b w:val="0"/>
                <w:sz w:val="18"/>
              </w:rPr>
              <w:t>execution_id, user_id, action_type, reason, action_at</w:t>
            </w:r>
          </w:p>
        </w:tc>
      </w:tr>
      <w:tr>
        <w:tc>
          <w:tcPr>
            <w:tcW w:type="dxa" w:w="3264"/>
            <w:vAlign w:val="top"/>
          </w:tcPr>
          <w:p>
            <w:pPr>
              <w:spacing w:after="0"/>
            </w:pPr>
            <w:r/>
            <w:r>
              <w:rPr>
                <w:rFonts w:ascii="Arial" w:hAnsi="Arial"/>
                <w:b w:val="0"/>
                <w:sz w:val="18"/>
              </w:rPr>
              <w:t>audit_events</w:t>
            </w:r>
          </w:p>
        </w:tc>
        <w:tc>
          <w:tcPr>
            <w:tcW w:type="dxa" w:w="3264"/>
            <w:vAlign w:val="top"/>
          </w:tcPr>
          <w:p>
            <w:pPr>
              <w:spacing w:after="0"/>
            </w:pPr>
            <w:r/>
            <w:r>
              <w:rPr>
                <w:rFonts w:ascii="Arial" w:hAnsi="Arial"/>
                <w:b w:val="0"/>
                <w:sz w:val="18"/>
              </w:rPr>
              <w:t>Cross-system append-oriented audit trail.</w:t>
            </w:r>
          </w:p>
        </w:tc>
        <w:tc>
          <w:tcPr>
            <w:tcW w:type="dxa" w:w="3264"/>
            <w:vAlign w:val="top"/>
          </w:tcPr>
          <w:p>
            <w:pPr>
              <w:spacing w:after="0"/>
            </w:pPr>
            <w:r/>
            <w:r>
              <w:rPr>
                <w:rFonts w:ascii="Arial" w:hAnsi="Arial"/>
                <w:b w:val="0"/>
                <w:sz w:val="18"/>
              </w:rPr>
              <w:t>event_id, event_type, actor, subject, payload, correlation_id, occurred_at</w:t>
            </w:r>
          </w:p>
        </w:tc>
      </w:tr>
      <w:tr>
        <w:tc>
          <w:tcPr>
            <w:tcW w:type="dxa" w:w="3264"/>
            <w:vAlign w:val="top"/>
          </w:tcPr>
          <w:p>
            <w:pPr>
              <w:spacing w:after="0"/>
            </w:pPr>
            <w:r/>
            <w:r>
              <w:rPr>
                <w:rFonts w:ascii="Arial" w:hAnsi="Arial"/>
                <w:b w:val="0"/>
                <w:sz w:val="18"/>
              </w:rPr>
              <w:t>knowledge_rules</w:t>
            </w:r>
          </w:p>
        </w:tc>
        <w:tc>
          <w:tcPr>
            <w:tcW w:type="dxa" w:w="3264"/>
            <w:vAlign w:val="top"/>
          </w:tcPr>
          <w:p>
            <w:pPr>
              <w:spacing w:after="0"/>
            </w:pPr>
            <w:r/>
            <w:r>
              <w:rPr>
                <w:rFonts w:ascii="Arial" w:hAnsi="Arial"/>
                <w:b w:val="0"/>
                <w:sz w:val="18"/>
              </w:rPr>
              <w:t>Stable rule identity and metadata.</w:t>
            </w:r>
          </w:p>
        </w:tc>
        <w:tc>
          <w:tcPr>
            <w:tcW w:type="dxa" w:w="3264"/>
            <w:vAlign w:val="top"/>
          </w:tcPr>
          <w:p>
            <w:pPr>
              <w:spacing w:after="0"/>
            </w:pPr>
            <w:r/>
            <w:r>
              <w:rPr>
                <w:rFonts w:ascii="Arial" w:hAnsi="Arial"/>
                <w:b w:val="0"/>
                <w:sz w:val="18"/>
              </w:rPr>
              <w:t>rule_id, domain, title, owner</w:t>
            </w:r>
          </w:p>
        </w:tc>
      </w:tr>
      <w:tr>
        <w:tc>
          <w:tcPr>
            <w:tcW w:type="dxa" w:w="3264"/>
            <w:vAlign w:val="top"/>
          </w:tcPr>
          <w:p>
            <w:pPr>
              <w:spacing w:after="0"/>
            </w:pPr>
            <w:r/>
            <w:r>
              <w:rPr>
                <w:rFonts w:ascii="Arial" w:hAnsi="Arial"/>
                <w:b w:val="0"/>
                <w:sz w:val="18"/>
              </w:rPr>
              <w:t>knowledge_rule_versions</w:t>
            </w:r>
          </w:p>
        </w:tc>
        <w:tc>
          <w:tcPr>
            <w:tcW w:type="dxa" w:w="3264"/>
            <w:vAlign w:val="top"/>
          </w:tcPr>
          <w:p>
            <w:pPr>
              <w:spacing w:after="0"/>
            </w:pPr>
            <w:r/>
            <w:r>
              <w:rPr>
                <w:rFonts w:ascii="Arial" w:hAnsi="Arial"/>
                <w:b w:val="0"/>
                <w:sz w:val="18"/>
              </w:rPr>
              <w:t>Immutable versions.</w:t>
            </w:r>
          </w:p>
        </w:tc>
        <w:tc>
          <w:tcPr>
            <w:tcW w:type="dxa" w:w="3264"/>
            <w:vAlign w:val="top"/>
          </w:tcPr>
          <w:p>
            <w:pPr>
              <w:spacing w:after="0"/>
            </w:pPr>
            <w:r/>
            <w:r>
              <w:rPr>
                <w:rFonts w:ascii="Arial" w:hAnsi="Arial"/>
                <w:b w:val="0"/>
                <w:sz w:val="18"/>
              </w:rPr>
              <w:t>rule_id, version, logic, status, effective dates, evidence mapping</w:t>
            </w:r>
          </w:p>
        </w:tc>
      </w:tr>
      <w:tr>
        <w:tc>
          <w:tcPr>
            <w:tcW w:type="dxa" w:w="3264"/>
            <w:vAlign w:val="top"/>
          </w:tcPr>
          <w:p>
            <w:pPr>
              <w:spacing w:after="0"/>
            </w:pPr>
            <w:r/>
            <w:r>
              <w:rPr>
                <w:rFonts w:ascii="Arial" w:hAnsi="Arial"/>
                <w:b w:val="0"/>
                <w:sz w:val="18"/>
              </w:rPr>
              <w:t>knowledge_releases</w:t>
            </w:r>
          </w:p>
        </w:tc>
        <w:tc>
          <w:tcPr>
            <w:tcW w:type="dxa" w:w="3264"/>
            <w:vAlign w:val="top"/>
          </w:tcPr>
          <w:p>
            <w:pPr>
              <w:spacing w:after="0"/>
            </w:pPr>
            <w:r/>
            <w:r>
              <w:rPr>
                <w:rFonts w:ascii="Arial" w:hAnsi="Arial"/>
                <w:b w:val="0"/>
                <w:sz w:val="18"/>
              </w:rPr>
              <w:t>Governed rule-set release.</w:t>
            </w:r>
          </w:p>
        </w:tc>
        <w:tc>
          <w:tcPr>
            <w:tcW w:type="dxa" w:w="3264"/>
            <w:vAlign w:val="top"/>
          </w:tcPr>
          <w:p>
            <w:pPr>
              <w:spacing w:after="0"/>
            </w:pPr>
            <w:r/>
            <w:r>
              <w:rPr>
                <w:rFonts w:ascii="Arial" w:hAnsi="Arial"/>
                <w:b w:val="0"/>
                <w:sz w:val="18"/>
              </w:rPr>
              <w:t>release_id, version, status, approved_by, effective_at, rollback_release_id</w:t>
            </w:r>
          </w:p>
        </w:tc>
      </w:tr>
      <w:tr>
        <w:tc>
          <w:tcPr>
            <w:tcW w:type="dxa" w:w="3264"/>
            <w:vAlign w:val="top"/>
          </w:tcPr>
          <w:p>
            <w:pPr>
              <w:spacing w:after="0"/>
            </w:pPr>
            <w:r/>
            <w:r>
              <w:rPr>
                <w:rFonts w:ascii="Arial" w:hAnsi="Arial"/>
                <w:b w:val="0"/>
                <w:sz w:val="18"/>
              </w:rPr>
              <w:t>knowledge_release_items</w:t>
            </w:r>
          </w:p>
        </w:tc>
        <w:tc>
          <w:tcPr>
            <w:tcW w:type="dxa" w:w="3264"/>
            <w:vAlign w:val="top"/>
          </w:tcPr>
          <w:p>
            <w:pPr>
              <w:spacing w:after="0"/>
            </w:pPr>
            <w:r/>
            <w:r>
              <w:rPr>
                <w:rFonts w:ascii="Arial" w:hAnsi="Arial"/>
                <w:b w:val="0"/>
                <w:sz w:val="18"/>
              </w:rPr>
              <w:t>Rules and templates included in a release.</w:t>
            </w:r>
          </w:p>
        </w:tc>
        <w:tc>
          <w:tcPr>
            <w:tcW w:type="dxa" w:w="3264"/>
            <w:vAlign w:val="top"/>
          </w:tcPr>
          <w:p>
            <w:pPr>
              <w:spacing w:after="0"/>
            </w:pPr>
            <w:r/>
            <w:r>
              <w:rPr>
                <w:rFonts w:ascii="Arial" w:hAnsi="Arial"/>
                <w:b w:val="0"/>
                <w:sz w:val="18"/>
              </w:rPr>
              <w:t>release_id, artifact_type, artifact_id, artifact_version</w:t>
            </w:r>
          </w:p>
        </w:tc>
      </w:tr>
      <w:tr>
        <w:tc>
          <w:tcPr>
            <w:tcW w:type="dxa" w:w="3264"/>
            <w:vAlign w:val="top"/>
          </w:tcPr>
          <w:p>
            <w:pPr>
              <w:spacing w:after="0"/>
            </w:pPr>
            <w:r/>
            <w:r>
              <w:rPr>
                <w:rFonts w:ascii="Arial" w:hAnsi="Arial"/>
                <w:b w:val="0"/>
                <w:sz w:val="18"/>
              </w:rPr>
              <w:t>knowledge_change_requests</w:t>
            </w:r>
          </w:p>
        </w:tc>
        <w:tc>
          <w:tcPr>
            <w:tcW w:type="dxa" w:w="3264"/>
            <w:vAlign w:val="top"/>
          </w:tcPr>
          <w:p>
            <w:pPr>
              <w:spacing w:after="0"/>
            </w:pPr>
            <w:r/>
            <w:r>
              <w:rPr>
                <w:rFonts w:ascii="Arial" w:hAnsi="Arial"/>
                <w:b w:val="0"/>
                <w:sz w:val="18"/>
              </w:rPr>
              <w:t>Governance workflow.</w:t>
            </w:r>
          </w:p>
        </w:tc>
        <w:tc>
          <w:tcPr>
            <w:tcW w:type="dxa" w:w="3264"/>
            <w:vAlign w:val="top"/>
          </w:tcPr>
          <w:p>
            <w:pPr>
              <w:spacing w:after="0"/>
            </w:pPr>
            <w:r/>
            <w:r>
              <w:rPr>
                <w:rFonts w:ascii="Arial" w:hAnsi="Arial"/>
                <w:b w:val="0"/>
                <w:sz w:val="18"/>
              </w:rPr>
              <w:t>request_id, source, rationale, impact, status, reviewers</w:t>
            </w:r>
          </w:p>
        </w:tc>
      </w:tr>
      <w:tr>
        <w:tc>
          <w:tcPr>
            <w:tcW w:type="dxa" w:w="3264"/>
            <w:vAlign w:val="top"/>
          </w:tcPr>
          <w:p>
            <w:pPr>
              <w:spacing w:after="0"/>
            </w:pPr>
            <w:r/>
            <w:r>
              <w:rPr>
                <w:rFonts w:ascii="Arial" w:hAnsi="Arial"/>
                <w:b w:val="0"/>
                <w:sz w:val="18"/>
              </w:rPr>
              <w:t>knowledge_validation_results</w:t>
            </w:r>
          </w:p>
        </w:tc>
        <w:tc>
          <w:tcPr>
            <w:tcW w:type="dxa" w:w="3264"/>
            <w:vAlign w:val="top"/>
          </w:tcPr>
          <w:p>
            <w:pPr>
              <w:spacing w:after="0"/>
            </w:pPr>
            <w:r/>
            <w:r>
              <w:rPr>
                <w:rFonts w:ascii="Arial" w:hAnsi="Arial"/>
                <w:b w:val="0"/>
                <w:sz w:val="18"/>
              </w:rPr>
              <w:t>Tests and approvals.</w:t>
            </w:r>
          </w:p>
        </w:tc>
        <w:tc>
          <w:tcPr>
            <w:tcW w:type="dxa" w:w="3264"/>
            <w:vAlign w:val="top"/>
          </w:tcPr>
          <w:p>
            <w:pPr>
              <w:spacing w:after="0"/>
            </w:pPr>
            <w:r/>
            <w:r>
              <w:rPr>
                <w:rFonts w:ascii="Arial" w:hAnsi="Arial"/>
                <w:b w:val="0"/>
                <w:sz w:val="18"/>
              </w:rPr>
              <w:t>release_id, test_case_id, expected, actual, result, reviewer</w:t>
            </w:r>
          </w:p>
        </w:tc>
      </w:tr>
    </w:tbl>
    <w:p/>
    <w:p>
      <w:pPr>
        <w:pStyle w:val="Heading1"/>
      </w:pPr>
      <w:r>
        <w:t>14.0 Laravel-Oriented Software Translation</w:t>
      </w:r>
    </w:p>
    <w:p>
      <w:r>
        <w:t>Document 6 will finalize classes and database migrations. Part 10 recommends separation of concerns so that clinical reasoning services do not directly write arbitrary log text.</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Proposed component</w:t>
            </w:r>
          </w:p>
        </w:tc>
        <w:tc>
          <w:tcPr>
            <w:tcW w:type="dxa" w:w="4896"/>
            <w:shd w:fill="D9EAF7"/>
            <w:vAlign w:val="center"/>
          </w:tcPr>
          <w:p>
            <w:pPr>
              <w:spacing w:after="0"/>
            </w:pPr>
            <w:r/>
            <w:r>
              <w:rPr>
                <w:rFonts w:ascii="Arial" w:hAnsi="Arial"/>
                <w:b/>
                <w:sz w:val="18"/>
              </w:rPr>
              <w:t>Responsibility</w:t>
            </w:r>
          </w:p>
        </w:tc>
      </w:tr>
      <w:tr>
        <w:tc>
          <w:tcPr>
            <w:tcW w:type="dxa" w:w="4896"/>
            <w:vAlign w:val="top"/>
          </w:tcPr>
          <w:p>
            <w:pPr>
              <w:spacing w:after="0"/>
            </w:pPr>
            <w:r/>
            <w:r>
              <w:rPr>
                <w:rFonts w:ascii="Arial" w:hAnsi="Arial"/>
                <w:b w:val="0"/>
                <w:sz w:val="18"/>
              </w:rPr>
              <w:t>DecisionExecutionService</w:t>
            </w:r>
          </w:p>
        </w:tc>
        <w:tc>
          <w:tcPr>
            <w:tcW w:type="dxa" w:w="4896"/>
            <w:vAlign w:val="top"/>
          </w:tcPr>
          <w:p>
            <w:pPr>
              <w:spacing w:after="0"/>
            </w:pPr>
            <w:r/>
            <w:r>
              <w:rPr>
                <w:rFonts w:ascii="Arial" w:hAnsi="Arial"/>
                <w:b w:val="0"/>
                <w:sz w:val="18"/>
              </w:rPr>
              <w:t>Creates execution identity, freezes active versions, and coordinates lifecycle.</w:t>
            </w:r>
          </w:p>
        </w:tc>
      </w:tr>
      <w:tr>
        <w:tc>
          <w:tcPr>
            <w:tcW w:type="dxa" w:w="4896"/>
            <w:vAlign w:val="top"/>
          </w:tcPr>
          <w:p>
            <w:pPr>
              <w:spacing w:after="0"/>
            </w:pPr>
            <w:r/>
            <w:r>
              <w:rPr>
                <w:rFonts w:ascii="Arial" w:hAnsi="Arial"/>
                <w:b w:val="0"/>
                <w:sz w:val="18"/>
              </w:rPr>
              <w:t>DecisionProvenanceRecorder</w:t>
            </w:r>
          </w:p>
        </w:tc>
        <w:tc>
          <w:tcPr>
            <w:tcW w:type="dxa" w:w="4896"/>
            <w:vAlign w:val="top"/>
          </w:tcPr>
          <w:p>
            <w:pPr>
              <w:spacing w:after="0"/>
            </w:pPr>
            <w:r/>
            <w:r>
              <w:rPr>
                <w:rFonts w:ascii="Arial" w:hAnsi="Arial"/>
                <w:b w:val="0"/>
                <w:sz w:val="18"/>
              </w:rPr>
              <w:t>Stores input snapshots and outputs from every engine stage.</w:t>
            </w:r>
          </w:p>
        </w:tc>
      </w:tr>
      <w:tr>
        <w:tc>
          <w:tcPr>
            <w:tcW w:type="dxa" w:w="4896"/>
            <w:vAlign w:val="top"/>
          </w:tcPr>
          <w:p>
            <w:pPr>
              <w:spacing w:after="0"/>
            </w:pPr>
            <w:r/>
            <w:r>
              <w:rPr>
                <w:rFonts w:ascii="Arial" w:hAnsi="Arial"/>
                <w:b w:val="0"/>
                <w:sz w:val="18"/>
              </w:rPr>
              <w:t>AuditEventService</w:t>
            </w:r>
          </w:p>
        </w:tc>
        <w:tc>
          <w:tcPr>
            <w:tcW w:type="dxa" w:w="4896"/>
            <w:vAlign w:val="top"/>
          </w:tcPr>
          <w:p>
            <w:pPr>
              <w:spacing w:after="0"/>
            </w:pPr>
            <w:r/>
            <w:r>
              <w:rPr>
                <w:rFonts w:ascii="Arial" w:hAnsi="Arial"/>
                <w:b w:val="0"/>
                <w:sz w:val="18"/>
              </w:rPr>
              <w:t>Writes standardized append-oriented audit events.</w:t>
            </w:r>
          </w:p>
        </w:tc>
      </w:tr>
      <w:tr>
        <w:tc>
          <w:tcPr>
            <w:tcW w:type="dxa" w:w="4896"/>
            <w:vAlign w:val="top"/>
          </w:tcPr>
          <w:p>
            <w:pPr>
              <w:spacing w:after="0"/>
            </w:pPr>
            <w:r/>
            <w:r>
              <w:rPr>
                <w:rFonts w:ascii="Arial" w:hAnsi="Arial"/>
                <w:b w:val="0"/>
                <w:sz w:val="18"/>
              </w:rPr>
              <w:t>KnowledgeReleaseService</w:t>
            </w:r>
          </w:p>
        </w:tc>
        <w:tc>
          <w:tcPr>
            <w:tcW w:type="dxa" w:w="4896"/>
            <w:vAlign w:val="top"/>
          </w:tcPr>
          <w:p>
            <w:pPr>
              <w:spacing w:after="0"/>
            </w:pPr>
            <w:r/>
            <w:r>
              <w:rPr>
                <w:rFonts w:ascii="Arial" w:hAnsi="Arial"/>
                <w:b w:val="0"/>
                <w:sz w:val="18"/>
              </w:rPr>
              <w:t>Loads the active approved release by effective date.</w:t>
            </w:r>
          </w:p>
        </w:tc>
      </w:tr>
      <w:tr>
        <w:tc>
          <w:tcPr>
            <w:tcW w:type="dxa" w:w="4896"/>
            <w:vAlign w:val="top"/>
          </w:tcPr>
          <w:p>
            <w:pPr>
              <w:spacing w:after="0"/>
            </w:pPr>
            <w:r/>
            <w:r>
              <w:rPr>
                <w:rFonts w:ascii="Arial" w:hAnsi="Arial"/>
                <w:b w:val="0"/>
                <w:sz w:val="18"/>
              </w:rPr>
              <w:t>RuleVersionRepository</w:t>
            </w:r>
          </w:p>
        </w:tc>
        <w:tc>
          <w:tcPr>
            <w:tcW w:type="dxa" w:w="4896"/>
            <w:vAlign w:val="top"/>
          </w:tcPr>
          <w:p>
            <w:pPr>
              <w:spacing w:after="0"/>
            </w:pPr>
            <w:r/>
            <w:r>
              <w:rPr>
                <w:rFonts w:ascii="Arial" w:hAnsi="Arial"/>
                <w:b w:val="0"/>
                <w:sz w:val="18"/>
              </w:rPr>
              <w:t>Returns immutable rule versions; prevents in-place mutation.</w:t>
            </w:r>
          </w:p>
        </w:tc>
      </w:tr>
      <w:tr>
        <w:tc>
          <w:tcPr>
            <w:tcW w:type="dxa" w:w="4896"/>
            <w:vAlign w:val="top"/>
          </w:tcPr>
          <w:p>
            <w:pPr>
              <w:spacing w:after="0"/>
            </w:pPr>
            <w:r/>
            <w:r>
              <w:rPr>
                <w:rFonts w:ascii="Arial" w:hAnsi="Arial"/>
                <w:b w:val="0"/>
                <w:sz w:val="18"/>
              </w:rPr>
              <w:t>KnowledgeChangeControlService</w:t>
            </w:r>
          </w:p>
        </w:tc>
        <w:tc>
          <w:tcPr>
            <w:tcW w:type="dxa" w:w="4896"/>
            <w:vAlign w:val="top"/>
          </w:tcPr>
          <w:p>
            <w:pPr>
              <w:spacing w:after="0"/>
            </w:pPr>
            <w:r/>
            <w:r>
              <w:rPr>
                <w:rFonts w:ascii="Arial" w:hAnsi="Arial"/>
                <w:b w:val="0"/>
                <w:sz w:val="18"/>
              </w:rPr>
              <w:t>Manages draft, review, approval, publication, deprecation, and rollback.</w:t>
            </w:r>
          </w:p>
        </w:tc>
      </w:tr>
      <w:tr>
        <w:tc>
          <w:tcPr>
            <w:tcW w:type="dxa" w:w="4896"/>
            <w:vAlign w:val="top"/>
          </w:tcPr>
          <w:p>
            <w:pPr>
              <w:spacing w:after="0"/>
            </w:pPr>
            <w:r/>
            <w:r>
              <w:rPr>
                <w:rFonts w:ascii="Arial" w:hAnsi="Arial"/>
                <w:b w:val="0"/>
                <w:sz w:val="18"/>
              </w:rPr>
              <w:t>DecisionRecalculationService</w:t>
            </w:r>
          </w:p>
        </w:tc>
        <w:tc>
          <w:tcPr>
            <w:tcW w:type="dxa" w:w="4896"/>
            <w:vAlign w:val="top"/>
          </w:tcPr>
          <w:p>
            <w:pPr>
              <w:spacing w:after="0"/>
            </w:pPr>
            <w:r/>
            <w:r>
              <w:rPr>
                <w:rFonts w:ascii="Arial" w:hAnsi="Arial"/>
                <w:b w:val="0"/>
                <w:sz w:val="18"/>
              </w:rPr>
              <w:t>Creates a new execution linked to the previous one.</w:t>
            </w:r>
          </w:p>
        </w:tc>
      </w:tr>
      <w:tr>
        <w:tc>
          <w:tcPr>
            <w:tcW w:type="dxa" w:w="4896"/>
            <w:vAlign w:val="top"/>
          </w:tcPr>
          <w:p>
            <w:pPr>
              <w:spacing w:after="0"/>
            </w:pPr>
            <w:r/>
            <w:r>
              <w:rPr>
                <w:rFonts w:ascii="Arial" w:hAnsi="Arial"/>
                <w:b w:val="0"/>
                <w:sz w:val="18"/>
              </w:rPr>
              <w:t>DecisionHistoryController</w:t>
            </w:r>
          </w:p>
        </w:tc>
        <w:tc>
          <w:tcPr>
            <w:tcW w:type="dxa" w:w="4896"/>
            <w:vAlign w:val="top"/>
          </w:tcPr>
          <w:p>
            <w:pPr>
              <w:spacing w:after="0"/>
            </w:pPr>
            <w:r/>
            <w:r>
              <w:rPr>
                <w:rFonts w:ascii="Arial" w:hAnsi="Arial"/>
                <w:b w:val="0"/>
                <w:sz w:val="18"/>
              </w:rPr>
              <w:t>Displays a patient-safe chronology of assessments and user actions.</w:t>
            </w:r>
          </w:p>
        </w:tc>
      </w:tr>
      <w:tr>
        <w:tc>
          <w:tcPr>
            <w:tcW w:type="dxa" w:w="4896"/>
            <w:vAlign w:val="top"/>
          </w:tcPr>
          <w:p>
            <w:pPr>
              <w:spacing w:after="0"/>
            </w:pPr>
            <w:r/>
            <w:r>
              <w:rPr>
                <w:rFonts w:ascii="Arial" w:hAnsi="Arial"/>
                <w:b w:val="0"/>
                <w:sz w:val="18"/>
              </w:rPr>
              <w:t>KnowledgeAdministrationController</w:t>
            </w:r>
          </w:p>
        </w:tc>
        <w:tc>
          <w:tcPr>
            <w:tcW w:type="dxa" w:w="4896"/>
            <w:vAlign w:val="top"/>
          </w:tcPr>
          <w:p>
            <w:pPr>
              <w:spacing w:after="0"/>
            </w:pPr>
            <w:r/>
            <w:r>
              <w:rPr>
                <w:rFonts w:ascii="Arial" w:hAnsi="Arial"/>
                <w:b w:val="0"/>
                <w:sz w:val="18"/>
              </w:rPr>
              <w:t>Restricted administrative interface for governed knowledge artifacts.</w:t>
            </w:r>
          </w:p>
        </w:tc>
      </w:tr>
    </w:tbl>
    <w:p/>
    <w:p>
      <w:r>
        <w:t>Database transactions should ensure that a completed decision and its minimum provenance package are committed consistently. If provenance storage fails, the execution should remain failed or incomplete rather than being presented as a fully auditable result.</w:t>
      </w:r>
    </w:p>
    <w:p>
      <w:pPr>
        <w:pStyle w:val="Heading1"/>
      </w:pPr>
      <w:r>
        <w:t>15.0 Validation and Test Requirements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Test category</w:t>
            </w:r>
          </w:p>
        </w:tc>
        <w:tc>
          <w:tcPr>
            <w:tcW w:type="dxa" w:w="4896"/>
            <w:shd w:fill="D9EAF7"/>
            <w:vAlign w:val="center"/>
          </w:tcPr>
          <w:p>
            <w:pPr>
              <w:spacing w:after="0"/>
            </w:pPr>
            <w:r/>
            <w:r>
              <w:rPr>
                <w:rFonts w:ascii="Arial" w:hAnsi="Arial"/>
                <w:b/>
                <w:sz w:val="18"/>
              </w:rPr>
              <w:t>Minimum scenario</w:t>
            </w:r>
          </w:p>
        </w:tc>
      </w:tr>
      <w:tr>
        <w:tc>
          <w:tcPr>
            <w:tcW w:type="dxa" w:w="4896"/>
            <w:vAlign w:val="top"/>
          </w:tcPr>
          <w:p>
            <w:pPr>
              <w:spacing w:after="0"/>
            </w:pPr>
            <w:r/>
            <w:r>
              <w:rPr>
                <w:rFonts w:ascii="Arial" w:hAnsi="Arial"/>
                <w:b w:val="0"/>
                <w:sz w:val="18"/>
              </w:rPr>
              <w:t>Reproducibility</w:t>
            </w:r>
          </w:p>
        </w:tc>
        <w:tc>
          <w:tcPr>
            <w:tcW w:type="dxa" w:w="4896"/>
            <w:vAlign w:val="top"/>
          </w:tcPr>
          <w:p>
            <w:pPr>
              <w:spacing w:after="0"/>
            </w:pPr>
            <w:r/>
            <w:r>
              <w:rPr>
                <w:rFonts w:ascii="Arial" w:hAnsi="Arial"/>
                <w:b w:val="0"/>
                <w:sz w:val="18"/>
              </w:rPr>
              <w:t>Re-run a stored input snapshot under the same versions and obtain the same deterministic result.</w:t>
            </w:r>
          </w:p>
        </w:tc>
      </w:tr>
      <w:tr>
        <w:tc>
          <w:tcPr>
            <w:tcW w:type="dxa" w:w="4896"/>
            <w:vAlign w:val="top"/>
          </w:tcPr>
          <w:p>
            <w:pPr>
              <w:spacing w:after="0"/>
            </w:pPr>
            <w:r/>
            <w:r>
              <w:rPr>
                <w:rFonts w:ascii="Arial" w:hAnsi="Arial"/>
                <w:b w:val="0"/>
                <w:sz w:val="18"/>
              </w:rPr>
              <w:t>Version isolation</w:t>
            </w:r>
          </w:p>
        </w:tc>
        <w:tc>
          <w:tcPr>
            <w:tcW w:type="dxa" w:w="4896"/>
            <w:vAlign w:val="top"/>
          </w:tcPr>
          <w:p>
            <w:pPr>
              <w:spacing w:after="0"/>
            </w:pPr>
            <w:r/>
            <w:r>
              <w:rPr>
                <w:rFonts w:ascii="Arial" w:hAnsi="Arial"/>
                <w:b w:val="0"/>
                <w:sz w:val="18"/>
              </w:rPr>
              <w:t>Confirm an old decision still displays its original rule and recommendation versions after a new release.</w:t>
            </w:r>
          </w:p>
        </w:tc>
      </w:tr>
      <w:tr>
        <w:tc>
          <w:tcPr>
            <w:tcW w:type="dxa" w:w="4896"/>
            <w:vAlign w:val="top"/>
          </w:tcPr>
          <w:p>
            <w:pPr>
              <w:spacing w:after="0"/>
            </w:pPr>
            <w:r/>
            <w:r>
              <w:rPr>
                <w:rFonts w:ascii="Arial" w:hAnsi="Arial"/>
                <w:b w:val="0"/>
                <w:sz w:val="18"/>
              </w:rPr>
              <w:t>Immutability</w:t>
            </w:r>
          </w:p>
        </w:tc>
        <w:tc>
          <w:tcPr>
            <w:tcW w:type="dxa" w:w="4896"/>
            <w:vAlign w:val="top"/>
          </w:tcPr>
          <w:p>
            <w:pPr>
              <w:spacing w:after="0"/>
            </w:pPr>
            <w:r/>
            <w:r>
              <w:rPr>
                <w:rFonts w:ascii="Arial" w:hAnsi="Arial"/>
                <w:b w:val="0"/>
                <w:sz w:val="18"/>
              </w:rPr>
              <w:t>Attempt ordinary update or deletion of a published rule and prior decision; operation must be blocked.</w:t>
            </w:r>
          </w:p>
        </w:tc>
      </w:tr>
      <w:tr>
        <w:tc>
          <w:tcPr>
            <w:tcW w:type="dxa" w:w="4896"/>
            <w:vAlign w:val="top"/>
          </w:tcPr>
          <w:p>
            <w:pPr>
              <w:spacing w:after="0"/>
            </w:pPr>
            <w:r/>
            <w:r>
              <w:rPr>
                <w:rFonts w:ascii="Arial" w:hAnsi="Arial"/>
                <w:b w:val="0"/>
                <w:sz w:val="18"/>
              </w:rPr>
              <w:t>Recalculation</w:t>
            </w:r>
          </w:p>
        </w:tc>
        <w:tc>
          <w:tcPr>
            <w:tcW w:type="dxa" w:w="4896"/>
            <w:vAlign w:val="top"/>
          </w:tcPr>
          <w:p>
            <w:pPr>
              <w:spacing w:after="0"/>
            </w:pPr>
            <w:r/>
            <w:r>
              <w:rPr>
                <w:rFonts w:ascii="Arial" w:hAnsi="Arial"/>
                <w:b w:val="0"/>
                <w:sz w:val="18"/>
              </w:rPr>
              <w:t>Correct patient data and confirm a new linked execution is created without overwriting history.</w:t>
            </w:r>
          </w:p>
        </w:tc>
      </w:tr>
      <w:tr>
        <w:tc>
          <w:tcPr>
            <w:tcW w:type="dxa" w:w="4896"/>
            <w:vAlign w:val="top"/>
          </w:tcPr>
          <w:p>
            <w:pPr>
              <w:spacing w:after="0"/>
            </w:pPr>
            <w:r/>
            <w:r>
              <w:rPr>
                <w:rFonts w:ascii="Arial" w:hAnsi="Arial"/>
                <w:b w:val="0"/>
                <w:sz w:val="18"/>
              </w:rPr>
              <w:t>Rollback</w:t>
            </w:r>
          </w:p>
        </w:tc>
        <w:tc>
          <w:tcPr>
            <w:tcW w:type="dxa" w:w="4896"/>
            <w:vAlign w:val="top"/>
          </w:tcPr>
          <w:p>
            <w:pPr>
              <w:spacing w:after="0"/>
            </w:pPr>
            <w:r/>
            <w:r>
              <w:rPr>
                <w:rFonts w:ascii="Arial" w:hAnsi="Arial"/>
                <w:b w:val="0"/>
                <w:sz w:val="18"/>
              </w:rPr>
              <w:t>Activate rollback and verify only new executions use the restored release.</w:t>
            </w:r>
          </w:p>
        </w:tc>
      </w:tr>
      <w:tr>
        <w:tc>
          <w:tcPr>
            <w:tcW w:type="dxa" w:w="4896"/>
            <w:vAlign w:val="top"/>
          </w:tcPr>
          <w:p>
            <w:pPr>
              <w:spacing w:after="0"/>
            </w:pPr>
            <w:r/>
            <w:r>
              <w:rPr>
                <w:rFonts w:ascii="Arial" w:hAnsi="Arial"/>
                <w:b w:val="0"/>
                <w:sz w:val="18"/>
              </w:rPr>
              <w:t>Authorization</w:t>
            </w:r>
          </w:p>
        </w:tc>
        <w:tc>
          <w:tcPr>
            <w:tcW w:type="dxa" w:w="4896"/>
            <w:vAlign w:val="top"/>
          </w:tcPr>
          <w:p>
            <w:pPr>
              <w:spacing w:after="0"/>
            </w:pPr>
            <w:r/>
            <w:r>
              <w:rPr>
                <w:rFonts w:ascii="Arial" w:hAnsi="Arial"/>
                <w:b w:val="0"/>
                <w:sz w:val="18"/>
              </w:rPr>
              <w:t>Verify unauthorized users cannot publish rules or access restricted audit data.</w:t>
            </w:r>
          </w:p>
        </w:tc>
      </w:tr>
      <w:tr>
        <w:tc>
          <w:tcPr>
            <w:tcW w:type="dxa" w:w="4896"/>
            <w:vAlign w:val="top"/>
          </w:tcPr>
          <w:p>
            <w:pPr>
              <w:spacing w:after="0"/>
            </w:pPr>
            <w:r/>
            <w:r>
              <w:rPr>
                <w:rFonts w:ascii="Arial" w:hAnsi="Arial"/>
                <w:b w:val="0"/>
                <w:sz w:val="18"/>
              </w:rPr>
              <w:t>Failure handling</w:t>
            </w:r>
          </w:p>
        </w:tc>
        <w:tc>
          <w:tcPr>
            <w:tcW w:type="dxa" w:w="4896"/>
            <w:vAlign w:val="top"/>
          </w:tcPr>
          <w:p>
            <w:pPr>
              <w:spacing w:after="0"/>
            </w:pPr>
            <w:r/>
            <w:r>
              <w:rPr>
                <w:rFonts w:ascii="Arial" w:hAnsi="Arial"/>
                <w:b w:val="0"/>
                <w:sz w:val="18"/>
              </w:rPr>
              <w:t>Simulate audit-write failure and verify the system does not mark the decision as fully completed.</w:t>
            </w:r>
          </w:p>
        </w:tc>
      </w:tr>
      <w:tr>
        <w:tc>
          <w:tcPr>
            <w:tcW w:type="dxa" w:w="4896"/>
            <w:vAlign w:val="top"/>
          </w:tcPr>
          <w:p>
            <w:pPr>
              <w:spacing w:after="0"/>
            </w:pPr>
            <w:r/>
            <w:r>
              <w:rPr>
                <w:rFonts w:ascii="Arial" w:hAnsi="Arial"/>
                <w:b w:val="0"/>
                <w:sz w:val="18"/>
              </w:rPr>
              <w:t>Emergency provenance</w:t>
            </w:r>
          </w:p>
        </w:tc>
        <w:tc>
          <w:tcPr>
            <w:tcW w:type="dxa" w:w="4896"/>
            <w:vAlign w:val="top"/>
          </w:tcPr>
          <w:p>
            <w:pPr>
              <w:spacing w:after="0"/>
            </w:pPr>
            <w:r/>
            <w:r>
              <w:rPr>
                <w:rFonts w:ascii="Arial" w:hAnsi="Arial"/>
                <w:b w:val="0"/>
                <w:sz w:val="18"/>
              </w:rPr>
              <w:t>Confirm an emergency override records the trigger, rule version, interrupted stage, and output.</w:t>
            </w:r>
          </w:p>
        </w:tc>
      </w:tr>
      <w:tr>
        <w:tc>
          <w:tcPr>
            <w:tcW w:type="dxa" w:w="4896"/>
            <w:vAlign w:val="top"/>
          </w:tcPr>
          <w:p>
            <w:pPr>
              <w:spacing w:after="0"/>
            </w:pPr>
            <w:r/>
            <w:r>
              <w:rPr>
                <w:rFonts w:ascii="Arial" w:hAnsi="Arial"/>
                <w:b w:val="0"/>
                <w:sz w:val="18"/>
              </w:rPr>
              <w:t>Override documentation</w:t>
            </w:r>
          </w:p>
        </w:tc>
        <w:tc>
          <w:tcPr>
            <w:tcW w:type="dxa" w:w="4896"/>
            <w:vAlign w:val="top"/>
          </w:tcPr>
          <w:p>
            <w:pPr>
              <w:spacing w:after="0"/>
            </w:pPr>
            <w:r/>
            <w:r>
              <w:rPr>
                <w:rFonts w:ascii="Arial" w:hAnsi="Arial"/>
                <w:b w:val="0"/>
                <w:sz w:val="18"/>
              </w:rPr>
              <w:t>Confirm a clinician override preserves the original recommendation and records the reason.</w:t>
            </w:r>
          </w:p>
        </w:tc>
      </w:tr>
      <w:tr>
        <w:tc>
          <w:tcPr>
            <w:tcW w:type="dxa" w:w="4896"/>
            <w:vAlign w:val="top"/>
          </w:tcPr>
          <w:p>
            <w:pPr>
              <w:spacing w:after="0"/>
            </w:pPr>
            <w:r/>
            <w:r>
              <w:rPr>
                <w:rFonts w:ascii="Arial" w:hAnsi="Arial"/>
                <w:b w:val="0"/>
                <w:sz w:val="18"/>
              </w:rPr>
              <w:t>Time integrity</w:t>
            </w:r>
          </w:p>
        </w:tc>
        <w:tc>
          <w:tcPr>
            <w:tcW w:type="dxa" w:w="4896"/>
            <w:vAlign w:val="top"/>
          </w:tcPr>
          <w:p>
            <w:pPr>
              <w:spacing w:after="0"/>
            </w:pPr>
            <w:r/>
            <w:r>
              <w:rPr>
                <w:rFonts w:ascii="Arial" w:hAnsi="Arial"/>
                <w:b w:val="0"/>
                <w:sz w:val="18"/>
              </w:rPr>
              <w:t>Verify event time, observation time, and entry time remain distinguishable.</w:t>
            </w:r>
          </w:p>
        </w:tc>
      </w:tr>
      <w:tr>
        <w:tc>
          <w:tcPr>
            <w:tcW w:type="dxa" w:w="4896"/>
            <w:vAlign w:val="top"/>
          </w:tcPr>
          <w:p>
            <w:pPr>
              <w:spacing w:after="0"/>
            </w:pPr>
            <w:r/>
            <w:r>
              <w:rPr>
                <w:rFonts w:ascii="Arial" w:hAnsi="Arial"/>
                <w:b w:val="0"/>
                <w:sz w:val="18"/>
              </w:rPr>
              <w:t>Regression</w:t>
            </w:r>
          </w:p>
        </w:tc>
        <w:tc>
          <w:tcPr>
            <w:tcW w:type="dxa" w:w="4896"/>
            <w:vAlign w:val="top"/>
          </w:tcPr>
          <w:p>
            <w:pPr>
              <w:spacing w:after="0"/>
            </w:pPr>
            <w:r/>
            <w:r>
              <w:rPr>
                <w:rFonts w:ascii="Arial" w:hAnsi="Arial"/>
                <w:b w:val="0"/>
                <w:sz w:val="18"/>
              </w:rPr>
              <w:t>Execute approved clinical test cases for every release and compare expected outcomes.</w:t>
            </w:r>
          </w:p>
        </w:tc>
      </w:tr>
      <w:tr>
        <w:tc>
          <w:tcPr>
            <w:tcW w:type="dxa" w:w="4896"/>
            <w:vAlign w:val="top"/>
          </w:tcPr>
          <w:p>
            <w:pPr>
              <w:spacing w:after="0"/>
            </w:pPr>
            <w:r/>
            <w:r>
              <w:rPr>
                <w:rFonts w:ascii="Arial" w:hAnsi="Arial"/>
                <w:b w:val="0"/>
                <w:sz w:val="18"/>
              </w:rPr>
              <w:t>Privacy</w:t>
            </w:r>
          </w:p>
        </w:tc>
        <w:tc>
          <w:tcPr>
            <w:tcW w:type="dxa" w:w="4896"/>
            <w:vAlign w:val="top"/>
          </w:tcPr>
          <w:p>
            <w:pPr>
              <w:spacing w:after="0"/>
            </w:pPr>
            <w:r/>
            <w:r>
              <w:rPr>
                <w:rFonts w:ascii="Arial" w:hAnsi="Arial"/>
                <w:b w:val="0"/>
                <w:sz w:val="18"/>
              </w:rPr>
              <w:t>Verify logs exclude credentials and unnecessary sensitive free text.</w:t>
            </w:r>
          </w:p>
        </w:tc>
      </w:tr>
    </w:tbl>
    <w:p/>
    <w:p>
      <w:pPr>
        <w:pStyle w:val="Heading1"/>
      </w:pPr>
      <w:r>
        <w:t>16.0 Release Readiness Checklist</w:t>
      </w:r>
    </w:p>
    <w:p>
      <w:pPr>
        <w:pStyle w:val="ListBullet"/>
      </w:pPr>
      <w:r>
        <w:t>All active rules have stable IDs, immutable versions, evidence mappings, and owners.</w:t>
      </w:r>
    </w:p>
    <w:p>
      <w:pPr>
        <w:pStyle w:val="ListBullet"/>
      </w:pPr>
      <w:r>
        <w:t>The release has documented clinical and technical approvals.</w:t>
      </w:r>
    </w:p>
    <w:p>
      <w:pPr>
        <w:pStyle w:val="ListBullet"/>
      </w:pPr>
      <w:r>
        <w:t>Boundary, missing-data, conflict, emergency, and regression tests pass.</w:t>
      </w:r>
    </w:p>
    <w:p>
      <w:pPr>
        <w:pStyle w:val="ListBullet"/>
      </w:pPr>
      <w:r>
        <w:t>The application displays the basis for recommendations and patient-specific knowns and unknowns.</w:t>
      </w:r>
    </w:p>
    <w:p>
      <w:pPr>
        <w:pStyle w:val="ListBullet"/>
      </w:pPr>
      <w:r>
        <w:t>Prior decisions remain reproducible after deployment.</w:t>
      </w:r>
    </w:p>
    <w:p>
      <w:pPr>
        <w:pStyle w:val="ListBullet"/>
      </w:pPr>
      <w:r>
        <w:t>Rollback has been rehearsed and documented.</w:t>
      </w:r>
    </w:p>
    <w:p>
      <w:pPr>
        <w:pStyle w:val="ListBullet"/>
      </w:pPr>
      <w:r>
        <w:t>Audit permissions, retention, backup, and recovery controls are approved.</w:t>
      </w:r>
    </w:p>
    <w:p>
      <w:pPr>
        <w:pStyle w:val="ListBullet"/>
      </w:pPr>
      <w:r>
        <w:t>The clinic has a process for reviewing incidents and knowledge-change requests.</w:t>
      </w:r>
    </w:p>
    <w:p>
      <w:pPr>
        <w:pStyle w:val="ListBullet"/>
      </w:pPr>
      <w:r>
        <w:t>Users are trained that acknowledgement is not the same as clinical acceptance.</w:t>
      </w:r>
    </w:p>
    <w:p>
      <w:pPr>
        <w:pStyle w:val="ListBullet"/>
      </w:pPr>
      <w:r>
        <w:t>No direct-edit pathway exists for published rules or historical final decisions.</w:t>
      </w:r>
    </w:p>
    <w:p>
      <w:pPr>
        <w:pStyle w:val="Heading1"/>
      </w:pPr>
      <w:r>
        <w:t>17.0 Evidence-to-CDSS Translation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D9EAF7"/>
            <w:vAlign w:val="center"/>
          </w:tcPr>
          <w:p>
            <w:pPr>
              <w:spacing w:after="0"/>
            </w:pPr>
            <w:r/>
            <w:r>
              <w:rPr>
                <w:rFonts w:ascii="Arial" w:hAnsi="Arial"/>
                <w:b/>
                <w:sz w:val="18"/>
              </w:rPr>
              <w:t>Evidence or standard direction</w:t>
            </w:r>
          </w:p>
        </w:tc>
        <w:tc>
          <w:tcPr>
            <w:tcW w:type="dxa" w:w="4896"/>
            <w:shd w:fill="D9EAF7"/>
            <w:vAlign w:val="center"/>
          </w:tcPr>
          <w:p>
            <w:pPr>
              <w:spacing w:after="0"/>
            </w:pPr>
            <w:r/>
            <w:r>
              <w:rPr>
                <w:rFonts w:ascii="Arial" w:hAnsi="Arial"/>
                <w:b/>
                <w:sz w:val="18"/>
              </w:rPr>
              <w:t>CDSS translation</w:t>
            </w:r>
          </w:p>
        </w:tc>
      </w:tr>
      <w:tr>
        <w:tc>
          <w:tcPr>
            <w:tcW w:type="dxa" w:w="4896"/>
            <w:vAlign w:val="top"/>
          </w:tcPr>
          <w:p>
            <w:pPr>
              <w:spacing w:after="0"/>
            </w:pPr>
            <w:r/>
            <w:r>
              <w:rPr>
                <w:rFonts w:ascii="Arial" w:hAnsi="Arial"/>
                <w:b w:val="0"/>
                <w:sz w:val="18"/>
              </w:rPr>
              <w:t>WHO SMART Guidelines promote structured, software-neutral, testable digital representations of recommendations.</w:t>
            </w:r>
          </w:p>
        </w:tc>
        <w:tc>
          <w:tcPr>
            <w:tcW w:type="dxa" w:w="4896"/>
            <w:vAlign w:val="top"/>
          </w:tcPr>
          <w:p>
            <w:pPr>
              <w:spacing w:after="0"/>
            </w:pPr>
            <w:r/>
            <w:r>
              <w:rPr>
                <w:rFonts w:ascii="Arial" w:hAnsi="Arial"/>
                <w:b w:val="0"/>
                <w:sz w:val="18"/>
              </w:rPr>
              <w:t>Maintain explicit data elements, computable rules, functional requirements, versioned releases, and test cases.</w:t>
            </w:r>
          </w:p>
        </w:tc>
      </w:tr>
      <w:tr>
        <w:tc>
          <w:tcPr>
            <w:tcW w:type="dxa" w:w="4896"/>
            <w:vAlign w:val="top"/>
          </w:tcPr>
          <w:p>
            <w:pPr>
              <w:spacing w:after="0"/>
            </w:pPr>
            <w:r/>
            <w:r>
              <w:rPr>
                <w:rFonts w:ascii="Arial" w:hAnsi="Arial"/>
                <w:b w:val="0"/>
                <w:sz w:val="18"/>
              </w:rPr>
              <w:t>WHO Digital Adaptation Kits connect recommendations, workflows, data elements, decision logic, indicators, and system requirements.</w:t>
            </w:r>
          </w:p>
        </w:tc>
        <w:tc>
          <w:tcPr>
            <w:tcW w:type="dxa" w:w="4896"/>
            <w:vAlign w:val="top"/>
          </w:tcPr>
          <w:p>
            <w:pPr>
              <w:spacing w:after="0"/>
            </w:pPr>
            <w:r/>
            <w:r>
              <w:rPr>
                <w:rFonts w:ascii="Arial" w:hAnsi="Arial"/>
                <w:b w:val="0"/>
                <w:sz w:val="18"/>
              </w:rPr>
              <w:t>Link every rule to its evidence, required inputs, workflow position, recommendation, and validation scenario.</w:t>
            </w:r>
          </w:p>
        </w:tc>
      </w:tr>
      <w:tr>
        <w:tc>
          <w:tcPr>
            <w:tcW w:type="dxa" w:w="4896"/>
            <w:vAlign w:val="top"/>
          </w:tcPr>
          <w:p>
            <w:pPr>
              <w:spacing w:after="0"/>
            </w:pPr>
            <w:r/>
            <w:r>
              <w:rPr>
                <w:rFonts w:ascii="Arial" w:hAnsi="Arial"/>
                <w:b w:val="0"/>
                <w:sz w:val="18"/>
              </w:rPr>
              <w:t>Independent review of the recommendation basis requires visible inputs, logic, validation basis, and patient-specific knowns and unknowns.</w:t>
            </w:r>
          </w:p>
        </w:tc>
        <w:tc>
          <w:tcPr>
            <w:tcW w:type="dxa" w:w="4896"/>
            <w:vAlign w:val="top"/>
          </w:tcPr>
          <w:p>
            <w:pPr>
              <w:spacing w:after="0"/>
            </w:pPr>
            <w:r/>
            <w:r>
              <w:rPr>
                <w:rFonts w:ascii="Arial" w:hAnsi="Arial"/>
                <w:b w:val="0"/>
                <w:sz w:val="18"/>
              </w:rPr>
              <w:t>Store and display a decision provenance package and human-readable explanation.</w:t>
            </w:r>
          </w:p>
        </w:tc>
      </w:tr>
      <w:tr>
        <w:tc>
          <w:tcPr>
            <w:tcW w:type="dxa" w:w="4896"/>
            <w:vAlign w:val="top"/>
          </w:tcPr>
          <w:p>
            <w:pPr>
              <w:spacing w:after="0"/>
            </w:pPr>
            <w:r/>
            <w:r>
              <w:rPr>
                <w:rFonts w:ascii="Arial" w:hAnsi="Arial"/>
                <w:b w:val="0"/>
                <w:sz w:val="18"/>
              </w:rPr>
              <w:t>Country and local adaptation is necessary.</w:t>
            </w:r>
          </w:p>
        </w:tc>
        <w:tc>
          <w:tcPr>
            <w:tcW w:type="dxa" w:w="4896"/>
            <w:vAlign w:val="top"/>
          </w:tcPr>
          <w:p>
            <w:pPr>
              <w:spacing w:after="0"/>
            </w:pPr>
            <w:r/>
            <w:r>
              <w:rPr>
                <w:rFonts w:ascii="Arial" w:hAnsi="Arial"/>
                <w:b w:val="0"/>
                <w:sz w:val="18"/>
              </w:rPr>
              <w:t>Separate source guidance, local adaptation decision, effective date, reviewers, and release version.</w:t>
            </w:r>
          </w:p>
        </w:tc>
      </w:tr>
      <w:tr>
        <w:tc>
          <w:tcPr>
            <w:tcW w:type="dxa" w:w="4896"/>
            <w:vAlign w:val="top"/>
          </w:tcPr>
          <w:p>
            <w:pPr>
              <w:spacing w:after="0"/>
            </w:pPr>
            <w:r/>
            <w:r>
              <w:rPr>
                <w:rFonts w:ascii="Arial" w:hAnsi="Arial"/>
                <w:b w:val="0"/>
                <w:sz w:val="18"/>
              </w:rPr>
              <w:t>Clinical systems must be updateable without destroying historical interpretation.</w:t>
            </w:r>
          </w:p>
        </w:tc>
        <w:tc>
          <w:tcPr>
            <w:tcW w:type="dxa" w:w="4896"/>
            <w:vAlign w:val="top"/>
          </w:tcPr>
          <w:p>
            <w:pPr>
              <w:spacing w:after="0"/>
            </w:pPr>
            <w:r/>
            <w:r>
              <w:rPr>
                <w:rFonts w:ascii="Arial" w:hAnsi="Arial"/>
                <w:b w:val="0"/>
                <w:sz w:val="18"/>
              </w:rPr>
              <w:t>Use immutable rule versions, effective dates, deprecation, and rollback rather than in-place editing.</w:t>
            </w:r>
          </w:p>
        </w:tc>
      </w:tr>
    </w:tbl>
    <w:p/>
    <w:p>
      <w:pPr>
        <w:pStyle w:val="Heading1"/>
      </w:pPr>
      <w:r>
        <w:t>18.0 Implementation Notes and Prohibited Shortcuts</w:t>
      </w:r>
    </w:p>
    <w:p>
      <w:pPr>
        <w:pStyle w:val="ListBullet"/>
      </w:pPr>
      <w:r>
        <w:t>Do not use one mutable risk_assessment field as the authoritative history.</w:t>
      </w:r>
    </w:p>
    <w:p>
      <w:pPr>
        <w:pStyle w:val="ListBullet"/>
      </w:pPr>
      <w:r>
        <w:t>Do not overwrite LOW with HIGH or INCOMPLETE during recalculation; create a new execution.</w:t>
      </w:r>
    </w:p>
    <w:p>
      <w:pPr>
        <w:pStyle w:val="ListBullet"/>
      </w:pPr>
      <w:r>
        <w:t>Do not store only free-text audit messages when structured fields are available.</w:t>
      </w:r>
    </w:p>
    <w:p>
      <w:pPr>
        <w:pStyle w:val="ListBullet"/>
      </w:pPr>
      <w:r>
        <w:t>Do not permit production rules to be edited directly from a generic CRUD screen.</w:t>
      </w:r>
    </w:p>
    <w:p>
      <w:pPr>
        <w:pStyle w:val="ListBullet"/>
      </w:pPr>
      <w:r>
        <w:t>Do not infer that an output was reviewed merely because a page was opened.</w:t>
      </w:r>
    </w:p>
    <w:p>
      <w:pPr>
        <w:pStyle w:val="ListBullet"/>
      </w:pPr>
      <w:r>
        <w:t>Do not treat a user override as proof that the engine was wrong.</w:t>
      </w:r>
    </w:p>
    <w:p>
      <w:pPr>
        <w:pStyle w:val="ListBullet"/>
      </w:pPr>
      <w:r>
        <w:t>Do not delete deprecated or withdrawn rule versions.</w:t>
      </w:r>
    </w:p>
    <w:p>
      <w:pPr>
        <w:pStyle w:val="ListBullet"/>
      </w:pPr>
      <w:r>
        <w:t>Do not mix clinical observation time with database update time.</w:t>
      </w:r>
    </w:p>
    <w:p>
      <w:pPr>
        <w:pStyle w:val="ListBullet"/>
      </w:pPr>
      <w:r>
        <w:t>Do not expose unrestricted audit exports to ordinary users.</w:t>
      </w:r>
    </w:p>
    <w:p>
      <w:pPr>
        <w:pStyle w:val="ListBullet"/>
      </w:pPr>
      <w:r>
        <w:t>Do not activate a knowledge release that lacks approved validation cases and a rollback target.</w:t>
      </w:r>
    </w:p>
    <w:p>
      <w:pPr>
        <w:pStyle w:val="Heading1"/>
      </w:pPr>
      <w:r>
        <w:t>19.0 Transition to Part 11</w:t>
      </w:r>
    </w:p>
    <w:p>
      <w:r>
        <w:t>Part 10 establishes the memory and governance of the Decision Engine. Parts 1-9 define how the engine validates, processes, combines, resolves, prioritizes, explains, and qualifies clinical information. Part 10 ensures that those operations remain historically reconstructable and safely updateable. Part 11 will integrate every component into one complete end-to-end decision workflow, including execution states, interruption points, failure behavior, human review, referral actions, and final output packaging.</w:t>
      </w:r>
    </w:p>
    <w:p>
      <w:pPr>
        <w:pStyle w:val="Heading1"/>
      </w:pPr>
      <w:r>
        <w:t>References</w:t>
      </w:r>
    </w:p>
    <w:p>
      <w:pPr>
        <w:pStyle w:val="ListNumber"/>
      </w:pPr>
      <w:r>
        <w:t>World Health Organization. SMART Guidelines. Digital Health and Innovation. Current programme overview and five-layer approach.</w:t>
      </w:r>
    </w:p>
    <w:p>
      <w:pPr>
        <w:pStyle w:val="ListNumber"/>
      </w:pPr>
      <w:r>
        <w:t>World Health Organization. Digital Adaptation Kit for Antenatal Care: Operational requirements for implementing WHO recommendations in digital systems. 2021.</w:t>
      </w:r>
    </w:p>
    <w:p>
      <w:pPr>
        <w:pStyle w:val="ListNumber"/>
      </w:pPr>
      <w:r>
        <w:t>World Health Organization. SMART Guidelines - Digital Adaptation Kits: Implementation research and technical support. 2022.</w:t>
      </w:r>
    </w:p>
    <w:p>
      <w:pPr>
        <w:pStyle w:val="ListNumber"/>
      </w:pPr>
      <w:r>
        <w:t>World Health Organization. L2 Digital Adaptation Kit. Structured components for decision trees, workflows, core data elements, decision-support logic, and functional requirements.</w:t>
      </w:r>
    </w:p>
    <w:p>
      <w:pPr>
        <w:pStyle w:val="ListNumber"/>
      </w:pPr>
      <w:r>
        <w:t>U.S. Food and Drug Administration. Clinical Decision Support Software and Digital Health Policy Navigator: enabling healthcare professionals to independently review the basis for recommendations.</w:t>
      </w:r>
    </w:p>
    <w:p>
      <w:pPr>
        <w:pStyle w:val="ListNumber"/>
      </w:pPr>
      <w:r>
        <w:t>HL7 International. FHIR Clinical Reasoning resources, including versioned knowledge artifacts such as PlanDefinition and Library. Use subject to local interoperability design and validation.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 2 - Part 10 | Audit, Provenance, and Version Control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Note">
    <w:name w:val="Safety Note"/>
    <w:pPr>
      <w:spacing w:before="120" w:after="120"/>
    </w:pPr>
    <w:rPr>
      <w:rFonts w:ascii="Arial" w:hAnsi="Arial"/>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