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DOCUMENT 2</w:t>
      </w:r>
    </w:p>
    <w:p>
      <w:pPr>
        <w:jc w:val="center"/>
      </w:pPr>
      <w:r>
        <w:rPr>
          <w:rFonts w:ascii="Arial" w:hAnsi="Arial"/>
          <w:b/>
          <w:sz w:val="44"/>
        </w:rPr>
        <w:t>Clinical Decision Support Decision Engine Specification</w:t>
      </w:r>
    </w:p>
    <w:p>
      <w:pPr>
        <w:jc w:val="center"/>
      </w:pPr>
      <w:r>
        <w:rPr>
          <w:rFonts w:ascii="Arial" w:hAnsi="Arial"/>
          <w:b/>
          <w:sz w:val="31"/>
        </w:rPr>
        <w:t>Part 8 - Explainability Engine</w:t>
      </w:r>
    </w:p>
    <w:p/>
    <w:p>
      <w:pPr>
        <w:jc w:val="center"/>
      </w:pPr>
      <w:r>
        <w:rPr>
          <w:rFonts w:ascii="Arial" w:hAnsi="Arial"/>
          <w:sz w:val="24"/>
        </w:rPr>
        <w:t>Development of an Explainable Clinical Decision Support System</w:t>
      </w:r>
    </w:p>
    <w:p>
      <w:pPr>
        <w:jc w:val="center"/>
      </w:pPr>
      <w:r>
        <w:rPr>
          <w:rFonts w:ascii="Arial" w:hAnsi="Arial"/>
          <w:sz w:val="24"/>
        </w:rPr>
        <w:t>for a Web-Based Maternity Management System</w:t>
      </w:r>
    </w:p>
    <w:p>
      <w:pPr>
        <w:jc w:val="center"/>
      </w:pPr>
      <w:r>
        <w:rPr>
          <w:rFonts w:ascii="Arial" w:hAnsi="Arial"/>
          <w:sz w:val="24"/>
        </w:rPr>
        <w:t>in a Philippine Lying-in Clinic</w:t>
      </w:r>
    </w:p>
    <w:p/>
    <w:p>
      <w:pPr>
        <w:jc w:val="center"/>
      </w:pPr>
      <w:r>
        <w:rPr>
          <w:i/>
        </w:rPr>
        <w:t>Version 2.0 - Expanded and Harmonized Research Draft</w:t>
      </w:r>
    </w:p>
    <w:p>
      <w:pPr>
        <w:jc w:val="center"/>
      </w:pPr>
      <w:r>
        <w:rPr>
          <w:i/>
        </w:rPr>
        <w:t>July 2026</w:t>
      </w:r>
    </w:p>
    <w:p>
      <w:r>
        <w:br w:type="page"/>
      </w:r>
    </w:p>
    <w:p>
      <w:pPr>
        <w:pStyle w:val="Heading1"/>
      </w:pPr>
      <w:r>
        <w:t>Clinical Safety Statement</w:t>
      </w:r>
    </w:p>
    <w:p>
      <w:r>
        <w:t>The Explainability Engine communicates the basis of the system's output. Explanation improves transparency but does not prove clinical correctness. It must disclose evidence, logic, uncertainty, limitations, and the role of machine learning without overstating certainty.</w:t>
      </w:r>
    </w:p>
    <w:p>
      <w:r>
        <w:t>This specification must be reviewed against applicable Philippine professional, institutional, privacy, records-management, referral, and health-service requirements before real clinical deployment.</w:t>
      </w:r>
    </w:p>
    <w:p>
      <w:pPr>
        <w:pStyle w:val="Heading1"/>
      </w:pPr>
      <w:r>
        <w:t>Document Status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Item</w:t>
            </w:r>
          </w:p>
        </w:tc>
        <w:tc>
          <w:tcPr>
            <w:tcW w:type="dxa" w:w="4939"/>
            <w:shd w:fill="D9EAF7"/>
          </w:tcPr>
          <w:p>
            <w:pPr>
              <w:spacing w:after="0"/>
            </w:pPr>
            <w:r/>
            <w:r>
              <w:rPr>
                <w:rFonts w:ascii="Arial" w:hAnsi="Arial"/>
                <w:b/>
                <w:sz w:val="18"/>
              </w:rPr>
              <w:t>Description</w:t>
            </w:r>
          </w:p>
        </w:tc>
      </w:tr>
      <w:tr>
        <w:tc>
          <w:tcPr>
            <w:tcW w:type="dxa" w:w="4939"/>
            <w:vAlign w:val="top"/>
          </w:tcPr>
          <w:p>
            <w:pPr>
              <w:spacing w:after="0"/>
            </w:pPr>
            <w:r/>
            <w:r>
              <w:rPr>
                <w:rFonts w:ascii="Arial" w:hAnsi="Arial"/>
                <w:b w:val="0"/>
                <w:sz w:val="18"/>
              </w:rPr>
              <w:t>Document</w:t>
            </w:r>
          </w:p>
        </w:tc>
        <w:tc>
          <w:tcPr>
            <w:tcW w:type="dxa" w:w="4939"/>
            <w:vAlign w:val="top"/>
          </w:tcPr>
          <w:p>
            <w:pPr>
              <w:spacing w:after="0"/>
            </w:pPr>
            <w:r/>
            <w:r>
              <w:rPr>
                <w:rFonts w:ascii="Arial" w:hAnsi="Arial"/>
                <w:b w:val="0"/>
                <w:sz w:val="18"/>
              </w:rPr>
              <w:t>Document 2 - Clinical Decision Support Decision Engine Specification</w:t>
            </w:r>
          </w:p>
        </w:tc>
      </w:tr>
      <w:tr>
        <w:tc>
          <w:tcPr>
            <w:tcW w:type="dxa" w:w="4939"/>
            <w:vAlign w:val="top"/>
          </w:tcPr>
          <w:p>
            <w:pPr>
              <w:spacing w:after="0"/>
            </w:pPr>
            <w:r/>
            <w:r>
              <w:rPr>
                <w:rFonts w:ascii="Arial" w:hAnsi="Arial"/>
                <w:b w:val="0"/>
                <w:sz w:val="18"/>
              </w:rPr>
              <w:t>Part</w:t>
            </w:r>
          </w:p>
        </w:tc>
        <w:tc>
          <w:tcPr>
            <w:tcW w:type="dxa" w:w="4939"/>
            <w:vAlign w:val="top"/>
          </w:tcPr>
          <w:p>
            <w:pPr>
              <w:spacing w:after="0"/>
            </w:pPr>
            <w:r/>
            <w:r>
              <w:rPr>
                <w:rFonts w:ascii="Arial" w:hAnsi="Arial"/>
                <w:b w:val="0"/>
                <w:sz w:val="18"/>
              </w:rPr>
              <w:t>Part 8 of 12</w:t>
            </w:r>
          </w:p>
        </w:tc>
      </w:tr>
      <w:tr>
        <w:tc>
          <w:tcPr>
            <w:tcW w:type="dxa" w:w="4939"/>
            <w:vAlign w:val="top"/>
          </w:tcPr>
          <w:p>
            <w:pPr>
              <w:spacing w:after="0"/>
            </w:pPr>
            <w:r/>
            <w:r>
              <w:rPr>
                <w:rFonts w:ascii="Arial" w:hAnsi="Arial"/>
                <w:b w:val="0"/>
                <w:sz w:val="18"/>
              </w:rPr>
              <w:t>Title</w:t>
            </w:r>
          </w:p>
        </w:tc>
        <w:tc>
          <w:tcPr>
            <w:tcW w:type="dxa" w:w="4939"/>
            <w:vAlign w:val="top"/>
          </w:tcPr>
          <w:p>
            <w:pPr>
              <w:spacing w:after="0"/>
            </w:pPr>
            <w:r/>
            <w:r>
              <w:rPr>
                <w:rFonts w:ascii="Arial" w:hAnsi="Arial"/>
                <w:b w:val="0"/>
                <w:sz w:val="18"/>
              </w:rPr>
              <w:t>Explainability Engine</w:t>
            </w:r>
          </w:p>
        </w:tc>
      </w:tr>
      <w:tr>
        <w:tc>
          <w:tcPr>
            <w:tcW w:type="dxa" w:w="4939"/>
            <w:vAlign w:val="top"/>
          </w:tcPr>
          <w:p>
            <w:pPr>
              <w:spacing w:after="0"/>
            </w:pPr>
            <w:r/>
            <w:r>
              <w:rPr>
                <w:rFonts w:ascii="Arial" w:hAnsi="Arial"/>
                <w:b w:val="0"/>
                <w:sz w:val="18"/>
              </w:rPr>
              <w:t>Purpose</w:t>
            </w:r>
          </w:p>
        </w:tc>
        <w:tc>
          <w:tcPr>
            <w:tcW w:type="dxa" w:w="4939"/>
            <w:vAlign w:val="top"/>
          </w:tcPr>
          <w:p>
            <w:pPr>
              <w:spacing w:after="0"/>
            </w:pPr>
            <w:r/>
            <w:r>
              <w:rPr>
                <w:rFonts w:ascii="Arial" w:hAnsi="Arial"/>
                <w:b w:val="0"/>
                <w:sz w:val="18"/>
              </w:rPr>
              <w:t>Expanded architecture specification harmonized with Parts 10-12.</w:t>
            </w:r>
          </w:p>
        </w:tc>
      </w:tr>
      <w:tr>
        <w:tc>
          <w:tcPr>
            <w:tcW w:type="dxa" w:w="4939"/>
            <w:vAlign w:val="top"/>
          </w:tcPr>
          <w:p>
            <w:pPr>
              <w:spacing w:after="0"/>
            </w:pPr>
            <w:r/>
            <w:r>
              <w:rPr>
                <w:rFonts w:ascii="Arial" w:hAnsi="Arial"/>
                <w:b w:val="0"/>
                <w:sz w:val="18"/>
              </w:rPr>
              <w:t>Depends on</w:t>
            </w:r>
          </w:p>
        </w:tc>
        <w:tc>
          <w:tcPr>
            <w:tcW w:type="dxa" w:w="4939"/>
            <w:vAlign w:val="top"/>
          </w:tcPr>
          <w:p>
            <w:pPr>
              <w:spacing w:after="0"/>
            </w:pPr>
            <w:r/>
            <w:r>
              <w:rPr>
                <w:rFonts w:ascii="Arial" w:hAnsi="Arial"/>
                <w:b w:val="0"/>
                <w:sz w:val="18"/>
              </w:rPr>
              <w:t>Document 0, Document 1, and preceding Document 2 parts where applicable.</w:t>
            </w:r>
          </w:p>
        </w:tc>
      </w:tr>
      <w:tr>
        <w:tc>
          <w:tcPr>
            <w:tcW w:type="dxa" w:w="4939"/>
            <w:vAlign w:val="top"/>
          </w:tcPr>
          <w:p>
            <w:pPr>
              <w:spacing w:after="0"/>
            </w:pPr>
            <w:r/>
            <w:r>
              <w:rPr>
                <w:rFonts w:ascii="Arial" w:hAnsi="Arial"/>
                <w:b w:val="0"/>
                <w:sz w:val="18"/>
              </w:rPr>
              <w:t>Feeds into</w:t>
            </w:r>
          </w:p>
        </w:tc>
        <w:tc>
          <w:tcPr>
            <w:tcW w:type="dxa" w:w="4939"/>
            <w:vAlign w:val="top"/>
          </w:tcPr>
          <w:p>
            <w:pPr>
              <w:spacing w:after="0"/>
            </w:pPr>
            <w:r/>
            <w:r>
              <w:rPr>
                <w:rFonts w:ascii="Arial" w:hAnsi="Arial"/>
                <w:b w:val="0"/>
                <w:sz w:val="18"/>
              </w:rPr>
              <w:t>Document 2 Part 9</w:t>
            </w:r>
          </w:p>
        </w:tc>
      </w:tr>
      <w:tr>
        <w:tc>
          <w:tcPr>
            <w:tcW w:type="dxa" w:w="4939"/>
            <w:vAlign w:val="top"/>
          </w:tcPr>
          <w:p>
            <w:pPr>
              <w:spacing w:after="0"/>
            </w:pPr>
            <w:r/>
            <w:r>
              <w:rPr>
                <w:rFonts w:ascii="Arial" w:hAnsi="Arial"/>
                <w:b w:val="0"/>
                <w:sz w:val="18"/>
              </w:rPr>
              <w:t>Status</w:t>
            </w:r>
          </w:p>
        </w:tc>
        <w:tc>
          <w:tcPr>
            <w:tcW w:type="dxa" w:w="4939"/>
            <w:vAlign w:val="top"/>
          </w:tcPr>
          <w:p>
            <w:pPr>
              <w:spacing w:after="0"/>
            </w:pPr>
            <w:r/>
            <w:r>
              <w:rPr>
                <w:rFonts w:ascii="Arial" w:hAnsi="Arial"/>
                <w:b w:val="0"/>
                <w:sz w:val="18"/>
              </w:rPr>
              <w:t>Research and architecture draft; not production authorization.</w:t>
            </w:r>
          </w:p>
        </w:tc>
      </w:tr>
    </w:tbl>
    <w:p/>
    <w:p>
      <w:pPr>
        <w:pStyle w:val="Heading1"/>
      </w:pPr>
      <w:r>
        <w:t>Executive Architecture Decision</w:t>
      </w:r>
    </w:p>
    <w:p>
      <w:r>
        <w:t>Every clinician-facing assessment shall include a layered explanation: the final state, primary reasons, patient-specific evidence, missing or conflicting information, rule and model versions, and the effect of emergency, interaction, or conflict processing. Technical detail shall be available without overwhelming the main screen.</w:t>
      </w:r>
    </w:p>
    <w:p>
      <w:pPr>
        <w:pStyle w:val="Heading1"/>
      </w:pPr>
      <w:r>
        <w:t>1.0 Purpose and Scope</w:t>
      </w:r>
    </w:p>
    <w:p>
      <w:r>
        <w:t>This part defines the Explainability Engine as a formal component of the complete Decision Engine.</w:t>
      </w:r>
    </w:p>
    <w:p>
      <w:pPr>
        <w:pStyle w:val="ListNumber"/>
      </w:pPr>
      <w:r>
        <w:t>Translate structured decision provenance into understandable clinical reasoning.</w:t>
      </w:r>
    </w:p>
    <w:p>
      <w:pPr>
        <w:pStyle w:val="ListNumber"/>
      </w:pPr>
      <w:r>
        <w:t>Show why the final state and priority were selected.</w:t>
      </w:r>
    </w:p>
    <w:p>
      <w:pPr>
        <w:pStyle w:val="ListNumber"/>
      </w:pPr>
      <w:r>
        <w:t>Identify what the system knew, did not know, and could not evaluate.</w:t>
      </w:r>
    </w:p>
    <w:p>
      <w:pPr>
        <w:pStyle w:val="ListNumber"/>
      </w:pPr>
      <w:r>
        <w:t>Separate deterministic rules, interactions, conflicts, and ML contributions.</w:t>
      </w:r>
    </w:p>
    <w:p>
      <w:pPr>
        <w:pStyle w:val="ListNumber"/>
      </w:pPr>
      <w:r>
        <w:t>Support independent review, audit, training, and incident investigation.</w:t>
      </w:r>
    </w:p>
    <w:p>
      <w:pPr>
        <w:pStyle w:val="Heading1"/>
      </w:pPr>
      <w:r>
        <w:t>2.0 Architectural Foundations</w:t>
      </w:r>
    </w:p>
    <w:p>
      <w:r>
        <w:t>The component follows a software-neutral translation approach: clinical meaning is documented first, then implemented through governed software services. It supports the WHO SMART Guidelines direction of standards-based, machine-readable, adaptive, requirements-based, and testable digital health content.</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Principle</w:t>
            </w:r>
          </w:p>
        </w:tc>
        <w:tc>
          <w:tcPr>
            <w:tcW w:type="dxa" w:w="4939"/>
            <w:shd w:fill="D9EAF7"/>
          </w:tcPr>
          <w:p>
            <w:pPr>
              <w:spacing w:after="0"/>
            </w:pPr>
            <w:r/>
            <w:r>
              <w:rPr>
                <w:rFonts w:ascii="Arial" w:hAnsi="Arial"/>
                <w:b/>
                <w:sz w:val="18"/>
              </w:rPr>
              <w:t>Required behavior</w:t>
            </w:r>
          </w:p>
        </w:tc>
      </w:tr>
      <w:tr>
        <w:tc>
          <w:tcPr>
            <w:tcW w:type="dxa" w:w="4939"/>
            <w:vAlign w:val="top"/>
          </w:tcPr>
          <w:p>
            <w:pPr>
              <w:spacing w:after="0"/>
            </w:pPr>
            <w:r/>
            <w:r>
              <w:rPr>
                <w:rFonts w:ascii="Arial" w:hAnsi="Arial"/>
                <w:b w:val="0"/>
                <w:sz w:val="18"/>
              </w:rPr>
              <w:t>Faithfulness</w:t>
            </w:r>
          </w:p>
        </w:tc>
        <w:tc>
          <w:tcPr>
            <w:tcW w:type="dxa" w:w="4939"/>
            <w:vAlign w:val="top"/>
          </w:tcPr>
          <w:p>
            <w:pPr>
              <w:spacing w:after="0"/>
            </w:pPr>
            <w:r/>
            <w:r>
              <w:rPr>
                <w:rFonts w:ascii="Arial" w:hAnsi="Arial"/>
                <w:b w:val="0"/>
                <w:sz w:val="18"/>
              </w:rPr>
              <w:t>The explanation must reflect the actual processing record, not a plausible after-the-fact story.</w:t>
            </w:r>
          </w:p>
        </w:tc>
      </w:tr>
      <w:tr>
        <w:tc>
          <w:tcPr>
            <w:tcW w:type="dxa" w:w="4939"/>
            <w:vAlign w:val="top"/>
          </w:tcPr>
          <w:p>
            <w:pPr>
              <w:spacing w:after="0"/>
            </w:pPr>
            <w:r/>
            <w:r>
              <w:rPr>
                <w:rFonts w:ascii="Arial" w:hAnsi="Arial"/>
                <w:b w:val="0"/>
                <w:sz w:val="18"/>
              </w:rPr>
              <w:t>Patient specificity</w:t>
            </w:r>
          </w:p>
        </w:tc>
        <w:tc>
          <w:tcPr>
            <w:tcW w:type="dxa" w:w="4939"/>
            <w:vAlign w:val="top"/>
          </w:tcPr>
          <w:p>
            <w:pPr>
              <w:spacing w:after="0"/>
            </w:pPr>
            <w:r/>
            <w:r>
              <w:rPr>
                <w:rFonts w:ascii="Arial" w:hAnsi="Arial"/>
                <w:b w:val="0"/>
                <w:sz w:val="18"/>
              </w:rPr>
              <w:t>Use the actual values and records that contributed to the decision.</w:t>
            </w:r>
          </w:p>
        </w:tc>
      </w:tr>
      <w:tr>
        <w:tc>
          <w:tcPr>
            <w:tcW w:type="dxa" w:w="4939"/>
            <w:vAlign w:val="top"/>
          </w:tcPr>
          <w:p>
            <w:pPr>
              <w:spacing w:after="0"/>
            </w:pPr>
            <w:r/>
            <w:r>
              <w:rPr>
                <w:rFonts w:ascii="Arial" w:hAnsi="Arial"/>
                <w:b w:val="0"/>
                <w:sz w:val="18"/>
              </w:rPr>
              <w:t>Layered detail</w:t>
            </w:r>
          </w:p>
        </w:tc>
        <w:tc>
          <w:tcPr>
            <w:tcW w:type="dxa" w:w="4939"/>
            <w:vAlign w:val="top"/>
          </w:tcPr>
          <w:p>
            <w:pPr>
              <w:spacing w:after="0"/>
            </w:pPr>
            <w:r/>
            <w:r>
              <w:rPr>
                <w:rFonts w:ascii="Arial" w:hAnsi="Arial"/>
                <w:b w:val="0"/>
                <w:sz w:val="18"/>
              </w:rPr>
              <w:t>Provide a concise summary with expandable technical provenance.</w:t>
            </w:r>
          </w:p>
        </w:tc>
      </w:tr>
      <w:tr>
        <w:tc>
          <w:tcPr>
            <w:tcW w:type="dxa" w:w="4939"/>
            <w:vAlign w:val="top"/>
          </w:tcPr>
          <w:p>
            <w:pPr>
              <w:spacing w:after="0"/>
            </w:pPr>
            <w:r/>
            <w:r>
              <w:rPr>
                <w:rFonts w:ascii="Arial" w:hAnsi="Arial"/>
                <w:b w:val="0"/>
                <w:sz w:val="18"/>
              </w:rPr>
              <w:t>Uncertainty disclosure</w:t>
            </w:r>
          </w:p>
        </w:tc>
        <w:tc>
          <w:tcPr>
            <w:tcW w:type="dxa" w:w="4939"/>
            <w:vAlign w:val="top"/>
          </w:tcPr>
          <w:p>
            <w:pPr>
              <w:spacing w:after="0"/>
            </w:pPr>
            <w:r/>
            <w:r>
              <w:rPr>
                <w:rFonts w:ascii="Arial" w:hAnsi="Arial"/>
                <w:b w:val="0"/>
                <w:sz w:val="18"/>
              </w:rPr>
              <w:t>Missing, invalid, conflicting, and stale information is visible.</w:t>
            </w:r>
          </w:p>
        </w:tc>
      </w:tr>
      <w:tr>
        <w:tc>
          <w:tcPr>
            <w:tcW w:type="dxa" w:w="4939"/>
            <w:vAlign w:val="top"/>
          </w:tcPr>
          <w:p>
            <w:pPr>
              <w:spacing w:after="0"/>
            </w:pPr>
            <w:r/>
            <w:r>
              <w:rPr>
                <w:rFonts w:ascii="Arial" w:hAnsi="Arial"/>
                <w:b w:val="0"/>
                <w:sz w:val="18"/>
              </w:rPr>
              <w:t>No causal overclaim</w:t>
            </w:r>
          </w:p>
        </w:tc>
        <w:tc>
          <w:tcPr>
            <w:tcW w:type="dxa" w:w="4939"/>
            <w:vAlign w:val="top"/>
          </w:tcPr>
          <w:p>
            <w:pPr>
              <w:spacing w:after="0"/>
            </w:pPr>
            <w:r/>
            <w:r>
              <w:rPr>
                <w:rFonts w:ascii="Arial" w:hAnsi="Arial"/>
                <w:b w:val="0"/>
                <w:sz w:val="18"/>
              </w:rPr>
              <w:t>Rule association is not described as proof of diagnosis.</w:t>
            </w:r>
          </w:p>
        </w:tc>
      </w:tr>
      <w:tr>
        <w:tc>
          <w:tcPr>
            <w:tcW w:type="dxa" w:w="4939"/>
            <w:vAlign w:val="top"/>
          </w:tcPr>
          <w:p>
            <w:pPr>
              <w:spacing w:after="0"/>
            </w:pPr>
            <w:r/>
            <w:r>
              <w:rPr>
                <w:rFonts w:ascii="Arial" w:hAnsi="Arial"/>
                <w:b w:val="0"/>
                <w:sz w:val="18"/>
              </w:rPr>
              <w:t>Version transparency</w:t>
            </w:r>
          </w:p>
        </w:tc>
        <w:tc>
          <w:tcPr>
            <w:tcW w:type="dxa" w:w="4939"/>
            <w:vAlign w:val="top"/>
          </w:tcPr>
          <w:p>
            <w:pPr>
              <w:spacing w:after="0"/>
            </w:pPr>
            <w:r/>
            <w:r>
              <w:rPr>
                <w:rFonts w:ascii="Arial" w:hAnsi="Arial"/>
                <w:b w:val="0"/>
                <w:sz w:val="18"/>
              </w:rPr>
              <w:t>Show the knowledge and model versions used.</w:t>
            </w:r>
          </w:p>
        </w:tc>
      </w:tr>
    </w:tbl>
    <w:p/>
    <w:p>
      <w:pPr>
        <w:pStyle w:val="Heading1"/>
      </w:pPr>
      <w:r>
        <w:t>3.0 Inputs and Preconditions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Input group</w:t>
            </w:r>
          </w:p>
        </w:tc>
        <w:tc>
          <w:tcPr>
            <w:tcW w:type="dxa" w:w="4939"/>
            <w:shd w:fill="D9EAF7"/>
          </w:tcPr>
          <w:p>
            <w:pPr>
              <w:spacing w:after="0"/>
            </w:pPr>
            <w:r/>
            <w:r>
              <w:rPr>
                <w:rFonts w:ascii="Arial" w:hAnsi="Arial"/>
                <w:b/>
                <w:sz w:val="18"/>
              </w:rPr>
              <w:t>Required contents</w:t>
            </w:r>
          </w:p>
        </w:tc>
      </w:tr>
      <w:tr>
        <w:tc>
          <w:tcPr>
            <w:tcW w:type="dxa" w:w="4939"/>
            <w:vAlign w:val="top"/>
          </w:tcPr>
          <w:p>
            <w:pPr>
              <w:spacing w:after="0"/>
            </w:pPr>
            <w:r/>
            <w:r>
              <w:rPr>
                <w:rFonts w:ascii="Arial" w:hAnsi="Arial"/>
                <w:b w:val="0"/>
                <w:sz w:val="18"/>
              </w:rPr>
              <w:t>Decision state and priority</w:t>
            </w:r>
          </w:p>
        </w:tc>
        <w:tc>
          <w:tcPr>
            <w:tcW w:type="dxa" w:w="4939"/>
            <w:vAlign w:val="top"/>
          </w:tcPr>
          <w:p>
            <w:pPr>
              <w:spacing w:after="0"/>
            </w:pPr>
            <w:r/>
            <w:r>
              <w:rPr>
                <w:rFonts w:ascii="Arial" w:hAnsi="Arial"/>
                <w:b w:val="0"/>
                <w:sz w:val="18"/>
              </w:rPr>
              <w:t>Final output ordering and status.</w:t>
            </w:r>
          </w:p>
        </w:tc>
      </w:tr>
      <w:tr>
        <w:tc>
          <w:tcPr>
            <w:tcW w:type="dxa" w:w="4939"/>
            <w:vAlign w:val="top"/>
          </w:tcPr>
          <w:p>
            <w:pPr>
              <w:spacing w:after="0"/>
            </w:pPr>
            <w:r/>
            <w:r>
              <w:rPr>
                <w:rFonts w:ascii="Arial" w:hAnsi="Arial"/>
                <w:b w:val="0"/>
                <w:sz w:val="18"/>
              </w:rPr>
              <w:t>Validation findings</w:t>
            </w:r>
          </w:p>
        </w:tc>
        <w:tc>
          <w:tcPr>
            <w:tcW w:type="dxa" w:w="4939"/>
            <w:vAlign w:val="top"/>
          </w:tcPr>
          <w:p>
            <w:pPr>
              <w:spacing w:after="0"/>
            </w:pPr>
            <w:r/>
            <w:r>
              <w:rPr>
                <w:rFonts w:ascii="Arial" w:hAnsi="Arial"/>
                <w:b w:val="0"/>
                <w:sz w:val="18"/>
              </w:rPr>
              <w:t>Missing, invalid, conflicting, and temporal limitations.</w:t>
            </w:r>
          </w:p>
        </w:tc>
      </w:tr>
      <w:tr>
        <w:tc>
          <w:tcPr>
            <w:tcW w:type="dxa" w:w="4939"/>
            <w:vAlign w:val="top"/>
          </w:tcPr>
          <w:p>
            <w:pPr>
              <w:spacing w:after="0"/>
            </w:pPr>
            <w:r/>
            <w:r>
              <w:rPr>
                <w:rFonts w:ascii="Arial" w:hAnsi="Arial"/>
                <w:b w:val="0"/>
                <w:sz w:val="18"/>
              </w:rPr>
              <w:t>Rule and interaction results</w:t>
            </w:r>
          </w:p>
        </w:tc>
        <w:tc>
          <w:tcPr>
            <w:tcW w:type="dxa" w:w="4939"/>
            <w:vAlign w:val="top"/>
          </w:tcPr>
          <w:p>
            <w:pPr>
              <w:spacing w:after="0"/>
            </w:pPr>
            <w:r/>
            <w:r>
              <w:rPr>
                <w:rFonts w:ascii="Arial" w:hAnsi="Arial"/>
                <w:b w:val="0"/>
                <w:sz w:val="18"/>
              </w:rPr>
              <w:t>Triggered findings and contributors.</w:t>
            </w:r>
          </w:p>
        </w:tc>
      </w:tr>
      <w:tr>
        <w:tc>
          <w:tcPr>
            <w:tcW w:type="dxa" w:w="4939"/>
            <w:vAlign w:val="top"/>
          </w:tcPr>
          <w:p>
            <w:pPr>
              <w:spacing w:after="0"/>
            </w:pPr>
            <w:r/>
            <w:r>
              <w:rPr>
                <w:rFonts w:ascii="Arial" w:hAnsi="Arial"/>
                <w:b w:val="0"/>
                <w:sz w:val="18"/>
              </w:rPr>
              <w:t>Conflict and emergency records</w:t>
            </w:r>
          </w:p>
        </w:tc>
        <w:tc>
          <w:tcPr>
            <w:tcW w:type="dxa" w:w="4939"/>
            <w:vAlign w:val="top"/>
          </w:tcPr>
          <w:p>
            <w:pPr>
              <w:spacing w:after="0"/>
            </w:pPr>
            <w:r/>
            <w:r>
              <w:rPr>
                <w:rFonts w:ascii="Arial" w:hAnsi="Arial"/>
                <w:b w:val="0"/>
                <w:sz w:val="18"/>
              </w:rPr>
              <w:t>Precedence and interruption details.</w:t>
            </w:r>
          </w:p>
        </w:tc>
      </w:tr>
      <w:tr>
        <w:tc>
          <w:tcPr>
            <w:tcW w:type="dxa" w:w="4939"/>
            <w:vAlign w:val="top"/>
          </w:tcPr>
          <w:p>
            <w:pPr>
              <w:spacing w:after="0"/>
            </w:pPr>
            <w:r/>
            <w:r>
              <w:rPr>
                <w:rFonts w:ascii="Arial" w:hAnsi="Arial"/>
                <w:b w:val="0"/>
                <w:sz w:val="18"/>
              </w:rPr>
              <w:t>Recommendation package</w:t>
            </w:r>
          </w:p>
        </w:tc>
        <w:tc>
          <w:tcPr>
            <w:tcW w:type="dxa" w:w="4939"/>
            <w:vAlign w:val="top"/>
          </w:tcPr>
          <w:p>
            <w:pPr>
              <w:spacing w:after="0"/>
            </w:pPr>
            <w:r/>
            <w:r>
              <w:rPr>
                <w:rFonts w:ascii="Arial" w:hAnsi="Arial"/>
                <w:b w:val="0"/>
                <w:sz w:val="18"/>
              </w:rPr>
              <w:t>Exact guidance shown.</w:t>
            </w:r>
          </w:p>
        </w:tc>
      </w:tr>
      <w:tr>
        <w:tc>
          <w:tcPr>
            <w:tcW w:type="dxa" w:w="4939"/>
            <w:vAlign w:val="top"/>
          </w:tcPr>
          <w:p>
            <w:pPr>
              <w:spacing w:after="0"/>
            </w:pPr>
            <w:r/>
            <w:r>
              <w:rPr>
                <w:rFonts w:ascii="Arial" w:hAnsi="Arial"/>
                <w:b w:val="0"/>
                <w:sz w:val="18"/>
              </w:rPr>
              <w:t>ML metadata</w:t>
            </w:r>
          </w:p>
        </w:tc>
        <w:tc>
          <w:tcPr>
            <w:tcW w:type="dxa" w:w="4939"/>
            <w:vAlign w:val="top"/>
          </w:tcPr>
          <w:p>
            <w:pPr>
              <w:spacing w:after="0"/>
            </w:pPr>
            <w:r/>
            <w:r>
              <w:rPr>
                <w:rFonts w:ascii="Arial" w:hAnsi="Arial"/>
                <w:b w:val="0"/>
                <w:sz w:val="18"/>
              </w:rPr>
              <w:t>Validated output, model version, and known role or failure state.</w:t>
            </w:r>
          </w:p>
        </w:tc>
      </w:tr>
    </w:tbl>
    <w:p/>
    <w:p>
      <w:r>
        <w:t>All inputs must retain source identifiers, patient and pregnancy context, relevant timestamps, validation status, and the active knowledge or policy version.</w:t>
      </w:r>
    </w:p>
    <w:p>
      <w:pPr>
        <w:pStyle w:val="Heading1"/>
      </w:pPr>
      <w:r>
        <w:t>4.0 Internal Processing Workflow</w:t>
      </w:r>
    </w:p>
    <w:p>
      <w:pPr>
        <w:pStyle w:val="ListNumber"/>
      </w:pPr>
      <w:r>
        <w:t>Generate a concise headline explanation of the final state.</w:t>
      </w:r>
    </w:p>
    <w:p>
      <w:pPr>
        <w:pStyle w:val="ListNumber"/>
      </w:pPr>
      <w:r>
        <w:t>List the primary patient-specific reasons in priority order.</w:t>
      </w:r>
    </w:p>
    <w:p>
      <w:pPr>
        <w:pStyle w:val="ListNumber"/>
      </w:pPr>
      <w:r>
        <w:t>Explain relevant interactions and conflict-resolution effects.</w:t>
      </w:r>
    </w:p>
    <w:p>
      <w:pPr>
        <w:pStyle w:val="ListNumber"/>
      </w:pPr>
      <w:r>
        <w:t>Disclose missing, invalid, stale, or unresolved information.</w:t>
      </w:r>
    </w:p>
    <w:p>
      <w:pPr>
        <w:pStyle w:val="ListNumber"/>
      </w:pPr>
      <w:r>
        <w:t>Identify whether ML contributed, failed, or was not used.</w:t>
      </w:r>
    </w:p>
    <w:p>
      <w:pPr>
        <w:pStyle w:val="ListNumber"/>
      </w:pPr>
      <w:r>
        <w:t>Attach knowledge, rule, template, model, and software versions.</w:t>
      </w:r>
    </w:p>
    <w:p>
      <w:pPr>
        <w:pStyle w:val="ListNumber"/>
      </w:pPr>
      <w:r>
        <w:t>Produce an expandable provenance view for authorized review.</w:t>
      </w:r>
    </w:p>
    <w:p>
      <w:pPr>
        <w:pStyle w:val="ListNumber"/>
      </w:pPr>
      <w:r>
        <w:t>Store the exact explanation snapshot with the decision execution.</w:t>
      </w:r>
    </w:p>
    <w:p>
      <w:pPr>
        <w:pStyle w:val="Heading1"/>
      </w:pPr>
      <w:r>
        <w:t>5.0 Decision Logic and Precedence</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Condition or scenario</w:t>
            </w:r>
          </w:p>
        </w:tc>
        <w:tc>
          <w:tcPr>
            <w:tcW w:type="dxa" w:w="4939"/>
            <w:shd w:fill="D9EAF7"/>
          </w:tcPr>
          <w:p>
            <w:pPr>
              <w:spacing w:after="0"/>
            </w:pPr>
            <w:r/>
            <w:r>
              <w:rPr>
                <w:rFonts w:ascii="Arial" w:hAnsi="Arial"/>
                <w:b/>
                <w:sz w:val="18"/>
              </w:rPr>
              <w:t>Required system behavior</w:t>
            </w:r>
          </w:p>
        </w:tc>
      </w:tr>
      <w:tr>
        <w:tc>
          <w:tcPr>
            <w:tcW w:type="dxa" w:w="4939"/>
            <w:vAlign w:val="top"/>
          </w:tcPr>
          <w:p>
            <w:pPr>
              <w:spacing w:after="0"/>
            </w:pPr>
            <w:r/>
            <w:r>
              <w:rPr>
                <w:rFonts w:ascii="Arial" w:hAnsi="Arial"/>
                <w:b w:val="0"/>
                <w:sz w:val="18"/>
              </w:rPr>
              <w:t>HIGH from rule</w:t>
            </w:r>
          </w:p>
        </w:tc>
        <w:tc>
          <w:tcPr>
            <w:tcW w:type="dxa" w:w="4939"/>
            <w:vAlign w:val="top"/>
          </w:tcPr>
          <w:p>
            <w:pPr>
              <w:spacing w:after="0"/>
            </w:pPr>
            <w:r/>
            <w:r>
              <w:rPr>
                <w:rFonts w:ascii="Arial" w:hAnsi="Arial"/>
                <w:b w:val="0"/>
                <w:sz w:val="18"/>
              </w:rPr>
              <w:t>State the exact rule and supporting value, such as the recorded blood-pressure measurement.</w:t>
            </w:r>
          </w:p>
        </w:tc>
      </w:tr>
      <w:tr>
        <w:tc>
          <w:tcPr>
            <w:tcW w:type="dxa" w:w="4939"/>
            <w:vAlign w:val="top"/>
          </w:tcPr>
          <w:p>
            <w:pPr>
              <w:spacing w:after="0"/>
            </w:pPr>
            <w:r/>
            <w:r>
              <w:rPr>
                <w:rFonts w:ascii="Arial" w:hAnsi="Arial"/>
                <w:b w:val="0"/>
                <w:sz w:val="18"/>
              </w:rPr>
              <w:t>HIGH despite ML LOW</w:t>
            </w:r>
          </w:p>
        </w:tc>
        <w:tc>
          <w:tcPr>
            <w:tcW w:type="dxa" w:w="4939"/>
            <w:vAlign w:val="top"/>
          </w:tcPr>
          <w:p>
            <w:pPr>
              <w:spacing w:after="0"/>
            </w:pPr>
            <w:r/>
            <w:r>
              <w:rPr>
                <w:rFonts w:ascii="Arial" w:hAnsi="Arial"/>
                <w:b w:val="0"/>
                <w:sz w:val="18"/>
              </w:rPr>
              <w:t>Explain that deterministic high-risk evidence has safety precedence and show both outputs.</w:t>
            </w:r>
          </w:p>
        </w:tc>
      </w:tr>
      <w:tr>
        <w:tc>
          <w:tcPr>
            <w:tcW w:type="dxa" w:w="4939"/>
            <w:vAlign w:val="top"/>
          </w:tcPr>
          <w:p>
            <w:pPr>
              <w:spacing w:after="0"/>
            </w:pPr>
            <w:r/>
            <w:r>
              <w:rPr>
                <w:rFonts w:ascii="Arial" w:hAnsi="Arial"/>
                <w:b w:val="0"/>
                <w:sz w:val="18"/>
              </w:rPr>
              <w:t>INCOMPLETE</w:t>
            </w:r>
          </w:p>
        </w:tc>
        <w:tc>
          <w:tcPr>
            <w:tcW w:type="dxa" w:w="4939"/>
            <w:vAlign w:val="top"/>
          </w:tcPr>
          <w:p>
            <w:pPr>
              <w:spacing w:after="0"/>
            </w:pPr>
            <w:r/>
            <w:r>
              <w:rPr>
                <w:rFonts w:ascii="Arial" w:hAnsi="Arial"/>
                <w:b w:val="0"/>
                <w:sz w:val="18"/>
              </w:rPr>
              <w:t>List the exact records or values preventing complete assessment.</w:t>
            </w:r>
          </w:p>
        </w:tc>
      </w:tr>
      <w:tr>
        <w:tc>
          <w:tcPr>
            <w:tcW w:type="dxa" w:w="4939"/>
            <w:vAlign w:val="top"/>
          </w:tcPr>
          <w:p>
            <w:pPr>
              <w:spacing w:after="0"/>
            </w:pPr>
            <w:r/>
            <w:r>
              <w:rPr>
                <w:rFonts w:ascii="Arial" w:hAnsi="Arial"/>
                <w:b w:val="0"/>
                <w:sz w:val="18"/>
              </w:rPr>
              <w:t>Emergency override</w:t>
            </w:r>
          </w:p>
        </w:tc>
        <w:tc>
          <w:tcPr>
            <w:tcW w:type="dxa" w:w="4939"/>
            <w:vAlign w:val="top"/>
          </w:tcPr>
          <w:p>
            <w:pPr>
              <w:spacing w:after="0"/>
            </w:pPr>
            <w:r/>
            <w:r>
              <w:rPr>
                <w:rFonts w:ascii="Arial" w:hAnsi="Arial"/>
                <w:b w:val="0"/>
                <w:sz w:val="18"/>
              </w:rPr>
              <w:t>Identify the trigger and explain that it superseded routine recommendation ordering.</w:t>
            </w:r>
          </w:p>
        </w:tc>
      </w:tr>
      <w:tr>
        <w:tc>
          <w:tcPr>
            <w:tcW w:type="dxa" w:w="4939"/>
            <w:vAlign w:val="top"/>
          </w:tcPr>
          <w:p>
            <w:pPr>
              <w:spacing w:after="0"/>
            </w:pPr>
            <w:r/>
            <w:r>
              <w:rPr>
                <w:rFonts w:ascii="Arial" w:hAnsi="Arial"/>
                <w:b w:val="0"/>
                <w:sz w:val="18"/>
              </w:rPr>
              <w:t>Conflict unresolved</w:t>
            </w:r>
          </w:p>
        </w:tc>
        <w:tc>
          <w:tcPr>
            <w:tcW w:type="dxa" w:w="4939"/>
            <w:vAlign w:val="top"/>
          </w:tcPr>
          <w:p>
            <w:pPr>
              <w:spacing w:after="0"/>
            </w:pPr>
            <w:r/>
            <w:r>
              <w:rPr>
                <w:rFonts w:ascii="Arial" w:hAnsi="Arial"/>
                <w:b w:val="0"/>
                <w:sz w:val="18"/>
              </w:rPr>
              <w:t>State which records disagree and how this limits the assessment.</w:t>
            </w:r>
          </w:p>
        </w:tc>
      </w:tr>
      <w:tr>
        <w:tc>
          <w:tcPr>
            <w:tcW w:type="dxa" w:w="4939"/>
            <w:vAlign w:val="top"/>
          </w:tcPr>
          <w:p>
            <w:pPr>
              <w:spacing w:after="0"/>
            </w:pPr>
            <w:r/>
            <w:r>
              <w:rPr>
                <w:rFonts w:ascii="Arial" w:hAnsi="Arial"/>
                <w:b w:val="0"/>
                <w:sz w:val="18"/>
              </w:rPr>
              <w:t>LOW</w:t>
            </w:r>
          </w:p>
        </w:tc>
        <w:tc>
          <w:tcPr>
            <w:tcW w:type="dxa" w:w="4939"/>
            <w:vAlign w:val="top"/>
          </w:tcPr>
          <w:p>
            <w:pPr>
              <w:spacing w:after="0"/>
            </w:pPr>
            <w:r/>
            <w:r>
              <w:rPr>
                <w:rFonts w:ascii="Arial" w:hAnsi="Arial"/>
                <w:b w:val="0"/>
                <w:sz w:val="18"/>
              </w:rPr>
              <w:t>Explain that required records were available, no approved HIGH rule triggered, and valid ML output was LOW, while avoiding 'no risk' wording.</w:t>
            </w:r>
          </w:p>
        </w:tc>
      </w:tr>
    </w:tbl>
    <w:p/>
    <w:p>
      <w:r>
        <w:t>The listed logic represents the current documented capstone architecture. Exact clinical thresholds, wording, applicability, and urgency must remain linked to qualified review and versioned evidence sources.</w:t>
      </w:r>
    </w:p>
    <w:p>
      <w:pPr>
        <w:pStyle w:val="Heading1"/>
      </w:pPr>
      <w:r>
        <w:t>6.0 Output Contract</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Output field</w:t>
            </w:r>
          </w:p>
        </w:tc>
        <w:tc>
          <w:tcPr>
            <w:tcW w:type="dxa" w:w="4939"/>
            <w:shd w:fill="D9EAF7"/>
          </w:tcPr>
          <w:p>
            <w:pPr>
              <w:spacing w:after="0"/>
            </w:pPr>
            <w:r/>
            <w:r>
              <w:rPr>
                <w:rFonts w:ascii="Arial" w:hAnsi="Arial"/>
                <w:b/>
                <w:sz w:val="18"/>
              </w:rPr>
              <w:t>Requirement</w:t>
            </w:r>
          </w:p>
        </w:tc>
      </w:tr>
      <w:tr>
        <w:tc>
          <w:tcPr>
            <w:tcW w:type="dxa" w:w="4939"/>
            <w:vAlign w:val="top"/>
          </w:tcPr>
          <w:p>
            <w:pPr>
              <w:spacing w:after="0"/>
            </w:pPr>
            <w:r/>
            <w:r>
              <w:rPr>
                <w:rFonts w:ascii="Arial" w:hAnsi="Arial"/>
                <w:b w:val="0"/>
                <w:sz w:val="18"/>
              </w:rPr>
              <w:t>execution_id</w:t>
            </w:r>
          </w:p>
        </w:tc>
        <w:tc>
          <w:tcPr>
            <w:tcW w:type="dxa" w:w="4939"/>
            <w:vAlign w:val="top"/>
          </w:tcPr>
          <w:p>
            <w:pPr>
              <w:spacing w:after="0"/>
            </w:pPr>
            <w:r/>
            <w:r>
              <w:rPr>
                <w:rFonts w:ascii="Arial" w:hAnsi="Arial"/>
                <w:b w:val="0"/>
                <w:sz w:val="18"/>
              </w:rPr>
              <w:t>Unique decision execution identifier.</w:t>
            </w:r>
          </w:p>
        </w:tc>
      </w:tr>
      <w:tr>
        <w:tc>
          <w:tcPr>
            <w:tcW w:type="dxa" w:w="4939"/>
            <w:vAlign w:val="top"/>
          </w:tcPr>
          <w:p>
            <w:pPr>
              <w:spacing w:after="0"/>
            </w:pPr>
            <w:r/>
            <w:r>
              <w:rPr>
                <w:rFonts w:ascii="Arial" w:hAnsi="Arial"/>
                <w:b w:val="0"/>
                <w:sz w:val="18"/>
              </w:rPr>
              <w:t>component_status</w:t>
            </w:r>
          </w:p>
        </w:tc>
        <w:tc>
          <w:tcPr>
            <w:tcW w:type="dxa" w:w="4939"/>
            <w:vAlign w:val="top"/>
          </w:tcPr>
          <w:p>
            <w:pPr>
              <w:spacing w:after="0"/>
            </w:pPr>
            <w:r/>
            <w:r>
              <w:rPr>
                <w:rFonts w:ascii="Arial" w:hAnsi="Arial"/>
                <w:b w:val="0"/>
                <w:sz w:val="18"/>
              </w:rPr>
              <w:t>Completed, incomplete, unable to evaluate, emergency interruption, or failed.</w:t>
            </w:r>
          </w:p>
        </w:tc>
      </w:tr>
      <w:tr>
        <w:tc>
          <w:tcPr>
            <w:tcW w:type="dxa" w:w="4939"/>
            <w:vAlign w:val="top"/>
          </w:tcPr>
          <w:p>
            <w:pPr>
              <w:spacing w:after="0"/>
            </w:pPr>
            <w:r/>
            <w:r>
              <w:rPr>
                <w:rFonts w:ascii="Arial" w:hAnsi="Arial"/>
                <w:b w:val="0"/>
                <w:sz w:val="18"/>
              </w:rPr>
              <w:t>structured_results</w:t>
            </w:r>
          </w:p>
        </w:tc>
        <w:tc>
          <w:tcPr>
            <w:tcW w:type="dxa" w:w="4939"/>
            <w:vAlign w:val="top"/>
          </w:tcPr>
          <w:p>
            <w:pPr>
              <w:spacing w:after="0"/>
            </w:pPr>
            <w:r/>
            <w:r>
              <w:rPr>
                <w:rFonts w:ascii="Arial" w:hAnsi="Arial"/>
                <w:b w:val="0"/>
                <w:sz w:val="18"/>
              </w:rPr>
              <w:t>Machine-readable findings with controlled identifiers and versions.</w:t>
            </w:r>
          </w:p>
        </w:tc>
      </w:tr>
      <w:tr>
        <w:tc>
          <w:tcPr>
            <w:tcW w:type="dxa" w:w="4939"/>
            <w:vAlign w:val="top"/>
          </w:tcPr>
          <w:p>
            <w:pPr>
              <w:spacing w:after="0"/>
            </w:pPr>
            <w:r/>
            <w:r>
              <w:rPr>
                <w:rFonts w:ascii="Arial" w:hAnsi="Arial"/>
                <w:b w:val="0"/>
                <w:sz w:val="18"/>
              </w:rPr>
              <w:t>patient_specific_rationale</w:t>
            </w:r>
          </w:p>
        </w:tc>
        <w:tc>
          <w:tcPr>
            <w:tcW w:type="dxa" w:w="4939"/>
            <w:vAlign w:val="top"/>
          </w:tcPr>
          <w:p>
            <w:pPr>
              <w:spacing w:after="0"/>
            </w:pPr>
            <w:r/>
            <w:r>
              <w:rPr>
                <w:rFonts w:ascii="Arial" w:hAnsi="Arial"/>
                <w:b w:val="0"/>
                <w:sz w:val="18"/>
              </w:rPr>
              <w:t>Values and source records that caused each result.</w:t>
            </w:r>
          </w:p>
        </w:tc>
      </w:tr>
      <w:tr>
        <w:tc>
          <w:tcPr>
            <w:tcW w:type="dxa" w:w="4939"/>
            <w:vAlign w:val="top"/>
          </w:tcPr>
          <w:p>
            <w:pPr>
              <w:spacing w:after="0"/>
            </w:pPr>
            <w:r/>
            <w:r>
              <w:rPr>
                <w:rFonts w:ascii="Arial" w:hAnsi="Arial"/>
                <w:b w:val="0"/>
                <w:sz w:val="18"/>
              </w:rPr>
              <w:t>limitations</w:t>
            </w:r>
          </w:p>
        </w:tc>
        <w:tc>
          <w:tcPr>
            <w:tcW w:type="dxa" w:w="4939"/>
            <w:vAlign w:val="top"/>
          </w:tcPr>
          <w:p>
            <w:pPr>
              <w:spacing w:after="0"/>
            </w:pPr>
            <w:r/>
            <w:r>
              <w:rPr>
                <w:rFonts w:ascii="Arial" w:hAnsi="Arial"/>
                <w:b w:val="0"/>
                <w:sz w:val="18"/>
              </w:rPr>
              <w:t>Missing, invalid, stale, conflicting, unavailable, or out-of-scope information.</w:t>
            </w:r>
          </w:p>
        </w:tc>
      </w:tr>
      <w:tr>
        <w:tc>
          <w:tcPr>
            <w:tcW w:type="dxa" w:w="4939"/>
            <w:vAlign w:val="top"/>
          </w:tcPr>
          <w:p>
            <w:pPr>
              <w:spacing w:after="0"/>
            </w:pPr>
            <w:r/>
            <w:r>
              <w:rPr>
                <w:rFonts w:ascii="Arial" w:hAnsi="Arial"/>
                <w:b w:val="0"/>
                <w:sz w:val="18"/>
              </w:rPr>
              <w:t>priority_effect</w:t>
            </w:r>
          </w:p>
        </w:tc>
        <w:tc>
          <w:tcPr>
            <w:tcW w:type="dxa" w:w="4939"/>
            <w:vAlign w:val="top"/>
          </w:tcPr>
          <w:p>
            <w:pPr>
              <w:spacing w:after="0"/>
            </w:pPr>
            <w:r/>
            <w:r>
              <w:rPr>
                <w:rFonts w:ascii="Arial" w:hAnsi="Arial"/>
                <w:b w:val="0"/>
                <w:sz w:val="18"/>
              </w:rPr>
              <w:t>No effect, routine, HIGH, urgent, or emergency effect as approved.</w:t>
            </w:r>
          </w:p>
        </w:tc>
      </w:tr>
      <w:tr>
        <w:tc>
          <w:tcPr>
            <w:tcW w:type="dxa" w:w="4939"/>
            <w:vAlign w:val="top"/>
          </w:tcPr>
          <w:p>
            <w:pPr>
              <w:spacing w:after="0"/>
            </w:pPr>
            <w:r/>
            <w:r>
              <w:rPr>
                <w:rFonts w:ascii="Arial" w:hAnsi="Arial"/>
                <w:b w:val="0"/>
                <w:sz w:val="18"/>
              </w:rPr>
              <w:t>next_component</w:t>
            </w:r>
          </w:p>
        </w:tc>
        <w:tc>
          <w:tcPr>
            <w:tcW w:type="dxa" w:w="4939"/>
            <w:vAlign w:val="top"/>
          </w:tcPr>
          <w:p>
            <w:pPr>
              <w:spacing w:after="0"/>
            </w:pPr>
            <w:r/>
            <w:r>
              <w:rPr>
                <w:rFonts w:ascii="Arial" w:hAnsi="Arial"/>
                <w:b w:val="0"/>
                <w:sz w:val="18"/>
              </w:rPr>
              <w:t>Named downstream engine or terminal state.</w:t>
            </w:r>
          </w:p>
        </w:tc>
      </w:tr>
      <w:tr>
        <w:tc>
          <w:tcPr>
            <w:tcW w:type="dxa" w:w="4939"/>
            <w:vAlign w:val="top"/>
          </w:tcPr>
          <w:p>
            <w:pPr>
              <w:spacing w:after="0"/>
            </w:pPr>
            <w:r/>
            <w:r>
              <w:rPr>
                <w:rFonts w:ascii="Arial" w:hAnsi="Arial"/>
                <w:b w:val="0"/>
                <w:sz w:val="18"/>
              </w:rPr>
              <w:t>audit_metadata</w:t>
            </w:r>
          </w:p>
        </w:tc>
        <w:tc>
          <w:tcPr>
            <w:tcW w:type="dxa" w:w="4939"/>
            <w:vAlign w:val="top"/>
          </w:tcPr>
          <w:p>
            <w:pPr>
              <w:spacing w:after="0"/>
            </w:pPr>
            <w:r/>
            <w:r>
              <w:rPr>
                <w:rFonts w:ascii="Arial" w:hAnsi="Arial"/>
                <w:b w:val="0"/>
                <w:sz w:val="18"/>
              </w:rPr>
              <w:t>Timestamps, actor or system process, rule/policy release, and software version.</w:t>
            </w:r>
          </w:p>
        </w:tc>
      </w:tr>
    </w:tbl>
    <w:p/>
    <w:p>
      <w:pPr>
        <w:pStyle w:val="Heading1"/>
      </w:pPr>
      <w:r>
        <w:t>7.0 Safety Mechanisms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Control</w:t>
            </w:r>
          </w:p>
        </w:tc>
        <w:tc>
          <w:tcPr>
            <w:tcW w:type="dxa" w:w="4939"/>
            <w:shd w:fill="D9EAF7"/>
          </w:tcPr>
          <w:p>
            <w:pPr>
              <w:spacing w:after="0"/>
            </w:pPr>
            <w:r/>
            <w:r>
              <w:rPr>
                <w:rFonts w:ascii="Arial" w:hAnsi="Arial"/>
                <w:b/>
                <w:sz w:val="18"/>
              </w:rPr>
              <w:t>Safety purpose</w:t>
            </w:r>
          </w:p>
        </w:tc>
      </w:tr>
      <w:tr>
        <w:tc>
          <w:tcPr>
            <w:tcW w:type="dxa" w:w="4939"/>
            <w:vAlign w:val="top"/>
          </w:tcPr>
          <w:p>
            <w:pPr>
              <w:spacing w:after="0"/>
            </w:pPr>
            <w:r/>
            <w:r>
              <w:rPr>
                <w:rFonts w:ascii="Arial" w:hAnsi="Arial"/>
                <w:b w:val="0"/>
                <w:sz w:val="18"/>
              </w:rPr>
              <w:t>Provenance-based generation</w:t>
            </w:r>
          </w:p>
        </w:tc>
        <w:tc>
          <w:tcPr>
            <w:tcW w:type="dxa" w:w="4939"/>
            <w:vAlign w:val="top"/>
          </w:tcPr>
          <w:p>
            <w:pPr>
              <w:spacing w:after="0"/>
            </w:pPr>
            <w:r/>
            <w:r>
              <w:rPr>
                <w:rFonts w:ascii="Arial" w:hAnsi="Arial"/>
                <w:b w:val="0"/>
                <w:sz w:val="18"/>
              </w:rPr>
              <w:t>Prevents fabricated explanations.</w:t>
            </w:r>
          </w:p>
        </w:tc>
      </w:tr>
      <w:tr>
        <w:tc>
          <w:tcPr>
            <w:tcW w:type="dxa" w:w="4939"/>
            <w:vAlign w:val="top"/>
          </w:tcPr>
          <w:p>
            <w:pPr>
              <w:spacing w:after="0"/>
            </w:pPr>
            <w:r/>
            <w:r>
              <w:rPr>
                <w:rFonts w:ascii="Arial" w:hAnsi="Arial"/>
                <w:b w:val="0"/>
                <w:sz w:val="18"/>
              </w:rPr>
              <w:t>Controlled terminology</w:t>
            </w:r>
          </w:p>
        </w:tc>
        <w:tc>
          <w:tcPr>
            <w:tcW w:type="dxa" w:w="4939"/>
            <w:vAlign w:val="top"/>
          </w:tcPr>
          <w:p>
            <w:pPr>
              <w:spacing w:after="0"/>
            </w:pPr>
            <w:r/>
            <w:r>
              <w:rPr>
                <w:rFonts w:ascii="Arial" w:hAnsi="Arial"/>
                <w:b w:val="0"/>
                <w:sz w:val="18"/>
              </w:rPr>
              <w:t>Avoids unsupported diagnosis and certainty.</w:t>
            </w:r>
          </w:p>
        </w:tc>
      </w:tr>
      <w:tr>
        <w:tc>
          <w:tcPr>
            <w:tcW w:type="dxa" w:w="4939"/>
            <w:vAlign w:val="top"/>
          </w:tcPr>
          <w:p>
            <w:pPr>
              <w:spacing w:after="0"/>
            </w:pPr>
            <w:r/>
            <w:r>
              <w:rPr>
                <w:rFonts w:ascii="Arial" w:hAnsi="Arial"/>
                <w:b w:val="0"/>
                <w:sz w:val="18"/>
              </w:rPr>
              <w:t>Knowns-and-unknowns section</w:t>
            </w:r>
          </w:p>
        </w:tc>
        <w:tc>
          <w:tcPr>
            <w:tcW w:type="dxa" w:w="4939"/>
            <w:vAlign w:val="top"/>
          </w:tcPr>
          <w:p>
            <w:pPr>
              <w:spacing w:after="0"/>
            </w:pPr>
            <w:r/>
            <w:r>
              <w:rPr>
                <w:rFonts w:ascii="Arial" w:hAnsi="Arial"/>
                <w:b w:val="0"/>
                <w:sz w:val="18"/>
              </w:rPr>
              <w:t>Prevents omission of limitations.</w:t>
            </w:r>
          </w:p>
        </w:tc>
      </w:tr>
      <w:tr>
        <w:tc>
          <w:tcPr>
            <w:tcW w:type="dxa" w:w="4939"/>
            <w:vAlign w:val="top"/>
          </w:tcPr>
          <w:p>
            <w:pPr>
              <w:spacing w:after="0"/>
            </w:pPr>
            <w:r/>
            <w:r>
              <w:rPr>
                <w:rFonts w:ascii="Arial" w:hAnsi="Arial"/>
                <w:b w:val="0"/>
                <w:sz w:val="18"/>
              </w:rPr>
              <w:t>Separate ML disclosure</w:t>
            </w:r>
          </w:p>
        </w:tc>
        <w:tc>
          <w:tcPr>
            <w:tcW w:type="dxa" w:w="4939"/>
            <w:vAlign w:val="top"/>
          </w:tcPr>
          <w:p>
            <w:pPr>
              <w:spacing w:after="0"/>
            </w:pPr>
            <w:r/>
            <w:r>
              <w:rPr>
                <w:rFonts w:ascii="Arial" w:hAnsi="Arial"/>
                <w:b w:val="0"/>
                <w:sz w:val="18"/>
              </w:rPr>
              <w:t>Prevents model output from appearing as unquestioned clinical truth.</w:t>
            </w:r>
          </w:p>
        </w:tc>
      </w:tr>
      <w:tr>
        <w:tc>
          <w:tcPr>
            <w:tcW w:type="dxa" w:w="4939"/>
            <w:vAlign w:val="top"/>
          </w:tcPr>
          <w:p>
            <w:pPr>
              <w:spacing w:after="0"/>
            </w:pPr>
            <w:r/>
            <w:r>
              <w:rPr>
                <w:rFonts w:ascii="Arial" w:hAnsi="Arial"/>
                <w:b w:val="0"/>
                <w:sz w:val="18"/>
              </w:rPr>
              <w:t>Exact snapshot storage</w:t>
            </w:r>
          </w:p>
        </w:tc>
        <w:tc>
          <w:tcPr>
            <w:tcW w:type="dxa" w:w="4939"/>
            <w:vAlign w:val="top"/>
          </w:tcPr>
          <w:p>
            <w:pPr>
              <w:spacing w:after="0"/>
            </w:pPr>
            <w:r/>
            <w:r>
              <w:rPr>
                <w:rFonts w:ascii="Arial" w:hAnsi="Arial"/>
                <w:b w:val="0"/>
                <w:sz w:val="18"/>
              </w:rPr>
              <w:t>Supports later review of what was displayed.</w:t>
            </w:r>
          </w:p>
        </w:tc>
      </w:tr>
    </w:tbl>
    <w:p/>
    <w:p>
      <w:pPr>
        <w:pStyle w:val="Heading1"/>
      </w:pPr>
      <w:r>
        <w:t>8.0 Failure and Degraded-Operation Handling</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Failure condition</w:t>
            </w:r>
          </w:p>
        </w:tc>
        <w:tc>
          <w:tcPr>
            <w:tcW w:type="dxa" w:w="4939"/>
            <w:shd w:fill="D9EAF7"/>
          </w:tcPr>
          <w:p>
            <w:pPr>
              <w:spacing w:after="0"/>
            </w:pPr>
            <w:r/>
            <w:r>
              <w:rPr>
                <w:rFonts w:ascii="Arial" w:hAnsi="Arial"/>
                <w:b/>
                <w:sz w:val="18"/>
              </w:rPr>
              <w:t>Required response</w:t>
            </w:r>
          </w:p>
        </w:tc>
      </w:tr>
      <w:tr>
        <w:tc>
          <w:tcPr>
            <w:tcW w:type="dxa" w:w="4939"/>
            <w:vAlign w:val="top"/>
          </w:tcPr>
          <w:p>
            <w:pPr>
              <w:spacing w:after="0"/>
            </w:pPr>
            <w:r/>
            <w:r>
              <w:rPr>
                <w:rFonts w:ascii="Arial" w:hAnsi="Arial"/>
                <w:b w:val="0"/>
                <w:sz w:val="18"/>
              </w:rPr>
              <w:t>Required dependency unavailable</w:t>
            </w:r>
          </w:p>
        </w:tc>
        <w:tc>
          <w:tcPr>
            <w:tcW w:type="dxa" w:w="4939"/>
            <w:vAlign w:val="top"/>
          </w:tcPr>
          <w:p>
            <w:pPr>
              <w:spacing w:after="0"/>
            </w:pPr>
            <w:r/>
            <w:r>
              <w:rPr>
                <w:rFonts w:ascii="Arial" w:hAnsi="Arial"/>
                <w:b w:val="0"/>
                <w:sz w:val="18"/>
              </w:rPr>
              <w:t>Do not invent a result; return a controlled unavailable or incomplete state.</w:t>
            </w:r>
          </w:p>
        </w:tc>
      </w:tr>
      <w:tr>
        <w:tc>
          <w:tcPr>
            <w:tcW w:type="dxa" w:w="4939"/>
            <w:vAlign w:val="top"/>
          </w:tcPr>
          <w:p>
            <w:pPr>
              <w:spacing w:after="0"/>
            </w:pPr>
            <w:r/>
            <w:r>
              <w:rPr>
                <w:rFonts w:ascii="Arial" w:hAnsi="Arial"/>
                <w:b w:val="0"/>
                <w:sz w:val="18"/>
              </w:rPr>
              <w:t>Unexpected value or schema</w:t>
            </w:r>
          </w:p>
        </w:tc>
        <w:tc>
          <w:tcPr>
            <w:tcW w:type="dxa" w:w="4939"/>
            <w:vAlign w:val="top"/>
          </w:tcPr>
          <w:p>
            <w:pPr>
              <w:spacing w:after="0"/>
            </w:pPr>
            <w:r/>
            <w:r>
              <w:rPr>
                <w:rFonts w:ascii="Arial" w:hAnsi="Arial"/>
                <w:b w:val="0"/>
                <w:sz w:val="18"/>
              </w:rPr>
              <w:t>Reject the value for clinical reasoning and record the validation or processing failure.</w:t>
            </w:r>
          </w:p>
        </w:tc>
      </w:tr>
      <w:tr>
        <w:tc>
          <w:tcPr>
            <w:tcW w:type="dxa" w:w="4939"/>
            <w:vAlign w:val="top"/>
          </w:tcPr>
          <w:p>
            <w:pPr>
              <w:spacing w:after="0"/>
            </w:pPr>
            <w:r/>
            <w:r>
              <w:rPr>
                <w:rFonts w:ascii="Arial" w:hAnsi="Arial"/>
                <w:b w:val="0"/>
                <w:sz w:val="18"/>
              </w:rPr>
              <w:t>Knowledge release missing</w:t>
            </w:r>
          </w:p>
        </w:tc>
        <w:tc>
          <w:tcPr>
            <w:tcW w:type="dxa" w:w="4939"/>
            <w:vAlign w:val="top"/>
          </w:tcPr>
          <w:p>
            <w:pPr>
              <w:spacing w:after="0"/>
            </w:pPr>
            <w:r/>
            <w:r>
              <w:rPr>
                <w:rFonts w:ascii="Arial" w:hAnsi="Arial"/>
                <w:b w:val="0"/>
                <w:sz w:val="18"/>
              </w:rPr>
              <w:t>Stop execution and display a controlled configuration error.</w:t>
            </w:r>
          </w:p>
        </w:tc>
      </w:tr>
      <w:tr>
        <w:tc>
          <w:tcPr>
            <w:tcW w:type="dxa" w:w="4939"/>
            <w:vAlign w:val="top"/>
          </w:tcPr>
          <w:p>
            <w:pPr>
              <w:spacing w:after="0"/>
            </w:pPr>
            <w:r/>
            <w:r>
              <w:rPr>
                <w:rFonts w:ascii="Arial" w:hAnsi="Arial"/>
                <w:b w:val="0"/>
                <w:sz w:val="18"/>
              </w:rPr>
              <w:t>Database write failure</w:t>
            </w:r>
          </w:p>
        </w:tc>
        <w:tc>
          <w:tcPr>
            <w:tcW w:type="dxa" w:w="4939"/>
            <w:vAlign w:val="top"/>
          </w:tcPr>
          <w:p>
            <w:pPr>
              <w:spacing w:after="0"/>
            </w:pPr>
            <w:r/>
            <w:r>
              <w:rPr>
                <w:rFonts w:ascii="Arial" w:hAnsi="Arial"/>
                <w:b w:val="0"/>
                <w:sz w:val="18"/>
              </w:rPr>
              <w:t>Do not mark the component or decision execution as completed.</w:t>
            </w:r>
          </w:p>
        </w:tc>
      </w:tr>
      <w:tr>
        <w:tc>
          <w:tcPr>
            <w:tcW w:type="dxa" w:w="4939"/>
            <w:vAlign w:val="top"/>
          </w:tcPr>
          <w:p>
            <w:pPr>
              <w:spacing w:after="0"/>
            </w:pPr>
            <w:r/>
            <w:r>
              <w:rPr>
                <w:rFonts w:ascii="Arial" w:hAnsi="Arial"/>
                <w:b w:val="0"/>
                <w:sz w:val="18"/>
              </w:rPr>
              <w:t>Audit/provenance failure</w:t>
            </w:r>
          </w:p>
        </w:tc>
        <w:tc>
          <w:tcPr>
            <w:tcW w:type="dxa" w:w="4939"/>
            <w:vAlign w:val="top"/>
          </w:tcPr>
          <w:p>
            <w:pPr>
              <w:spacing w:after="0"/>
            </w:pPr>
            <w:r/>
            <w:r>
              <w:rPr>
                <w:rFonts w:ascii="Arial" w:hAnsi="Arial"/>
                <w:b w:val="0"/>
                <w:sz w:val="18"/>
              </w:rPr>
              <w:t>Do not claim the output is fully trustworthy or auditable.</w:t>
            </w:r>
          </w:p>
        </w:tc>
      </w:tr>
      <w:tr>
        <w:tc>
          <w:tcPr>
            <w:tcW w:type="dxa" w:w="4939"/>
            <w:vAlign w:val="top"/>
          </w:tcPr>
          <w:p>
            <w:pPr>
              <w:spacing w:after="0"/>
            </w:pPr>
            <w:r/>
            <w:r>
              <w:rPr>
                <w:rFonts w:ascii="Arial" w:hAnsi="Arial"/>
                <w:b w:val="0"/>
                <w:sz w:val="18"/>
              </w:rPr>
              <w:t>Unauthorized operation</w:t>
            </w:r>
          </w:p>
        </w:tc>
        <w:tc>
          <w:tcPr>
            <w:tcW w:type="dxa" w:w="4939"/>
            <w:vAlign w:val="top"/>
          </w:tcPr>
          <w:p>
            <w:pPr>
              <w:spacing w:after="0"/>
            </w:pPr>
            <w:r/>
            <w:r>
              <w:rPr>
                <w:rFonts w:ascii="Arial" w:hAnsi="Arial"/>
                <w:b w:val="0"/>
                <w:sz w:val="18"/>
              </w:rPr>
              <w:t>Deny the action and create a security event.</w:t>
            </w:r>
          </w:p>
        </w:tc>
      </w:tr>
      <w:tr>
        <w:tc>
          <w:tcPr>
            <w:tcW w:type="dxa" w:w="4939"/>
            <w:vAlign w:val="top"/>
          </w:tcPr>
          <w:p>
            <w:pPr>
              <w:spacing w:after="0"/>
            </w:pPr>
            <w:r/>
            <w:r>
              <w:rPr>
                <w:rFonts w:ascii="Arial" w:hAnsi="Arial"/>
                <w:b w:val="0"/>
                <w:sz w:val="18"/>
              </w:rPr>
              <w:t>Unexpected exception</w:t>
            </w:r>
          </w:p>
        </w:tc>
        <w:tc>
          <w:tcPr>
            <w:tcW w:type="dxa" w:w="4939"/>
            <w:vAlign w:val="top"/>
          </w:tcPr>
          <w:p>
            <w:pPr>
              <w:spacing w:after="0"/>
            </w:pPr>
            <w:r/>
            <w:r>
              <w:rPr>
                <w:rFonts w:ascii="Arial" w:hAnsi="Arial"/>
                <w:b w:val="0"/>
                <w:sz w:val="18"/>
              </w:rPr>
              <w:t>Show a safe message, log technical details securely, and avoid exposing sensitive information.</w:t>
            </w:r>
          </w:p>
        </w:tc>
      </w:tr>
    </w:tbl>
    <w:p/>
    <w:p>
      <w:pPr>
        <w:pStyle w:val="Heading1"/>
      </w:pPr>
      <w:r>
        <w:t>9.0 Laravel-Oriented Translation</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Proposed component</w:t>
            </w:r>
          </w:p>
        </w:tc>
        <w:tc>
          <w:tcPr>
            <w:tcW w:type="dxa" w:w="4939"/>
            <w:shd w:fill="D9EAF7"/>
          </w:tcPr>
          <w:p>
            <w:pPr>
              <w:spacing w:after="0"/>
            </w:pPr>
            <w:r/>
            <w:r>
              <w:rPr>
                <w:rFonts w:ascii="Arial" w:hAnsi="Arial"/>
                <w:b/>
                <w:sz w:val="18"/>
              </w:rPr>
              <w:t>Responsibility</w:t>
            </w:r>
          </w:p>
        </w:tc>
      </w:tr>
      <w:tr>
        <w:tc>
          <w:tcPr>
            <w:tcW w:type="dxa" w:w="4939"/>
            <w:vAlign w:val="top"/>
          </w:tcPr>
          <w:p>
            <w:pPr>
              <w:spacing w:after="0"/>
            </w:pPr>
            <w:r/>
            <w:r>
              <w:rPr>
                <w:rFonts w:ascii="Arial" w:hAnsi="Arial"/>
                <w:b w:val="0"/>
                <w:sz w:val="18"/>
              </w:rPr>
              <w:t>ExplainabilityEngine</w:t>
            </w:r>
          </w:p>
        </w:tc>
        <w:tc>
          <w:tcPr>
            <w:tcW w:type="dxa" w:w="4939"/>
            <w:vAlign w:val="top"/>
          </w:tcPr>
          <w:p>
            <w:pPr>
              <w:spacing w:after="0"/>
            </w:pPr>
            <w:r/>
            <w:r>
              <w:rPr>
                <w:rFonts w:ascii="Arial" w:hAnsi="Arial"/>
                <w:b w:val="0"/>
                <w:sz w:val="18"/>
              </w:rPr>
              <w:t>Builds structured explanation sections from provenance.</w:t>
            </w:r>
          </w:p>
        </w:tc>
      </w:tr>
      <w:tr>
        <w:tc>
          <w:tcPr>
            <w:tcW w:type="dxa" w:w="4939"/>
            <w:vAlign w:val="top"/>
          </w:tcPr>
          <w:p>
            <w:pPr>
              <w:spacing w:after="0"/>
            </w:pPr>
            <w:r/>
            <w:r>
              <w:rPr>
                <w:rFonts w:ascii="Arial" w:hAnsi="Arial"/>
                <w:b w:val="0"/>
                <w:sz w:val="18"/>
              </w:rPr>
              <w:t>ExplanationPresenter</w:t>
            </w:r>
          </w:p>
        </w:tc>
        <w:tc>
          <w:tcPr>
            <w:tcW w:type="dxa" w:w="4939"/>
            <w:vAlign w:val="top"/>
          </w:tcPr>
          <w:p>
            <w:pPr>
              <w:spacing w:after="0"/>
            </w:pPr>
            <w:r/>
            <w:r>
              <w:rPr>
                <w:rFonts w:ascii="Arial" w:hAnsi="Arial"/>
                <w:b w:val="0"/>
                <w:sz w:val="18"/>
              </w:rPr>
              <w:t>Transforms structured sections for Blade or API output.</w:t>
            </w:r>
          </w:p>
        </w:tc>
      </w:tr>
      <w:tr>
        <w:tc>
          <w:tcPr>
            <w:tcW w:type="dxa" w:w="4939"/>
            <w:vAlign w:val="top"/>
          </w:tcPr>
          <w:p>
            <w:pPr>
              <w:spacing w:after="0"/>
            </w:pPr>
            <w:r/>
            <w:r>
              <w:rPr>
                <w:rFonts w:ascii="Arial" w:hAnsi="Arial"/>
                <w:b w:val="0"/>
                <w:sz w:val="18"/>
              </w:rPr>
              <w:t>DecisionExplanation model</w:t>
            </w:r>
          </w:p>
        </w:tc>
        <w:tc>
          <w:tcPr>
            <w:tcW w:type="dxa" w:w="4939"/>
            <w:vAlign w:val="top"/>
          </w:tcPr>
          <w:p>
            <w:pPr>
              <w:spacing w:after="0"/>
            </w:pPr>
            <w:r/>
            <w:r>
              <w:rPr>
                <w:rFonts w:ascii="Arial" w:hAnsi="Arial"/>
                <w:b w:val="0"/>
                <w:sz w:val="18"/>
              </w:rPr>
              <w:t>Stores headline, reasons, limitations, versions, and text snapshot.</w:t>
            </w:r>
          </w:p>
        </w:tc>
      </w:tr>
      <w:tr>
        <w:tc>
          <w:tcPr>
            <w:tcW w:type="dxa" w:w="4939"/>
            <w:vAlign w:val="top"/>
          </w:tcPr>
          <w:p>
            <w:pPr>
              <w:spacing w:after="0"/>
            </w:pPr>
            <w:r/>
            <w:r>
              <w:rPr>
                <w:rFonts w:ascii="Arial" w:hAnsi="Arial"/>
                <w:b w:val="0"/>
                <w:sz w:val="18"/>
              </w:rPr>
              <w:t>Expandable UI</w:t>
            </w:r>
          </w:p>
        </w:tc>
        <w:tc>
          <w:tcPr>
            <w:tcW w:type="dxa" w:w="4939"/>
            <w:vAlign w:val="top"/>
          </w:tcPr>
          <w:p>
            <w:pPr>
              <w:spacing w:after="0"/>
            </w:pPr>
            <w:r/>
            <w:r>
              <w:rPr>
                <w:rFonts w:ascii="Arial" w:hAnsi="Arial"/>
                <w:b w:val="0"/>
                <w:sz w:val="18"/>
              </w:rPr>
              <w:t>Shows concise summary first and technical details on demand.</w:t>
            </w:r>
          </w:p>
        </w:tc>
      </w:tr>
      <w:tr>
        <w:tc>
          <w:tcPr>
            <w:tcW w:type="dxa" w:w="4939"/>
            <w:vAlign w:val="top"/>
          </w:tcPr>
          <w:p>
            <w:pPr>
              <w:spacing w:after="0"/>
            </w:pPr>
            <w:r/>
            <w:r>
              <w:rPr>
                <w:rFonts w:ascii="Arial" w:hAnsi="Arial"/>
                <w:b w:val="0"/>
                <w:sz w:val="18"/>
              </w:rPr>
              <w:t>Audit authorization</w:t>
            </w:r>
          </w:p>
        </w:tc>
        <w:tc>
          <w:tcPr>
            <w:tcW w:type="dxa" w:w="4939"/>
            <w:vAlign w:val="top"/>
          </w:tcPr>
          <w:p>
            <w:pPr>
              <w:spacing w:after="0"/>
            </w:pPr>
            <w:r/>
            <w:r>
              <w:rPr>
                <w:rFonts w:ascii="Arial" w:hAnsi="Arial"/>
                <w:b w:val="0"/>
                <w:sz w:val="18"/>
              </w:rPr>
              <w:t>Restricts sensitive detailed provenance appropriately.</w:t>
            </w:r>
          </w:p>
        </w:tc>
      </w:tr>
    </w:tbl>
    <w:p/>
    <w:p>
      <w:r>
        <w:t>Controllers should not contain the complete clinical reasoning logic. They should coordinate authorization, request handling, service invocation, and presentation. Clinical meaning belongs in versioned domain services and knowledge artifacts.</w:t>
      </w:r>
    </w:p>
    <w:p>
      <w:pPr>
        <w:pStyle w:val="Heading1"/>
      </w:pPr>
      <w:r>
        <w:t>10.0 Data and Audit Blueprint</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Record</w:t>
            </w:r>
          </w:p>
        </w:tc>
        <w:tc>
          <w:tcPr>
            <w:tcW w:type="dxa" w:w="4939"/>
            <w:shd w:fill="D9EAF7"/>
          </w:tcPr>
          <w:p>
            <w:pPr>
              <w:spacing w:after="0"/>
            </w:pPr>
            <w:r/>
            <w:r>
              <w:rPr>
                <w:rFonts w:ascii="Arial" w:hAnsi="Arial"/>
                <w:b/>
                <w:sz w:val="18"/>
              </w:rPr>
              <w:t>Minimum contents</w:t>
            </w:r>
          </w:p>
        </w:tc>
      </w:tr>
      <w:tr>
        <w:tc>
          <w:tcPr>
            <w:tcW w:type="dxa" w:w="4939"/>
            <w:vAlign w:val="top"/>
          </w:tcPr>
          <w:p>
            <w:pPr>
              <w:spacing w:after="0"/>
            </w:pPr>
            <w:r/>
            <w:r>
              <w:rPr>
                <w:rFonts w:ascii="Arial" w:hAnsi="Arial"/>
                <w:b w:val="0"/>
                <w:sz w:val="18"/>
              </w:rPr>
              <w:t>component_execution</w:t>
            </w:r>
          </w:p>
        </w:tc>
        <w:tc>
          <w:tcPr>
            <w:tcW w:type="dxa" w:w="4939"/>
            <w:vAlign w:val="top"/>
          </w:tcPr>
          <w:p>
            <w:pPr>
              <w:spacing w:after="0"/>
            </w:pPr>
            <w:r/>
            <w:r>
              <w:rPr>
                <w:rFonts w:ascii="Arial" w:hAnsi="Arial"/>
                <w:b w:val="0"/>
                <w:sz w:val="18"/>
              </w:rPr>
              <w:t>Decision execution ID, component name, start/end time, status, active versions, and correlation ID.</w:t>
            </w:r>
          </w:p>
        </w:tc>
      </w:tr>
      <w:tr>
        <w:tc>
          <w:tcPr>
            <w:tcW w:type="dxa" w:w="4939"/>
            <w:vAlign w:val="top"/>
          </w:tcPr>
          <w:p>
            <w:pPr>
              <w:spacing w:after="0"/>
            </w:pPr>
            <w:r/>
            <w:r>
              <w:rPr>
                <w:rFonts w:ascii="Arial" w:hAnsi="Arial"/>
                <w:b w:val="0"/>
                <w:sz w:val="18"/>
              </w:rPr>
              <w:t>input_references</w:t>
            </w:r>
          </w:p>
        </w:tc>
        <w:tc>
          <w:tcPr>
            <w:tcW w:type="dxa" w:w="4939"/>
            <w:vAlign w:val="top"/>
          </w:tcPr>
          <w:p>
            <w:pPr>
              <w:spacing w:after="0"/>
            </w:pPr>
            <w:r/>
            <w:r>
              <w:rPr>
                <w:rFonts w:ascii="Arial" w:hAnsi="Arial"/>
                <w:b w:val="0"/>
                <w:sz w:val="18"/>
              </w:rPr>
              <w:t>Source record IDs, original values, normalized values, units, and timestamps.</w:t>
            </w:r>
          </w:p>
        </w:tc>
      </w:tr>
      <w:tr>
        <w:tc>
          <w:tcPr>
            <w:tcW w:type="dxa" w:w="4939"/>
            <w:vAlign w:val="top"/>
          </w:tcPr>
          <w:p>
            <w:pPr>
              <w:spacing w:after="0"/>
            </w:pPr>
            <w:r/>
            <w:r>
              <w:rPr>
                <w:rFonts w:ascii="Arial" w:hAnsi="Arial"/>
                <w:b w:val="0"/>
                <w:sz w:val="18"/>
              </w:rPr>
              <w:t>component_results</w:t>
            </w:r>
          </w:p>
        </w:tc>
        <w:tc>
          <w:tcPr>
            <w:tcW w:type="dxa" w:w="4939"/>
            <w:vAlign w:val="top"/>
          </w:tcPr>
          <w:p>
            <w:pPr>
              <w:spacing w:after="0"/>
            </w:pPr>
            <w:r/>
            <w:r>
              <w:rPr>
                <w:rFonts w:ascii="Arial" w:hAnsi="Arial"/>
                <w:b w:val="0"/>
                <w:sz w:val="18"/>
              </w:rPr>
              <w:t>Structured outcome, rationale, priority effect, and next component.</w:t>
            </w:r>
          </w:p>
        </w:tc>
      </w:tr>
      <w:tr>
        <w:tc>
          <w:tcPr>
            <w:tcW w:type="dxa" w:w="4939"/>
            <w:vAlign w:val="top"/>
          </w:tcPr>
          <w:p>
            <w:pPr>
              <w:spacing w:after="0"/>
            </w:pPr>
            <w:r/>
            <w:r>
              <w:rPr>
                <w:rFonts w:ascii="Arial" w:hAnsi="Arial"/>
                <w:b w:val="0"/>
                <w:sz w:val="18"/>
              </w:rPr>
              <w:t>limitations</w:t>
            </w:r>
          </w:p>
        </w:tc>
        <w:tc>
          <w:tcPr>
            <w:tcW w:type="dxa" w:w="4939"/>
            <w:vAlign w:val="top"/>
          </w:tcPr>
          <w:p>
            <w:pPr>
              <w:spacing w:after="0"/>
            </w:pPr>
            <w:r/>
            <w:r>
              <w:rPr>
                <w:rFonts w:ascii="Arial" w:hAnsi="Arial"/>
                <w:b w:val="0"/>
                <w:sz w:val="18"/>
              </w:rPr>
              <w:t>Missing, invalid, conflicting, uncertain, or unavailable evidence.</w:t>
            </w:r>
          </w:p>
        </w:tc>
      </w:tr>
      <w:tr>
        <w:tc>
          <w:tcPr>
            <w:tcW w:type="dxa" w:w="4939"/>
            <w:vAlign w:val="top"/>
          </w:tcPr>
          <w:p>
            <w:pPr>
              <w:spacing w:after="0"/>
            </w:pPr>
            <w:r/>
            <w:r>
              <w:rPr>
                <w:rFonts w:ascii="Arial" w:hAnsi="Arial"/>
                <w:b w:val="0"/>
                <w:sz w:val="18"/>
              </w:rPr>
              <w:t>user_actions</w:t>
            </w:r>
          </w:p>
        </w:tc>
        <w:tc>
          <w:tcPr>
            <w:tcW w:type="dxa" w:w="4939"/>
            <w:vAlign w:val="top"/>
          </w:tcPr>
          <w:p>
            <w:pPr>
              <w:spacing w:after="0"/>
            </w:pPr>
            <w:r/>
            <w:r>
              <w:rPr>
                <w:rFonts w:ascii="Arial" w:hAnsi="Arial"/>
                <w:b w:val="0"/>
                <w:sz w:val="18"/>
              </w:rPr>
              <w:t>Acknowledgement, correction, referral, deferral, refusal, or override where applicable.</w:t>
            </w:r>
          </w:p>
        </w:tc>
      </w:tr>
      <w:tr>
        <w:tc>
          <w:tcPr>
            <w:tcW w:type="dxa" w:w="4939"/>
            <w:vAlign w:val="top"/>
          </w:tcPr>
          <w:p>
            <w:pPr>
              <w:spacing w:after="0"/>
            </w:pPr>
            <w:r/>
            <w:r>
              <w:rPr>
                <w:rFonts w:ascii="Arial" w:hAnsi="Arial"/>
                <w:b w:val="0"/>
                <w:sz w:val="18"/>
              </w:rPr>
              <w:t>version_metadata</w:t>
            </w:r>
          </w:p>
        </w:tc>
        <w:tc>
          <w:tcPr>
            <w:tcW w:type="dxa" w:w="4939"/>
            <w:vAlign w:val="top"/>
          </w:tcPr>
          <w:p>
            <w:pPr>
              <w:spacing w:after="0"/>
            </w:pPr>
            <w:r/>
            <w:r>
              <w:rPr>
                <w:rFonts w:ascii="Arial" w:hAnsi="Arial"/>
                <w:b w:val="0"/>
                <w:sz w:val="18"/>
              </w:rPr>
              <w:t>Knowledge, rule, policy, recommendation template, ML, software, and schema versions as applicable.</w:t>
            </w:r>
          </w:p>
        </w:tc>
      </w:tr>
    </w:tbl>
    <w:p/>
    <w:p>
      <w:pPr>
        <w:pStyle w:val="Heading1"/>
      </w:pPr>
      <w:r>
        <w:t>11.0 Verification and Test Requirements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Test category</w:t>
            </w:r>
          </w:p>
        </w:tc>
        <w:tc>
          <w:tcPr>
            <w:tcW w:type="dxa" w:w="4939"/>
            <w:shd w:fill="D9EAF7"/>
          </w:tcPr>
          <w:p>
            <w:pPr>
              <w:spacing w:after="0"/>
            </w:pPr>
            <w:r/>
            <w:r>
              <w:rPr>
                <w:rFonts w:ascii="Arial" w:hAnsi="Arial"/>
                <w:b/>
                <w:sz w:val="18"/>
              </w:rPr>
              <w:t>Minimum scenario</w:t>
            </w:r>
          </w:p>
        </w:tc>
      </w:tr>
      <w:tr>
        <w:tc>
          <w:tcPr>
            <w:tcW w:type="dxa" w:w="4939"/>
            <w:vAlign w:val="top"/>
          </w:tcPr>
          <w:p>
            <w:pPr>
              <w:spacing w:after="0"/>
            </w:pPr>
            <w:r/>
            <w:r>
              <w:rPr>
                <w:rFonts w:ascii="Arial" w:hAnsi="Arial"/>
                <w:b w:val="0"/>
                <w:sz w:val="18"/>
              </w:rPr>
              <w:t>Faithfulness</w:t>
            </w:r>
          </w:p>
        </w:tc>
        <w:tc>
          <w:tcPr>
            <w:tcW w:type="dxa" w:w="4939"/>
            <w:vAlign w:val="top"/>
          </w:tcPr>
          <w:p>
            <w:pPr>
              <w:spacing w:after="0"/>
            </w:pPr>
            <w:r/>
            <w:r>
              <w:rPr>
                <w:rFonts w:ascii="Arial" w:hAnsi="Arial"/>
                <w:b w:val="0"/>
                <w:sz w:val="18"/>
              </w:rPr>
              <w:t>Every explanation statement maps to an actual stored finding.</w:t>
            </w:r>
          </w:p>
        </w:tc>
      </w:tr>
      <w:tr>
        <w:tc>
          <w:tcPr>
            <w:tcW w:type="dxa" w:w="4939"/>
            <w:vAlign w:val="top"/>
          </w:tcPr>
          <w:p>
            <w:pPr>
              <w:spacing w:after="0"/>
            </w:pPr>
            <w:r/>
            <w:r>
              <w:rPr>
                <w:rFonts w:ascii="Arial" w:hAnsi="Arial"/>
                <w:b w:val="0"/>
                <w:sz w:val="18"/>
              </w:rPr>
              <w:t>No omitted limitation</w:t>
            </w:r>
          </w:p>
        </w:tc>
        <w:tc>
          <w:tcPr>
            <w:tcW w:type="dxa" w:w="4939"/>
            <w:vAlign w:val="top"/>
          </w:tcPr>
          <w:p>
            <w:pPr>
              <w:spacing w:after="0"/>
            </w:pPr>
            <w:r/>
            <w:r>
              <w:rPr>
                <w:rFonts w:ascii="Arial" w:hAnsi="Arial"/>
                <w:b w:val="0"/>
                <w:sz w:val="18"/>
              </w:rPr>
              <w:t>Missing and unresolved data appear in the explanation.</w:t>
            </w:r>
          </w:p>
        </w:tc>
      </w:tr>
      <w:tr>
        <w:tc>
          <w:tcPr>
            <w:tcW w:type="dxa" w:w="4939"/>
            <w:vAlign w:val="top"/>
          </w:tcPr>
          <w:p>
            <w:pPr>
              <w:spacing w:after="0"/>
            </w:pPr>
            <w:r/>
            <w:r>
              <w:rPr>
                <w:rFonts w:ascii="Arial" w:hAnsi="Arial"/>
                <w:b w:val="0"/>
                <w:sz w:val="18"/>
              </w:rPr>
              <w:t>ML conflict</w:t>
            </w:r>
          </w:p>
        </w:tc>
        <w:tc>
          <w:tcPr>
            <w:tcW w:type="dxa" w:w="4939"/>
            <w:vAlign w:val="top"/>
          </w:tcPr>
          <w:p>
            <w:pPr>
              <w:spacing w:after="0"/>
            </w:pPr>
            <w:r/>
            <w:r>
              <w:rPr>
                <w:rFonts w:ascii="Arial" w:hAnsi="Arial"/>
                <w:b w:val="0"/>
                <w:sz w:val="18"/>
              </w:rPr>
              <w:t>Both ML output and overriding rule are shown accurately.</w:t>
            </w:r>
          </w:p>
        </w:tc>
      </w:tr>
      <w:tr>
        <w:tc>
          <w:tcPr>
            <w:tcW w:type="dxa" w:w="4939"/>
            <w:vAlign w:val="top"/>
          </w:tcPr>
          <w:p>
            <w:pPr>
              <w:spacing w:after="0"/>
            </w:pPr>
            <w:r/>
            <w:r>
              <w:rPr>
                <w:rFonts w:ascii="Arial" w:hAnsi="Arial"/>
                <w:b w:val="0"/>
                <w:sz w:val="18"/>
              </w:rPr>
              <w:t>Low wording</w:t>
            </w:r>
          </w:p>
        </w:tc>
        <w:tc>
          <w:tcPr>
            <w:tcW w:type="dxa" w:w="4939"/>
            <w:vAlign w:val="top"/>
          </w:tcPr>
          <w:p>
            <w:pPr>
              <w:spacing w:after="0"/>
            </w:pPr>
            <w:r/>
            <w:r>
              <w:rPr>
                <w:rFonts w:ascii="Arial" w:hAnsi="Arial"/>
                <w:b w:val="0"/>
                <w:sz w:val="18"/>
              </w:rPr>
              <w:t>Explanation never says the patient has no risk.</w:t>
            </w:r>
          </w:p>
        </w:tc>
      </w:tr>
      <w:tr>
        <w:tc>
          <w:tcPr>
            <w:tcW w:type="dxa" w:w="4939"/>
            <w:vAlign w:val="top"/>
          </w:tcPr>
          <w:p>
            <w:pPr>
              <w:spacing w:after="0"/>
            </w:pPr>
            <w:r/>
            <w:r>
              <w:rPr>
                <w:rFonts w:ascii="Arial" w:hAnsi="Arial"/>
                <w:b w:val="0"/>
                <w:sz w:val="18"/>
              </w:rPr>
              <w:t>Version visibility</w:t>
            </w:r>
          </w:p>
        </w:tc>
        <w:tc>
          <w:tcPr>
            <w:tcW w:type="dxa" w:w="4939"/>
            <w:vAlign w:val="top"/>
          </w:tcPr>
          <w:p>
            <w:pPr>
              <w:spacing w:after="0"/>
            </w:pPr>
            <w:r/>
            <w:r>
              <w:rPr>
                <w:rFonts w:ascii="Arial" w:hAnsi="Arial"/>
                <w:b w:val="0"/>
                <w:sz w:val="18"/>
              </w:rPr>
              <w:t>Knowledge and model versions are available.</w:t>
            </w:r>
          </w:p>
        </w:tc>
      </w:tr>
      <w:tr>
        <w:tc>
          <w:tcPr>
            <w:tcW w:type="dxa" w:w="4939"/>
            <w:vAlign w:val="top"/>
          </w:tcPr>
          <w:p>
            <w:pPr>
              <w:spacing w:after="0"/>
            </w:pPr>
            <w:r/>
            <w:r>
              <w:rPr>
                <w:rFonts w:ascii="Arial" w:hAnsi="Arial"/>
                <w:b w:val="0"/>
                <w:sz w:val="18"/>
              </w:rPr>
              <w:t>Snapshot reproducibility</w:t>
            </w:r>
          </w:p>
        </w:tc>
        <w:tc>
          <w:tcPr>
            <w:tcW w:type="dxa" w:w="4939"/>
            <w:vAlign w:val="top"/>
          </w:tcPr>
          <w:p>
            <w:pPr>
              <w:spacing w:after="0"/>
            </w:pPr>
            <w:r/>
            <w:r>
              <w:rPr>
                <w:rFonts w:ascii="Arial" w:hAnsi="Arial"/>
                <w:b w:val="0"/>
                <w:sz w:val="18"/>
              </w:rPr>
              <w:t>Historical explanations remain unchanged after template updates.</w:t>
            </w:r>
          </w:p>
        </w:tc>
      </w:tr>
    </w:tbl>
    <w:p/>
    <w:p>
      <w:r>
        <w:t>Each test must define the complete input snapshot, active version, expected component output, expected final effect, and expected audit records. Boundary and regression cases are mandatory before a knowledge release is activated.</w:t>
      </w:r>
    </w:p>
    <w:p>
      <w:pPr>
        <w:pStyle w:val="Heading1"/>
      </w:pPr>
      <w:r>
        <w:t>12.0 Acceptance Criteria</w:t>
      </w:r>
    </w:p>
    <w:p>
      <w:pPr>
        <w:pStyle w:val="ListBullet"/>
      </w:pPr>
      <w:r>
        <w:t>The component's inputs, outputs, and failure states are structured and documented.</w:t>
      </w:r>
    </w:p>
    <w:p>
      <w:pPr>
        <w:pStyle w:val="ListBullet"/>
      </w:pPr>
      <w:r>
        <w:t>Every result is traceable to exact patient-specific evidence and active versioned logic.</w:t>
      </w:r>
    </w:p>
    <w:p>
      <w:pPr>
        <w:pStyle w:val="ListBullet"/>
      </w:pPr>
      <w:r>
        <w:t>Missing or uncertain information is never silently converted into a negative finding.</w:t>
      </w:r>
    </w:p>
    <w:p>
      <w:pPr>
        <w:pStyle w:val="ListBullet"/>
      </w:pPr>
      <w:r>
        <w:t>Emergency and deterministic safety precedence are preserved.</w:t>
      </w:r>
    </w:p>
    <w:p>
      <w:pPr>
        <w:pStyle w:val="ListBullet"/>
      </w:pPr>
      <w:r>
        <w:t>The component can be tested independently from controllers and user-interface code.</w:t>
      </w:r>
    </w:p>
    <w:p>
      <w:pPr>
        <w:pStyle w:val="ListBullet"/>
      </w:pPr>
      <w:r>
        <w:t>Historical executions remain reproducible after future updates.</w:t>
      </w:r>
    </w:p>
    <w:p>
      <w:pPr>
        <w:pStyle w:val="ListBullet"/>
      </w:pPr>
      <w:r>
        <w:t>Clinician-facing wording stays within the intended lying-in clinic scope.</w:t>
      </w:r>
    </w:p>
    <w:p>
      <w:pPr>
        <w:pStyle w:val="ListBullet"/>
      </w:pPr>
      <w:r>
        <w:t>Qualified clinical and technical reviewers approve the implementation before real patient use.</w:t>
      </w:r>
    </w:p>
    <w:p>
      <w:pPr>
        <w:pStyle w:val="Heading1"/>
      </w:pPr>
      <w:r>
        <w:t>13.0 Implementation Notes and Prohibited Shortcuts</w:t>
      </w:r>
    </w:p>
    <w:p>
      <w:pPr>
        <w:pStyle w:val="ListBullet"/>
      </w:pPr>
      <w:r>
        <w:t>Do not store only a final color badge or label.</w:t>
      </w:r>
    </w:p>
    <w:p>
      <w:pPr>
        <w:pStyle w:val="ListBullet"/>
      </w:pPr>
      <w:r>
        <w:t>Do not place undocumented thresholds directly inside controllers or Blade templates.</w:t>
      </w:r>
    </w:p>
    <w:p>
      <w:pPr>
        <w:pStyle w:val="ListBullet"/>
      </w:pPr>
      <w:r>
        <w:t>Do not interpret blank, false, zero, unknown, and not applicable as interchangeable values.</w:t>
      </w:r>
    </w:p>
    <w:p>
      <w:pPr>
        <w:pStyle w:val="ListBullet"/>
      </w:pPr>
      <w:r>
        <w:t>Do not silently modify published clinical rules or historical results.</w:t>
      </w:r>
    </w:p>
    <w:p>
      <w:pPr>
        <w:pStyle w:val="ListBullet"/>
      </w:pPr>
      <w:r>
        <w:t>Do not allow ML output to suppress rule-based HIGH or emergency findings.</w:t>
      </w:r>
    </w:p>
    <w:p>
      <w:pPr>
        <w:pStyle w:val="ListBullet"/>
      </w:pPr>
      <w:r>
        <w:t>Do not claim diagnosis, treatment, or referral completion when the system only generated advice.</w:t>
      </w:r>
    </w:p>
    <w:p>
      <w:pPr>
        <w:pStyle w:val="ListBullet"/>
      </w:pPr>
      <w:r>
        <w:t>Do not use records from a previous delivered pregnancy for a new active pregnancy.</w:t>
      </w:r>
    </w:p>
    <w:p>
      <w:pPr>
        <w:pStyle w:val="Heading1"/>
      </w:pPr>
      <w:r>
        <w:t>14.0 Transition to the Next Part</w:t>
      </w:r>
    </w:p>
    <w:p>
      <w:r>
        <w:t>Part 9 evaluates the reliability and completeness of the evidence supporting the recommendation and communicates confidence without claiming diagnostic probability.</w:t>
      </w:r>
    </w:p>
    <w:p>
      <w:pPr>
        <w:pStyle w:val="Heading1"/>
      </w:pPr>
      <w:r>
        <w:t>References</w:t>
      </w:r>
    </w:p>
    <w:p>
      <w:pPr>
        <w:pStyle w:val="ListNumber"/>
      </w:pPr>
      <w:r>
        <w:t>World Health Organization. SMART Guidelines. Standards-based, Machine-readable, Adaptive, Requirements-based, and Testable digital health guidance.</w:t>
      </w:r>
    </w:p>
    <w:p>
      <w:pPr>
        <w:pStyle w:val="ListNumber"/>
      </w:pPr>
      <w:r>
        <w:t>World Health Organization. Digital Adaptation Kit for Antenatal Care: Operational requirements for implementing WHO recommendations in digital systems. Geneva: WHO; 2021. ISBN 978-92-4-002030-6.</w:t>
      </w:r>
    </w:p>
    <w:p>
      <w:pPr>
        <w:pStyle w:val="ListNumber"/>
      </w:pPr>
      <w:r>
        <w:t>World Health Organization. WHO recommendations on antenatal care for a positive pregnancy experience. Geneva: WHO; 2016, with subsequent topic updates.</w:t>
      </w:r>
    </w:p>
    <w:p>
      <w:pPr>
        <w:pStyle w:val="ListNumber"/>
      </w:pPr>
      <w:r>
        <w:t>World Health Organization. Toolkit for adaptation of the WHO recommendations for a positive pregnancy and postnatal experience. Geneva: WHO; 2025.</w:t>
      </w:r>
    </w:p>
    <w:p>
      <w:pPr>
        <w:pStyle w:val="ListNumber"/>
      </w:pPr>
      <w:r>
        <w:t>U.S. Food and Drug Administration. Clinical Decision Support Software: Guidance for Industry and Food and Drug Administration Staff. Final guidance, January 2026.</w:t>
      </w:r>
    </w:p>
    <w:p>
      <w:pPr>
        <w:pStyle w:val="ListNumber"/>
      </w:pPr>
      <w:r>
        <w:t>HL7 International. FHIR Clinical Reasoning module and versioned knowledge-artifact resources. Used as an interoperability design reference, subject to local validation.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Document 2 - Part 8 | Explainability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