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Aptos" w:hAnsi="Aptos" w:eastAsia="Aptos"/>
          <w:b/>
          <w:color w:val="2F5597"/>
          <w:sz w:val="28"/>
        </w:rPr>
        <w:t>DOCUMENT 3</w:t>
      </w:r>
    </w:p>
    <w:p>
      <w:pPr>
        <w:spacing w:before="120"/>
        <w:jc w:val="center"/>
      </w:pPr>
      <w:r>
        <w:rPr>
          <w:rFonts w:ascii="Aptos" w:hAnsi="Aptos" w:eastAsia="Aptos"/>
          <w:b/>
          <w:color w:val="17365D"/>
          <w:sz w:val="48"/>
        </w:rPr>
        <w:t>PART 10</w:t>
        <w:br/>
        <w:t>VALIDATION AND VERIFICATION ARCHITECTURE</w:t>
      </w:r>
    </w:p>
    <w:p>
      <w:pPr>
        <w:spacing w:before="200"/>
        <w:jc w:val="center"/>
      </w:pPr>
      <w:r>
        <w:rPr>
          <w:rFonts w:ascii="Aptos" w:hAnsi="Aptos" w:eastAsia="Aptos"/>
          <w:b w:val="0"/>
          <w:color w:val="2F5597"/>
          <w:sz w:val="24"/>
        </w:rPr>
        <w:t>Evidence Framework for Machine Learning, Deterministic Rules, Integration, Safety, and Clinical Workflow</w:t>
      </w:r>
    </w:p>
    <w:p>
      <w:pPr>
        <w:spacing w:before="520"/>
        <w:jc w:val="center"/>
      </w:pPr>
      <w:r>
        <w:rPr>
          <w:rFonts w:ascii="Aptos" w:hAnsi="Aptos" w:eastAsia="Aptos"/>
          <w:b w:val="0"/>
          <w:color w:val="1F1F1F"/>
          <w:sz w:val="22"/>
        </w:rPr>
        <w:t>Development of an Explainable Clinical Decision Support System</w:t>
        <w:br/>
        <w:t>for a Web-Based Maternity Management System in a Philippine Lying-in Clinic</w:t>
      </w:r>
    </w:p>
    <w:p>
      <w:pPr>
        <w:spacing w:before="680"/>
        <w:jc w:val="center"/>
      </w:pPr>
      <w:r>
        <w:rPr>
          <w:rFonts w:ascii="Aptos" w:hAnsi="Aptos" w:eastAsia="Aptos"/>
          <w:b/>
          <w:color w:val="17365D"/>
          <w:sz w:val="22"/>
        </w:rPr>
        <w:t>Architecture Specification</w:t>
      </w:r>
    </w:p>
    <w:p>
      <w:pPr>
        <w:jc w:val="center"/>
      </w:pPr>
      <w:r>
        <w:rPr>
          <w:rFonts w:ascii="Aptos" w:hAnsi="Aptos" w:eastAsia="Aptos"/>
          <w:b w:val="0"/>
          <w:color w:val="2F5597"/>
          <w:sz w:val="21"/>
        </w:rPr>
        <w:t>Laravel → Python → Random Forest → Deterministic Decision Engine</w:t>
      </w:r>
    </w:p>
    <w:p>
      <w:pPr>
        <w:spacing w:before="720"/>
        <w:jc w:val="center"/>
      </w:pPr>
      <w:r>
        <w:rPr>
          <w:rFonts w:ascii="Aptos" w:hAnsi="Aptos" w:eastAsia="Aptos"/>
          <w:b w:val="0"/>
          <w:color w:val="1F1F1F"/>
          <w:sz w:val="19"/>
        </w:rPr>
        <w:t>Version 1.0 | July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17365D"/>
                <w:sz w:val="21"/>
              </w:rPr>
              <w:t>Purpose of this specification</w:t>
            </w:r>
          </w:p>
          <w:p>
            <w:pPr>
              <w:pStyle w:val="Callout"/>
            </w:pPr>
            <w:r>
              <w:t>This part defines how the maternity CDSS shall be tested, verified, validated, documented, and approved before operational use. It separates software verification from clinical validation, treats false-LOW outcomes as the principal safety concern, and requires evidence for the complete human-AI workflow rather than the Random Forest model alone.</w:t>
            </w:r>
          </w:p>
        </w:tc>
      </w:tr>
    </w:tbl>
    <w:p>
      <w:pPr>
        <w:spacing w:after="0"/>
      </w:pPr>
    </w:p>
    <w:p>
      <w:pPr>
        <w:pStyle w:val="Heading1"/>
      </w:pPr>
      <w:r>
        <w:t>10.1 Validation Philosophy</w:t>
      </w:r>
    </w:p>
    <w:p>
      <w:r>
        <w:t>Validation asks whether the system is suitable for its intended use in a lying-in clinic. Verification asks whether each component was built and behaves according to its specification. Both are necessary because a technically correct model may still be unsafe in workflow, while a clinically sensible rule may still be implemented incorrectly.</w:t>
      </w:r>
    </w:p>
    <w:p>
      <w:pPr>
        <w:pStyle w:val="ListBullet"/>
        <w:spacing w:after="40"/>
      </w:pPr>
      <w:r>
        <w:t>The unit under evaluation is the complete CDSS: data capture, preprocessing, Python inference, deterministic safety rules, explanation, user display, audit trail, and referral support.</w:t>
      </w:r>
    </w:p>
    <w:p>
      <w:pPr>
        <w:pStyle w:val="ListBullet"/>
        <w:spacing w:after="40"/>
      </w:pPr>
      <w:r>
        <w:t>Testing shall reflect the intended population, intended users, actual clinic resources, and the restricted role of the system as decision support.</w:t>
      </w:r>
    </w:p>
    <w:p>
      <w:pPr>
        <w:pStyle w:val="ListBullet"/>
        <w:spacing w:after="40"/>
      </w:pPr>
      <w:r>
        <w:t>No single metric, especially accuracy, is sufficient to approve the system.</w:t>
      </w:r>
    </w:p>
    <w:p>
      <w:pPr>
        <w:pStyle w:val="ListBullet"/>
        <w:spacing w:after="40"/>
      </w:pPr>
      <w:r>
        <w:t>Validation evidence shall be reproducible, versioned, reviewable, and linked to the exact dataset, model artifact, code revision, and rule set.</w:t>
      </w:r>
    </w:p>
    <w:p>
      <w:pPr>
        <w:pStyle w:val="Heading1"/>
      </w:pPr>
      <w:r>
        <w:t>10.2 Intended Use and Validation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1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Validated Use</w:t>
            </w:r>
          </w:p>
        </w:tc>
        <w:tc>
          <w:tcPr>
            <w:tcW w:type="dxa" w:w="41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Explicitly Outside Scope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User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Authorized clinic staff and midwives using the web-based maternity management system.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Independent patient self-diagnosis or unsupervised public use.</w:t>
            </w:r>
          </w:p>
        </w:tc>
      </w:tr>
      <w:tr>
        <w:tc>
          <w:tcPr>
            <w:tcW w:type="dxa" w:w="172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41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HIGH, LOW, or ASSESSMENT INCOMPLETE with visible reasons and safe recommendations.</w:t>
            </w:r>
          </w:p>
        </w:tc>
        <w:tc>
          <w:tcPr>
            <w:tcW w:type="dxa" w:w="41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Definitive diagnosis, treatment prescription, or assurance that delivery is safe.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Setting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Prenatal workflow in a Philippine lying-in clinic with referral to higher-level care when needed.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Emergency care, hospital-level management, or replacement of physician assessment.</w:t>
            </w:r>
          </w:p>
        </w:tc>
      </w:tr>
      <w:tr>
        <w:tc>
          <w:tcPr>
            <w:tcW w:type="dxa" w:w="172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Ultrasound</w:t>
            </w:r>
          </w:p>
        </w:tc>
        <w:tc>
          <w:tcPr>
            <w:tcW w:type="dxa" w:w="41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Structured record fields may trigger explicit rules where supported by recorded findings.</w:t>
            </w:r>
          </w:p>
        </w:tc>
        <w:tc>
          <w:tcPr>
            <w:tcW w:type="dxa" w:w="41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Image interpretation, automated fetal anomaly detection, or diagnostic ultrasound analysis.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Model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Random Forest prediction used as one input to the final decision engine.</w:t>
            </w:r>
          </w:p>
        </w:tc>
        <w:tc>
          <w:tcPr>
            <w:tcW w:type="dxa" w:w="41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Autonomous final clinical classification without rule checks and human review.</w:t>
            </w:r>
          </w:p>
        </w:tc>
      </w:tr>
    </w:tbl>
    <w:p>
      <w:pPr>
        <w:spacing w:after="0"/>
      </w:pPr>
    </w:p>
    <w:p>
      <w:pPr>
        <w:pStyle w:val="Heading1"/>
      </w:pPr>
      <w:r>
        <w:t>10.3 Verification and Validation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>Data Contract</w:t>
            </w:r>
          </w:p>
        </w:tc>
        <w:tc>
          <w:tcPr>
            <w:tcW w:type="dxa" w:w="1646"/>
            <w:shd w:fill="F4F8FC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365D"/>
                <w:sz w:val="17"/>
              </w:rPr>
              <w:t>Preprocessing</w:t>
            </w:r>
          </w:p>
        </w:tc>
        <w:tc>
          <w:tcPr>
            <w:tcW w:type="dxa" w:w="164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365D"/>
                <w:sz w:val="17"/>
              </w:rPr>
              <w:t>Random Forest</w:t>
            </w:r>
          </w:p>
        </w:tc>
        <w:tc>
          <w:tcPr>
            <w:tcW w:type="dxa" w:w="1646"/>
            <w:shd w:fill="F4F8FC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365D"/>
                <w:sz w:val="17"/>
              </w:rPr>
              <w:t>Decision Engine</w:t>
            </w:r>
          </w:p>
        </w:tc>
        <w:tc>
          <w:tcPr>
            <w:tcW w:type="dxa" w:w="164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7365D"/>
                <w:sz w:val="17"/>
              </w:rPr>
              <w:t>Laravel Integration</w:t>
            </w:r>
          </w:p>
        </w:tc>
        <w:tc>
          <w:tcPr>
            <w:tcW w:type="dxa" w:w="1646"/>
            <w:shd w:fill="F4F8FC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>Human Workflow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8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4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Data contract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Are required fields, units, categories, ranges, and missing states handled consistently?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Schema tests, boundary tests, data dictionary review, invalid-input tests.</w:t>
            </w:r>
          </w:p>
        </w:tc>
      </w:tr>
      <w:tr>
        <w:tc>
          <w:tcPr>
            <w:tcW w:type="dxa" w:w="172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Preprocessing</w:t>
            </w:r>
          </w:p>
        </w:tc>
        <w:tc>
          <w:tcPr>
            <w:tcW w:type="dxa" w:w="38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Does training-time transformation match inference-time transformation?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Pipeline tests, fixture comparisons, serialization checks, deterministic outputs.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Model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Does the frozen model perform adequately on unseen data?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Independent test results, confusion matrix, calibration and subgroup analysis.</w:t>
            </w:r>
          </w:p>
        </w:tc>
      </w:tr>
      <w:tr>
        <w:tc>
          <w:tcPr>
            <w:tcW w:type="dxa" w:w="172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Decision engine</w:t>
            </w:r>
          </w:p>
        </w:tc>
        <w:tc>
          <w:tcPr>
            <w:tcW w:type="dxa" w:w="38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Do deterministic rules always override or constrain ML as specified?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Rule matrix, scenario tests, precedence tests, urgent-condition tests.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Integration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Does Laravel invoke Python safely and interpret only valid outputs?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Contract tests, timeout tests, malformed-output tests, log inspection.</w:t>
            </w:r>
          </w:p>
        </w:tc>
      </w:tr>
      <w:tr>
        <w:tc>
          <w:tcPr>
            <w:tcW w:type="dxa" w:w="172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Workflow</w:t>
            </w:r>
          </w:p>
        </w:tc>
        <w:tc>
          <w:tcPr>
            <w:tcW w:type="dxa" w:w="388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Can intended users understand and act on the result without unsafe overreliance?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Usability sessions, scenario walkthroughs, comprehension checks, referral workflow tests.</w:t>
            </w:r>
          </w:p>
        </w:tc>
      </w:tr>
    </w:tbl>
    <w:p>
      <w:pPr>
        <w:spacing w:after="0"/>
      </w:pPr>
    </w:p>
    <w:p>
      <w:pPr>
        <w:pStyle w:val="Heading1"/>
      </w:pPr>
      <w:r>
        <w:t>10.4 Dataset Verification</w:t>
      </w:r>
    </w:p>
    <w:p>
      <w:pPr>
        <w:pStyle w:val="ListBullet"/>
        <w:spacing w:after="40"/>
      </w:pPr>
      <w:r>
        <w:t>Confirm that each row represents the intended unit of observation and that repeat visits from one patient are not split across training and test partitions.</w:t>
      </w:r>
    </w:p>
    <w:p>
      <w:pPr>
        <w:pStyle w:val="ListBullet"/>
        <w:spacing w:after="40"/>
      </w:pPr>
      <w:r>
        <w:t>Check provenance, consent or lawful basis, de-identification, inclusion and exclusion criteria, and dataset version.</w:t>
      </w:r>
    </w:p>
    <w:p>
      <w:pPr>
        <w:pStyle w:val="ListBullet"/>
        <w:spacing w:after="40"/>
      </w:pPr>
      <w:r>
        <w:t>Validate ranges, units, category spelling, null representation, impossible combinations, duplicate records, and label consistency.</w:t>
      </w:r>
    </w:p>
    <w:p>
      <w:pPr>
        <w:pStyle w:val="ListBullet"/>
        <w:spacing w:after="40"/>
      </w:pPr>
      <w:r>
        <w:t>Document class balance and clinically meaningful subgroup representation; do not hide sparse subgroups behind aggregate metrics.</w:t>
      </w:r>
    </w:p>
    <w:p>
      <w:pPr>
        <w:pStyle w:val="ListBullet"/>
        <w:spacing w:after="40"/>
      </w:pPr>
      <w:r>
        <w:t>Freeze the independent test set before final model selection and prohibit tuning against it.</w:t>
      </w:r>
    </w:p>
    <w:p>
      <w:pPr>
        <w:pStyle w:val="Heading1"/>
      </w:pPr>
      <w:r>
        <w:t>10.5 Model Evaluation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Reason for Inclusion</w:t>
            </w:r>
          </w:p>
        </w:tc>
        <w:tc>
          <w:tcPr>
            <w:tcW w:type="dxa" w:w="48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Interpretation in This CDSS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Sensitivity / Recall for HIGH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Measures how many actual HIGH cases are detected.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 low value increases the risk of false reassurance and missed referral.</w:t>
            </w:r>
          </w:p>
        </w:tc>
      </w:tr>
      <w:tr>
        <w:tc>
          <w:tcPr>
            <w:tcW w:type="dxa" w:w="180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Specificity</w:t>
            </w:r>
          </w:p>
        </w:tc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Measures how often LOW cases are correctly recognized.</w:t>
            </w:r>
          </w:p>
        </w:tc>
        <w:tc>
          <w:tcPr>
            <w:tcW w:type="dxa" w:w="482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Supports usefulness while remaining secondary to avoiding false-LOW results.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Precision for HIGH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Shows how often a HIGH prediction corresponds to a HIGH reference label.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Helps estimate workload and unnecessary referral burden.</w:t>
            </w:r>
          </w:p>
        </w:tc>
      </w:tr>
      <w:tr>
        <w:tc>
          <w:tcPr>
            <w:tcW w:type="dxa" w:w="180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Negative Predictive Value</w:t>
            </w:r>
          </w:p>
        </w:tc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Shows how often a LOW output is truly LOW in the evaluated sample.</w:t>
            </w:r>
          </w:p>
        </w:tc>
        <w:tc>
          <w:tcPr>
            <w:tcW w:type="dxa" w:w="482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Directly relevant to the credibility of a LOW classification.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F1 score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Balances sensitivity and precision.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Useful for comparison but not a replacement for separate clinical metrics.</w:t>
            </w:r>
          </w:p>
        </w:tc>
      </w:tr>
      <w:tr>
        <w:tc>
          <w:tcPr>
            <w:tcW w:type="dxa" w:w="180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ROC-AUC / PR-AUC</w:t>
            </w:r>
          </w:p>
        </w:tc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Summarizes ranking performance across thresholds.</w:t>
            </w:r>
          </w:p>
        </w:tc>
        <w:tc>
          <w:tcPr>
            <w:tcW w:type="dxa" w:w="482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PR-AUC is especially informative when HIGH cases are less common.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Calibration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Assesses whether predicted probabilities correspond to observed outcomes.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Required before displaying or using probabilities operationally.</w:t>
            </w:r>
          </w:p>
        </w:tc>
      </w:tr>
      <w:tr>
        <w:tc>
          <w:tcPr>
            <w:tcW w:type="dxa" w:w="180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Confidence intervals</w:t>
            </w:r>
          </w:p>
        </w:tc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Shows uncertainty around reported metrics.</w:t>
            </w:r>
          </w:p>
        </w:tc>
        <w:tc>
          <w:tcPr>
            <w:tcW w:type="dxa" w:w="482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Prevents false precision from small test sets.</w:t>
            </w:r>
          </w:p>
        </w:tc>
      </w:tr>
    </w:tbl>
    <w:p>
      <w:pPr>
        <w:spacing w:after="0"/>
      </w:pPr>
    </w:p>
    <w:p>
      <w:pPr>
        <w:pStyle w:val="Heading1"/>
      </w:pPr>
      <w:r>
        <w:t>10.6 Error Analysis and False-LOW Review</w:t>
      </w:r>
    </w:p>
    <w:p>
      <w:r>
        <w:t>Every false-LOW case shall receive structured review because it represents the most safety-sensitive model error. Review must determine whether the failure arose from data quality, label quality, feature omission, population mismatch, model behavior, integration error, or an inadequacy in the deterministic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Review Field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Required Record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Case identifier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De-identified traceable ID linked to the frozen evaluation set.</w:t>
            </w:r>
          </w:p>
        </w:tc>
      </w:tr>
      <w:tr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Reference label and basis</w:t>
            </w:r>
          </w:p>
        </w:tc>
        <w:tc>
          <w:tcPr>
            <w:tcW w:type="dxa" w:w="77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The expected HIGH determination and the evidence used to assign it.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Model output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Predicted class, score if available, model version, and feature vector.</w:t>
            </w:r>
          </w:p>
        </w:tc>
      </w:tr>
      <w:tr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Rule outcome</w:t>
            </w:r>
          </w:p>
        </w:tc>
        <w:tc>
          <w:tcPr>
            <w:tcW w:type="dxa" w:w="77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Rules evaluated, rules triggered, and final decision path.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Root-cause category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Data, label, model, rule, integration, workflow, or unresolved.</w:t>
            </w:r>
          </w:p>
        </w:tc>
      </w:tr>
      <w:tr>
        <w:tc>
          <w:tcPr>
            <w:tcW w:type="dxa" w:w="230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Corrective action</w:t>
            </w:r>
          </w:p>
        </w:tc>
        <w:tc>
          <w:tcPr>
            <w:tcW w:type="dxa" w:w="777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No action, data correction, rule revision, retraining proposal, usability change, or deployment block.</w:t>
            </w:r>
          </w:p>
        </w:tc>
      </w:tr>
    </w:tbl>
    <w:p>
      <w:pPr>
        <w:spacing w:after="0"/>
      </w:pPr>
    </w:p>
    <w:p>
      <w:pPr>
        <w:pStyle w:val="Heading1"/>
      </w:pPr>
      <w:r>
        <w:t>10.7 Deterministic Decision Engine Verification</w:t>
      </w:r>
    </w:p>
    <w:p>
      <w:r>
        <w:t>The decision engine shall be tested independently of the model by using a complete decision table and automated scenario fixtures.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Expected Final State</w:t>
            </w:r>
          </w:p>
        </w:tc>
        <w:tc>
          <w:tcPr>
            <w:tcW w:type="dxa" w:w="4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Essential Verification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Any required record missing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ASSESSMENT INCOMPLETE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No LOW result may be emitted, even if the model returns LOW.</w:t>
            </w:r>
          </w:p>
        </w:tc>
      </w:tr>
      <w:tr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ML output invalid, empty, timeout, or error text</w:t>
            </w:r>
          </w:p>
        </w:tc>
        <w:tc>
          <w:tcPr>
            <w:tcW w:type="dxa" w:w="216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ASSESSMENT INCOMPLETE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Failure is visible and does not silently default to LOW.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Age below 19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Rule reason is displayed and persists in the audit record.</w:t>
            </w:r>
          </w:p>
        </w:tc>
      </w:tr>
      <w:tr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Age 35 or older and first pregnancy</w:t>
            </w:r>
          </w:p>
        </w:tc>
        <w:tc>
          <w:tcPr>
            <w:tcW w:type="dxa" w:w="216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Both conditions must be true for this specific rule.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Blood pressure at least 140/90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Systolic or diastolic threshold logic is correctly implemented.</w:t>
            </w:r>
          </w:p>
        </w:tc>
      </w:tr>
      <w:tr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Blood pressure at least 160/110</w:t>
            </w:r>
          </w:p>
        </w:tc>
        <w:tc>
          <w:tcPr>
            <w:tcW w:type="dxa" w:w="216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 with urgent reason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Urgent wording is distinguishable from routine HIGH reasons.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Diabetes, anemia, previous CS, or miscarriages at least 3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Each trigger works separately and in combination.</w:t>
            </w:r>
          </w:p>
        </w:tc>
      </w:tr>
      <w:tr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Breech, transverse, or oblique presentation</w:t>
            </w:r>
          </w:p>
        </w:tc>
        <w:tc>
          <w:tcPr>
            <w:tcW w:type="dxa" w:w="216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Only supported structured findings trigger the rule.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Low/high amniotic fluid or weak/abnormal/absent heartbeat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Recorded abnormal findings override model LOW.</w:t>
            </w:r>
          </w:p>
        </w:tc>
      </w:tr>
      <w:tr>
        <w:tc>
          <w:tcPr>
            <w:tcW w:type="dxa" w:w="345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All required records present, no rule trigger, ML LOW</w:t>
            </w:r>
          </w:p>
        </w:tc>
        <w:tc>
          <w:tcPr>
            <w:tcW w:type="dxa" w:w="216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LOW</w:t>
            </w:r>
          </w:p>
        </w:tc>
        <w:tc>
          <w:tcPr>
            <w:tcW w:type="dxa" w:w="44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LOW is possible only when every required precondition is satisfied.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ML HIGH with no rule trigger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HIGH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Model HIGH is retained by the final decision engine.</w:t>
            </w:r>
          </w:p>
        </w:tc>
      </w:tr>
    </w:tbl>
    <w:p>
      <w:pPr>
        <w:spacing w:after="0"/>
      </w:pPr>
    </w:p>
    <w:p>
      <w:pPr>
        <w:pStyle w:val="Heading1"/>
      </w:pPr>
      <w:r>
        <w:t>10.8 Integration and Failure-Mode Verification</w:t>
      </w:r>
    </w:p>
    <w:p>
      <w:pPr>
        <w:pStyle w:val="ListBullet"/>
        <w:spacing w:after="40"/>
      </w:pPr>
      <w:r>
        <w:t>Verify the configured Python executable, script path, model path, environment permissions, and production-safe command construction.</w:t>
      </w:r>
    </w:p>
    <w:p>
      <w:pPr>
        <w:pStyle w:val="ListBullet"/>
        <w:spacing w:after="40"/>
      </w:pPr>
      <w:r>
        <w:t>Test valid LOW and HIGH responses, invalid text, malformed JSON if JSON is used, nonzero exit status, missing model file, timeout, and unavailable Python runtime.</w:t>
      </w:r>
    </w:p>
    <w:p>
      <w:pPr>
        <w:pStyle w:val="ListBullet"/>
        <w:spacing w:after="40"/>
      </w:pPr>
      <w:r>
        <w:t>Verify that only the exact accepted model states are parsed; diagnostic text must never be interpreted as a valid clinical prediction.</w:t>
      </w:r>
    </w:p>
    <w:p>
      <w:pPr>
        <w:pStyle w:val="ListBullet"/>
        <w:spacing w:after="40"/>
      </w:pPr>
      <w:r>
        <w:t>Confirm automatic recalculation after relevant medical history, birth plan, or ultrasound updates.</w:t>
      </w:r>
    </w:p>
    <w:p>
      <w:pPr>
        <w:pStyle w:val="ListBullet"/>
        <w:spacing w:after="40"/>
      </w:pPr>
      <w:r>
        <w:t>Confirm delivered-patient records are read-only and cannot be silently reassessed as an active pregnancy.</w:t>
      </w:r>
    </w:p>
    <w:p>
      <w:pPr>
        <w:pStyle w:val="ListBullet"/>
        <w:spacing w:after="40"/>
      </w:pPr>
      <w:r>
        <w:t>Inspect audit logs for actor, timestamp, patient/visit identifier, input snapshot or trace reference, model version, rule version, output, reasons, and failure details.</w:t>
      </w:r>
    </w:p>
    <w:p>
      <w:pPr>
        <w:pStyle w:val="Heading1"/>
      </w:pPr>
      <w:r>
        <w:t>10.9 Clinical Scenario and Workflow Validation</w:t>
      </w:r>
    </w:p>
    <w:p>
      <w:pPr>
        <w:pStyle w:val="ListNumber"/>
        <w:spacing w:after="40"/>
      </w:pPr>
      <w:r>
        <w:t>Prepare representative scenarios covering uncomplicated LOW cases, single-rule HIGH cases, multiple simultaneous risks, urgent blood pressure, incomplete records, invalid model output, referral acceptance, and referral refusal.</w:t>
      </w:r>
    </w:p>
    <w:p>
      <w:pPr>
        <w:pStyle w:val="ListNumber"/>
        <w:spacing w:after="40"/>
      </w:pPr>
      <w:r>
        <w:t>Ask intended users to enter or review the scenario using the real interface without coaching beyond normal training.</w:t>
      </w:r>
    </w:p>
    <w:p>
      <w:pPr>
        <w:pStyle w:val="ListNumber"/>
        <w:spacing w:after="40"/>
      </w:pPr>
      <w:r>
        <w:t>Measure whether the user correctly identifies the final state, understands the reasons, recognizes that the tool is not a diagnosis, and selects the appropriate next action.</w:t>
      </w:r>
    </w:p>
    <w:p>
      <w:pPr>
        <w:pStyle w:val="ListNumber"/>
        <w:spacing w:after="40"/>
      </w:pPr>
      <w:r>
        <w:t>Record navigation errors, ambiguous labels, delayed actions, overreliance, disagreement handling, and documentation gaps.</w:t>
      </w:r>
    </w:p>
    <w:p>
      <w:pPr>
        <w:pStyle w:val="ListNumber"/>
        <w:spacing w:after="40"/>
      </w:pPr>
      <w:r>
        <w:t>Revise the interface or workflow and repeat validation when critical comprehension or action errors are found.</w:t>
      </w:r>
    </w:p>
    <w:p>
      <w:pPr>
        <w:pStyle w:val="Heading1"/>
      </w:pPr>
      <w:r>
        <w:t>10.10 Subgroup, Robustness, and Stress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 Domain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9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Expectation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Subgroups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Age bands, parity, previous CS, diabetes/anemia status, and other groups supported by sample size.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Report metrics with uncertainty; investigate clinically meaningful performance gaps.</w:t>
            </w:r>
          </w:p>
        </w:tc>
      </w:tr>
      <w:tr>
        <w:tc>
          <w:tcPr>
            <w:tcW w:type="dxa" w:w="180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Boundary values</w:t>
            </w:r>
          </w:p>
        </w:tc>
        <w:tc>
          <w:tcPr>
            <w:tcW w:type="dxa" w:w="432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Ages 18/19 and 34/35; BP 139/89, 140/90, 159/109, 160/110; miscarriages 2/3.</w:t>
            </w:r>
          </w:p>
        </w:tc>
        <w:tc>
          <w:tcPr>
            <w:tcW w:type="dxa" w:w="396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Exact expected classification and reason at every boundary.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Missingness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One missing record, missing individual feature, empty strings, nulls, and unknown categories.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Fail-safe behavior; never silent imputation that changes safety state unless validated.</w:t>
            </w:r>
          </w:p>
        </w:tc>
      </w:tr>
      <w:tr>
        <w:tc>
          <w:tcPr>
            <w:tcW w:type="dxa" w:w="180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Combined risks</w:t>
            </w:r>
          </w:p>
        </w:tc>
        <w:tc>
          <w:tcPr>
            <w:tcW w:type="dxa" w:w="432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Multiple rules plus ML LOW or HIGH.</w:t>
            </w:r>
          </w:p>
        </w:tc>
        <w:tc>
          <w:tcPr>
            <w:tcW w:type="dxa" w:w="396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All applicable reasons preserved; HIGH overrides LOW.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Load and reliability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Repeated assessments, concurrent users, process timeouts, log growth.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Acceptable response time and no cross-patient data leakage.</w:t>
            </w:r>
          </w:p>
        </w:tc>
      </w:tr>
      <w:tr>
        <w:tc>
          <w:tcPr>
            <w:tcW w:type="dxa" w:w="180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Version mismatch</w:t>
            </w:r>
          </w:p>
        </w:tc>
        <w:tc>
          <w:tcPr>
            <w:tcW w:type="dxa" w:w="432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New feature schema with old model or old script with new Laravel payload.</w:t>
            </w:r>
          </w:p>
        </w:tc>
        <w:tc>
          <w:tcPr>
            <w:tcW w:type="dxa" w:w="396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Controlled failure to ASSESSMENT INCOMPLETE and explicit technical log.</w:t>
            </w:r>
          </w:p>
        </w:tc>
      </w:tr>
    </w:tbl>
    <w:p>
      <w:pPr>
        <w:spacing w:after="0"/>
      </w:pPr>
    </w:p>
    <w:p>
      <w:pPr>
        <w:pStyle w:val="Heading1"/>
      </w:pPr>
      <w:r>
        <w:t>10.11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80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Minimum Evidence Before Approval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Data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Dataset review complete; no unresolved critical quality or leakage issue.</w:t>
            </w:r>
          </w:p>
        </w:tc>
      </w:tr>
      <w:tr>
        <w:tc>
          <w:tcPr>
            <w:tcW w:type="dxa" w:w="201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Model</w:t>
            </w:r>
          </w:p>
        </w:tc>
        <w:tc>
          <w:tcPr>
            <w:tcW w:type="dxa" w:w="80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Independent test metrics, confidence intervals, calibration assessment, subgroup review, and false-LOW case analysis documented.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Rules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All decision-table cases and boundary tests pass.</w:t>
            </w:r>
          </w:p>
        </w:tc>
      </w:tr>
      <w:tr>
        <w:tc>
          <w:tcPr>
            <w:tcW w:type="dxa" w:w="201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Integration</w:t>
            </w:r>
          </w:p>
        </w:tc>
        <w:tc>
          <w:tcPr>
            <w:tcW w:type="dxa" w:w="80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Valid and failure responses handled correctly; no pathway silently defaults to LOW.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Security and privacy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Access controls, secret handling, logs, retention, and de-identification reviewed.</w:t>
            </w:r>
          </w:p>
        </w:tc>
      </w:tr>
      <w:tr>
        <w:tc>
          <w:tcPr>
            <w:tcW w:type="dxa" w:w="201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Usability</w:t>
            </w:r>
          </w:p>
        </w:tc>
        <w:tc>
          <w:tcPr>
            <w:tcW w:type="dxa" w:w="80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Intended users correctly interpret HIGH, LOW, and ASSESSMENT INCOMPLETE and know escalation limits.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Clinical governance</w:t>
            </w:r>
          </w:p>
        </w:tc>
        <w:tc>
          <w:tcPr>
            <w:tcW w:type="dxa" w:w="80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Authorized reviewer signs the intended use, limitations, referral wording, and residual-risk statement.</w:t>
            </w:r>
          </w:p>
        </w:tc>
      </w:tr>
      <w:tr>
        <w:tc>
          <w:tcPr>
            <w:tcW w:type="dxa" w:w="2016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Deployment</w:t>
            </w:r>
          </w:p>
        </w:tc>
        <w:tc>
          <w:tcPr>
            <w:tcW w:type="dxa" w:w="806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6"/>
              </w:rPr>
              <w:t>Rollback package, version manifest, monitoring plan, and incident owner are 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10.12 Required Validation Package</w:t>
      </w:r>
    </w:p>
    <w:p>
      <w:pPr>
        <w:pStyle w:val="ListBullet"/>
        <w:spacing w:after="40"/>
      </w:pPr>
      <w:r>
        <w:t>Validation plan and protocol; traceability matrix; data dictionary and dataset report; partition manifest.</w:t>
      </w:r>
    </w:p>
    <w:p>
      <w:pPr>
        <w:pStyle w:val="ListBullet"/>
        <w:spacing w:after="40"/>
      </w:pPr>
      <w:r>
        <w:t>Training configuration, model artifact checksum, model card, and test-set evaluation report.</w:t>
      </w:r>
    </w:p>
    <w:p>
      <w:pPr>
        <w:pStyle w:val="ListBullet"/>
        <w:spacing w:after="40"/>
      </w:pPr>
      <w:r>
        <w:t>Rule specification, automated test results, clinical scenario results, and false-LOW review log.</w:t>
      </w:r>
    </w:p>
    <w:p>
      <w:pPr>
        <w:pStyle w:val="ListBullet"/>
        <w:spacing w:after="40"/>
      </w:pPr>
      <w:r>
        <w:t>Laravel-Python interface contract, integration test evidence, security review, and deployment checklist.</w:t>
      </w:r>
    </w:p>
    <w:p>
      <w:pPr>
        <w:pStyle w:val="ListBullet"/>
        <w:spacing w:after="40"/>
      </w:pPr>
      <w:r>
        <w:t>Usability findings, training materials, known limitations, residual risks, approvals, and release decision.</w:t>
      </w:r>
    </w:p>
    <w:p>
      <w:pPr>
        <w:pStyle w:val="Heading1"/>
      </w:pPr>
      <w:r>
        <w:t>10.13 Traceability Matrix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5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Hazard / Rationale</w:t>
            </w:r>
          </w:p>
        </w:tc>
        <w:tc>
          <w:tcPr>
            <w:tcW w:type="dxa" w:w="187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Verification Method</w:t>
            </w:r>
          </w:p>
        </w:tc>
        <w:tc>
          <w:tcPr>
            <w:tcW w:type="dxa" w:w="17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0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V-001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Missing required records produce ASSESSMENT INCOMPLETE.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Prevents unsupported LOW classification.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Automated scenario test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Test report reference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Pass/Fail</w:t>
            </w:r>
          </w:p>
        </w:tc>
      </w:tr>
      <w:tr>
        <w:tc>
          <w:tcPr>
            <w:tcW w:type="dxa" w:w="115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V-002</w:t>
            </w:r>
          </w:p>
        </w:tc>
        <w:tc>
          <w:tcPr>
            <w:tcW w:type="dxa" w:w="302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Rule-based HIGH overrides model LOW.</w:t>
            </w:r>
          </w:p>
        </w:tc>
        <w:tc>
          <w:tcPr>
            <w:tcW w:type="dxa" w:w="259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Prevents model from suppressing known risk.</w:t>
            </w:r>
          </w:p>
        </w:tc>
        <w:tc>
          <w:tcPr>
            <w:tcW w:type="dxa" w:w="187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Unit and integration tests</w:t>
            </w:r>
          </w:p>
        </w:tc>
        <w:tc>
          <w:tcPr>
            <w:tcW w:type="dxa" w:w="172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Test report reference</w:t>
            </w:r>
          </w:p>
        </w:tc>
        <w:tc>
          <w:tcPr>
            <w:tcW w:type="dxa" w:w="100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Pass/Fail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V-003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Invalid Python output cannot be parsed as LOW.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Prevents silent false reassurance.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Failure-injection test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Log and screenshot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Pass/Fail</w:t>
            </w:r>
          </w:p>
        </w:tc>
      </w:tr>
      <w:tr>
        <w:tc>
          <w:tcPr>
            <w:tcW w:type="dxa" w:w="115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V-004</w:t>
            </w:r>
          </w:p>
        </w:tc>
        <w:tc>
          <w:tcPr>
            <w:tcW w:type="dxa" w:w="3024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Displayed reasons match the actual decision path.</w:t>
            </w:r>
          </w:p>
        </w:tc>
        <w:tc>
          <w:tcPr>
            <w:tcW w:type="dxa" w:w="259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Supports explainability and correct action.</w:t>
            </w:r>
          </w:p>
        </w:tc>
        <w:tc>
          <w:tcPr>
            <w:tcW w:type="dxa" w:w="1872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UI and audit comparison</w:t>
            </w:r>
          </w:p>
        </w:tc>
        <w:tc>
          <w:tcPr>
            <w:tcW w:type="dxa" w:w="172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Validation record</w:t>
            </w:r>
          </w:p>
        </w:tc>
        <w:tc>
          <w:tcPr>
            <w:tcW w:type="dxa" w:w="1008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1F1F1F"/>
                <w:sz w:val="15"/>
              </w:rPr>
              <w:t>Pass/Fail</w:t>
            </w:r>
          </w:p>
        </w:tc>
      </w:tr>
    </w:tbl>
    <w:p>
      <w:pPr>
        <w:spacing w:after="0"/>
      </w:pPr>
    </w:p>
    <w:p>
      <w:pPr>
        <w:pStyle w:val="Heading1"/>
      </w:pPr>
      <w:r>
        <w:t>10.14 Conclusion</w:t>
      </w:r>
    </w:p>
    <w:p>
      <w:r>
        <w:t>The CDSS is acceptable only when evidence supports the complete system and workflow. Approval of the Random Forest in isolation is insufficient. The decisive safety properties are fail-safe incomplete handling, deterministic rule precedence, transparent reasons, dependable integration, appropriate user understanding, and controlled referral support.</w:t>
      </w:r>
    </w:p>
    <w:p>
      <w:pPr>
        <w:pStyle w:val="Heading1"/>
      </w:pPr>
      <w:r>
        <w:t>References</w:t>
      </w:r>
    </w:p>
    <w:p>
      <w:pPr>
        <w:spacing w:after="60"/>
        <w:ind w:hanging="317" w:left="317"/>
      </w:pPr>
      <w:r>
        <w:t>World Health Organization. (2021). Ethics and governance of artificial intelligence for health: WHO guidance.</w:t>
      </w:r>
    </w:p>
    <w:p>
      <w:pPr>
        <w:spacing w:after="60"/>
        <w:ind w:hanging="317" w:left="317"/>
      </w:pPr>
      <w:r>
        <w:t>National Institute of Standards and Technology. (2023). Artificial Intelligence Risk Management Framework (AI RMF 1.0), NIST AI 100-1.</w:t>
      </w:r>
    </w:p>
    <w:p>
      <w:pPr>
        <w:spacing w:after="60"/>
        <w:ind w:hanging="317" w:left="317"/>
      </w:pPr>
      <w:r>
        <w:t>International Medical Device Regulators Forum. (2025). Good Machine Learning Practice for Medical Device Development: Guiding Principles.</w:t>
      </w:r>
    </w:p>
    <w:p>
      <w:pPr>
        <w:spacing w:after="60"/>
        <w:ind w:hanging="317" w:left="317"/>
      </w:pPr>
      <w:r>
        <w:t>U.S. Food and Drug Administration, Health Canada, and MHRA. (2024). Transparency for Machine Learning-Enabled Medical Devices: Guiding Principles.</w:t>
      </w:r>
    </w:p>
    <w:p>
      <w:pPr>
        <w:spacing w:after="60"/>
        <w:ind w:hanging="317" w:left="317"/>
      </w:pPr>
      <w:r>
        <w:t>U.S. Food and Drug Administration, Health Canada, and MHRA. Predetermined Change Control Plans for Machine Learning-Enabled Medical Devices: Guiding Principles.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2F5597"/>
        <w:sz w:val="16"/>
      </w:rPr>
      <w:t>DOCUMENT 3 | PART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2F559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00"/>
      <w:ind w:left="216" w:right="216"/>
    </w:pPr>
    <w:rPr>
      <w:rFonts w:ascii="Aptos" w:hAnsi="Aptos" w:eastAsia="Aptos"/>
      <w:color w:val="1F1F1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