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2F75B5"/>
          <w:sz w:val="26"/>
        </w:rPr>
        <w:t>DOCUMENT 4</w:t>
      </w:r>
    </w:p>
    <w:p>
      <w:pPr>
        <w:pStyle w:val="Title"/>
        <w:jc w:val="center"/>
      </w:pPr>
      <w:r>
        <w:t>Clinical Evidence Specification</w:t>
      </w:r>
    </w:p>
    <w:p>
      <w:pPr>
        <w:jc w:val="center"/>
      </w:pPr>
      <w:r>
        <w:rPr>
          <w:b/>
          <w:color w:val="17365D"/>
          <w:sz w:val="36"/>
        </w:rPr>
        <w:t>PART 6</w:t>
      </w:r>
    </w:p>
    <w:p>
      <w:pPr>
        <w:pStyle w:val="Title"/>
        <w:jc w:val="center"/>
      </w:pPr>
      <w:r>
        <w:t>Recurrent Miscarriage</w:t>
      </w:r>
    </w:p>
    <w:p>
      <w:pPr>
        <w:pStyle w:val="Subtitle"/>
        <w:jc w:val="center"/>
      </w:pPr>
      <w:r>
        <w:t>Definition Differences, Referral Logic, Explainability,</w:t>
        <w:br/>
        <w:t>Safety Boundaries, Validation, and Philippine Context</w:t>
      </w:r>
    </w:p>
    <w:p/>
    <w:tbl>
      <w:tblPr>
        <w:tblW w:type="auto" w:w="0"/>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bottom w:w="110" w:type="dxa"/>
              <w:start w:w="120" w:type="dxa"/>
              <w:end w:w="120" w:type="dxa"/>
            </w:tcMar>
          </w:tcPr>
          <w:p>
            <w:pPr>
              <w:pStyle w:val="Callout"/>
            </w:pPr>
            <w:r/>
            <w:r>
              <w:rPr>
                <w:b/>
                <w:color w:val="C00000"/>
              </w:rPr>
              <w:t>Clinical rule documented in this chapter</w:t>
              <w:br/>
            </w:r>
            <w:r>
              <w:t>A recorded history of three or more miscarriages activates the project CDSS deterministic HIGH-risk rule. The rule supports specialist review, supportive antenatal care, and referral planning. It does not diagnose the cause of pregnancy loss, predict that the current pregnancy will miscarry, or prescribe investigations or treatment.</w:t>
            </w:r>
          </w:p>
        </w:tc>
      </w:tr>
    </w:tbl>
    <w:p>
      <w:pPr>
        <w:spacing w:after="20"/>
      </w:pPr>
    </w:p>
    <w:p>
      <w:pPr>
        <w:spacing w:before="52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Rewritten evidence specification | July 2026</w:t>
      </w:r>
    </w:p>
    <w:p>
      <w:r>
        <w:br w:type="page"/>
      </w:r>
    </w:p>
    <w:p>
      <w:pPr>
        <w:pStyle w:val="Heading1"/>
      </w:pPr>
      <w:r>
        <w:t>Executive Summary</w:t>
      </w:r>
    </w:p>
    <w:p>
      <w:r>
        <w:t>Recurrent pregnancy loss is an important reproductive-health condition requiring careful history, investigation when appropriate, individualized management, and psychological support. Definitions differ across professional organizations. ACOG, ESHRE, ASRM, and several newer guidelines use two or more pregnancy losses, while the 2023 RCOG Green-top Guideline continues to define recurrent miscarriage as three or more first-trimester miscarriages, with discretion to investigate after two when a pathological pattern is suspected.</w:t>
      </w:r>
    </w:p>
    <w:p>
      <w:r>
        <w:t>The project's implemented threshold of miscarriage count &gt;=3 aligns with the formal RCOG definition and with the 2021 Philippine Obstetrical and Gynecological Society clinical practice guideline title and scope for recurrent pregnancy loss. However, the threshold must be documented as a project configuration rather than a universal definition. A patient with two losses may already qualify for evaluation under ACOG, ESHRE, ASRM, and other guidance, so the CDSS must not imply that fewer than three losses are clinically unimportant.</w:t>
      </w:r>
    </w:p>
    <w:tbl>
      <w:tblPr>
        <w:tblW w:type="auto" w:w="0"/>
        <w:tblLook w:firstColumn="1" w:firstRow="1" w:lastColumn="0" w:lastRow="0" w:noHBand="0" w:noVBand="1" w:val="04A0"/>
      </w:tblPr>
      <w:tblGrid>
        <w:gridCol w:w="10080"/>
      </w:tblGrid>
      <w:tr>
        <w:tc>
          <w:tcPr>
            <w:tcW w:type="dxa" w:w="10080"/>
            <w:shd w:fill="FFF2CC"/>
            <w:tcBorders>
              <w:top w:val="single" w:sz="8" w:color="BF9000"/>
              <w:left w:val="single" w:sz="8" w:color="BF9000"/>
              <w:bottom w:val="single" w:sz="8" w:color="BF9000"/>
              <w:right w:val="single" w:sz="8" w:color="BF9000"/>
            </w:tcBorders>
            <w:tcMar>
              <w:top w:w="110" w:type="dxa"/>
              <w:bottom w:w="110" w:type="dxa"/>
              <w:start w:w="120" w:type="dxa"/>
              <w:end w:w="120" w:type="dxa"/>
            </w:tcMar>
          </w:tcPr>
          <w:p>
            <w:pPr>
              <w:pStyle w:val="Callout"/>
            </w:pPr>
            <w:r/>
            <w:r>
              <w:rPr>
                <w:b/>
                <w:color w:val="BF9000"/>
              </w:rPr>
              <w:t>Core academic distinction</w:t>
              <w:br/>
            </w:r>
            <w:r>
              <w:t>The rule 'miscarriage count &gt;=3 = HIGH' is defensible as a conservative implemented threshold aligned with RCOG's three-loss definition, but it is not the only accepted international definition. The documentation must explicitly acknowledge the two-loss definitions used by ACOG, ESHRE, ASRM, and others.</w:t>
            </w:r>
          </w:p>
        </w:tc>
      </w:tr>
    </w:tbl>
    <w:p>
      <w:pPr>
        <w:spacing w:after="20"/>
      </w:pPr>
    </w:p>
    <w:p>
      <w:pPr>
        <w:pStyle w:val="Heading1"/>
      </w:pPr>
      <w:r>
        <w:t>1. Purpose and Scope</w:t>
      </w:r>
    </w:p>
    <w:p>
      <w:r>
        <w:t>This chapter documents the evidence, definition differences, system logic, explainability, clinical limitations, governance, and validation of the recurrent-miscarriage rule.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968"/>
            <w:vAlign w:val="center"/>
            <w:tcMar>
              <w:top w:w="70" w:type="dxa"/>
              <w:bottom w:w="70" w:type="dxa"/>
              <w:start w:w="80" w:type="dxa"/>
              <w:end w:w="80" w:type="dxa"/>
            </w:tcMar>
            <w:shd w:fill="17365D"/>
          </w:tcPr>
          <w:p>
            <w:pPr>
              <w:pStyle w:val="TableHeader"/>
            </w:pPr>
            <w:r/>
            <w:r>
              <w:rPr>
                <w:b/>
                <w:color w:val="FFFFFF"/>
              </w:rPr>
              <w:t>In scope</w:t>
            </w:r>
          </w:p>
        </w:tc>
        <w:tc>
          <w:tcPr>
            <w:tcW w:type="dxa" w:w="4968"/>
            <w:vAlign w:val="center"/>
            <w:tcMar>
              <w:top w:w="70" w:type="dxa"/>
              <w:bottom w:w="70" w:type="dxa"/>
              <w:start w:w="80" w:type="dxa"/>
              <w:end w:w="80" w:type="dxa"/>
            </w:tcMar>
            <w:shd w:fill="17365D"/>
          </w:tcPr>
          <w:p>
            <w:pPr>
              <w:pStyle w:val="TableHeader"/>
            </w:pPr>
            <w:r/>
            <w:r>
              <w:rPr>
                <w:b/>
                <w:color w:val="FFFFFF"/>
              </w:rPr>
              <w:t>Outside scope</w:t>
            </w:r>
          </w:p>
        </w:tc>
      </w:tr>
      <w:tr>
        <w:trPr>
          <w:cantSplit/>
        </w:trPr>
        <w:tc>
          <w:tcPr>
            <w:tcW w:type="dxa" w:w="4968"/>
            <w:vAlign w:val="center"/>
            <w:tcMar>
              <w:top w:w="70" w:type="dxa"/>
              <w:bottom w:w="70" w:type="dxa"/>
              <w:start w:w="80" w:type="dxa"/>
              <w:end w:w="80" w:type="dxa"/>
            </w:tcMar>
          </w:tcPr>
          <w:p>
            <w:pPr>
              <w:pStyle w:val="TableText"/>
            </w:pPr>
            <w:r/>
            <w:r>
              <w:rPr>
                <w:b w:val="0"/>
              </w:rPr>
              <w:t>Recognizing a recorded count of three or more miscarriages as requiring specialist assessment and supportive care.</w:t>
            </w:r>
          </w:p>
        </w:tc>
        <w:tc>
          <w:tcPr>
            <w:tcW w:type="dxa" w:w="4968"/>
            <w:vAlign w:val="center"/>
            <w:tcMar>
              <w:top w:w="70" w:type="dxa"/>
              <w:bottom w:w="70" w:type="dxa"/>
              <w:start w:w="80" w:type="dxa"/>
              <w:end w:w="80" w:type="dxa"/>
            </w:tcMar>
          </w:tcPr>
          <w:p>
            <w:pPr>
              <w:pStyle w:val="TableText"/>
            </w:pPr>
            <w:r/>
            <w:r>
              <w:rPr>
                <w:b w:val="0"/>
              </w:rPr>
              <w:t>Diagnosing recurrent pregnancy loss from an unverified count or classifying ectopic, molar, stillbirth, or neonatal loss as miscarriage.</w:t>
            </w:r>
          </w:p>
        </w:tc>
      </w:tr>
      <w:tr>
        <w:trPr>
          <w:cantSplit/>
        </w:trPr>
        <w:tc>
          <w:tcPr>
            <w:tcW w:type="dxa" w:w="4968"/>
            <w:vAlign w:val="center"/>
            <w:tcMar>
              <w:top w:w="70" w:type="dxa"/>
              <w:bottom w:w="70" w:type="dxa"/>
              <w:start w:w="80" w:type="dxa"/>
              <w:end w:w="80" w:type="dxa"/>
            </w:tcMar>
            <w:shd w:fill="EDF4FA"/>
          </w:tcPr>
          <w:p>
            <w:pPr>
              <w:pStyle w:val="TableText"/>
            </w:pPr>
            <w:r/>
            <w:r>
              <w:rPr>
                <w:b w:val="0"/>
              </w:rPr>
              <w:t>Explaining the project's threshold and its relationship to differing guidelines.</w:t>
            </w:r>
          </w:p>
        </w:tc>
        <w:tc>
          <w:tcPr>
            <w:tcW w:type="dxa" w:w="4968"/>
            <w:vAlign w:val="center"/>
            <w:tcMar>
              <w:top w:w="70" w:type="dxa"/>
              <w:bottom w:w="70" w:type="dxa"/>
              <w:start w:w="80" w:type="dxa"/>
              <w:end w:w="80" w:type="dxa"/>
            </w:tcMar>
            <w:shd w:fill="EDF4FA"/>
          </w:tcPr>
          <w:p>
            <w:pPr>
              <w:pStyle w:val="TableText"/>
            </w:pPr>
            <w:r/>
            <w:r>
              <w:rPr>
                <w:b w:val="0"/>
              </w:rPr>
              <w:t>Claiming that every organization defines recurrence as three losses.</w:t>
            </w:r>
          </w:p>
        </w:tc>
      </w:tr>
      <w:tr>
        <w:trPr>
          <w:cantSplit/>
        </w:trPr>
        <w:tc>
          <w:tcPr>
            <w:tcW w:type="dxa" w:w="4968"/>
            <w:vAlign w:val="center"/>
            <w:tcMar>
              <w:top w:w="70" w:type="dxa"/>
              <w:bottom w:w="70" w:type="dxa"/>
              <w:start w:w="80" w:type="dxa"/>
              <w:end w:w="80" w:type="dxa"/>
            </w:tcMar>
          </w:tcPr>
          <w:p>
            <w:pPr>
              <w:pStyle w:val="TableText"/>
            </w:pPr>
            <w:r/>
            <w:r>
              <w:rPr>
                <w:b w:val="0"/>
              </w:rPr>
              <w:t>Supporting referral, documentation, follow-up, and auditability.</w:t>
            </w:r>
          </w:p>
        </w:tc>
        <w:tc>
          <w:tcPr>
            <w:tcW w:type="dxa" w:w="4968"/>
            <w:vAlign w:val="center"/>
            <w:tcMar>
              <w:top w:w="70" w:type="dxa"/>
              <w:bottom w:w="70" w:type="dxa"/>
              <w:start w:w="80" w:type="dxa"/>
              <w:end w:w="80" w:type="dxa"/>
            </w:tcMar>
          </w:tcPr>
          <w:p>
            <w:pPr>
              <w:pStyle w:val="TableText"/>
            </w:pPr>
            <w:r/>
            <w:r>
              <w:rPr>
                <w:b w:val="0"/>
              </w:rPr>
              <w:t>Ordering genetic, endocrine, immune, thrombophilia, imaging, or other tests autonomously.</w:t>
            </w:r>
          </w:p>
        </w:tc>
      </w:tr>
      <w:tr>
        <w:trPr>
          <w:cantSplit/>
        </w:trPr>
        <w:tc>
          <w:tcPr>
            <w:tcW w:type="dxa" w:w="4968"/>
            <w:vAlign w:val="center"/>
            <w:tcMar>
              <w:top w:w="70" w:type="dxa"/>
              <w:bottom w:w="70" w:type="dxa"/>
              <w:start w:w="80" w:type="dxa"/>
              <w:end w:w="80" w:type="dxa"/>
            </w:tcMar>
            <w:shd w:fill="EDF4FA"/>
          </w:tcPr>
          <w:p>
            <w:pPr>
              <w:pStyle w:val="TableText"/>
            </w:pPr>
            <w:r/>
            <w:r>
              <w:rPr>
                <w:b w:val="0"/>
              </w:rPr>
              <w:t>Preventing a LOW ML result from overriding a major obstetric-history factor.</w:t>
            </w:r>
          </w:p>
        </w:tc>
        <w:tc>
          <w:tcPr>
            <w:tcW w:type="dxa" w:w="4968"/>
            <w:vAlign w:val="center"/>
            <w:tcMar>
              <w:top w:w="70" w:type="dxa"/>
              <w:bottom w:w="70" w:type="dxa"/>
              <w:start w:w="80" w:type="dxa"/>
              <w:end w:w="80" w:type="dxa"/>
            </w:tcMar>
            <w:shd w:fill="EDF4FA"/>
          </w:tcPr>
          <w:p>
            <w:pPr>
              <w:pStyle w:val="TableText"/>
            </w:pPr>
            <w:r/>
            <w:r>
              <w:rPr>
                <w:b w:val="0"/>
              </w:rPr>
              <w:t>Predicting the outcome of the current pregnancy or guaranteeing benefit from a specific treatment.</w:t>
            </w:r>
          </w:p>
        </w:tc>
      </w:tr>
    </w:tbl>
    <w:p>
      <w:pPr>
        <w:spacing w:after="20"/>
      </w:pPr>
    </w:p>
    <w:p>
      <w:pPr>
        <w:pStyle w:val="Heading1"/>
      </w:pPr>
      <w:r>
        <w:t>2. Implemented Project Rule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152"/>
            <w:vAlign w:val="center"/>
            <w:tcMar>
              <w:top w:w="70" w:type="dxa"/>
              <w:bottom w:w="70" w:type="dxa"/>
              <w:start w:w="80" w:type="dxa"/>
              <w:end w:w="80" w:type="dxa"/>
            </w:tcMar>
            <w:shd w:fill="17365D"/>
          </w:tcPr>
          <w:p>
            <w:pPr>
              <w:pStyle w:val="TableHeader"/>
            </w:pPr>
            <w:r/>
            <w:r>
              <w:rPr>
                <w:b/>
                <w:color w:val="FFFFFF"/>
              </w:rPr>
              <w:t>Rule ID</w:t>
            </w:r>
          </w:p>
        </w:tc>
        <w:tc>
          <w:tcPr>
            <w:tcW w:type="dxa" w:w="3312"/>
            <w:vAlign w:val="center"/>
            <w:tcMar>
              <w:top w:w="70" w:type="dxa"/>
              <w:bottom w:w="70" w:type="dxa"/>
              <w:start w:w="80" w:type="dxa"/>
              <w:end w:w="80" w:type="dxa"/>
            </w:tcMar>
            <w:shd w:fill="17365D"/>
          </w:tcPr>
          <w:p>
            <w:pPr>
              <w:pStyle w:val="TableHeader"/>
            </w:pPr>
            <w:r/>
            <w:r>
              <w:rPr>
                <w:b/>
                <w:color w:val="FFFFFF"/>
              </w:rPr>
              <w:t>Input condition</w:t>
            </w:r>
          </w:p>
        </w:tc>
        <w:tc>
          <w:tcPr>
            <w:tcW w:type="dxa" w:w="2232"/>
            <w:vAlign w:val="center"/>
            <w:tcMar>
              <w:top w:w="70" w:type="dxa"/>
              <w:bottom w:w="70" w:type="dxa"/>
              <w:start w:w="80" w:type="dxa"/>
              <w:end w:w="80" w:type="dxa"/>
            </w:tcMar>
            <w:shd w:fill="17365D"/>
          </w:tcPr>
          <w:p>
            <w:pPr>
              <w:pStyle w:val="TableHeader"/>
            </w:pPr>
            <w:r/>
            <w:r>
              <w:rPr>
                <w:b/>
                <w:color w:val="FFFFFF"/>
              </w:rPr>
              <w:t>CDSS output</w:t>
            </w:r>
          </w:p>
        </w:tc>
        <w:tc>
          <w:tcPr>
            <w:tcW w:type="dxa" w:w="3888"/>
            <w:vAlign w:val="center"/>
            <w:tcMar>
              <w:top w:w="70" w:type="dxa"/>
              <w:bottom w:w="70" w:type="dxa"/>
              <w:start w:w="80" w:type="dxa"/>
              <w:end w:w="80" w:type="dxa"/>
            </w:tcMar>
            <w:shd w:fill="17365D"/>
          </w:tcPr>
          <w:p>
            <w:pPr>
              <w:pStyle w:val="TableHeader"/>
            </w:pPr>
            <w:r/>
            <w:r>
              <w:rPr>
                <w:b/>
                <w:color w:val="FFFFFF"/>
              </w:rPr>
              <w:t>Meaning</w:t>
            </w:r>
          </w:p>
        </w:tc>
      </w:tr>
      <w:tr>
        <w:trPr>
          <w:cantSplit/>
        </w:trPr>
        <w:tc>
          <w:tcPr>
            <w:tcW w:type="dxa" w:w="1152"/>
            <w:vAlign w:val="center"/>
            <w:tcMar>
              <w:top w:w="70" w:type="dxa"/>
              <w:bottom w:w="70" w:type="dxa"/>
              <w:start w:w="80" w:type="dxa"/>
              <w:end w:w="80" w:type="dxa"/>
            </w:tcMar>
          </w:tcPr>
          <w:p>
            <w:pPr>
              <w:pStyle w:val="TableText"/>
            </w:pPr>
            <w:r/>
            <w:r>
              <w:rPr>
                <w:b w:val="0"/>
              </w:rPr>
              <w:t>RM-03</w:t>
            </w:r>
          </w:p>
        </w:tc>
        <w:tc>
          <w:tcPr>
            <w:tcW w:type="dxa" w:w="3312"/>
            <w:vAlign w:val="center"/>
            <w:tcMar>
              <w:top w:w="70" w:type="dxa"/>
              <w:bottom w:w="70" w:type="dxa"/>
              <w:start w:w="80" w:type="dxa"/>
              <w:end w:w="80" w:type="dxa"/>
            </w:tcMar>
          </w:tcPr>
          <w:p>
            <w:pPr>
              <w:pStyle w:val="TableText"/>
            </w:pPr>
            <w:r/>
            <w:r>
              <w:rPr>
                <w:b w:val="0"/>
              </w:rPr>
              <w:t>Recorded miscarriage count is 3 or more.</w:t>
            </w:r>
          </w:p>
        </w:tc>
        <w:tc>
          <w:tcPr>
            <w:tcW w:type="dxa" w:w="2232"/>
            <w:vAlign w:val="center"/>
            <w:tcMar>
              <w:top w:w="70" w:type="dxa"/>
              <w:bottom w:w="70" w:type="dxa"/>
              <w:start w:w="80" w:type="dxa"/>
              <w:end w:w="80" w:type="dxa"/>
            </w:tcMar>
          </w:tcPr>
          <w:p>
            <w:pPr>
              <w:pStyle w:val="TableText"/>
            </w:pPr>
            <w:r/>
            <w:r>
              <w:rPr>
                <w:b w:val="0"/>
              </w:rPr>
              <w:t>HIGH</w:t>
            </w:r>
          </w:p>
        </w:tc>
        <w:tc>
          <w:tcPr>
            <w:tcW w:type="dxa" w:w="3888"/>
            <w:vAlign w:val="center"/>
            <w:tcMar>
              <w:top w:w="70" w:type="dxa"/>
              <w:bottom w:w="70" w:type="dxa"/>
              <w:start w:w="80" w:type="dxa"/>
              <w:end w:w="80" w:type="dxa"/>
            </w:tcMar>
          </w:tcPr>
          <w:p>
            <w:pPr>
              <w:pStyle w:val="TableText"/>
            </w:pPr>
            <w:r/>
            <w:r>
              <w:rPr>
                <w:b w:val="0"/>
              </w:rPr>
              <w:t>Prompt specialist review, supportive antenatal follow-up, and referral planning.</w:t>
            </w:r>
          </w:p>
        </w:tc>
      </w:tr>
      <w:tr>
        <w:trPr>
          <w:cantSplit/>
        </w:trPr>
        <w:tc>
          <w:tcPr>
            <w:tcW w:type="dxa" w:w="1152"/>
            <w:vAlign w:val="center"/>
            <w:tcMar>
              <w:top w:w="70" w:type="dxa"/>
              <w:bottom w:w="70" w:type="dxa"/>
              <w:start w:w="80" w:type="dxa"/>
              <w:end w:w="80" w:type="dxa"/>
            </w:tcMar>
            <w:shd w:fill="EDF4FA"/>
          </w:tcPr>
          <w:p>
            <w:pPr>
              <w:pStyle w:val="TableText"/>
            </w:pPr>
            <w:r/>
            <w:r>
              <w:rPr>
                <w:b w:val="0"/>
              </w:rPr>
              <w:t>RM-02</w:t>
            </w:r>
          </w:p>
        </w:tc>
        <w:tc>
          <w:tcPr>
            <w:tcW w:type="dxa" w:w="3312"/>
            <w:vAlign w:val="center"/>
            <w:tcMar>
              <w:top w:w="70" w:type="dxa"/>
              <w:bottom w:w="70" w:type="dxa"/>
              <w:start w:w="80" w:type="dxa"/>
              <w:end w:w="80" w:type="dxa"/>
            </w:tcMar>
            <w:shd w:fill="EDF4FA"/>
          </w:tcPr>
          <w:p>
            <w:pPr>
              <w:pStyle w:val="TableText"/>
            </w:pPr>
            <w:r/>
            <w:r>
              <w:rPr>
                <w:b w:val="0"/>
              </w:rPr>
              <w:t>Recorded miscarriage count is 2.</w:t>
            </w:r>
          </w:p>
        </w:tc>
        <w:tc>
          <w:tcPr>
            <w:tcW w:type="dxa" w:w="2232"/>
            <w:vAlign w:val="center"/>
            <w:tcMar>
              <w:top w:w="70" w:type="dxa"/>
              <w:bottom w:w="70" w:type="dxa"/>
              <w:start w:w="80" w:type="dxa"/>
              <w:end w:w="80" w:type="dxa"/>
            </w:tcMar>
            <w:shd w:fill="EDF4FA"/>
          </w:tcPr>
          <w:p>
            <w:pPr>
              <w:pStyle w:val="TableText"/>
            </w:pPr>
            <w:r/>
            <w:r>
              <w:rPr>
                <w:b w:val="0"/>
              </w:rPr>
              <w:t>No automatic RM-03 override in current implementation</w:t>
            </w:r>
          </w:p>
        </w:tc>
        <w:tc>
          <w:tcPr>
            <w:tcW w:type="dxa" w:w="3888"/>
            <w:vAlign w:val="center"/>
            <w:tcMar>
              <w:top w:w="70" w:type="dxa"/>
              <w:bottom w:w="70" w:type="dxa"/>
              <w:start w:w="80" w:type="dxa"/>
              <w:end w:w="80" w:type="dxa"/>
            </w:tcMar>
            <w:shd w:fill="EDF4FA"/>
          </w:tcPr>
          <w:p>
            <w:pPr>
              <w:pStyle w:val="TableText"/>
            </w:pPr>
            <w:r/>
            <w:r>
              <w:rPr>
                <w:b w:val="0"/>
              </w:rPr>
              <w:t>Display history clearly and advise clinical review because several guidelines define recurrent loss from two losses.</w:t>
            </w:r>
          </w:p>
        </w:tc>
      </w:tr>
      <w:tr>
        <w:trPr>
          <w:cantSplit/>
        </w:trPr>
        <w:tc>
          <w:tcPr>
            <w:tcW w:type="dxa" w:w="1152"/>
            <w:vAlign w:val="center"/>
            <w:tcMar>
              <w:top w:w="70" w:type="dxa"/>
              <w:bottom w:w="70" w:type="dxa"/>
              <w:start w:w="80" w:type="dxa"/>
              <w:end w:w="80" w:type="dxa"/>
            </w:tcMar>
          </w:tcPr>
          <w:p>
            <w:pPr>
              <w:pStyle w:val="TableText"/>
            </w:pPr>
            <w:r/>
            <w:r>
              <w:rPr>
                <w:b w:val="0"/>
              </w:rPr>
              <w:t>RM-00</w:t>
            </w:r>
          </w:p>
        </w:tc>
        <w:tc>
          <w:tcPr>
            <w:tcW w:type="dxa" w:w="3312"/>
            <w:vAlign w:val="center"/>
            <w:tcMar>
              <w:top w:w="70" w:type="dxa"/>
              <w:bottom w:w="70" w:type="dxa"/>
              <w:start w:w="80" w:type="dxa"/>
              <w:end w:w="80" w:type="dxa"/>
            </w:tcMar>
          </w:tcPr>
          <w:p>
            <w:pPr>
              <w:pStyle w:val="TableText"/>
            </w:pPr>
            <w:r/>
            <w:r>
              <w:rPr>
                <w:b w:val="0"/>
              </w:rPr>
              <w:t>Recorded miscarriage count is 0 or 1 and no other HIGH factor exists.</w:t>
            </w:r>
          </w:p>
        </w:tc>
        <w:tc>
          <w:tcPr>
            <w:tcW w:type="dxa" w:w="2232"/>
            <w:vAlign w:val="center"/>
            <w:tcMar>
              <w:top w:w="70" w:type="dxa"/>
              <w:bottom w:w="70" w:type="dxa"/>
              <w:start w:w="80" w:type="dxa"/>
              <w:end w:w="80" w:type="dxa"/>
            </w:tcMar>
          </w:tcPr>
          <w:p>
            <w:pPr>
              <w:pStyle w:val="TableText"/>
            </w:pPr>
            <w:r/>
            <w:r>
              <w:rPr>
                <w:b w:val="0"/>
              </w:rPr>
              <w:t>No miscarriage-based override</w:t>
            </w:r>
          </w:p>
        </w:tc>
        <w:tc>
          <w:tcPr>
            <w:tcW w:type="dxa" w:w="3888"/>
            <w:vAlign w:val="center"/>
            <w:tcMar>
              <w:top w:w="70" w:type="dxa"/>
              <w:bottom w:w="70" w:type="dxa"/>
              <w:start w:w="80" w:type="dxa"/>
              <w:end w:w="80" w:type="dxa"/>
            </w:tcMar>
          </w:tcPr>
          <w:p>
            <w:pPr>
              <w:pStyle w:val="TableText"/>
            </w:pPr>
            <w:r/>
            <w:r>
              <w:rPr>
                <w:b w:val="0"/>
              </w:rPr>
              <w:t>Final result depends on all other rules, required records, and valid ML output.</w:t>
            </w:r>
          </w:p>
        </w:tc>
      </w:tr>
      <w:tr>
        <w:trPr>
          <w:cantSplit/>
        </w:trPr>
        <w:tc>
          <w:tcPr>
            <w:tcW w:type="dxa" w:w="1152"/>
            <w:vAlign w:val="center"/>
            <w:tcMar>
              <w:top w:w="70" w:type="dxa"/>
              <w:bottom w:w="70" w:type="dxa"/>
              <w:start w:w="80" w:type="dxa"/>
              <w:end w:w="80" w:type="dxa"/>
            </w:tcMar>
            <w:shd w:fill="EDF4FA"/>
          </w:tcPr>
          <w:p>
            <w:pPr>
              <w:pStyle w:val="TableText"/>
            </w:pPr>
            <w:r/>
            <w:r>
              <w:rPr>
                <w:b w:val="0"/>
              </w:rPr>
              <w:t>RM-INC</w:t>
            </w:r>
          </w:p>
        </w:tc>
        <w:tc>
          <w:tcPr>
            <w:tcW w:type="dxa" w:w="3312"/>
            <w:vAlign w:val="center"/>
            <w:tcMar>
              <w:top w:w="70" w:type="dxa"/>
              <w:bottom w:w="70" w:type="dxa"/>
              <w:start w:w="80" w:type="dxa"/>
              <w:end w:w="80" w:type="dxa"/>
            </w:tcMar>
            <w:shd w:fill="EDF4FA"/>
          </w:tcPr>
          <w:p>
            <w:pPr>
              <w:pStyle w:val="TableText"/>
            </w:pPr>
            <w:r/>
            <w:r>
              <w:rPr>
                <w:b w:val="0"/>
              </w:rPr>
              <w:t>Count is missing, negative, nonnumeric, contradictory, or obstetric history is unavailable.</w:t>
            </w:r>
          </w:p>
        </w:tc>
        <w:tc>
          <w:tcPr>
            <w:tcW w:type="dxa" w:w="2232"/>
            <w:vAlign w:val="center"/>
            <w:tcMar>
              <w:top w:w="70" w:type="dxa"/>
              <w:bottom w:w="70" w:type="dxa"/>
              <w:start w:w="80" w:type="dxa"/>
              <w:end w:w="80" w:type="dxa"/>
            </w:tcMar>
            <w:shd w:fill="EDF4FA"/>
          </w:tcPr>
          <w:p>
            <w:pPr>
              <w:pStyle w:val="TableText"/>
            </w:pPr>
            <w:r/>
            <w:r>
              <w:rPr>
                <w:b w:val="0"/>
              </w:rPr>
              <w:t>ASSESSMENT INCOMPLETE</w:t>
            </w:r>
          </w:p>
        </w:tc>
        <w:tc>
          <w:tcPr>
            <w:tcW w:type="dxa" w:w="3888"/>
            <w:vAlign w:val="center"/>
            <w:tcMar>
              <w:top w:w="70" w:type="dxa"/>
              <w:bottom w:w="70" w:type="dxa"/>
              <w:start w:w="80" w:type="dxa"/>
              <w:end w:w="80" w:type="dxa"/>
            </w:tcMar>
            <w:shd w:fill="EDF4FA"/>
          </w:tcPr>
          <w:p>
            <w:pPr>
              <w:pStyle w:val="TableText"/>
            </w:pPr>
            <w:r/>
            <w:r>
              <w:rPr>
                <w:b w:val="0"/>
              </w:rPr>
              <w:t>Do not infer zero; verify the pregnancy-loss history.</w:t>
            </w:r>
          </w:p>
        </w:tc>
      </w:tr>
    </w:tbl>
    <w:p>
      <w:pPr>
        <w:spacing w:after="20"/>
      </w:pPr>
    </w:p>
    <w:tbl>
      <w:tblPr>
        <w:tblW w:type="auto" w:w="0"/>
        <w:tblLook w:firstColumn="1" w:firstRow="1" w:lastColumn="0" w:lastRow="0" w:noHBand="0" w:noVBand="1" w:val="04A0"/>
      </w:tblPr>
      <w:tblGrid>
        <w:gridCol w:w="10080"/>
      </w:tblGrid>
      <w:tr>
        <w:tc>
          <w:tcPr>
            <w:tcW w:type="dxa" w:w="10080"/>
            <w:shd w:fill="F2F2F2"/>
            <w:tcBorders>
              <w:top w:val="single" w:sz="8" w:color="666666"/>
              <w:left w:val="single" w:sz="8" w:color="666666"/>
              <w:bottom w:val="single" w:sz="8" w:color="666666"/>
              <w:right w:val="single" w:sz="8" w:color="666666"/>
            </w:tcBorders>
            <w:tcMar>
              <w:top w:w="110" w:type="dxa"/>
              <w:bottom w:w="110" w:type="dxa"/>
              <w:start w:w="120" w:type="dxa"/>
              <w:end w:w="120" w:type="dxa"/>
            </w:tcMar>
          </w:tcPr>
          <w:p>
            <w:pPr>
              <w:pStyle w:val="Callout"/>
            </w:pPr>
            <w:r/>
            <w:r>
              <w:rPr>
                <w:b/>
                <w:color w:val="666666"/>
              </w:rPr>
              <w:t>Important threshold limitation</w:t>
              <w:br/>
            </w:r>
            <w:r>
              <w:t>The current code triggers HIGH at &gt;=3. This must not be presented as evidence that two losses require no evaluation. A future clinically governed version should consider either a review alert at &gt;=2 or a configurable threshold that preserves the distinction between referral support and final diagnosis.</w:t>
            </w:r>
          </w:p>
        </w:tc>
      </w:tr>
    </w:tbl>
    <w:p>
      <w:pPr>
        <w:spacing w:after="20"/>
      </w:pPr>
    </w:p>
    <w:p>
      <w:pPr>
        <w:pStyle w:val="Heading1"/>
      </w:pPr>
      <w:r>
        <w:t>3. Definitions and Terminology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vAlign w:val="center"/>
            <w:tcMar>
              <w:top w:w="70" w:type="dxa"/>
              <w:bottom w:w="70" w:type="dxa"/>
              <w:start w:w="80" w:type="dxa"/>
              <w:end w:w="80" w:type="dxa"/>
            </w:tcMar>
            <w:shd w:fill="17365D"/>
          </w:tcPr>
          <w:p>
            <w:pPr>
              <w:pStyle w:val="TableHeader"/>
            </w:pPr>
            <w:r/>
            <w:r>
              <w:rPr>
                <w:b/>
                <w:color w:val="FFFFFF"/>
              </w:rPr>
              <w:t>Organization/source</w:t>
            </w:r>
          </w:p>
        </w:tc>
        <w:tc>
          <w:tcPr>
            <w:tcW w:type="dxa" w:w="4680"/>
            <w:vAlign w:val="center"/>
            <w:tcMar>
              <w:top w:w="70" w:type="dxa"/>
              <w:bottom w:w="70" w:type="dxa"/>
              <w:start w:w="80" w:type="dxa"/>
              <w:end w:w="80" w:type="dxa"/>
            </w:tcMar>
            <w:shd w:fill="17365D"/>
          </w:tcPr>
          <w:p>
            <w:pPr>
              <w:pStyle w:val="TableHeader"/>
            </w:pPr>
            <w:r/>
            <w:r>
              <w:rPr>
                <w:b/>
                <w:color w:val="FFFFFF"/>
              </w:rPr>
              <w:t>Definition or scope</w:t>
            </w:r>
          </w:p>
        </w:tc>
        <w:tc>
          <w:tcPr>
            <w:tcW w:type="dxa" w:w="4320"/>
            <w:vAlign w:val="center"/>
            <w:tcMar>
              <w:top w:w="70" w:type="dxa"/>
              <w:bottom w:w="70" w:type="dxa"/>
              <w:start w:w="80" w:type="dxa"/>
              <w:end w:w="80" w:type="dxa"/>
            </w:tcMar>
            <w:shd w:fill="17365D"/>
          </w:tcPr>
          <w:p>
            <w:pPr>
              <w:pStyle w:val="TableHeader"/>
            </w:pPr>
            <w:r/>
            <w:r>
              <w:rPr>
                <w:b/>
                <w:color w:val="FFFFFF"/>
              </w:rPr>
              <w:t>Implication for the project</w:t>
            </w:r>
          </w:p>
        </w:tc>
      </w:tr>
      <w:tr>
        <w:trPr>
          <w:cantSplit/>
        </w:trPr>
        <w:tc>
          <w:tcPr>
            <w:tcW w:type="dxa" w:w="1800"/>
            <w:vAlign w:val="center"/>
            <w:tcMar>
              <w:top w:w="70" w:type="dxa"/>
              <w:bottom w:w="70" w:type="dxa"/>
              <w:start w:w="80" w:type="dxa"/>
              <w:end w:w="80" w:type="dxa"/>
            </w:tcMar>
          </w:tcPr>
          <w:p>
            <w:pPr>
              <w:pStyle w:val="TableText"/>
            </w:pPr>
            <w:r/>
            <w:r>
              <w:rPr>
                <w:b w:val="0"/>
              </w:rPr>
              <w:t>RCOG 2023</w:t>
            </w:r>
          </w:p>
        </w:tc>
        <w:tc>
          <w:tcPr>
            <w:tcW w:type="dxa" w:w="4680"/>
            <w:vAlign w:val="center"/>
            <w:tcMar>
              <w:top w:w="70" w:type="dxa"/>
              <w:bottom w:w="70" w:type="dxa"/>
              <w:start w:w="80" w:type="dxa"/>
              <w:end w:w="80" w:type="dxa"/>
            </w:tcMar>
          </w:tcPr>
          <w:p>
            <w:pPr>
              <w:pStyle w:val="TableText"/>
            </w:pPr>
            <w:r/>
            <w:r>
              <w:rPr>
                <w:b w:val="0"/>
              </w:rPr>
              <w:t>Three or more first-trimester miscarriages; clinicians may evaluate after two when losses appear pathological rather than sporadic.</w:t>
            </w:r>
          </w:p>
        </w:tc>
        <w:tc>
          <w:tcPr>
            <w:tcW w:type="dxa" w:w="4320"/>
            <w:vAlign w:val="center"/>
            <w:tcMar>
              <w:top w:w="70" w:type="dxa"/>
              <w:bottom w:w="70" w:type="dxa"/>
              <w:start w:w="80" w:type="dxa"/>
              <w:end w:w="80" w:type="dxa"/>
            </w:tcMar>
          </w:tcPr>
          <w:p>
            <w:pPr>
              <w:pStyle w:val="TableText"/>
            </w:pPr>
            <w:r/>
            <w:r>
              <w:rPr>
                <w:b w:val="0"/>
              </w:rPr>
              <w:t>Direct support for the implemented &gt;=3 threshold, with an important discretion clause.</w:t>
            </w:r>
          </w:p>
        </w:tc>
      </w:tr>
      <w:tr>
        <w:trPr>
          <w:cantSplit/>
        </w:trPr>
        <w:tc>
          <w:tcPr>
            <w:tcW w:type="dxa" w:w="1800"/>
            <w:vAlign w:val="center"/>
            <w:tcMar>
              <w:top w:w="70" w:type="dxa"/>
              <w:bottom w:w="70" w:type="dxa"/>
              <w:start w:w="80" w:type="dxa"/>
              <w:end w:w="80" w:type="dxa"/>
            </w:tcMar>
            <w:shd w:fill="EDF4FA"/>
          </w:tcPr>
          <w:p>
            <w:pPr>
              <w:pStyle w:val="TableText"/>
            </w:pPr>
            <w:r/>
            <w:r>
              <w:rPr>
                <w:b w:val="0"/>
              </w:rPr>
              <w:t>ACOG</w:t>
            </w:r>
          </w:p>
        </w:tc>
        <w:tc>
          <w:tcPr>
            <w:tcW w:type="dxa" w:w="4680"/>
            <w:vAlign w:val="center"/>
            <w:tcMar>
              <w:top w:w="70" w:type="dxa"/>
              <w:bottom w:w="70" w:type="dxa"/>
              <w:start w:w="80" w:type="dxa"/>
              <w:end w:w="80" w:type="dxa"/>
            </w:tcMar>
            <w:shd w:fill="EDF4FA"/>
          </w:tcPr>
          <w:p>
            <w:pPr>
              <w:pStyle w:val="TableText"/>
            </w:pPr>
            <w:r/>
            <w:r>
              <w:rPr>
                <w:b w:val="0"/>
              </w:rPr>
              <w:t>Two or more miscarriages; thorough examination and testing are recommended after two.</w:t>
            </w:r>
          </w:p>
        </w:tc>
        <w:tc>
          <w:tcPr>
            <w:tcW w:type="dxa" w:w="4320"/>
            <w:vAlign w:val="center"/>
            <w:tcMar>
              <w:top w:w="70" w:type="dxa"/>
              <w:bottom w:w="70" w:type="dxa"/>
              <w:start w:w="80" w:type="dxa"/>
              <w:end w:w="80" w:type="dxa"/>
            </w:tcMar>
            <w:shd w:fill="EDF4FA"/>
          </w:tcPr>
          <w:p>
            <w:pPr>
              <w:pStyle w:val="TableText"/>
            </w:pPr>
            <w:r/>
            <w:r>
              <w:rPr>
                <w:b w:val="0"/>
              </w:rPr>
              <w:t>Shows that a count of two may already merit evaluation.</w:t>
            </w:r>
          </w:p>
        </w:tc>
      </w:tr>
      <w:tr>
        <w:trPr>
          <w:cantSplit/>
        </w:trPr>
        <w:tc>
          <w:tcPr>
            <w:tcW w:type="dxa" w:w="1800"/>
            <w:vAlign w:val="center"/>
            <w:tcMar>
              <w:top w:w="70" w:type="dxa"/>
              <w:bottom w:w="70" w:type="dxa"/>
              <w:start w:w="80" w:type="dxa"/>
              <w:end w:w="80" w:type="dxa"/>
            </w:tcMar>
          </w:tcPr>
          <w:p>
            <w:pPr>
              <w:pStyle w:val="TableText"/>
            </w:pPr>
            <w:r/>
            <w:r>
              <w:rPr>
                <w:b w:val="0"/>
              </w:rPr>
              <w:t>ESHRE 2023</w:t>
            </w:r>
          </w:p>
        </w:tc>
        <w:tc>
          <w:tcPr>
            <w:tcW w:type="dxa" w:w="4680"/>
            <w:vAlign w:val="center"/>
            <w:tcMar>
              <w:top w:w="70" w:type="dxa"/>
              <w:bottom w:w="70" w:type="dxa"/>
              <w:start w:w="80" w:type="dxa"/>
              <w:end w:w="80" w:type="dxa"/>
            </w:tcMar>
          </w:tcPr>
          <w:p>
            <w:pPr>
              <w:pStyle w:val="TableText"/>
            </w:pPr>
            <w:r/>
            <w:r>
              <w:rPr>
                <w:b w:val="0"/>
              </w:rPr>
              <w:t>Recurrent pregnancy loss may be considered after two or more pregnancy losses.</w:t>
            </w:r>
          </w:p>
        </w:tc>
        <w:tc>
          <w:tcPr>
            <w:tcW w:type="dxa" w:w="4320"/>
            <w:vAlign w:val="center"/>
            <w:tcMar>
              <w:top w:w="70" w:type="dxa"/>
              <w:bottom w:w="70" w:type="dxa"/>
              <w:start w:w="80" w:type="dxa"/>
              <w:end w:w="80" w:type="dxa"/>
            </w:tcMar>
          </w:tcPr>
          <w:p>
            <w:pPr>
              <w:pStyle w:val="TableText"/>
            </w:pPr>
            <w:r/>
            <w:r>
              <w:rPr>
                <w:b w:val="0"/>
              </w:rPr>
              <w:t>Supports earlier assessment and patient-centered care.</w:t>
            </w:r>
          </w:p>
        </w:tc>
      </w:tr>
      <w:tr>
        <w:trPr>
          <w:cantSplit/>
        </w:trPr>
        <w:tc>
          <w:tcPr>
            <w:tcW w:type="dxa" w:w="1800"/>
            <w:vAlign w:val="center"/>
            <w:tcMar>
              <w:top w:w="70" w:type="dxa"/>
              <w:bottom w:w="70" w:type="dxa"/>
              <w:start w:w="80" w:type="dxa"/>
              <w:end w:w="80" w:type="dxa"/>
            </w:tcMar>
            <w:shd w:fill="EDF4FA"/>
          </w:tcPr>
          <w:p>
            <w:pPr>
              <w:pStyle w:val="TableText"/>
            </w:pPr>
            <w:r/>
            <w:r>
              <w:rPr>
                <w:b w:val="0"/>
              </w:rPr>
              <w:t>ASRM 2026</w:t>
            </w:r>
          </w:p>
        </w:tc>
        <w:tc>
          <w:tcPr>
            <w:tcW w:type="dxa" w:w="4680"/>
            <w:vAlign w:val="center"/>
            <w:tcMar>
              <w:top w:w="70" w:type="dxa"/>
              <w:bottom w:w="70" w:type="dxa"/>
              <w:start w:w="80" w:type="dxa"/>
              <w:end w:w="80" w:type="dxa"/>
            </w:tcMar>
            <w:shd w:fill="EDF4FA"/>
          </w:tcPr>
          <w:p>
            <w:pPr>
              <w:pStyle w:val="TableText"/>
            </w:pPr>
            <w:r/>
            <w:r>
              <w:rPr>
                <w:b w:val="0"/>
              </w:rPr>
              <w:t>Spontaneous loss of two or more pregnancies, excluding confirmed molar and ectopic pregnancies.</w:t>
            </w:r>
          </w:p>
        </w:tc>
        <w:tc>
          <w:tcPr>
            <w:tcW w:type="dxa" w:w="4320"/>
            <w:vAlign w:val="center"/>
            <w:tcMar>
              <w:top w:w="70" w:type="dxa"/>
              <w:bottom w:w="70" w:type="dxa"/>
              <w:start w:w="80" w:type="dxa"/>
              <w:end w:w="80" w:type="dxa"/>
            </w:tcMar>
            <w:shd w:fill="EDF4FA"/>
          </w:tcPr>
          <w:p>
            <w:pPr>
              <w:pStyle w:val="TableText"/>
            </w:pPr>
            <w:r/>
            <w:r>
              <w:rPr>
                <w:b w:val="0"/>
              </w:rPr>
              <w:t>Current definition includes biochemical losses confirmed by urine or blood hCG.</w:t>
            </w:r>
          </w:p>
        </w:tc>
      </w:tr>
      <w:tr>
        <w:trPr>
          <w:cantSplit/>
        </w:trPr>
        <w:tc>
          <w:tcPr>
            <w:tcW w:type="dxa" w:w="1800"/>
            <w:vAlign w:val="center"/>
            <w:tcMar>
              <w:top w:w="70" w:type="dxa"/>
              <w:bottom w:w="70" w:type="dxa"/>
              <w:start w:w="80" w:type="dxa"/>
              <w:end w:w="80" w:type="dxa"/>
            </w:tcMar>
          </w:tcPr>
          <w:p>
            <w:pPr>
              <w:pStyle w:val="TableText"/>
            </w:pPr>
            <w:r/>
            <w:r>
              <w:rPr>
                <w:b w:val="0"/>
              </w:rPr>
              <w:t>POGS 2021</w:t>
            </w:r>
          </w:p>
        </w:tc>
        <w:tc>
          <w:tcPr>
            <w:tcW w:type="dxa" w:w="4680"/>
            <w:vAlign w:val="center"/>
            <w:tcMar>
              <w:top w:w="70" w:type="dxa"/>
              <w:bottom w:w="70" w:type="dxa"/>
              <w:start w:w="80" w:type="dxa"/>
              <w:end w:w="80" w:type="dxa"/>
            </w:tcMar>
          </w:tcPr>
          <w:p>
            <w:pPr>
              <w:pStyle w:val="TableText"/>
            </w:pPr>
            <w:r/>
            <w:r>
              <w:rPr>
                <w:b w:val="0"/>
              </w:rPr>
              <w:t>Philippine clinical practice guideline specifically addresses recurrent pregnancy loss.</w:t>
            </w:r>
          </w:p>
        </w:tc>
        <w:tc>
          <w:tcPr>
            <w:tcW w:type="dxa" w:w="4320"/>
            <w:vAlign w:val="center"/>
            <w:tcMar>
              <w:top w:w="70" w:type="dxa"/>
              <w:bottom w:w="70" w:type="dxa"/>
              <w:start w:w="80" w:type="dxa"/>
              <w:end w:w="80" w:type="dxa"/>
            </w:tcMar>
          </w:tcPr>
          <w:p>
            <w:pPr>
              <w:pStyle w:val="TableText"/>
            </w:pPr>
            <w:r/>
            <w:r>
              <w:rPr>
                <w:b w:val="0"/>
              </w:rPr>
              <w:t>Provides national specialty context; exact implementation should follow clinician-approved local interpretation.</w:t>
            </w:r>
          </w:p>
        </w:tc>
      </w:tr>
    </w:tbl>
    <w:p>
      <w:pPr>
        <w:spacing w:after="20"/>
      </w:pPr>
    </w:p>
    <w:p>
      <w:r>
        <w:t>Terms are not interchangeable without qualification. 'Miscarriage' commonly refers to spontaneous intrauterine pregnancy loss before viability, but gestational-age boundaries and whether biochemical losses are counted vary across guidelines. The project field currently stores only a numerical miscarriage count and therefore cannot reliably distinguish first-trimester loss, second-trimester loss, ectopic pregnancy, molar pregnancy, stillbirth, elective termination, or neonatal death.</w:t>
      </w:r>
    </w:p>
    <w:p>
      <w:pPr>
        <w:pStyle w:val="Heading1"/>
      </w:pPr>
      <w:r>
        <w:t>4. Clinical Background</w:t>
      </w:r>
    </w:p>
    <w:p>
      <w:pPr>
        <w:pStyle w:val="Heading2"/>
      </w:pPr>
      <w:r>
        <w:t>4.1 Potential causes and associated factors</w:t>
      </w:r>
    </w:p>
    <w:p>
      <w:pPr>
        <w:pStyle w:val="ListBullet"/>
        <w:spacing w:after="40"/>
      </w:pPr>
      <w:r>
        <w:t>Embryonic chromosomal abnormalities are a common cause of early miscarriage and often occur by chance; the probability rises with maternal age.</w:t>
      </w:r>
    </w:p>
    <w:p>
      <w:pPr>
        <w:pStyle w:val="ListBullet"/>
        <w:spacing w:after="40"/>
      </w:pPr>
      <w:r>
        <w:t>Possible contributors include parental chromosomal rearrangements, uterine abnormalities, antiphospholipid syndrome, endocrine disorders, and selected medical conditions.</w:t>
      </w:r>
    </w:p>
    <w:p>
      <w:pPr>
        <w:pStyle w:val="ListBullet"/>
        <w:spacing w:after="40"/>
      </w:pPr>
      <w:r>
        <w:t>More than half of patients with recurrent loss may have no clearly identified cause even after evaluation.</w:t>
      </w:r>
    </w:p>
    <w:p>
      <w:pPr>
        <w:pStyle w:val="ListBullet"/>
        <w:spacing w:after="40"/>
      </w:pPr>
      <w:r>
        <w:t>Not every proposed test or treatment has proven benefit; unproven immune, thrombophilia, and empirical therapies may expose patients to cost or harm.</w:t>
      </w:r>
    </w:p>
    <w:p>
      <w:pPr>
        <w:pStyle w:val="ListBullet"/>
        <w:spacing w:after="40"/>
      </w:pPr>
      <w:r>
        <w:t>Psychological effects can include grief, anxiety, depression, guilt, trauma, and fear during a subsequent pregnancy.</w:t>
      </w:r>
    </w:p>
    <w:p>
      <w:pPr>
        <w:pStyle w:val="Heading2"/>
      </w:pPr>
      <w:r>
        <w:t>4.2 Prognosis and communication</w:t>
      </w:r>
    </w:p>
    <w:p>
      <w:r>
        <w:t>ACOG reports that approximately 65 in 100 women with unexplained recurrent pregnancy loss have a successful next pregnancy without special treatment. The 2026 ASRM committee opinion similarly states that many patients with unexplained recurrent loss eventually achieve live birth. Therefore, the CDSS explanation must avoid deterministic language such as 'the pregnancy will miscarry' or 'the patient cannot have a normal pregnancy.'</w:t>
      </w:r>
    </w:p>
    <w:tbl>
      <w:tblPr>
        <w:tblW w:type="auto" w:w="0"/>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Mar>
              <w:top w:w="110" w:type="dxa"/>
              <w:bottom w:w="110" w:type="dxa"/>
              <w:start w:w="120" w:type="dxa"/>
              <w:end w:w="120" w:type="dxa"/>
            </w:tcMar>
          </w:tcPr>
          <w:p>
            <w:pPr>
              <w:pStyle w:val="Callout"/>
            </w:pPr>
            <w:r/>
            <w:r>
              <w:rPr>
                <w:b/>
                <w:color w:val="548235"/>
              </w:rPr>
              <w:t>Trauma-informed wording</w:t>
              <w:br/>
            </w:r>
            <w:r>
              <w:t>The system should avoid blame. Miscarriage is almost never caused by ordinary activities or by something the patient intentionally did. Explanations should acknowledge grief, preserve hope, and recommend qualified support.</w:t>
            </w:r>
          </w:p>
        </w:tc>
      </w:tr>
    </w:tbl>
    <w:p>
      <w:pPr>
        <w:spacing w:after="20"/>
      </w:pPr>
    </w:p>
    <w:p>
      <w:pPr>
        <w:pStyle w:val="Heading1"/>
      </w:pPr>
      <w:r>
        <w:t>5. Evidence Review</w:t>
      </w:r>
    </w:p>
    <w:p>
      <w:pPr>
        <w:pStyle w:val="Heading2"/>
      </w:pPr>
      <w:r>
        <w:t>5.1 RCOG Green-top Guideline No. 17</w:t>
      </w:r>
    </w:p>
    <w:p>
      <w:r>
        <w:t>RCOG's 2023 guideline defines recurrent miscarriage as three or more first-trimester miscarriages. It also encourages clinicians to use discretion to undertake extensive evaluation after two losses when a pathological rather than sporadic pattern is suspected. The guideline addresses risk factors, investigations, treatments, management of later miscarriages, ultrasound access, informed communication, and supportive care.</w:t>
      </w:r>
    </w:p>
    <w:p>
      <w:pPr>
        <w:pStyle w:val="Heading2"/>
      </w:pPr>
      <w:r>
        <w:t>5.2 ESHRE 2023</w:t>
      </w:r>
    </w:p>
    <w:p>
      <w:r>
        <w:t>ESHRE's updated recurrent pregnancy loss guideline considers the diagnosis after two or more pregnancy losses and provides evidence-based recommendations on organization of care, investigations, treatment, prognosis, and communication. This supports early referral and explains why the project should not dismiss a patient with exactly two losses.</w:t>
      </w:r>
    </w:p>
    <w:p>
      <w:pPr>
        <w:pStyle w:val="Heading2"/>
      </w:pPr>
      <w:r>
        <w:t>5.3 ACOG</w:t>
      </w:r>
    </w:p>
    <w:p>
      <w:r>
        <w:t>ACOG defines recurrent pregnancy loss as two or more miscarriages and recommends a thorough history, physical examination, and testing after two. It describes possible genetic, anatomical, autoimmune, endocrine, and other causes, while emphasizing that many cases remain unexplained and many patients later have a successful pregnancy.</w:t>
      </w:r>
    </w:p>
    <w:p>
      <w:pPr>
        <w:pStyle w:val="Heading2"/>
      </w:pPr>
      <w:r>
        <w:t>5.4 ASRM 2026</w:t>
      </w:r>
    </w:p>
    <w:p>
      <w:r>
        <w:t>The updated ASRM committee opinion defines recurrent pregnancy loss as two or more spontaneous pregnancy losses, excludes confirmed molar and ectopic pregnancies, and supports a stepwise evidence-based evaluation. It warns against routine unproven testing and treatment, emphasizes psychological support, and notes that many patients with unexplained loss achieve a subsequent live birth.</w:t>
      </w:r>
    </w:p>
    <w:p>
      <w:pPr>
        <w:pStyle w:val="Heading2"/>
      </w:pPr>
      <w:r>
        <w:t>5.5 Philippine POGS context</w:t>
      </w:r>
    </w:p>
    <w:p>
      <w:r>
        <w:t>The Philippine Obstetrical and Gynecological Society published a second-edition Clinical Practice Guideline on Recurrent Pregnancy Loss in 2021. Its existence confirms that recurrent loss is a recognized specialist-care issue in the Philippine setting. Public access to the full official text is limited, so the deployed rule should be reviewed against the clinic's authorized POGS copy and approved by a Philippine obstetrician before clinical use.</w:t>
      </w:r>
    </w:p>
    <w:p>
      <w:pPr>
        <w:pStyle w:val="Heading1"/>
      </w:pPr>
      <w:r>
        <w:t>6. Guideline-to-System Comparison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440"/>
            <w:vAlign w:val="center"/>
            <w:tcMar>
              <w:top w:w="70" w:type="dxa"/>
              <w:bottom w:w="70" w:type="dxa"/>
              <w:start w:w="80" w:type="dxa"/>
              <w:end w:w="80" w:type="dxa"/>
            </w:tcMar>
            <w:shd w:fill="17365D"/>
          </w:tcPr>
          <w:p>
            <w:pPr>
              <w:pStyle w:val="TableHeader"/>
            </w:pPr>
            <w:r/>
            <w:r>
              <w:rPr>
                <w:b/>
                <w:color w:val="FFFFFF"/>
              </w:rPr>
              <w:t>Source</w:t>
            </w:r>
          </w:p>
        </w:tc>
        <w:tc>
          <w:tcPr>
            <w:tcW w:type="dxa" w:w="3456"/>
            <w:vAlign w:val="center"/>
            <w:tcMar>
              <w:top w:w="70" w:type="dxa"/>
              <w:bottom w:w="70" w:type="dxa"/>
              <w:start w:w="80" w:type="dxa"/>
              <w:end w:w="80" w:type="dxa"/>
            </w:tcMar>
            <w:shd w:fill="17365D"/>
          </w:tcPr>
          <w:p>
            <w:pPr>
              <w:pStyle w:val="TableHeader"/>
            </w:pPr>
            <w:r/>
            <w:r>
              <w:rPr>
                <w:b/>
                <w:color w:val="FFFFFF"/>
              </w:rPr>
              <w:t>Supported principle</w:t>
            </w:r>
          </w:p>
        </w:tc>
        <w:tc>
          <w:tcPr>
            <w:tcW w:type="dxa" w:w="3456"/>
            <w:vAlign w:val="center"/>
            <w:tcMar>
              <w:top w:w="70" w:type="dxa"/>
              <w:bottom w:w="70" w:type="dxa"/>
              <w:start w:w="80" w:type="dxa"/>
              <w:end w:w="80" w:type="dxa"/>
            </w:tcMar>
            <w:shd w:fill="17365D"/>
          </w:tcPr>
          <w:p>
            <w:pPr>
              <w:pStyle w:val="TableHeader"/>
            </w:pPr>
            <w:r/>
            <w:r>
              <w:rPr>
                <w:b/>
                <w:color w:val="FFFFFF"/>
              </w:rPr>
              <w:t>Project implementation</w:t>
            </w:r>
          </w:p>
        </w:tc>
        <w:tc>
          <w:tcPr>
            <w:tcW w:type="dxa" w:w="3528"/>
            <w:vAlign w:val="center"/>
            <w:tcMar>
              <w:top w:w="70" w:type="dxa"/>
              <w:bottom w:w="70" w:type="dxa"/>
              <w:start w:w="80" w:type="dxa"/>
              <w:end w:w="80" w:type="dxa"/>
            </w:tcMar>
            <w:shd w:fill="17365D"/>
          </w:tcPr>
          <w:p>
            <w:pPr>
              <w:pStyle w:val="TableHeader"/>
            </w:pPr>
            <w:r/>
            <w:r>
              <w:rPr>
                <w:b/>
                <w:color w:val="FFFFFF"/>
              </w:rPr>
              <w:t>Claim prohibited</w:t>
            </w:r>
          </w:p>
        </w:tc>
      </w:tr>
      <w:tr>
        <w:trPr>
          <w:cantSplit/>
        </w:trPr>
        <w:tc>
          <w:tcPr>
            <w:tcW w:type="dxa" w:w="1440"/>
            <w:vAlign w:val="center"/>
            <w:tcMar>
              <w:top w:w="70" w:type="dxa"/>
              <w:bottom w:w="70" w:type="dxa"/>
              <w:start w:w="80" w:type="dxa"/>
              <w:end w:w="80" w:type="dxa"/>
            </w:tcMar>
          </w:tcPr>
          <w:p>
            <w:pPr>
              <w:pStyle w:val="TableText"/>
            </w:pPr>
            <w:r/>
            <w:r>
              <w:rPr>
                <w:b w:val="0"/>
              </w:rPr>
              <w:t>RCOG 2023</w:t>
            </w:r>
          </w:p>
        </w:tc>
        <w:tc>
          <w:tcPr>
            <w:tcW w:type="dxa" w:w="3456"/>
            <w:vAlign w:val="center"/>
            <w:tcMar>
              <w:top w:w="70" w:type="dxa"/>
              <w:bottom w:w="70" w:type="dxa"/>
              <w:start w:w="80" w:type="dxa"/>
              <w:end w:w="80" w:type="dxa"/>
            </w:tcMar>
          </w:tcPr>
          <w:p>
            <w:pPr>
              <w:pStyle w:val="TableText"/>
            </w:pPr>
            <w:r/>
            <w:r>
              <w:rPr>
                <w:b w:val="0"/>
              </w:rPr>
              <w:t>Three first-trimester losses meet its formal definition; discretion after two.</w:t>
            </w:r>
          </w:p>
        </w:tc>
        <w:tc>
          <w:tcPr>
            <w:tcW w:type="dxa" w:w="3456"/>
            <w:vAlign w:val="center"/>
            <w:tcMar>
              <w:top w:w="70" w:type="dxa"/>
              <w:bottom w:w="70" w:type="dxa"/>
              <w:start w:w="80" w:type="dxa"/>
              <w:end w:w="80" w:type="dxa"/>
            </w:tcMar>
          </w:tcPr>
          <w:p>
            <w:pPr>
              <w:pStyle w:val="TableText"/>
            </w:pPr>
            <w:r/>
            <w:r>
              <w:rPr>
                <w:b w:val="0"/>
              </w:rPr>
              <w:t>RM-03 activates HIGH at count &gt;=3.</w:t>
            </w:r>
          </w:p>
        </w:tc>
        <w:tc>
          <w:tcPr>
            <w:tcW w:type="dxa" w:w="3528"/>
            <w:vAlign w:val="center"/>
            <w:tcMar>
              <w:top w:w="70" w:type="dxa"/>
              <w:bottom w:w="70" w:type="dxa"/>
              <w:start w:w="80" w:type="dxa"/>
              <w:end w:w="80" w:type="dxa"/>
            </w:tcMar>
          </w:tcPr>
          <w:p>
            <w:pPr>
              <w:pStyle w:val="TableText"/>
            </w:pPr>
            <w:r/>
            <w:r>
              <w:rPr>
                <w:b w:val="0"/>
              </w:rPr>
              <w:t>That all guidelines require three losses.</w:t>
            </w:r>
          </w:p>
        </w:tc>
      </w:tr>
      <w:tr>
        <w:trPr>
          <w:cantSplit/>
        </w:trPr>
        <w:tc>
          <w:tcPr>
            <w:tcW w:type="dxa" w:w="1440"/>
            <w:vAlign w:val="center"/>
            <w:tcMar>
              <w:top w:w="70" w:type="dxa"/>
              <w:bottom w:w="70" w:type="dxa"/>
              <w:start w:w="80" w:type="dxa"/>
              <w:end w:w="80" w:type="dxa"/>
            </w:tcMar>
            <w:shd w:fill="EDF4FA"/>
          </w:tcPr>
          <w:p>
            <w:pPr>
              <w:pStyle w:val="TableText"/>
            </w:pPr>
            <w:r/>
            <w:r>
              <w:rPr>
                <w:b w:val="0"/>
              </w:rPr>
              <w:t>ACOG</w:t>
            </w:r>
          </w:p>
        </w:tc>
        <w:tc>
          <w:tcPr>
            <w:tcW w:type="dxa" w:w="3456"/>
            <w:vAlign w:val="center"/>
            <w:tcMar>
              <w:top w:w="70" w:type="dxa"/>
              <w:bottom w:w="70" w:type="dxa"/>
              <w:start w:w="80" w:type="dxa"/>
              <w:end w:w="80" w:type="dxa"/>
            </w:tcMar>
            <w:shd w:fill="EDF4FA"/>
          </w:tcPr>
          <w:p>
            <w:pPr>
              <w:pStyle w:val="TableText"/>
            </w:pPr>
            <w:r/>
            <w:r>
              <w:rPr>
                <w:b w:val="0"/>
              </w:rPr>
              <w:t>Two losses meet recurrent-loss definition and justify evaluation.</w:t>
            </w:r>
          </w:p>
        </w:tc>
        <w:tc>
          <w:tcPr>
            <w:tcW w:type="dxa" w:w="3456"/>
            <w:vAlign w:val="center"/>
            <w:tcMar>
              <w:top w:w="70" w:type="dxa"/>
              <w:bottom w:w="70" w:type="dxa"/>
              <w:start w:w="80" w:type="dxa"/>
              <w:end w:w="80" w:type="dxa"/>
            </w:tcMar>
            <w:shd w:fill="EDF4FA"/>
          </w:tcPr>
          <w:p>
            <w:pPr>
              <w:pStyle w:val="TableText"/>
            </w:pPr>
            <w:r/>
            <w:r>
              <w:rPr>
                <w:b w:val="0"/>
              </w:rPr>
              <w:t>Exactly two does not activate RM-03 but should remain visible and prompt review.</w:t>
            </w:r>
          </w:p>
        </w:tc>
        <w:tc>
          <w:tcPr>
            <w:tcW w:type="dxa" w:w="3528"/>
            <w:vAlign w:val="center"/>
            <w:tcMar>
              <w:top w:w="70" w:type="dxa"/>
              <w:bottom w:w="70" w:type="dxa"/>
              <w:start w:w="80" w:type="dxa"/>
              <w:end w:w="80" w:type="dxa"/>
            </w:tcMar>
            <w:shd w:fill="EDF4FA"/>
          </w:tcPr>
          <w:p>
            <w:pPr>
              <w:pStyle w:val="TableText"/>
            </w:pPr>
            <w:r/>
            <w:r>
              <w:rPr>
                <w:b w:val="0"/>
              </w:rPr>
              <w:t>That two losses are low risk or clinically insignificant.</w:t>
            </w:r>
          </w:p>
        </w:tc>
      </w:tr>
      <w:tr>
        <w:trPr>
          <w:cantSplit/>
        </w:trPr>
        <w:tc>
          <w:tcPr>
            <w:tcW w:type="dxa" w:w="1440"/>
            <w:vAlign w:val="center"/>
            <w:tcMar>
              <w:top w:w="70" w:type="dxa"/>
              <w:bottom w:w="70" w:type="dxa"/>
              <w:start w:w="80" w:type="dxa"/>
              <w:end w:w="80" w:type="dxa"/>
            </w:tcMar>
          </w:tcPr>
          <w:p>
            <w:pPr>
              <w:pStyle w:val="TableText"/>
            </w:pPr>
            <w:r/>
            <w:r>
              <w:rPr>
                <w:b w:val="0"/>
              </w:rPr>
              <w:t>ESHRE 2023</w:t>
            </w:r>
          </w:p>
        </w:tc>
        <w:tc>
          <w:tcPr>
            <w:tcW w:type="dxa" w:w="3456"/>
            <w:vAlign w:val="center"/>
            <w:tcMar>
              <w:top w:w="70" w:type="dxa"/>
              <w:bottom w:w="70" w:type="dxa"/>
              <w:start w:w="80" w:type="dxa"/>
              <w:end w:w="80" w:type="dxa"/>
            </w:tcMar>
          </w:tcPr>
          <w:p>
            <w:pPr>
              <w:pStyle w:val="TableText"/>
            </w:pPr>
            <w:r/>
            <w:r>
              <w:rPr>
                <w:b w:val="0"/>
              </w:rPr>
              <w:t>RPL may be considered after two losses; care should be evidence-based and supportive.</w:t>
            </w:r>
          </w:p>
        </w:tc>
        <w:tc>
          <w:tcPr>
            <w:tcW w:type="dxa" w:w="3456"/>
            <w:vAlign w:val="center"/>
            <w:tcMar>
              <w:top w:w="70" w:type="dxa"/>
              <w:bottom w:w="70" w:type="dxa"/>
              <w:start w:w="80" w:type="dxa"/>
              <w:end w:w="80" w:type="dxa"/>
            </w:tcMar>
          </w:tcPr>
          <w:p>
            <w:pPr>
              <w:pStyle w:val="TableText"/>
            </w:pPr>
            <w:r/>
            <w:r>
              <w:rPr>
                <w:b w:val="0"/>
              </w:rPr>
              <w:t>Supports early referral and trauma-informed explanation.</w:t>
            </w:r>
          </w:p>
        </w:tc>
        <w:tc>
          <w:tcPr>
            <w:tcW w:type="dxa" w:w="3528"/>
            <w:vAlign w:val="center"/>
            <w:tcMar>
              <w:top w:w="70" w:type="dxa"/>
              <w:bottom w:w="70" w:type="dxa"/>
              <w:start w:w="80" w:type="dxa"/>
              <w:end w:w="80" w:type="dxa"/>
            </w:tcMar>
          </w:tcPr>
          <w:p>
            <w:pPr>
              <w:pStyle w:val="TableText"/>
            </w:pPr>
            <w:r/>
            <w:r>
              <w:rPr>
                <w:b w:val="0"/>
              </w:rPr>
              <w:t>That the CDSS can determine cause or treatment.</w:t>
            </w:r>
          </w:p>
        </w:tc>
      </w:tr>
      <w:tr>
        <w:trPr>
          <w:cantSplit/>
        </w:trPr>
        <w:tc>
          <w:tcPr>
            <w:tcW w:type="dxa" w:w="1440"/>
            <w:vAlign w:val="center"/>
            <w:tcMar>
              <w:top w:w="70" w:type="dxa"/>
              <w:bottom w:w="70" w:type="dxa"/>
              <w:start w:w="80" w:type="dxa"/>
              <w:end w:w="80" w:type="dxa"/>
            </w:tcMar>
            <w:shd w:fill="EDF4FA"/>
          </w:tcPr>
          <w:p>
            <w:pPr>
              <w:pStyle w:val="TableText"/>
            </w:pPr>
            <w:r/>
            <w:r>
              <w:rPr>
                <w:b w:val="0"/>
              </w:rPr>
              <w:t>ASRM 2026</w:t>
            </w:r>
          </w:p>
        </w:tc>
        <w:tc>
          <w:tcPr>
            <w:tcW w:type="dxa" w:w="3456"/>
            <w:vAlign w:val="center"/>
            <w:tcMar>
              <w:top w:w="70" w:type="dxa"/>
              <w:bottom w:w="70" w:type="dxa"/>
              <w:start w:w="80" w:type="dxa"/>
              <w:end w:w="80" w:type="dxa"/>
            </w:tcMar>
            <w:shd w:fill="EDF4FA"/>
          </w:tcPr>
          <w:p>
            <w:pPr>
              <w:pStyle w:val="TableText"/>
            </w:pPr>
            <w:r/>
            <w:r>
              <w:rPr>
                <w:b w:val="0"/>
              </w:rPr>
              <w:t>Two losses; evidence-based stepwise evaluation; avoid unproven therapies.</w:t>
            </w:r>
          </w:p>
        </w:tc>
        <w:tc>
          <w:tcPr>
            <w:tcW w:type="dxa" w:w="3456"/>
            <w:vAlign w:val="center"/>
            <w:tcMar>
              <w:top w:w="70" w:type="dxa"/>
              <w:bottom w:w="70" w:type="dxa"/>
              <w:start w:w="80" w:type="dxa"/>
              <w:end w:w="80" w:type="dxa"/>
            </w:tcMar>
            <w:shd w:fill="EDF4FA"/>
          </w:tcPr>
          <w:p>
            <w:pPr>
              <w:pStyle w:val="TableText"/>
            </w:pPr>
            <w:r/>
            <w:r>
              <w:rPr>
                <w:b w:val="0"/>
              </w:rPr>
              <w:t>Supports strict scope boundaries and referral.</w:t>
            </w:r>
          </w:p>
        </w:tc>
        <w:tc>
          <w:tcPr>
            <w:tcW w:type="dxa" w:w="3528"/>
            <w:vAlign w:val="center"/>
            <w:tcMar>
              <w:top w:w="70" w:type="dxa"/>
              <w:bottom w:w="70" w:type="dxa"/>
              <w:start w:w="80" w:type="dxa"/>
              <w:end w:w="80" w:type="dxa"/>
            </w:tcMar>
            <w:shd w:fill="EDF4FA"/>
          </w:tcPr>
          <w:p>
            <w:pPr>
              <w:pStyle w:val="TableText"/>
            </w:pPr>
            <w:r/>
            <w:r>
              <w:rPr>
                <w:b w:val="0"/>
              </w:rPr>
              <w:t>That every loss type should be counted identically.</w:t>
            </w:r>
          </w:p>
        </w:tc>
      </w:tr>
      <w:tr>
        <w:trPr>
          <w:cantSplit/>
        </w:trPr>
        <w:tc>
          <w:tcPr>
            <w:tcW w:type="dxa" w:w="1440"/>
            <w:vAlign w:val="center"/>
            <w:tcMar>
              <w:top w:w="70" w:type="dxa"/>
              <w:bottom w:w="70" w:type="dxa"/>
              <w:start w:w="80" w:type="dxa"/>
              <w:end w:w="80" w:type="dxa"/>
            </w:tcMar>
          </w:tcPr>
          <w:p>
            <w:pPr>
              <w:pStyle w:val="TableText"/>
            </w:pPr>
            <w:r/>
            <w:r>
              <w:rPr>
                <w:b w:val="0"/>
              </w:rPr>
              <w:t>POGS 2021</w:t>
            </w:r>
          </w:p>
        </w:tc>
        <w:tc>
          <w:tcPr>
            <w:tcW w:type="dxa" w:w="3456"/>
            <w:vAlign w:val="center"/>
            <w:tcMar>
              <w:top w:w="70" w:type="dxa"/>
              <w:bottom w:w="70" w:type="dxa"/>
              <w:start w:w="80" w:type="dxa"/>
              <w:end w:w="80" w:type="dxa"/>
            </w:tcMar>
          </w:tcPr>
          <w:p>
            <w:pPr>
              <w:pStyle w:val="TableText"/>
            </w:pPr>
            <w:r/>
            <w:r>
              <w:rPr>
                <w:b w:val="0"/>
              </w:rPr>
              <w:t>National specialist guideline exists for recurrent pregnancy loss.</w:t>
            </w:r>
          </w:p>
        </w:tc>
        <w:tc>
          <w:tcPr>
            <w:tcW w:type="dxa" w:w="3456"/>
            <w:vAlign w:val="center"/>
            <w:tcMar>
              <w:top w:w="70" w:type="dxa"/>
              <w:bottom w:w="70" w:type="dxa"/>
              <w:start w:w="80" w:type="dxa"/>
              <w:end w:w="80" w:type="dxa"/>
            </w:tcMar>
          </w:tcPr>
          <w:p>
            <w:pPr>
              <w:pStyle w:val="TableText"/>
            </w:pPr>
            <w:r/>
            <w:r>
              <w:rPr>
                <w:b w:val="0"/>
              </w:rPr>
              <w:t>Supports Philippine clinical governance and referral context.</w:t>
            </w:r>
          </w:p>
        </w:tc>
        <w:tc>
          <w:tcPr>
            <w:tcW w:type="dxa" w:w="3528"/>
            <w:vAlign w:val="center"/>
            <w:tcMar>
              <w:top w:w="70" w:type="dxa"/>
              <w:bottom w:w="70" w:type="dxa"/>
              <w:start w:w="80" w:type="dxa"/>
              <w:end w:w="80" w:type="dxa"/>
            </w:tcMar>
          </w:tcPr>
          <w:p>
            <w:pPr>
              <w:pStyle w:val="TableText"/>
            </w:pPr>
            <w:r/>
            <w:r>
              <w:rPr>
                <w:b w:val="0"/>
              </w:rPr>
              <w:t>That the project has fully implemented the POGS guideline.</w:t>
            </w:r>
          </w:p>
        </w:tc>
      </w:tr>
    </w:tbl>
    <w:p>
      <w:pPr>
        <w:spacing w:after="20"/>
      </w:pPr>
    </w:p>
    <w:p>
      <w:pPr>
        <w:pStyle w:val="Heading1"/>
      </w:pPr>
      <w:r>
        <w:t>7. Philippine Lying-in Clinic Context</w:t>
      </w:r>
    </w:p>
    <w:p>
      <w:r>
        <w:t>A Philippine lying-in clinic is designed mainly for uncomplicated pregnancy and normal delivery. It may not provide reproductive genetics, specialist ultrasound, antiphospholipid testing, hysteroscopy, advanced endocrine evaluation, or comprehensive recurrent-loss services. A patient with three or more miscarriages needs a documented evaluation and pregnancy plan from an appropriate physician or hospital, while the lying-in clinic can contribute continuity, respectful communication, record collection, and follow-up.</w:t>
      </w:r>
    </w:p>
    <w:p>
      <w:r>
        <w:t>The referral need is not necessarily an emergency when the current patient is stable and has no bleeding or pain. However, vaginal bleeding, severe abdominal pain, syncope, fever, haemodynamic instability, or suspected ectopic pregnancy requires urgent assessment independent of the historical miscarriage count.</w:t>
      </w:r>
    </w:p>
    <w:tbl>
      <w:tblPr>
        <w:tblW w:type="auto" w:w="0"/>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bottom w:w="110" w:type="dxa"/>
              <w:start w:w="120" w:type="dxa"/>
              <w:end w:w="120" w:type="dxa"/>
            </w:tcMar>
          </w:tcPr>
          <w:p>
            <w:pPr>
              <w:pStyle w:val="Callout"/>
            </w:pPr>
            <w:r/>
            <w:r>
              <w:rPr>
                <w:b/>
                <w:color w:val="C00000"/>
              </w:rPr>
              <w:t>History versus emergency</w:t>
              <w:br/>
            </w:r>
            <w:r>
              <w:t>RM-03 is a historical-risk and referral rule. It must not replace emergency triage. Current bleeding, severe pain, collapse, or other acute danger signs require immediate clinical escalation even when the miscarriage count is below three.</w:t>
            </w:r>
          </w:p>
        </w:tc>
      </w:tr>
    </w:tbl>
    <w:p>
      <w:pPr>
        <w:spacing w:after="20"/>
      </w:pPr>
    </w:p>
    <w:p>
      <w:pPr>
        <w:pStyle w:val="Heading1"/>
      </w:pPr>
      <w:r>
        <w:t>8. Clinical Justification for the HIGH Rule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664"/>
            <w:vAlign w:val="center"/>
            <w:tcMar>
              <w:top w:w="70" w:type="dxa"/>
              <w:bottom w:w="70" w:type="dxa"/>
              <w:start w:w="80" w:type="dxa"/>
              <w:end w:w="80" w:type="dxa"/>
            </w:tcMar>
            <w:shd w:fill="17365D"/>
          </w:tcPr>
          <w:p>
            <w:pPr>
              <w:pStyle w:val="TableHeader"/>
            </w:pPr>
            <w:r/>
            <w:r>
              <w:rPr>
                <w:b/>
                <w:color w:val="FFFFFF"/>
              </w:rPr>
              <w:t>Justification</w:t>
            </w:r>
          </w:p>
        </w:tc>
        <w:tc>
          <w:tcPr>
            <w:tcW w:type="dxa" w:w="7416"/>
            <w:vAlign w:val="center"/>
            <w:tcMar>
              <w:top w:w="70" w:type="dxa"/>
              <w:bottom w:w="70" w:type="dxa"/>
              <w:start w:w="80" w:type="dxa"/>
              <w:end w:w="80" w:type="dxa"/>
            </w:tcMar>
            <w:shd w:fill="17365D"/>
          </w:tcPr>
          <w:p>
            <w:pPr>
              <w:pStyle w:val="TableHeader"/>
            </w:pPr>
            <w:r/>
            <w:r>
              <w:rPr>
                <w:b/>
                <w:color w:val="FFFFFF"/>
              </w:rPr>
              <w:t>Reasoning</w:t>
            </w:r>
          </w:p>
        </w:tc>
      </w:tr>
      <w:tr>
        <w:trPr>
          <w:cantSplit/>
        </w:trPr>
        <w:tc>
          <w:tcPr>
            <w:tcW w:type="dxa" w:w="2664"/>
            <w:vAlign w:val="center"/>
            <w:tcMar>
              <w:top w:w="70" w:type="dxa"/>
              <w:bottom w:w="70" w:type="dxa"/>
              <w:start w:w="80" w:type="dxa"/>
              <w:end w:w="80" w:type="dxa"/>
            </w:tcMar>
          </w:tcPr>
          <w:p>
            <w:pPr>
              <w:pStyle w:val="TableText"/>
            </w:pPr>
            <w:r/>
            <w:r>
              <w:rPr>
                <w:b w:val="0"/>
              </w:rPr>
              <w:t>Alignment with RCOG threshold</w:t>
            </w:r>
          </w:p>
        </w:tc>
        <w:tc>
          <w:tcPr>
            <w:tcW w:type="dxa" w:w="7416"/>
            <w:vAlign w:val="center"/>
            <w:tcMar>
              <w:top w:w="70" w:type="dxa"/>
              <w:bottom w:w="70" w:type="dxa"/>
              <w:start w:w="80" w:type="dxa"/>
              <w:end w:w="80" w:type="dxa"/>
            </w:tcMar>
          </w:tcPr>
          <w:p>
            <w:pPr>
              <w:pStyle w:val="TableText"/>
            </w:pPr>
            <w:r/>
            <w:r>
              <w:rPr>
                <w:b w:val="0"/>
              </w:rPr>
              <w:t>Three or more first-trimester miscarriages meet the RCOG formal definition.</w:t>
            </w:r>
          </w:p>
        </w:tc>
      </w:tr>
      <w:tr>
        <w:trPr>
          <w:cantSplit/>
        </w:trPr>
        <w:tc>
          <w:tcPr>
            <w:tcW w:type="dxa" w:w="2664"/>
            <w:vAlign w:val="center"/>
            <w:tcMar>
              <w:top w:w="70" w:type="dxa"/>
              <w:bottom w:w="70" w:type="dxa"/>
              <w:start w:w="80" w:type="dxa"/>
              <w:end w:w="80" w:type="dxa"/>
            </w:tcMar>
            <w:shd w:fill="EDF4FA"/>
          </w:tcPr>
          <w:p>
            <w:pPr>
              <w:pStyle w:val="TableText"/>
            </w:pPr>
            <w:r/>
            <w:r>
              <w:rPr>
                <w:b w:val="0"/>
              </w:rPr>
              <w:t>Need for individualized evaluation</w:t>
            </w:r>
          </w:p>
        </w:tc>
        <w:tc>
          <w:tcPr>
            <w:tcW w:type="dxa" w:w="7416"/>
            <w:vAlign w:val="center"/>
            <w:tcMar>
              <w:top w:w="70" w:type="dxa"/>
              <w:bottom w:w="70" w:type="dxa"/>
              <w:start w:w="80" w:type="dxa"/>
              <w:end w:w="80" w:type="dxa"/>
            </w:tcMar>
            <w:shd w:fill="EDF4FA"/>
          </w:tcPr>
          <w:p>
            <w:pPr>
              <w:pStyle w:val="TableText"/>
            </w:pPr>
            <w:r/>
            <w:r>
              <w:rPr>
                <w:b w:val="0"/>
              </w:rPr>
              <w:t>Possible causes span genetic, anatomical, autoimmune, endocrine, and unexplained categories.</w:t>
            </w:r>
          </w:p>
        </w:tc>
      </w:tr>
      <w:tr>
        <w:trPr>
          <w:cantSplit/>
        </w:trPr>
        <w:tc>
          <w:tcPr>
            <w:tcW w:type="dxa" w:w="2664"/>
            <w:vAlign w:val="center"/>
            <w:tcMar>
              <w:top w:w="70" w:type="dxa"/>
              <w:bottom w:w="70" w:type="dxa"/>
              <w:start w:w="80" w:type="dxa"/>
              <w:end w:w="80" w:type="dxa"/>
            </w:tcMar>
          </w:tcPr>
          <w:p>
            <w:pPr>
              <w:pStyle w:val="TableText"/>
            </w:pPr>
            <w:r/>
            <w:r>
              <w:rPr>
                <w:b w:val="0"/>
              </w:rPr>
              <w:t>Limited project data</w:t>
            </w:r>
          </w:p>
        </w:tc>
        <w:tc>
          <w:tcPr>
            <w:tcW w:type="dxa" w:w="7416"/>
            <w:vAlign w:val="center"/>
            <w:tcMar>
              <w:top w:w="70" w:type="dxa"/>
              <w:bottom w:w="70" w:type="dxa"/>
              <w:start w:w="80" w:type="dxa"/>
              <w:end w:w="80" w:type="dxa"/>
            </w:tcMar>
          </w:tcPr>
          <w:p>
            <w:pPr>
              <w:pStyle w:val="TableText"/>
            </w:pPr>
            <w:r/>
            <w:r>
              <w:rPr>
                <w:b w:val="0"/>
              </w:rPr>
              <w:t>A count alone cannot identify timing, pregnancy location, cause, prior evaluation, or current treatment.</w:t>
            </w:r>
          </w:p>
        </w:tc>
      </w:tr>
      <w:tr>
        <w:trPr>
          <w:cantSplit/>
        </w:trPr>
        <w:tc>
          <w:tcPr>
            <w:tcW w:type="dxa" w:w="2664"/>
            <w:vAlign w:val="center"/>
            <w:tcMar>
              <w:top w:w="70" w:type="dxa"/>
              <w:bottom w:w="70" w:type="dxa"/>
              <w:start w:w="80" w:type="dxa"/>
              <w:end w:w="80" w:type="dxa"/>
            </w:tcMar>
            <w:shd w:fill="EDF4FA"/>
          </w:tcPr>
          <w:p>
            <w:pPr>
              <w:pStyle w:val="TableText"/>
            </w:pPr>
            <w:r/>
            <w:r>
              <w:rPr>
                <w:b w:val="0"/>
              </w:rPr>
              <w:t>Psychological and continuity needs</w:t>
            </w:r>
          </w:p>
        </w:tc>
        <w:tc>
          <w:tcPr>
            <w:tcW w:type="dxa" w:w="7416"/>
            <w:vAlign w:val="center"/>
            <w:tcMar>
              <w:top w:w="70" w:type="dxa"/>
              <w:bottom w:w="70" w:type="dxa"/>
              <w:start w:w="80" w:type="dxa"/>
              <w:end w:w="80" w:type="dxa"/>
            </w:tcMar>
            <w:shd w:fill="EDF4FA"/>
          </w:tcPr>
          <w:p>
            <w:pPr>
              <w:pStyle w:val="TableText"/>
            </w:pPr>
            <w:r/>
            <w:r>
              <w:rPr>
                <w:b w:val="0"/>
              </w:rPr>
              <w:t>Subsequent pregnancy may involve substantial anxiety and benefit from supportive, coordinated care.</w:t>
            </w:r>
          </w:p>
        </w:tc>
      </w:tr>
      <w:tr>
        <w:trPr>
          <w:cantSplit/>
        </w:trPr>
        <w:tc>
          <w:tcPr>
            <w:tcW w:type="dxa" w:w="2664"/>
            <w:vAlign w:val="center"/>
            <w:tcMar>
              <w:top w:w="70" w:type="dxa"/>
              <w:bottom w:w="70" w:type="dxa"/>
              <w:start w:w="80" w:type="dxa"/>
              <w:end w:w="80" w:type="dxa"/>
            </w:tcMar>
          </w:tcPr>
          <w:p>
            <w:pPr>
              <w:pStyle w:val="TableText"/>
            </w:pPr>
            <w:r/>
            <w:r>
              <w:rPr>
                <w:b w:val="0"/>
              </w:rPr>
              <w:t>Facility limitations</w:t>
            </w:r>
          </w:p>
        </w:tc>
        <w:tc>
          <w:tcPr>
            <w:tcW w:type="dxa" w:w="7416"/>
            <w:vAlign w:val="center"/>
            <w:tcMar>
              <w:top w:w="70" w:type="dxa"/>
              <w:bottom w:w="70" w:type="dxa"/>
              <w:start w:w="80" w:type="dxa"/>
              <w:end w:w="80" w:type="dxa"/>
            </w:tcMar>
          </w:tcPr>
          <w:p>
            <w:pPr>
              <w:pStyle w:val="TableText"/>
            </w:pPr>
            <w:r/>
            <w:r>
              <w:rPr>
                <w:b w:val="0"/>
              </w:rPr>
              <w:t>Specialist testing and management are outside normal lying-in capability.</w:t>
            </w:r>
          </w:p>
        </w:tc>
      </w:tr>
      <w:tr>
        <w:trPr>
          <w:cantSplit/>
        </w:trPr>
        <w:tc>
          <w:tcPr>
            <w:tcW w:type="dxa" w:w="2664"/>
            <w:vAlign w:val="center"/>
            <w:tcMar>
              <w:top w:w="70" w:type="dxa"/>
              <w:bottom w:w="70" w:type="dxa"/>
              <w:start w:w="80" w:type="dxa"/>
              <w:end w:w="80" w:type="dxa"/>
            </w:tcMar>
            <w:shd w:fill="EDF4FA"/>
          </w:tcPr>
          <w:p>
            <w:pPr>
              <w:pStyle w:val="TableText"/>
            </w:pPr>
            <w:r/>
            <w:r>
              <w:rPr>
                <w:b w:val="0"/>
              </w:rPr>
              <w:t>Explainable safety behavior</w:t>
            </w:r>
          </w:p>
        </w:tc>
        <w:tc>
          <w:tcPr>
            <w:tcW w:type="dxa" w:w="7416"/>
            <w:vAlign w:val="center"/>
            <w:tcMar>
              <w:top w:w="70" w:type="dxa"/>
              <w:bottom w:w="70" w:type="dxa"/>
              <w:start w:w="80" w:type="dxa"/>
              <w:end w:w="80" w:type="dxa"/>
            </w:tcMar>
            <w:shd w:fill="EDF4FA"/>
          </w:tcPr>
          <w:p>
            <w:pPr>
              <w:pStyle w:val="TableText"/>
            </w:pPr>
            <w:r/>
            <w:r>
              <w:rPr>
                <w:b w:val="0"/>
              </w:rPr>
              <w:t>A deterministic override prevents LOW ML output from hiding a major obstetric history.</w:t>
            </w:r>
          </w:p>
        </w:tc>
      </w:tr>
      <w:tr>
        <w:trPr>
          <w:cantSplit/>
        </w:trPr>
        <w:tc>
          <w:tcPr>
            <w:tcW w:type="dxa" w:w="2664"/>
            <w:vAlign w:val="center"/>
            <w:tcMar>
              <w:top w:w="70" w:type="dxa"/>
              <w:bottom w:w="70" w:type="dxa"/>
              <w:start w:w="80" w:type="dxa"/>
              <w:end w:w="80" w:type="dxa"/>
            </w:tcMar>
          </w:tcPr>
          <w:p>
            <w:pPr>
              <w:pStyle w:val="TableText"/>
            </w:pPr>
            <w:r/>
            <w:r>
              <w:rPr>
                <w:b w:val="0"/>
              </w:rPr>
              <w:t>Preservation of prognosis</w:t>
            </w:r>
          </w:p>
        </w:tc>
        <w:tc>
          <w:tcPr>
            <w:tcW w:type="dxa" w:w="7416"/>
            <w:vAlign w:val="center"/>
            <w:tcMar>
              <w:top w:w="70" w:type="dxa"/>
              <w:bottom w:w="70" w:type="dxa"/>
              <w:start w:w="80" w:type="dxa"/>
              <w:end w:w="80" w:type="dxa"/>
            </w:tcMar>
          </w:tcPr>
          <w:p>
            <w:pPr>
              <w:pStyle w:val="TableText"/>
            </w:pPr>
            <w:r/>
            <w:r>
              <w:rPr>
                <w:b w:val="0"/>
              </w:rPr>
              <w:t>HIGH indicates need for assessment, not certainty of another loss.</w:t>
            </w:r>
          </w:p>
        </w:tc>
      </w:tr>
    </w:tbl>
    <w:p>
      <w:pPr>
        <w:spacing w:after="20"/>
      </w:pPr>
    </w:p>
    <w:p>
      <w:pPr>
        <w:pStyle w:val="Heading1"/>
      </w:pPr>
      <w:r>
        <w:t>9. Decision Logic and Precedence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cantSplit/>
        </w:trPr>
        <w:tc>
          <w:tcPr>
            <w:tcW w:type="dxa" w:w="1800"/>
            <w:vAlign w:val="center"/>
            <w:tcMar>
              <w:top w:w="70" w:type="dxa"/>
              <w:bottom w:w="70" w:type="dxa"/>
              <w:start w:w="80" w:type="dxa"/>
              <w:end w:w="80" w:type="dxa"/>
            </w:tcMar>
            <w:shd w:fill="17365D"/>
          </w:tcPr>
          <w:p>
            <w:pPr>
              <w:pStyle w:val="TableHeader"/>
            </w:pPr>
            <w:r/>
            <w:r>
              <w:rPr>
                <w:b/>
                <w:color w:val="FFFFFF"/>
              </w:rPr>
              <w:t>Miscarriage count</w:t>
            </w:r>
          </w:p>
        </w:tc>
        <w:tc>
          <w:tcPr>
            <w:tcW w:type="dxa" w:w="1440"/>
            <w:vAlign w:val="center"/>
            <w:tcMar>
              <w:top w:w="70" w:type="dxa"/>
              <w:bottom w:w="70" w:type="dxa"/>
              <w:start w:w="80" w:type="dxa"/>
              <w:end w:w="80" w:type="dxa"/>
            </w:tcMar>
            <w:shd w:fill="17365D"/>
          </w:tcPr>
          <w:p>
            <w:pPr>
              <w:pStyle w:val="TableHeader"/>
            </w:pPr>
            <w:r/>
            <w:r>
              <w:rPr>
                <w:b/>
                <w:color w:val="FFFFFF"/>
              </w:rPr>
              <w:t>ML output</w:t>
            </w:r>
          </w:p>
        </w:tc>
        <w:tc>
          <w:tcPr>
            <w:tcW w:type="dxa" w:w="1800"/>
            <w:vAlign w:val="center"/>
            <w:tcMar>
              <w:top w:w="70" w:type="dxa"/>
              <w:bottom w:w="70" w:type="dxa"/>
              <w:start w:w="80" w:type="dxa"/>
              <w:end w:w="80" w:type="dxa"/>
            </w:tcMar>
            <w:shd w:fill="17365D"/>
          </w:tcPr>
          <w:p>
            <w:pPr>
              <w:pStyle w:val="TableHeader"/>
            </w:pPr>
            <w:r/>
            <w:r>
              <w:rPr>
                <w:b/>
                <w:color w:val="FFFFFF"/>
              </w:rPr>
              <w:t>Other HIGH factor</w:t>
            </w:r>
          </w:p>
        </w:tc>
        <w:tc>
          <w:tcPr>
            <w:tcW w:type="dxa" w:w="2016"/>
            <w:vAlign w:val="center"/>
            <w:tcMar>
              <w:top w:w="70" w:type="dxa"/>
              <w:bottom w:w="70" w:type="dxa"/>
              <w:start w:w="80" w:type="dxa"/>
              <w:end w:w="80" w:type="dxa"/>
            </w:tcMar>
            <w:shd w:fill="17365D"/>
          </w:tcPr>
          <w:p>
            <w:pPr>
              <w:pStyle w:val="TableHeader"/>
            </w:pPr>
            <w:r/>
            <w:r>
              <w:rPr>
                <w:b/>
                <w:color w:val="FFFFFF"/>
              </w:rPr>
              <w:t>Required records</w:t>
            </w:r>
          </w:p>
        </w:tc>
        <w:tc>
          <w:tcPr>
            <w:tcW w:type="dxa" w:w="3888"/>
            <w:vAlign w:val="center"/>
            <w:tcMar>
              <w:top w:w="70" w:type="dxa"/>
              <w:bottom w:w="70" w:type="dxa"/>
              <w:start w:w="80" w:type="dxa"/>
              <w:end w:w="80" w:type="dxa"/>
            </w:tcMar>
            <w:shd w:fill="17365D"/>
          </w:tcPr>
          <w:p>
            <w:pPr>
              <w:pStyle w:val="TableHeader"/>
            </w:pPr>
            <w:r/>
            <w:r>
              <w:rPr>
                <w:b/>
                <w:color w:val="FFFFFF"/>
              </w:rPr>
              <w:t>Expected result</w:t>
            </w:r>
          </w:p>
        </w:tc>
      </w:tr>
      <w:tr>
        <w:trPr>
          <w:cantSplit/>
        </w:trPr>
        <w:tc>
          <w:tcPr>
            <w:tcW w:type="dxa" w:w="1800"/>
            <w:vAlign w:val="center"/>
            <w:tcMar>
              <w:top w:w="70" w:type="dxa"/>
              <w:bottom w:w="70" w:type="dxa"/>
              <w:start w:w="80" w:type="dxa"/>
              <w:end w:w="80" w:type="dxa"/>
            </w:tcMar>
          </w:tcPr>
          <w:p>
            <w:pPr>
              <w:pStyle w:val="TableText"/>
            </w:pPr>
            <w:r/>
            <w:r>
              <w:rPr>
                <w:b w:val="0"/>
              </w:rPr>
              <w:t>3 or more</w:t>
            </w:r>
          </w:p>
        </w:tc>
        <w:tc>
          <w:tcPr>
            <w:tcW w:type="dxa" w:w="1440"/>
            <w:vAlign w:val="center"/>
            <w:tcMar>
              <w:top w:w="70" w:type="dxa"/>
              <w:bottom w:w="70" w:type="dxa"/>
              <w:start w:w="80" w:type="dxa"/>
              <w:end w:w="80" w:type="dxa"/>
            </w:tcMar>
          </w:tcPr>
          <w:p>
            <w:pPr>
              <w:pStyle w:val="TableText"/>
            </w:pPr>
            <w:r/>
            <w:r>
              <w:rPr>
                <w:b w:val="0"/>
              </w:rPr>
              <w:t>LOW</w:t>
            </w:r>
          </w:p>
        </w:tc>
        <w:tc>
          <w:tcPr>
            <w:tcW w:type="dxa" w:w="1800"/>
            <w:vAlign w:val="center"/>
            <w:tcMar>
              <w:top w:w="70" w:type="dxa"/>
              <w:bottom w:w="70" w:type="dxa"/>
              <w:start w:w="80" w:type="dxa"/>
              <w:end w:w="80" w:type="dxa"/>
            </w:tcMar>
          </w:tcPr>
          <w:p>
            <w:pPr>
              <w:pStyle w:val="TableText"/>
            </w:pPr>
            <w:r/>
            <w:r>
              <w:rPr>
                <w:b w:val="0"/>
              </w:rPr>
              <w:t>No</w:t>
            </w:r>
          </w:p>
        </w:tc>
        <w:tc>
          <w:tcPr>
            <w:tcW w:type="dxa" w:w="2016"/>
            <w:vAlign w:val="center"/>
            <w:tcMar>
              <w:top w:w="70" w:type="dxa"/>
              <w:bottom w:w="70" w:type="dxa"/>
              <w:start w:w="80" w:type="dxa"/>
              <w:end w:w="80" w:type="dxa"/>
            </w:tcMar>
          </w:tcPr>
          <w:p>
            <w:pPr>
              <w:pStyle w:val="TableText"/>
            </w:pPr>
            <w:r/>
            <w:r>
              <w:rPr>
                <w:b w:val="0"/>
              </w:rPr>
              <w:t>Complete</w:t>
            </w:r>
          </w:p>
        </w:tc>
        <w:tc>
          <w:tcPr>
            <w:tcW w:type="dxa" w:w="3888"/>
            <w:vAlign w:val="center"/>
            <w:tcMar>
              <w:top w:w="70" w:type="dxa"/>
              <w:bottom w:w="70" w:type="dxa"/>
              <w:start w:w="80" w:type="dxa"/>
              <w:end w:w="80" w:type="dxa"/>
            </w:tcMar>
          </w:tcPr>
          <w:p>
            <w:pPr>
              <w:pStyle w:val="TableText"/>
            </w:pPr>
            <w:r/>
            <w:r>
              <w:rPr>
                <w:b w:val="0"/>
              </w:rPr>
              <w:t>HIGH</w:t>
            </w:r>
          </w:p>
        </w:tc>
      </w:tr>
      <w:tr>
        <w:trPr>
          <w:cantSplit/>
        </w:trPr>
        <w:tc>
          <w:tcPr>
            <w:tcW w:type="dxa" w:w="1800"/>
            <w:vAlign w:val="center"/>
            <w:tcMar>
              <w:top w:w="70" w:type="dxa"/>
              <w:bottom w:w="70" w:type="dxa"/>
              <w:start w:w="80" w:type="dxa"/>
              <w:end w:w="80" w:type="dxa"/>
            </w:tcMar>
            <w:shd w:fill="EDF4FA"/>
          </w:tcPr>
          <w:p>
            <w:pPr>
              <w:pStyle w:val="TableText"/>
            </w:pPr>
            <w:r/>
            <w:r>
              <w:rPr>
                <w:b w:val="0"/>
              </w:rPr>
              <w:t>3 or more</w:t>
            </w:r>
          </w:p>
        </w:tc>
        <w:tc>
          <w:tcPr>
            <w:tcW w:type="dxa" w:w="1440"/>
            <w:vAlign w:val="center"/>
            <w:tcMar>
              <w:top w:w="70" w:type="dxa"/>
              <w:bottom w:w="70" w:type="dxa"/>
              <w:start w:w="80" w:type="dxa"/>
              <w:end w:w="80" w:type="dxa"/>
            </w:tcMar>
            <w:shd w:fill="EDF4FA"/>
          </w:tcPr>
          <w:p>
            <w:pPr>
              <w:pStyle w:val="TableText"/>
            </w:pPr>
            <w:r/>
            <w:r>
              <w:rPr>
                <w:b w:val="0"/>
              </w:rPr>
              <w:t>HIGH</w:t>
            </w:r>
          </w:p>
        </w:tc>
        <w:tc>
          <w:tcPr>
            <w:tcW w:type="dxa" w:w="1800"/>
            <w:vAlign w:val="center"/>
            <w:tcMar>
              <w:top w:w="70" w:type="dxa"/>
              <w:bottom w:w="70" w:type="dxa"/>
              <w:start w:w="80" w:type="dxa"/>
              <w:end w:w="80" w:type="dxa"/>
            </w:tcMar>
            <w:shd w:fill="EDF4FA"/>
          </w:tcPr>
          <w:p>
            <w:pPr>
              <w:pStyle w:val="TableText"/>
            </w:pPr>
            <w:r/>
            <w:r>
              <w:rPr>
                <w:b w:val="0"/>
              </w:rPr>
              <w:t>No</w:t>
            </w:r>
          </w:p>
        </w:tc>
        <w:tc>
          <w:tcPr>
            <w:tcW w:type="dxa" w:w="2016"/>
            <w:vAlign w:val="center"/>
            <w:tcMar>
              <w:top w:w="70" w:type="dxa"/>
              <w:bottom w:w="70" w:type="dxa"/>
              <w:start w:w="80" w:type="dxa"/>
              <w:end w:w="80" w:type="dxa"/>
            </w:tcMar>
            <w:shd w:fill="EDF4FA"/>
          </w:tcPr>
          <w:p>
            <w:pPr>
              <w:pStyle w:val="TableText"/>
            </w:pPr>
            <w:r/>
            <w:r>
              <w:rPr>
                <w:b w:val="0"/>
              </w:rPr>
              <w:t>Complete</w:t>
            </w:r>
          </w:p>
        </w:tc>
        <w:tc>
          <w:tcPr>
            <w:tcW w:type="dxa" w:w="3888"/>
            <w:vAlign w:val="center"/>
            <w:tcMar>
              <w:top w:w="70" w:type="dxa"/>
              <w:bottom w:w="70" w:type="dxa"/>
              <w:start w:w="80" w:type="dxa"/>
              <w:end w:w="80" w:type="dxa"/>
            </w:tcMar>
            <w:shd w:fill="EDF4FA"/>
          </w:tcPr>
          <w:p>
            <w:pPr>
              <w:pStyle w:val="TableText"/>
            </w:pPr>
            <w:r/>
            <w:r>
              <w:rPr>
                <w:b w:val="0"/>
              </w:rPr>
              <w:t>HIGH</w:t>
            </w:r>
          </w:p>
        </w:tc>
      </w:tr>
      <w:tr>
        <w:trPr>
          <w:cantSplit/>
        </w:trPr>
        <w:tc>
          <w:tcPr>
            <w:tcW w:type="dxa" w:w="1800"/>
            <w:vAlign w:val="center"/>
            <w:tcMar>
              <w:top w:w="70" w:type="dxa"/>
              <w:bottom w:w="70" w:type="dxa"/>
              <w:start w:w="80" w:type="dxa"/>
              <w:end w:w="80" w:type="dxa"/>
            </w:tcMar>
          </w:tcPr>
          <w:p>
            <w:pPr>
              <w:pStyle w:val="TableText"/>
            </w:pPr>
            <w:r/>
            <w:r>
              <w:rPr>
                <w:b w:val="0"/>
              </w:rPr>
              <w:t>3 or more</w:t>
            </w:r>
          </w:p>
        </w:tc>
        <w:tc>
          <w:tcPr>
            <w:tcW w:type="dxa" w:w="1440"/>
            <w:vAlign w:val="center"/>
            <w:tcMar>
              <w:top w:w="70" w:type="dxa"/>
              <w:bottom w:w="70" w:type="dxa"/>
              <w:start w:w="80" w:type="dxa"/>
              <w:end w:w="80" w:type="dxa"/>
            </w:tcMar>
          </w:tcPr>
          <w:p>
            <w:pPr>
              <w:pStyle w:val="TableText"/>
            </w:pPr>
            <w:r/>
            <w:r>
              <w:rPr>
                <w:b w:val="0"/>
              </w:rPr>
              <w:t>Invalid</w:t>
            </w:r>
          </w:p>
        </w:tc>
        <w:tc>
          <w:tcPr>
            <w:tcW w:type="dxa" w:w="1800"/>
            <w:vAlign w:val="center"/>
            <w:tcMar>
              <w:top w:w="70" w:type="dxa"/>
              <w:bottom w:w="70" w:type="dxa"/>
              <w:start w:w="80" w:type="dxa"/>
              <w:end w:w="80" w:type="dxa"/>
            </w:tcMar>
          </w:tcPr>
          <w:p>
            <w:pPr>
              <w:pStyle w:val="TableText"/>
            </w:pPr>
            <w:r/>
            <w:r>
              <w:rPr>
                <w:b w:val="0"/>
              </w:rPr>
              <w:t>No</w:t>
            </w:r>
          </w:p>
        </w:tc>
        <w:tc>
          <w:tcPr>
            <w:tcW w:type="dxa" w:w="2016"/>
            <w:vAlign w:val="center"/>
            <w:tcMar>
              <w:top w:w="70" w:type="dxa"/>
              <w:bottom w:w="70" w:type="dxa"/>
              <w:start w:w="80" w:type="dxa"/>
              <w:end w:w="80" w:type="dxa"/>
            </w:tcMar>
          </w:tcPr>
          <w:p>
            <w:pPr>
              <w:pStyle w:val="TableText"/>
            </w:pPr>
            <w:r/>
            <w:r>
              <w:rPr>
                <w:b w:val="0"/>
              </w:rPr>
              <w:t>Complete</w:t>
            </w:r>
          </w:p>
        </w:tc>
        <w:tc>
          <w:tcPr>
            <w:tcW w:type="dxa" w:w="3888"/>
            <w:vAlign w:val="center"/>
            <w:tcMar>
              <w:top w:w="70" w:type="dxa"/>
              <w:bottom w:w="70" w:type="dxa"/>
              <w:start w:w="80" w:type="dxa"/>
              <w:end w:w="80" w:type="dxa"/>
            </w:tcMar>
          </w:tcPr>
          <w:p>
            <w:pPr>
              <w:pStyle w:val="TableText"/>
            </w:pPr>
            <w:r/>
            <w:r>
              <w:rPr>
                <w:b w:val="0"/>
              </w:rPr>
              <w:t>HIGH, with ML failure logged</w:t>
            </w:r>
          </w:p>
        </w:tc>
      </w:tr>
      <w:tr>
        <w:trPr>
          <w:cantSplit/>
        </w:trPr>
        <w:tc>
          <w:tcPr>
            <w:tcW w:type="dxa" w:w="1800"/>
            <w:vAlign w:val="center"/>
            <w:tcMar>
              <w:top w:w="70" w:type="dxa"/>
              <w:bottom w:w="70" w:type="dxa"/>
              <w:start w:w="80" w:type="dxa"/>
              <w:end w:w="80" w:type="dxa"/>
            </w:tcMar>
            <w:shd w:fill="EDF4FA"/>
          </w:tcPr>
          <w:p>
            <w:pPr>
              <w:pStyle w:val="TableText"/>
            </w:pPr>
            <w:r/>
            <w:r>
              <w:rPr>
                <w:b w:val="0"/>
              </w:rPr>
              <w:t>2</w:t>
            </w:r>
          </w:p>
        </w:tc>
        <w:tc>
          <w:tcPr>
            <w:tcW w:type="dxa" w:w="1440"/>
            <w:vAlign w:val="center"/>
            <w:tcMar>
              <w:top w:w="70" w:type="dxa"/>
              <w:bottom w:w="70" w:type="dxa"/>
              <w:start w:w="80" w:type="dxa"/>
              <w:end w:w="80" w:type="dxa"/>
            </w:tcMar>
            <w:shd w:fill="EDF4FA"/>
          </w:tcPr>
          <w:p>
            <w:pPr>
              <w:pStyle w:val="TableText"/>
            </w:pPr>
            <w:r/>
            <w:r>
              <w:rPr>
                <w:b w:val="0"/>
              </w:rPr>
              <w:t>LOW</w:t>
            </w:r>
          </w:p>
        </w:tc>
        <w:tc>
          <w:tcPr>
            <w:tcW w:type="dxa" w:w="1800"/>
            <w:vAlign w:val="center"/>
            <w:tcMar>
              <w:top w:w="70" w:type="dxa"/>
              <w:bottom w:w="70" w:type="dxa"/>
              <w:start w:w="80" w:type="dxa"/>
              <w:end w:w="80" w:type="dxa"/>
            </w:tcMar>
            <w:shd w:fill="EDF4FA"/>
          </w:tcPr>
          <w:p>
            <w:pPr>
              <w:pStyle w:val="TableText"/>
            </w:pPr>
            <w:r/>
            <w:r>
              <w:rPr>
                <w:b w:val="0"/>
              </w:rPr>
              <w:t>No</w:t>
            </w:r>
          </w:p>
        </w:tc>
        <w:tc>
          <w:tcPr>
            <w:tcW w:type="dxa" w:w="2016"/>
            <w:vAlign w:val="center"/>
            <w:tcMar>
              <w:top w:w="70" w:type="dxa"/>
              <w:bottom w:w="70" w:type="dxa"/>
              <w:start w:w="80" w:type="dxa"/>
              <w:end w:w="80" w:type="dxa"/>
            </w:tcMar>
            <w:shd w:fill="EDF4FA"/>
          </w:tcPr>
          <w:p>
            <w:pPr>
              <w:pStyle w:val="TableText"/>
            </w:pPr>
            <w:r/>
            <w:r>
              <w:rPr>
                <w:b w:val="0"/>
              </w:rPr>
              <w:t>Complete</w:t>
            </w:r>
          </w:p>
        </w:tc>
        <w:tc>
          <w:tcPr>
            <w:tcW w:type="dxa" w:w="3888"/>
            <w:vAlign w:val="center"/>
            <w:tcMar>
              <w:top w:w="70" w:type="dxa"/>
              <w:bottom w:w="70" w:type="dxa"/>
              <w:start w:w="80" w:type="dxa"/>
              <w:end w:w="80" w:type="dxa"/>
            </w:tcMar>
            <w:shd w:fill="EDF4FA"/>
          </w:tcPr>
          <w:p>
            <w:pPr>
              <w:pStyle w:val="TableText"/>
            </w:pPr>
            <w:r/>
            <w:r>
              <w:rPr>
                <w:b w:val="0"/>
              </w:rPr>
              <w:t>No RM-03 override; show review alert under future governance</w:t>
            </w:r>
          </w:p>
        </w:tc>
      </w:tr>
      <w:tr>
        <w:trPr>
          <w:cantSplit/>
        </w:trPr>
        <w:tc>
          <w:tcPr>
            <w:tcW w:type="dxa" w:w="1800"/>
            <w:vAlign w:val="center"/>
            <w:tcMar>
              <w:top w:w="70" w:type="dxa"/>
              <w:bottom w:w="70" w:type="dxa"/>
              <w:start w:w="80" w:type="dxa"/>
              <w:end w:w="80" w:type="dxa"/>
            </w:tcMar>
          </w:tcPr>
          <w:p>
            <w:pPr>
              <w:pStyle w:val="TableText"/>
            </w:pPr>
            <w:r/>
            <w:r>
              <w:rPr>
                <w:b w:val="0"/>
              </w:rPr>
              <w:t>0 or 1</w:t>
            </w:r>
          </w:p>
        </w:tc>
        <w:tc>
          <w:tcPr>
            <w:tcW w:type="dxa" w:w="1440"/>
            <w:vAlign w:val="center"/>
            <w:tcMar>
              <w:top w:w="70" w:type="dxa"/>
              <w:bottom w:w="70" w:type="dxa"/>
              <w:start w:w="80" w:type="dxa"/>
              <w:end w:w="80" w:type="dxa"/>
            </w:tcMar>
          </w:tcPr>
          <w:p>
            <w:pPr>
              <w:pStyle w:val="TableText"/>
            </w:pPr>
            <w:r/>
            <w:r>
              <w:rPr>
                <w:b w:val="0"/>
              </w:rPr>
              <w:t>LOW</w:t>
            </w:r>
          </w:p>
        </w:tc>
        <w:tc>
          <w:tcPr>
            <w:tcW w:type="dxa" w:w="1800"/>
            <w:vAlign w:val="center"/>
            <w:tcMar>
              <w:top w:w="70" w:type="dxa"/>
              <w:bottom w:w="70" w:type="dxa"/>
              <w:start w:w="80" w:type="dxa"/>
              <w:end w:w="80" w:type="dxa"/>
            </w:tcMar>
          </w:tcPr>
          <w:p>
            <w:pPr>
              <w:pStyle w:val="TableText"/>
            </w:pPr>
            <w:r/>
            <w:r>
              <w:rPr>
                <w:b w:val="0"/>
              </w:rPr>
              <w:t>No</w:t>
            </w:r>
          </w:p>
        </w:tc>
        <w:tc>
          <w:tcPr>
            <w:tcW w:type="dxa" w:w="2016"/>
            <w:vAlign w:val="center"/>
            <w:tcMar>
              <w:top w:w="70" w:type="dxa"/>
              <w:bottom w:w="70" w:type="dxa"/>
              <w:start w:w="80" w:type="dxa"/>
              <w:end w:w="80" w:type="dxa"/>
            </w:tcMar>
          </w:tcPr>
          <w:p>
            <w:pPr>
              <w:pStyle w:val="TableText"/>
            </w:pPr>
            <w:r/>
            <w:r>
              <w:rPr>
                <w:b w:val="0"/>
              </w:rPr>
              <w:t>Complete</w:t>
            </w:r>
          </w:p>
        </w:tc>
        <w:tc>
          <w:tcPr>
            <w:tcW w:type="dxa" w:w="3888"/>
            <w:vAlign w:val="center"/>
            <w:tcMar>
              <w:top w:w="70" w:type="dxa"/>
              <w:bottom w:w="70" w:type="dxa"/>
              <w:start w:w="80" w:type="dxa"/>
              <w:end w:w="80" w:type="dxa"/>
            </w:tcMar>
          </w:tcPr>
          <w:p>
            <w:pPr>
              <w:pStyle w:val="TableText"/>
            </w:pPr>
            <w:r/>
            <w:r>
              <w:rPr>
                <w:b w:val="0"/>
              </w:rPr>
              <w:t>LOW</w:t>
            </w:r>
          </w:p>
        </w:tc>
      </w:tr>
      <w:tr>
        <w:trPr>
          <w:cantSplit/>
        </w:trPr>
        <w:tc>
          <w:tcPr>
            <w:tcW w:type="dxa" w:w="1800"/>
            <w:vAlign w:val="center"/>
            <w:tcMar>
              <w:top w:w="70" w:type="dxa"/>
              <w:bottom w:w="70" w:type="dxa"/>
              <w:start w:w="80" w:type="dxa"/>
              <w:end w:w="80" w:type="dxa"/>
            </w:tcMar>
            <w:shd w:fill="EDF4FA"/>
          </w:tcPr>
          <w:p>
            <w:pPr>
              <w:pStyle w:val="TableText"/>
            </w:pPr>
            <w:r/>
            <w:r>
              <w:rPr>
                <w:b w:val="0"/>
              </w:rPr>
              <w:t>Any valid count</w:t>
            </w:r>
          </w:p>
        </w:tc>
        <w:tc>
          <w:tcPr>
            <w:tcW w:type="dxa" w:w="1440"/>
            <w:vAlign w:val="center"/>
            <w:tcMar>
              <w:top w:w="70" w:type="dxa"/>
              <w:bottom w:w="70" w:type="dxa"/>
              <w:start w:w="80" w:type="dxa"/>
              <w:end w:w="80" w:type="dxa"/>
            </w:tcMar>
            <w:shd w:fill="EDF4FA"/>
          </w:tcPr>
          <w:p>
            <w:pPr>
              <w:pStyle w:val="TableText"/>
            </w:pPr>
            <w:r/>
            <w:r>
              <w:rPr>
                <w:b w:val="0"/>
              </w:rPr>
              <w:t>LOW</w:t>
            </w:r>
          </w:p>
        </w:tc>
        <w:tc>
          <w:tcPr>
            <w:tcW w:type="dxa" w:w="1800"/>
            <w:vAlign w:val="center"/>
            <w:tcMar>
              <w:top w:w="70" w:type="dxa"/>
              <w:bottom w:w="70" w:type="dxa"/>
              <w:start w:w="80" w:type="dxa"/>
              <w:end w:w="80" w:type="dxa"/>
            </w:tcMar>
            <w:shd w:fill="EDF4FA"/>
          </w:tcPr>
          <w:p>
            <w:pPr>
              <w:pStyle w:val="TableText"/>
            </w:pPr>
            <w:r/>
            <w:r>
              <w:rPr>
                <w:b w:val="0"/>
              </w:rPr>
              <w:t>Yes</w:t>
            </w:r>
          </w:p>
        </w:tc>
        <w:tc>
          <w:tcPr>
            <w:tcW w:type="dxa" w:w="2016"/>
            <w:vAlign w:val="center"/>
            <w:tcMar>
              <w:top w:w="70" w:type="dxa"/>
              <w:bottom w:w="70" w:type="dxa"/>
              <w:start w:w="80" w:type="dxa"/>
              <w:end w:w="80" w:type="dxa"/>
            </w:tcMar>
            <w:shd w:fill="EDF4FA"/>
          </w:tcPr>
          <w:p>
            <w:pPr>
              <w:pStyle w:val="TableText"/>
            </w:pPr>
            <w:r/>
            <w:r>
              <w:rPr>
                <w:b w:val="0"/>
              </w:rPr>
              <w:t>Complete</w:t>
            </w:r>
          </w:p>
        </w:tc>
        <w:tc>
          <w:tcPr>
            <w:tcW w:type="dxa" w:w="3888"/>
            <w:vAlign w:val="center"/>
            <w:tcMar>
              <w:top w:w="70" w:type="dxa"/>
              <w:bottom w:w="70" w:type="dxa"/>
              <w:start w:w="80" w:type="dxa"/>
              <w:end w:w="80" w:type="dxa"/>
            </w:tcMar>
            <w:shd w:fill="EDF4FA"/>
          </w:tcPr>
          <w:p>
            <w:pPr>
              <w:pStyle w:val="TableText"/>
            </w:pPr>
            <w:r/>
            <w:r>
              <w:rPr>
                <w:b w:val="0"/>
              </w:rPr>
              <w:t>HIGH</w:t>
            </w:r>
          </w:p>
        </w:tc>
      </w:tr>
      <w:tr>
        <w:trPr>
          <w:cantSplit/>
        </w:trPr>
        <w:tc>
          <w:tcPr>
            <w:tcW w:type="dxa" w:w="1800"/>
            <w:vAlign w:val="center"/>
            <w:tcMar>
              <w:top w:w="70" w:type="dxa"/>
              <w:bottom w:w="70" w:type="dxa"/>
              <w:start w:w="80" w:type="dxa"/>
              <w:end w:w="80" w:type="dxa"/>
            </w:tcMar>
          </w:tcPr>
          <w:p>
            <w:pPr>
              <w:pStyle w:val="TableText"/>
            </w:pPr>
            <w:r/>
            <w:r>
              <w:rPr>
                <w:b w:val="0"/>
              </w:rPr>
              <w:t>Missing/invalid</w:t>
            </w:r>
          </w:p>
        </w:tc>
        <w:tc>
          <w:tcPr>
            <w:tcW w:type="dxa" w:w="1440"/>
            <w:vAlign w:val="center"/>
            <w:tcMar>
              <w:top w:w="70" w:type="dxa"/>
              <w:bottom w:w="70" w:type="dxa"/>
              <w:start w:w="80" w:type="dxa"/>
              <w:end w:w="80" w:type="dxa"/>
            </w:tcMar>
          </w:tcPr>
          <w:p>
            <w:pPr>
              <w:pStyle w:val="TableText"/>
            </w:pPr>
            <w:r/>
            <w:r>
              <w:rPr>
                <w:b w:val="0"/>
              </w:rPr>
              <w:t>Any</w:t>
            </w:r>
          </w:p>
        </w:tc>
        <w:tc>
          <w:tcPr>
            <w:tcW w:type="dxa" w:w="1800"/>
            <w:vAlign w:val="center"/>
            <w:tcMar>
              <w:top w:w="70" w:type="dxa"/>
              <w:bottom w:w="70" w:type="dxa"/>
              <w:start w:w="80" w:type="dxa"/>
              <w:end w:w="80" w:type="dxa"/>
            </w:tcMar>
          </w:tcPr>
          <w:p>
            <w:pPr>
              <w:pStyle w:val="TableText"/>
            </w:pPr>
            <w:r/>
            <w:r>
              <w:rPr>
                <w:b w:val="0"/>
              </w:rPr>
              <w:t>No</w:t>
            </w:r>
          </w:p>
        </w:tc>
        <w:tc>
          <w:tcPr>
            <w:tcW w:type="dxa" w:w="2016"/>
            <w:vAlign w:val="center"/>
            <w:tcMar>
              <w:top w:w="70" w:type="dxa"/>
              <w:bottom w:w="70" w:type="dxa"/>
              <w:start w:w="80" w:type="dxa"/>
              <w:end w:w="80" w:type="dxa"/>
            </w:tcMar>
          </w:tcPr>
          <w:p>
            <w:pPr>
              <w:pStyle w:val="TableText"/>
            </w:pPr>
            <w:r/>
            <w:r>
              <w:rPr>
                <w:b w:val="0"/>
              </w:rPr>
              <w:t>Incomplete or unclear</w:t>
            </w:r>
          </w:p>
        </w:tc>
        <w:tc>
          <w:tcPr>
            <w:tcW w:type="dxa" w:w="3888"/>
            <w:vAlign w:val="center"/>
            <w:tcMar>
              <w:top w:w="70" w:type="dxa"/>
              <w:bottom w:w="70" w:type="dxa"/>
              <w:start w:w="80" w:type="dxa"/>
              <w:end w:w="80" w:type="dxa"/>
            </w:tcMar>
          </w:tcPr>
          <w:p>
            <w:pPr>
              <w:pStyle w:val="TableText"/>
            </w:pPr>
            <w:r/>
            <w:r>
              <w:rPr>
                <w:b w:val="0"/>
              </w:rPr>
              <w:t>ASSESSMENT INCOMPLETE</w:t>
            </w:r>
          </w:p>
        </w:tc>
      </w:tr>
      <w:tr>
        <w:trPr>
          <w:cantSplit/>
        </w:trPr>
        <w:tc>
          <w:tcPr>
            <w:tcW w:type="dxa" w:w="1800"/>
            <w:vAlign w:val="center"/>
            <w:tcMar>
              <w:top w:w="70" w:type="dxa"/>
              <w:bottom w:w="70" w:type="dxa"/>
              <w:start w:w="80" w:type="dxa"/>
              <w:end w:w="80" w:type="dxa"/>
            </w:tcMar>
            <w:shd w:fill="EDF4FA"/>
          </w:tcPr>
          <w:p>
            <w:pPr>
              <w:pStyle w:val="TableText"/>
            </w:pPr>
            <w:r/>
            <w:r>
              <w:rPr>
                <w:b w:val="0"/>
              </w:rPr>
              <w:t>-1 or nonnumeric</w:t>
            </w:r>
          </w:p>
        </w:tc>
        <w:tc>
          <w:tcPr>
            <w:tcW w:type="dxa" w:w="1440"/>
            <w:vAlign w:val="center"/>
            <w:tcMar>
              <w:top w:w="70" w:type="dxa"/>
              <w:bottom w:w="70" w:type="dxa"/>
              <w:start w:w="80" w:type="dxa"/>
              <w:end w:w="80" w:type="dxa"/>
            </w:tcMar>
            <w:shd w:fill="EDF4FA"/>
          </w:tcPr>
          <w:p>
            <w:pPr>
              <w:pStyle w:val="TableText"/>
            </w:pPr>
            <w:r/>
            <w:r>
              <w:rPr>
                <w:b w:val="0"/>
              </w:rPr>
              <w:t>Any</w:t>
            </w:r>
          </w:p>
        </w:tc>
        <w:tc>
          <w:tcPr>
            <w:tcW w:type="dxa" w:w="1800"/>
            <w:vAlign w:val="center"/>
            <w:tcMar>
              <w:top w:w="70" w:type="dxa"/>
              <w:bottom w:w="70" w:type="dxa"/>
              <w:start w:w="80" w:type="dxa"/>
              <w:end w:w="80" w:type="dxa"/>
            </w:tcMar>
            <w:shd w:fill="EDF4FA"/>
          </w:tcPr>
          <w:p>
            <w:pPr>
              <w:pStyle w:val="TableText"/>
            </w:pPr>
            <w:r/>
            <w:r>
              <w:rPr>
                <w:b w:val="0"/>
              </w:rPr>
              <w:t>Any</w:t>
            </w:r>
          </w:p>
        </w:tc>
        <w:tc>
          <w:tcPr>
            <w:tcW w:type="dxa" w:w="2016"/>
            <w:vAlign w:val="center"/>
            <w:tcMar>
              <w:top w:w="70" w:type="dxa"/>
              <w:bottom w:w="70" w:type="dxa"/>
              <w:start w:w="80" w:type="dxa"/>
              <w:end w:w="80" w:type="dxa"/>
            </w:tcMar>
            <w:shd w:fill="EDF4FA"/>
          </w:tcPr>
          <w:p>
            <w:pPr>
              <w:pStyle w:val="TableText"/>
            </w:pPr>
            <w:r/>
            <w:r>
              <w:rPr>
                <w:b w:val="0"/>
              </w:rPr>
              <w:t>Any</w:t>
            </w:r>
          </w:p>
        </w:tc>
        <w:tc>
          <w:tcPr>
            <w:tcW w:type="dxa" w:w="3888"/>
            <w:vAlign w:val="center"/>
            <w:tcMar>
              <w:top w:w="70" w:type="dxa"/>
              <w:bottom w:w="70" w:type="dxa"/>
              <w:start w:w="80" w:type="dxa"/>
              <w:end w:w="80" w:type="dxa"/>
            </w:tcMar>
            <w:shd w:fill="EDF4FA"/>
          </w:tcPr>
          <w:p>
            <w:pPr>
              <w:pStyle w:val="TableText"/>
            </w:pPr>
            <w:r/>
            <w:r>
              <w:rPr>
                <w:b w:val="0"/>
              </w:rPr>
              <w:t>Validation error / ASSESSMENT INCOMPLETE</w:t>
            </w:r>
          </w:p>
        </w:tc>
      </w:tr>
    </w:tbl>
    <w:p>
      <w:pPr>
        <w:spacing w:after="20"/>
      </w:pPr>
    </w:p>
    <w:tbl>
      <w:tblPr>
        <w:tblW w:type="auto" w:w="0"/>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bottom w:w="110" w:type="dxa"/>
              <w:start w:w="120" w:type="dxa"/>
              <w:end w:w="120" w:type="dxa"/>
            </w:tcMar>
          </w:tcPr>
          <w:p>
            <w:pPr>
              <w:pStyle w:val="Callout"/>
            </w:pPr>
            <w:r/>
            <w:r>
              <w:rPr>
                <w:b/>
                <w:color w:val="C00000"/>
              </w:rPr>
              <w:t>Safety precedence</w:t>
              <w:br/>
            </w:r>
            <w:r>
              <w:t>Count &gt;=3 activates a deterministic HIGH result regardless of LOW ML output. Missing or invalid obstetric-history data prevents LOW. An exactly-two count must not be described as harmless, because several authoritative guidelines already define recurrent loss at two.</w:t>
            </w:r>
          </w:p>
        </w:tc>
      </w:tr>
    </w:tbl>
    <w:p>
      <w:pPr>
        <w:spacing w:after="20"/>
      </w:pPr>
    </w:p>
    <w:p>
      <w:pPr>
        <w:pStyle w:val="Heading1"/>
      </w:pPr>
      <w:r>
        <w:t>10. Implementation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656"/>
            <w:vAlign w:val="center"/>
            <w:tcMar>
              <w:top w:w="70" w:type="dxa"/>
              <w:bottom w:w="70" w:type="dxa"/>
              <w:start w:w="80" w:type="dxa"/>
              <w:end w:w="80" w:type="dxa"/>
            </w:tcMar>
            <w:shd w:fill="17365D"/>
          </w:tcPr>
          <w:p>
            <w:pPr>
              <w:pStyle w:val="TableHeader"/>
            </w:pPr>
            <w:r/>
            <w:r>
              <w:rPr>
                <w:b/>
                <w:color w:val="FFFFFF"/>
              </w:rPr>
              <w:t>Layer</w:t>
            </w:r>
          </w:p>
        </w:tc>
        <w:tc>
          <w:tcPr>
            <w:tcW w:type="dxa" w:w="4464"/>
            <w:vAlign w:val="center"/>
            <w:tcMar>
              <w:top w:w="70" w:type="dxa"/>
              <w:bottom w:w="70" w:type="dxa"/>
              <w:start w:w="80" w:type="dxa"/>
              <w:end w:w="80" w:type="dxa"/>
            </w:tcMar>
            <w:shd w:fill="17365D"/>
          </w:tcPr>
          <w:p>
            <w:pPr>
              <w:pStyle w:val="TableHeader"/>
            </w:pPr>
            <w:r/>
            <w:r>
              <w:rPr>
                <w:b/>
                <w:color w:val="FFFFFF"/>
              </w:rPr>
              <w:t>Expected implementation</w:t>
            </w:r>
          </w:p>
        </w:tc>
        <w:tc>
          <w:tcPr>
            <w:tcW w:type="dxa" w:w="4464"/>
            <w:vAlign w:val="center"/>
            <w:tcMar>
              <w:top w:w="70" w:type="dxa"/>
              <w:bottom w:w="70" w:type="dxa"/>
              <w:start w:w="80" w:type="dxa"/>
              <w:end w:w="80" w:type="dxa"/>
            </w:tcMar>
            <w:shd w:fill="17365D"/>
          </w:tcPr>
          <w:p>
            <w:pPr>
              <w:pStyle w:val="TableHeader"/>
            </w:pPr>
            <w:r/>
            <w:r>
              <w:rPr>
                <w:b/>
                <w:color w:val="FFFFFF"/>
              </w:rPr>
              <w:t>Safety requirement</w:t>
            </w:r>
          </w:p>
        </w:tc>
      </w:tr>
      <w:tr>
        <w:trPr>
          <w:cantSplit/>
        </w:trPr>
        <w:tc>
          <w:tcPr>
            <w:tcW w:type="dxa" w:w="1656"/>
            <w:vAlign w:val="center"/>
            <w:tcMar>
              <w:top w:w="70" w:type="dxa"/>
              <w:bottom w:w="70" w:type="dxa"/>
              <w:start w:w="80" w:type="dxa"/>
              <w:end w:w="80" w:type="dxa"/>
            </w:tcMar>
          </w:tcPr>
          <w:p>
            <w:pPr>
              <w:pStyle w:val="TableText"/>
            </w:pPr>
            <w:r/>
            <w:r>
              <w:rPr>
                <w:b w:val="0"/>
              </w:rPr>
              <w:t>Data capture</w:t>
            </w:r>
          </w:p>
        </w:tc>
        <w:tc>
          <w:tcPr>
            <w:tcW w:type="dxa" w:w="4464"/>
            <w:vAlign w:val="center"/>
            <w:tcMar>
              <w:top w:w="70" w:type="dxa"/>
              <w:bottom w:w="70" w:type="dxa"/>
              <w:start w:w="80" w:type="dxa"/>
              <w:end w:w="80" w:type="dxa"/>
            </w:tcMar>
          </w:tcPr>
          <w:p>
            <w:pPr>
              <w:pStyle w:val="TableText"/>
            </w:pPr>
            <w:r/>
            <w:r>
              <w:rPr>
                <w:b w:val="0"/>
              </w:rPr>
              <w:t>Store miscarriage count as a non-negative integer with a clear definition.</w:t>
            </w:r>
          </w:p>
        </w:tc>
        <w:tc>
          <w:tcPr>
            <w:tcW w:type="dxa" w:w="4464"/>
            <w:vAlign w:val="center"/>
            <w:tcMar>
              <w:top w:w="70" w:type="dxa"/>
              <w:bottom w:w="70" w:type="dxa"/>
              <w:start w:w="80" w:type="dxa"/>
              <w:end w:w="80" w:type="dxa"/>
            </w:tcMar>
          </w:tcPr>
          <w:p>
            <w:pPr>
              <w:pStyle w:val="TableText"/>
            </w:pPr>
            <w:r/>
            <w:r>
              <w:rPr>
                <w:b w:val="0"/>
              </w:rPr>
              <w:t>Do not use a boolean when the threshold depends on count.</w:t>
            </w:r>
          </w:p>
        </w:tc>
      </w:tr>
      <w:tr>
        <w:trPr>
          <w:cantSplit/>
        </w:trPr>
        <w:tc>
          <w:tcPr>
            <w:tcW w:type="dxa" w:w="1656"/>
            <w:vAlign w:val="center"/>
            <w:tcMar>
              <w:top w:w="70" w:type="dxa"/>
              <w:bottom w:w="70" w:type="dxa"/>
              <w:start w:w="80" w:type="dxa"/>
              <w:end w:w="80" w:type="dxa"/>
            </w:tcMar>
            <w:shd w:fill="EDF4FA"/>
          </w:tcPr>
          <w:p>
            <w:pPr>
              <w:pStyle w:val="TableText"/>
            </w:pPr>
            <w:r/>
            <w:r>
              <w:rPr>
                <w:b w:val="0"/>
              </w:rPr>
              <w:t>History form</w:t>
            </w:r>
          </w:p>
        </w:tc>
        <w:tc>
          <w:tcPr>
            <w:tcW w:type="dxa" w:w="4464"/>
            <w:vAlign w:val="center"/>
            <w:tcMar>
              <w:top w:w="70" w:type="dxa"/>
              <w:bottom w:w="70" w:type="dxa"/>
              <w:start w:w="80" w:type="dxa"/>
              <w:end w:w="80" w:type="dxa"/>
            </w:tcMar>
            <w:shd w:fill="EDF4FA"/>
          </w:tcPr>
          <w:p>
            <w:pPr>
              <w:pStyle w:val="TableText"/>
            </w:pPr>
            <w:r/>
            <w:r>
              <w:rPr>
                <w:b w:val="0"/>
              </w:rPr>
              <w:t>Explain what should and should not be counted.</w:t>
            </w:r>
          </w:p>
        </w:tc>
        <w:tc>
          <w:tcPr>
            <w:tcW w:type="dxa" w:w="4464"/>
            <w:vAlign w:val="center"/>
            <w:tcMar>
              <w:top w:w="70" w:type="dxa"/>
              <w:bottom w:w="70" w:type="dxa"/>
              <w:start w:w="80" w:type="dxa"/>
              <w:end w:w="80" w:type="dxa"/>
            </w:tcMar>
            <w:shd w:fill="EDF4FA"/>
          </w:tcPr>
          <w:p>
            <w:pPr>
              <w:pStyle w:val="TableText"/>
            </w:pPr>
            <w:r/>
            <w:r>
              <w:rPr>
                <w:b w:val="0"/>
              </w:rPr>
              <w:t>Do not combine miscarriage, ectopic pregnancy, stillbirth, elective termination, and neonatal death.</w:t>
            </w:r>
          </w:p>
        </w:tc>
      </w:tr>
      <w:tr>
        <w:trPr>
          <w:cantSplit/>
        </w:trPr>
        <w:tc>
          <w:tcPr>
            <w:tcW w:type="dxa" w:w="1656"/>
            <w:vAlign w:val="center"/>
            <w:tcMar>
              <w:top w:w="70" w:type="dxa"/>
              <w:bottom w:w="70" w:type="dxa"/>
              <w:start w:w="80" w:type="dxa"/>
              <w:end w:w="80" w:type="dxa"/>
            </w:tcMar>
          </w:tcPr>
          <w:p>
            <w:pPr>
              <w:pStyle w:val="TableText"/>
            </w:pPr>
            <w:r/>
            <w:r>
              <w:rPr>
                <w:b w:val="0"/>
              </w:rPr>
              <w:t>Controller/service</w:t>
            </w:r>
          </w:p>
        </w:tc>
        <w:tc>
          <w:tcPr>
            <w:tcW w:type="dxa" w:w="4464"/>
            <w:vAlign w:val="center"/>
            <w:tcMar>
              <w:top w:w="70" w:type="dxa"/>
              <w:bottom w:w="70" w:type="dxa"/>
              <w:start w:w="80" w:type="dxa"/>
              <w:end w:w="80" w:type="dxa"/>
            </w:tcMar>
          </w:tcPr>
          <w:p>
            <w:pPr>
              <w:pStyle w:val="TableText"/>
            </w:pPr>
            <w:r/>
            <w:r>
              <w:rPr>
                <w:b w:val="0"/>
              </w:rPr>
              <w:t>If count &gt;=3, activate RM-03, add reason, and force HIGH.</w:t>
            </w:r>
          </w:p>
        </w:tc>
        <w:tc>
          <w:tcPr>
            <w:tcW w:type="dxa" w:w="4464"/>
            <w:vAlign w:val="center"/>
            <w:tcMar>
              <w:top w:w="70" w:type="dxa"/>
              <w:bottom w:w="70" w:type="dxa"/>
              <w:start w:w="80" w:type="dxa"/>
              <w:end w:w="80" w:type="dxa"/>
            </w:tcMar>
          </w:tcPr>
          <w:p>
            <w:pPr>
              <w:pStyle w:val="TableText"/>
            </w:pPr>
            <w:r/>
            <w:r>
              <w:rPr>
                <w:b w:val="0"/>
              </w:rPr>
              <w:t>Use numeric validation and recalculate after edits.</w:t>
            </w:r>
          </w:p>
        </w:tc>
      </w:tr>
      <w:tr>
        <w:trPr>
          <w:cantSplit/>
        </w:trPr>
        <w:tc>
          <w:tcPr>
            <w:tcW w:type="dxa" w:w="1656"/>
            <w:vAlign w:val="center"/>
            <w:tcMar>
              <w:top w:w="70" w:type="dxa"/>
              <w:bottom w:w="70" w:type="dxa"/>
              <w:start w:w="80" w:type="dxa"/>
              <w:end w:w="80" w:type="dxa"/>
            </w:tcMar>
            <w:shd w:fill="EDF4FA"/>
          </w:tcPr>
          <w:p>
            <w:pPr>
              <w:pStyle w:val="TableText"/>
            </w:pPr>
            <w:r/>
            <w:r>
              <w:rPr>
                <w:b w:val="0"/>
              </w:rPr>
              <w:t>Patient profile</w:t>
            </w:r>
          </w:p>
        </w:tc>
        <w:tc>
          <w:tcPr>
            <w:tcW w:type="dxa" w:w="4464"/>
            <w:vAlign w:val="center"/>
            <w:tcMar>
              <w:top w:w="70" w:type="dxa"/>
              <w:bottom w:w="70" w:type="dxa"/>
              <w:start w:w="80" w:type="dxa"/>
              <w:end w:w="80" w:type="dxa"/>
            </w:tcMar>
            <w:shd w:fill="EDF4FA"/>
          </w:tcPr>
          <w:p>
            <w:pPr>
              <w:pStyle w:val="TableText"/>
            </w:pPr>
            <w:r/>
            <w:r>
              <w:rPr>
                <w:b w:val="0"/>
              </w:rPr>
              <w:t>Display the count and a plain-language explanation.</w:t>
            </w:r>
          </w:p>
        </w:tc>
        <w:tc>
          <w:tcPr>
            <w:tcW w:type="dxa" w:w="4464"/>
            <w:vAlign w:val="center"/>
            <w:tcMar>
              <w:top w:w="70" w:type="dxa"/>
              <w:bottom w:w="70" w:type="dxa"/>
              <w:start w:w="80" w:type="dxa"/>
              <w:end w:w="80" w:type="dxa"/>
            </w:tcMar>
            <w:shd w:fill="EDF4FA"/>
          </w:tcPr>
          <w:p>
            <w:pPr>
              <w:pStyle w:val="TableText"/>
            </w:pPr>
            <w:r/>
            <w:r>
              <w:rPr>
                <w:b w:val="0"/>
              </w:rPr>
              <w:t>Do not state a cause or predict current pregnancy outcome.</w:t>
            </w:r>
          </w:p>
        </w:tc>
      </w:tr>
      <w:tr>
        <w:trPr>
          <w:cantSplit/>
        </w:trPr>
        <w:tc>
          <w:tcPr>
            <w:tcW w:type="dxa" w:w="1656"/>
            <w:vAlign w:val="center"/>
            <w:tcMar>
              <w:top w:w="70" w:type="dxa"/>
              <w:bottom w:w="70" w:type="dxa"/>
              <w:start w:w="80" w:type="dxa"/>
              <w:end w:w="80" w:type="dxa"/>
            </w:tcMar>
          </w:tcPr>
          <w:p>
            <w:pPr>
              <w:pStyle w:val="TableText"/>
            </w:pPr>
            <w:r/>
            <w:r>
              <w:rPr>
                <w:b w:val="0"/>
              </w:rPr>
              <w:t>Referral workflow</w:t>
            </w:r>
          </w:p>
        </w:tc>
        <w:tc>
          <w:tcPr>
            <w:tcW w:type="dxa" w:w="4464"/>
            <w:vAlign w:val="center"/>
            <w:tcMar>
              <w:top w:w="70" w:type="dxa"/>
              <w:bottom w:w="70" w:type="dxa"/>
              <w:start w:w="80" w:type="dxa"/>
              <w:end w:w="80" w:type="dxa"/>
            </w:tcMar>
          </w:tcPr>
          <w:p>
            <w:pPr>
              <w:pStyle w:val="TableText"/>
            </w:pPr>
            <w:r/>
            <w:r>
              <w:rPr>
                <w:b w:val="0"/>
              </w:rPr>
              <w:t>Support referral to obstetrician or recurrent-loss service where available.</w:t>
            </w:r>
          </w:p>
        </w:tc>
        <w:tc>
          <w:tcPr>
            <w:tcW w:type="dxa" w:w="4464"/>
            <w:vAlign w:val="center"/>
            <w:tcMar>
              <w:top w:w="70" w:type="dxa"/>
              <w:bottom w:w="70" w:type="dxa"/>
              <w:start w:w="80" w:type="dxa"/>
              <w:end w:w="80" w:type="dxa"/>
            </w:tcMar>
          </w:tcPr>
          <w:p>
            <w:pPr>
              <w:pStyle w:val="TableText"/>
            </w:pPr>
            <w:r/>
            <w:r>
              <w:rPr>
                <w:b w:val="0"/>
              </w:rPr>
              <w:t>Track completion; referral creation is not specialist evaluation.</w:t>
            </w:r>
          </w:p>
        </w:tc>
      </w:tr>
      <w:tr>
        <w:trPr>
          <w:cantSplit/>
        </w:trPr>
        <w:tc>
          <w:tcPr>
            <w:tcW w:type="dxa" w:w="1656"/>
            <w:vAlign w:val="center"/>
            <w:tcMar>
              <w:top w:w="70" w:type="dxa"/>
              <w:bottom w:w="70" w:type="dxa"/>
              <w:start w:w="80" w:type="dxa"/>
              <w:end w:w="80" w:type="dxa"/>
            </w:tcMar>
            <w:shd w:fill="EDF4FA"/>
          </w:tcPr>
          <w:p>
            <w:pPr>
              <w:pStyle w:val="TableText"/>
            </w:pPr>
            <w:r/>
            <w:r>
              <w:rPr>
                <w:b w:val="0"/>
              </w:rPr>
              <w:t>Audit trail</w:t>
            </w:r>
          </w:p>
        </w:tc>
        <w:tc>
          <w:tcPr>
            <w:tcW w:type="dxa" w:w="4464"/>
            <w:vAlign w:val="center"/>
            <w:tcMar>
              <w:top w:w="70" w:type="dxa"/>
              <w:bottom w:w="70" w:type="dxa"/>
              <w:start w:w="80" w:type="dxa"/>
              <w:end w:w="80" w:type="dxa"/>
            </w:tcMar>
            <w:shd w:fill="EDF4FA"/>
          </w:tcPr>
          <w:p>
            <w:pPr>
              <w:pStyle w:val="TableText"/>
            </w:pPr>
            <w:r/>
            <w:r>
              <w:rPr>
                <w:b w:val="0"/>
              </w:rPr>
              <w:t>Record previous/new count, source, rule, result, user, time, and version.</w:t>
            </w:r>
          </w:p>
        </w:tc>
        <w:tc>
          <w:tcPr>
            <w:tcW w:type="dxa" w:w="4464"/>
            <w:vAlign w:val="center"/>
            <w:tcMar>
              <w:top w:w="70" w:type="dxa"/>
              <w:bottom w:w="70" w:type="dxa"/>
              <w:start w:w="80" w:type="dxa"/>
              <w:end w:w="80" w:type="dxa"/>
            </w:tcMar>
            <w:shd w:fill="EDF4FA"/>
          </w:tcPr>
          <w:p>
            <w:pPr>
              <w:pStyle w:val="TableText"/>
            </w:pPr>
            <w:r/>
            <w:r>
              <w:rPr>
                <w:b w:val="0"/>
              </w:rPr>
              <w:t>Preserve correction history.</w:t>
            </w:r>
          </w:p>
        </w:tc>
      </w:tr>
      <w:tr>
        <w:trPr>
          <w:cantSplit/>
        </w:trPr>
        <w:tc>
          <w:tcPr>
            <w:tcW w:type="dxa" w:w="1656"/>
            <w:vAlign w:val="center"/>
            <w:tcMar>
              <w:top w:w="70" w:type="dxa"/>
              <w:bottom w:w="70" w:type="dxa"/>
              <w:start w:w="80" w:type="dxa"/>
              <w:end w:w="80" w:type="dxa"/>
            </w:tcMar>
          </w:tcPr>
          <w:p>
            <w:pPr>
              <w:pStyle w:val="TableText"/>
            </w:pPr>
            <w:r/>
            <w:r>
              <w:rPr>
                <w:b w:val="0"/>
              </w:rPr>
              <w:t>Delivered/new pregnancy</w:t>
            </w:r>
          </w:p>
        </w:tc>
        <w:tc>
          <w:tcPr>
            <w:tcW w:type="dxa" w:w="4464"/>
            <w:vAlign w:val="center"/>
            <w:tcMar>
              <w:top w:w="70" w:type="dxa"/>
              <w:bottom w:w="70" w:type="dxa"/>
              <w:start w:w="80" w:type="dxa"/>
              <w:end w:w="80" w:type="dxa"/>
            </w:tcMar>
          </w:tcPr>
          <w:p>
            <w:pPr>
              <w:pStyle w:val="TableText"/>
            </w:pPr>
            <w:r/>
            <w:r>
              <w:rPr>
                <w:b w:val="0"/>
              </w:rPr>
              <w:t>Keep completed pregnancy history read-only; reconfirm obstetric history in the new pregnancy.</w:t>
            </w:r>
          </w:p>
        </w:tc>
        <w:tc>
          <w:tcPr>
            <w:tcW w:type="dxa" w:w="4464"/>
            <w:vAlign w:val="center"/>
            <w:tcMar>
              <w:top w:w="70" w:type="dxa"/>
              <w:bottom w:w="70" w:type="dxa"/>
              <w:start w:w="80" w:type="dxa"/>
              <w:end w:w="80" w:type="dxa"/>
            </w:tcMar>
          </w:tcPr>
          <w:p>
            <w:pPr>
              <w:pStyle w:val="TableText"/>
            </w:pPr>
            <w:r/>
            <w:r>
              <w:rPr>
                <w:b w:val="0"/>
              </w:rPr>
              <w:t>Avoid accidental count loss or duplication.</w:t>
            </w:r>
          </w:p>
        </w:tc>
      </w:tr>
    </w:tbl>
    <w:p>
      <w:pPr>
        <w:spacing w:after="20"/>
      </w:pPr>
    </w:p>
    <w:p>
      <w:pPr>
        <w:pStyle w:val="Heading1"/>
      </w:pPr>
      <w:r>
        <w:t>11. Explainability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vAlign w:val="center"/>
            <w:tcMar>
              <w:top w:w="70" w:type="dxa"/>
              <w:bottom w:w="70" w:type="dxa"/>
              <w:start w:w="80" w:type="dxa"/>
              <w:end w:w="80" w:type="dxa"/>
            </w:tcMar>
            <w:shd w:fill="17365D"/>
          </w:tcPr>
          <w:p>
            <w:pPr>
              <w:pStyle w:val="TableHeader"/>
            </w:pPr>
            <w:r/>
            <w:r>
              <w:rPr>
                <w:b/>
                <w:color w:val="FFFFFF"/>
              </w:rPr>
              <w:t>Context</w:t>
            </w:r>
          </w:p>
        </w:tc>
        <w:tc>
          <w:tcPr>
            <w:tcW w:type="dxa" w:w="7632"/>
            <w:vAlign w:val="center"/>
            <w:tcMar>
              <w:top w:w="70" w:type="dxa"/>
              <w:bottom w:w="70" w:type="dxa"/>
              <w:start w:w="80" w:type="dxa"/>
              <w:end w:w="80" w:type="dxa"/>
            </w:tcMar>
            <w:shd w:fill="17365D"/>
          </w:tcPr>
          <w:p>
            <w:pPr>
              <w:pStyle w:val="TableHeader"/>
            </w:pPr>
            <w:r/>
            <w:r>
              <w:rPr>
                <w:b/>
                <w:color w:val="FFFFFF"/>
              </w:rPr>
              <w:t>Approved wording</w:t>
            </w:r>
          </w:p>
        </w:tc>
      </w:tr>
      <w:tr>
        <w:trPr>
          <w:cantSplit/>
        </w:trPr>
        <w:tc>
          <w:tcPr>
            <w:tcW w:type="dxa" w:w="2448"/>
            <w:vAlign w:val="center"/>
            <w:tcMar>
              <w:top w:w="70" w:type="dxa"/>
              <w:bottom w:w="70" w:type="dxa"/>
              <w:start w:w="80" w:type="dxa"/>
              <w:end w:w="80" w:type="dxa"/>
            </w:tcMar>
          </w:tcPr>
          <w:p>
            <w:pPr>
              <w:pStyle w:val="TableText"/>
            </w:pPr>
            <w:r/>
            <w:r>
              <w:rPr>
                <w:b w:val="0"/>
              </w:rPr>
              <w:t>Risk reason</w:t>
            </w:r>
          </w:p>
        </w:tc>
        <w:tc>
          <w:tcPr>
            <w:tcW w:type="dxa" w:w="7632"/>
            <w:vAlign w:val="center"/>
            <w:tcMar>
              <w:top w:w="70" w:type="dxa"/>
              <w:bottom w:w="70" w:type="dxa"/>
              <w:start w:w="80" w:type="dxa"/>
              <w:end w:w="80" w:type="dxa"/>
            </w:tcMar>
          </w:tcPr>
          <w:p>
            <w:pPr>
              <w:pStyle w:val="TableText"/>
            </w:pPr>
            <w:r/>
            <w:r>
              <w:rPr>
                <w:b w:val="0"/>
              </w:rPr>
              <w:t>The patient has a recorded history of three or more miscarriages. Recurrent pregnancy loss requires specialist assessment and supportive follow-up.</w:t>
            </w:r>
          </w:p>
        </w:tc>
      </w:tr>
      <w:tr>
        <w:trPr>
          <w:cantSplit/>
        </w:trPr>
        <w:tc>
          <w:tcPr>
            <w:tcW w:type="dxa" w:w="2448"/>
            <w:vAlign w:val="center"/>
            <w:tcMar>
              <w:top w:w="70" w:type="dxa"/>
              <w:bottom w:w="70" w:type="dxa"/>
              <w:start w:w="80" w:type="dxa"/>
              <w:end w:w="80" w:type="dxa"/>
            </w:tcMar>
            <w:shd w:fill="EDF4FA"/>
          </w:tcPr>
          <w:p>
            <w:pPr>
              <w:pStyle w:val="TableText"/>
            </w:pPr>
            <w:r/>
            <w:r>
              <w:rPr>
                <w:b w:val="0"/>
              </w:rPr>
              <w:t>HIGH recommendation</w:t>
            </w:r>
          </w:p>
        </w:tc>
        <w:tc>
          <w:tcPr>
            <w:tcW w:type="dxa" w:w="7632"/>
            <w:vAlign w:val="center"/>
            <w:tcMar>
              <w:top w:w="70" w:type="dxa"/>
              <w:bottom w:w="70" w:type="dxa"/>
              <w:start w:w="80" w:type="dxa"/>
              <w:end w:w="80" w:type="dxa"/>
            </w:tcMar>
            <w:shd w:fill="EDF4FA"/>
          </w:tcPr>
          <w:p>
            <w:pPr>
              <w:pStyle w:val="TableText"/>
            </w:pPr>
            <w:r/>
            <w:r>
              <w:rPr>
                <w:b w:val="0"/>
              </w:rPr>
              <w:t>Arrange obstetric review and confirm whether recurrent-loss evaluation and a current pregnancy plan have been completed. Continue supportive antenatal care and follow the specialist plan.</w:t>
            </w:r>
          </w:p>
        </w:tc>
      </w:tr>
      <w:tr>
        <w:trPr>
          <w:cantSplit/>
        </w:trPr>
        <w:tc>
          <w:tcPr>
            <w:tcW w:type="dxa" w:w="2448"/>
            <w:vAlign w:val="center"/>
            <w:tcMar>
              <w:top w:w="70" w:type="dxa"/>
              <w:bottom w:w="70" w:type="dxa"/>
              <w:start w:w="80" w:type="dxa"/>
              <w:end w:w="80" w:type="dxa"/>
            </w:tcMar>
          </w:tcPr>
          <w:p>
            <w:pPr>
              <w:pStyle w:val="TableText"/>
            </w:pPr>
            <w:r/>
            <w:r>
              <w:rPr>
                <w:b w:val="0"/>
              </w:rPr>
              <w:t>Patient-facing</w:t>
            </w:r>
          </w:p>
        </w:tc>
        <w:tc>
          <w:tcPr>
            <w:tcW w:type="dxa" w:w="7632"/>
            <w:vAlign w:val="center"/>
            <w:tcMar>
              <w:top w:w="70" w:type="dxa"/>
              <w:bottom w:w="70" w:type="dxa"/>
              <w:start w:w="80" w:type="dxa"/>
              <w:end w:w="80" w:type="dxa"/>
            </w:tcMar>
          </w:tcPr>
          <w:p>
            <w:pPr>
              <w:pStyle w:val="TableText"/>
            </w:pPr>
            <w:r/>
            <w:r>
              <w:rPr>
                <w:b w:val="0"/>
              </w:rPr>
              <w:t>Your history shows several pregnancy losses. This does not mean the current pregnancy will definitely end in miscarriage. A specialist can review possible causes, discuss testing, and plan closer support.</w:t>
            </w:r>
          </w:p>
        </w:tc>
      </w:tr>
      <w:tr>
        <w:trPr>
          <w:cantSplit/>
        </w:trPr>
        <w:tc>
          <w:tcPr>
            <w:tcW w:type="dxa" w:w="2448"/>
            <w:vAlign w:val="center"/>
            <w:tcMar>
              <w:top w:w="70" w:type="dxa"/>
              <w:bottom w:w="70" w:type="dxa"/>
              <w:start w:w="80" w:type="dxa"/>
              <w:end w:w="80" w:type="dxa"/>
            </w:tcMar>
            <w:shd w:fill="EDF4FA"/>
          </w:tcPr>
          <w:p>
            <w:pPr>
              <w:pStyle w:val="TableText"/>
            </w:pPr>
            <w:r/>
            <w:r>
              <w:rPr>
                <w:b w:val="0"/>
              </w:rPr>
              <w:t>Exactly two losses</w:t>
            </w:r>
          </w:p>
        </w:tc>
        <w:tc>
          <w:tcPr>
            <w:tcW w:type="dxa" w:w="7632"/>
            <w:vAlign w:val="center"/>
            <w:tcMar>
              <w:top w:w="70" w:type="dxa"/>
              <w:bottom w:w="70" w:type="dxa"/>
              <w:start w:w="80" w:type="dxa"/>
              <w:end w:w="80" w:type="dxa"/>
            </w:tcMar>
            <w:shd w:fill="EDF4FA"/>
          </w:tcPr>
          <w:p>
            <w:pPr>
              <w:pStyle w:val="TableText"/>
            </w:pPr>
            <w:r/>
            <w:r>
              <w:rPr>
                <w:b w:val="0"/>
              </w:rPr>
              <w:t>Two losses were recorded. Some international guidelines recommend evaluation after two, even though this project's automatic HIGH threshold begins at three.</w:t>
            </w:r>
          </w:p>
        </w:tc>
      </w:tr>
      <w:tr>
        <w:trPr>
          <w:cantSplit/>
        </w:trPr>
        <w:tc>
          <w:tcPr>
            <w:tcW w:type="dxa" w:w="2448"/>
            <w:vAlign w:val="center"/>
            <w:tcMar>
              <w:top w:w="70" w:type="dxa"/>
              <w:bottom w:w="70" w:type="dxa"/>
              <w:start w:w="80" w:type="dxa"/>
              <w:end w:w="80" w:type="dxa"/>
            </w:tcMar>
          </w:tcPr>
          <w:p>
            <w:pPr>
              <w:pStyle w:val="TableText"/>
            </w:pPr>
            <w:r/>
            <w:r>
              <w:rPr>
                <w:b w:val="0"/>
              </w:rPr>
              <w:t>Incomplete</w:t>
            </w:r>
          </w:p>
        </w:tc>
        <w:tc>
          <w:tcPr>
            <w:tcW w:type="dxa" w:w="7632"/>
            <w:vAlign w:val="center"/>
            <w:tcMar>
              <w:top w:w="70" w:type="dxa"/>
              <w:bottom w:w="70" w:type="dxa"/>
              <w:start w:w="80" w:type="dxa"/>
              <w:end w:w="80" w:type="dxa"/>
            </w:tcMar>
          </w:tcPr>
          <w:p>
            <w:pPr>
              <w:pStyle w:val="TableText"/>
            </w:pPr>
            <w:r/>
            <w:r>
              <w:rPr>
                <w:b w:val="0"/>
              </w:rPr>
              <w:t>The pregnancy-loss count or type is missing or unclear. Confirm the obstetric history before relying on the assessment.</w:t>
            </w:r>
          </w:p>
        </w:tc>
      </w:tr>
      <w:tr>
        <w:trPr>
          <w:cantSplit/>
        </w:trPr>
        <w:tc>
          <w:tcPr>
            <w:tcW w:type="dxa" w:w="2448"/>
            <w:vAlign w:val="center"/>
            <w:tcMar>
              <w:top w:w="70" w:type="dxa"/>
              <w:bottom w:w="70" w:type="dxa"/>
              <w:start w:w="80" w:type="dxa"/>
              <w:end w:w="80" w:type="dxa"/>
            </w:tcMar>
            <w:shd w:fill="EDF4FA"/>
          </w:tcPr>
          <w:p>
            <w:pPr>
              <w:pStyle w:val="TableText"/>
            </w:pPr>
            <w:r/>
            <w:r>
              <w:rPr>
                <w:b w:val="0"/>
              </w:rPr>
              <w:t>Boundary</w:t>
            </w:r>
          </w:p>
        </w:tc>
        <w:tc>
          <w:tcPr>
            <w:tcW w:type="dxa" w:w="7632"/>
            <w:vAlign w:val="center"/>
            <w:tcMar>
              <w:top w:w="70" w:type="dxa"/>
              <w:bottom w:w="70" w:type="dxa"/>
              <w:start w:w="80" w:type="dxa"/>
              <w:end w:w="80" w:type="dxa"/>
            </w:tcMar>
            <w:shd w:fill="EDF4FA"/>
          </w:tcPr>
          <w:p>
            <w:pPr>
              <w:pStyle w:val="TableText"/>
            </w:pPr>
            <w:r/>
            <w:r>
              <w:rPr>
                <w:b w:val="0"/>
              </w:rPr>
              <w:t>The CDSS does not diagnose a cause, recommend genetic or blood tests, prescribe aspirin, heparin, progesterone, or other treatment, or predict the current pregnancy outcome.</w:t>
            </w:r>
          </w:p>
        </w:tc>
      </w:tr>
    </w:tbl>
    <w:p>
      <w:pPr>
        <w:spacing w:after="20"/>
      </w:pPr>
    </w:p>
    <w:p>
      <w:pPr>
        <w:pStyle w:val="Heading1"/>
      </w:pPr>
      <w:r>
        <w:t>12. Recommendation Mapping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tcMar>
              <w:top w:w="70" w:type="dxa"/>
              <w:bottom w:w="70" w:type="dxa"/>
              <w:start w:w="80" w:type="dxa"/>
              <w:end w:w="80" w:type="dxa"/>
            </w:tcMar>
            <w:shd w:fill="17365D"/>
          </w:tcPr>
          <w:p>
            <w:pPr>
              <w:pStyle w:val="TableHeader"/>
            </w:pPr>
            <w:r/>
            <w:r>
              <w:rPr>
                <w:b/>
                <w:color w:val="FFFFFF"/>
              </w:rPr>
              <w:t>State</w:t>
            </w:r>
          </w:p>
        </w:tc>
        <w:tc>
          <w:tcPr>
            <w:tcW w:type="dxa" w:w="4968"/>
            <w:vAlign w:val="center"/>
            <w:tcMar>
              <w:top w:w="70" w:type="dxa"/>
              <w:bottom w:w="70" w:type="dxa"/>
              <w:start w:w="80" w:type="dxa"/>
              <w:end w:w="80" w:type="dxa"/>
            </w:tcMar>
            <w:shd w:fill="17365D"/>
          </w:tcPr>
          <w:p>
            <w:pPr>
              <w:pStyle w:val="TableHeader"/>
            </w:pPr>
            <w:r/>
            <w:r>
              <w:rPr>
                <w:b/>
                <w:color w:val="FFFFFF"/>
              </w:rPr>
              <w:t>Recommended CDSS action</w:t>
            </w:r>
          </w:p>
        </w:tc>
        <w:tc>
          <w:tcPr>
            <w:tcW w:type="dxa" w:w="4248"/>
            <w:vAlign w:val="center"/>
            <w:tcMar>
              <w:top w:w="70" w:type="dxa"/>
              <w:bottom w:w="70" w:type="dxa"/>
              <w:start w:w="80" w:type="dxa"/>
              <w:end w:w="80" w:type="dxa"/>
            </w:tcMar>
            <w:shd w:fill="17365D"/>
          </w:tcPr>
          <w:p>
            <w:pPr>
              <w:pStyle w:val="TableHeader"/>
            </w:pPr>
            <w:r/>
            <w:r>
              <w:rPr>
                <w:b/>
                <w:color w:val="FFFFFF"/>
              </w:rPr>
              <w:t>Excluded action</w:t>
            </w:r>
          </w:p>
        </w:tc>
      </w:tr>
      <w:tr>
        <w:trPr>
          <w:cantSplit/>
        </w:trPr>
        <w:tc>
          <w:tcPr>
            <w:tcW w:type="dxa" w:w="2088"/>
            <w:vAlign w:val="center"/>
            <w:tcMar>
              <w:top w:w="70" w:type="dxa"/>
              <w:bottom w:w="70" w:type="dxa"/>
              <w:start w:w="80" w:type="dxa"/>
              <w:end w:w="80" w:type="dxa"/>
            </w:tcMar>
          </w:tcPr>
          <w:p>
            <w:pPr>
              <w:pStyle w:val="TableText"/>
            </w:pPr>
            <w:r/>
            <w:r>
              <w:rPr>
                <w:b w:val="0"/>
              </w:rPr>
              <w:t>Count &gt;=3 / HIGH</w:t>
            </w:r>
          </w:p>
        </w:tc>
        <w:tc>
          <w:tcPr>
            <w:tcW w:type="dxa" w:w="4968"/>
            <w:vAlign w:val="center"/>
            <w:tcMar>
              <w:top w:w="70" w:type="dxa"/>
              <w:bottom w:w="70" w:type="dxa"/>
              <w:start w:w="80" w:type="dxa"/>
              <w:end w:w="80" w:type="dxa"/>
            </w:tcMar>
          </w:tcPr>
          <w:p>
            <w:pPr>
              <w:pStyle w:val="TableText"/>
            </w:pPr>
            <w:r/>
            <w:r>
              <w:rPr>
                <w:b w:val="0"/>
              </w:rPr>
              <w:t>Prompt specialist review, record gathering, supportive follow-up, and referral completion.</w:t>
            </w:r>
          </w:p>
        </w:tc>
        <w:tc>
          <w:tcPr>
            <w:tcW w:type="dxa" w:w="4248"/>
            <w:vAlign w:val="center"/>
            <w:tcMar>
              <w:top w:w="70" w:type="dxa"/>
              <w:bottom w:w="70" w:type="dxa"/>
              <w:start w:w="80" w:type="dxa"/>
              <w:end w:w="80" w:type="dxa"/>
            </w:tcMar>
          </w:tcPr>
          <w:p>
            <w:pPr>
              <w:pStyle w:val="TableText"/>
            </w:pPr>
            <w:r/>
            <w:r>
              <w:rPr>
                <w:b w:val="0"/>
              </w:rPr>
              <w:t>Selecting tests or prescribing empirical treatment.</w:t>
            </w:r>
          </w:p>
        </w:tc>
      </w:tr>
      <w:tr>
        <w:trPr>
          <w:cantSplit/>
        </w:trPr>
        <w:tc>
          <w:tcPr>
            <w:tcW w:type="dxa" w:w="2088"/>
            <w:vAlign w:val="center"/>
            <w:tcMar>
              <w:top w:w="70" w:type="dxa"/>
              <w:bottom w:w="70" w:type="dxa"/>
              <w:start w:w="80" w:type="dxa"/>
              <w:end w:w="80" w:type="dxa"/>
            </w:tcMar>
            <w:shd w:fill="EDF4FA"/>
          </w:tcPr>
          <w:p>
            <w:pPr>
              <w:pStyle w:val="TableText"/>
            </w:pPr>
            <w:r/>
            <w:r>
              <w:rPr>
                <w:b w:val="0"/>
              </w:rPr>
              <w:t>Count =2</w:t>
            </w:r>
          </w:p>
        </w:tc>
        <w:tc>
          <w:tcPr>
            <w:tcW w:type="dxa" w:w="4968"/>
            <w:vAlign w:val="center"/>
            <w:tcMar>
              <w:top w:w="70" w:type="dxa"/>
              <w:bottom w:w="70" w:type="dxa"/>
              <w:start w:w="80" w:type="dxa"/>
              <w:end w:w="80" w:type="dxa"/>
            </w:tcMar>
            <w:shd w:fill="EDF4FA"/>
          </w:tcPr>
          <w:p>
            <w:pPr>
              <w:pStyle w:val="TableText"/>
            </w:pPr>
            <w:r/>
            <w:r>
              <w:rPr>
                <w:b w:val="0"/>
              </w:rPr>
              <w:t>Display history prominently and recommend clinical review under local governance.</w:t>
            </w:r>
          </w:p>
        </w:tc>
        <w:tc>
          <w:tcPr>
            <w:tcW w:type="dxa" w:w="4248"/>
            <w:vAlign w:val="center"/>
            <w:tcMar>
              <w:top w:w="70" w:type="dxa"/>
              <w:bottom w:w="70" w:type="dxa"/>
              <w:start w:w="80" w:type="dxa"/>
              <w:end w:w="80" w:type="dxa"/>
            </w:tcMar>
            <w:shd w:fill="EDF4FA"/>
          </w:tcPr>
          <w:p>
            <w:pPr>
              <w:pStyle w:val="TableText"/>
            </w:pPr>
            <w:r/>
            <w:r>
              <w:rPr>
                <w:b w:val="0"/>
              </w:rPr>
              <w:t>Calling the patient low risk solely because RM-03 is not activated.</w:t>
            </w:r>
          </w:p>
        </w:tc>
      </w:tr>
      <w:tr>
        <w:trPr>
          <w:cantSplit/>
        </w:trPr>
        <w:tc>
          <w:tcPr>
            <w:tcW w:type="dxa" w:w="2088"/>
            <w:vAlign w:val="center"/>
            <w:tcMar>
              <w:top w:w="70" w:type="dxa"/>
              <w:bottom w:w="70" w:type="dxa"/>
              <w:start w:w="80" w:type="dxa"/>
              <w:end w:w="80" w:type="dxa"/>
            </w:tcMar>
          </w:tcPr>
          <w:p>
            <w:pPr>
              <w:pStyle w:val="TableText"/>
            </w:pPr>
            <w:r/>
            <w:r>
              <w:rPr>
                <w:b w:val="0"/>
              </w:rPr>
              <w:t>Count 0-1</w:t>
            </w:r>
          </w:p>
        </w:tc>
        <w:tc>
          <w:tcPr>
            <w:tcW w:type="dxa" w:w="4968"/>
            <w:vAlign w:val="center"/>
            <w:tcMar>
              <w:top w:w="70" w:type="dxa"/>
              <w:bottom w:w="70" w:type="dxa"/>
              <w:start w:w="80" w:type="dxa"/>
              <w:end w:w="80" w:type="dxa"/>
            </w:tcMar>
          </w:tcPr>
          <w:p>
            <w:pPr>
              <w:pStyle w:val="TableText"/>
            </w:pPr>
            <w:r/>
            <w:r>
              <w:rPr>
                <w:b w:val="0"/>
              </w:rPr>
              <w:t>Continue every other rule and complete the assessment.</w:t>
            </w:r>
          </w:p>
        </w:tc>
        <w:tc>
          <w:tcPr>
            <w:tcW w:type="dxa" w:w="4248"/>
            <w:vAlign w:val="center"/>
            <w:tcMar>
              <w:top w:w="70" w:type="dxa"/>
              <w:bottom w:w="70" w:type="dxa"/>
              <w:start w:w="80" w:type="dxa"/>
              <w:end w:w="80" w:type="dxa"/>
            </w:tcMar>
          </w:tcPr>
          <w:p>
            <w:pPr>
              <w:pStyle w:val="TableText"/>
            </w:pPr>
            <w:r/>
            <w:r>
              <w:rPr>
                <w:b w:val="0"/>
              </w:rPr>
              <w:t>Assuming no current emergency symptoms.</w:t>
            </w:r>
          </w:p>
        </w:tc>
      </w:tr>
      <w:tr>
        <w:trPr>
          <w:cantSplit/>
        </w:trPr>
        <w:tc>
          <w:tcPr>
            <w:tcW w:type="dxa" w:w="2088"/>
            <w:vAlign w:val="center"/>
            <w:tcMar>
              <w:top w:w="70" w:type="dxa"/>
              <w:bottom w:w="70" w:type="dxa"/>
              <w:start w:w="80" w:type="dxa"/>
              <w:end w:w="80" w:type="dxa"/>
            </w:tcMar>
            <w:shd w:fill="EDF4FA"/>
          </w:tcPr>
          <w:p>
            <w:pPr>
              <w:pStyle w:val="TableText"/>
            </w:pPr>
            <w:r/>
            <w:r>
              <w:rPr>
                <w:b w:val="0"/>
              </w:rPr>
              <w:t>Unknown/invalid</w:t>
            </w:r>
          </w:p>
        </w:tc>
        <w:tc>
          <w:tcPr>
            <w:tcW w:type="dxa" w:w="4968"/>
            <w:vAlign w:val="center"/>
            <w:tcMar>
              <w:top w:w="70" w:type="dxa"/>
              <w:bottom w:w="70" w:type="dxa"/>
              <w:start w:w="80" w:type="dxa"/>
              <w:end w:w="80" w:type="dxa"/>
            </w:tcMar>
            <w:shd w:fill="EDF4FA"/>
          </w:tcPr>
          <w:p>
            <w:pPr>
              <w:pStyle w:val="TableText"/>
            </w:pPr>
            <w:r/>
            <w:r>
              <w:rPr>
                <w:b w:val="0"/>
              </w:rPr>
              <w:t>Mark incomplete and request clarification.</w:t>
            </w:r>
          </w:p>
        </w:tc>
        <w:tc>
          <w:tcPr>
            <w:tcW w:type="dxa" w:w="4248"/>
            <w:vAlign w:val="center"/>
            <w:tcMar>
              <w:top w:w="70" w:type="dxa"/>
              <w:bottom w:w="70" w:type="dxa"/>
              <w:start w:w="80" w:type="dxa"/>
              <w:end w:w="80" w:type="dxa"/>
            </w:tcMar>
            <w:shd w:fill="EDF4FA"/>
          </w:tcPr>
          <w:p>
            <w:pPr>
              <w:pStyle w:val="TableText"/>
            </w:pPr>
            <w:r/>
            <w:r>
              <w:rPr>
                <w:b w:val="0"/>
              </w:rPr>
              <w:t>Defaulting to zero or LOW.</w:t>
            </w:r>
          </w:p>
        </w:tc>
      </w:tr>
      <w:tr>
        <w:trPr>
          <w:cantSplit/>
        </w:trPr>
        <w:tc>
          <w:tcPr>
            <w:tcW w:type="dxa" w:w="2088"/>
            <w:vAlign w:val="center"/>
            <w:tcMar>
              <w:top w:w="70" w:type="dxa"/>
              <w:bottom w:w="70" w:type="dxa"/>
              <w:start w:w="80" w:type="dxa"/>
              <w:end w:w="80" w:type="dxa"/>
            </w:tcMar>
          </w:tcPr>
          <w:p>
            <w:pPr>
              <w:pStyle w:val="TableText"/>
            </w:pPr>
            <w:r/>
            <w:r>
              <w:rPr>
                <w:b w:val="0"/>
              </w:rPr>
              <w:t>Current bleeding/pain/danger signs</w:t>
            </w:r>
          </w:p>
        </w:tc>
        <w:tc>
          <w:tcPr>
            <w:tcW w:type="dxa" w:w="4968"/>
            <w:vAlign w:val="center"/>
            <w:tcMar>
              <w:top w:w="70" w:type="dxa"/>
              <w:bottom w:w="70" w:type="dxa"/>
              <w:start w:w="80" w:type="dxa"/>
              <w:end w:w="80" w:type="dxa"/>
            </w:tcMar>
          </w:tcPr>
          <w:p>
            <w:pPr>
              <w:pStyle w:val="TableText"/>
            </w:pPr>
            <w:r/>
            <w:r>
              <w:rPr>
                <w:b w:val="0"/>
              </w:rPr>
              <w:t>Apply emergency triage and transfer protocol.</w:t>
            </w:r>
          </w:p>
        </w:tc>
        <w:tc>
          <w:tcPr>
            <w:tcW w:type="dxa" w:w="4248"/>
            <w:vAlign w:val="center"/>
            <w:tcMar>
              <w:top w:w="70" w:type="dxa"/>
              <w:bottom w:w="70" w:type="dxa"/>
              <w:start w:w="80" w:type="dxa"/>
              <w:end w:w="80" w:type="dxa"/>
            </w:tcMar>
          </w:tcPr>
          <w:p>
            <w:pPr>
              <w:pStyle w:val="TableText"/>
            </w:pPr>
            <w:r/>
            <w:r>
              <w:rPr>
                <w:b w:val="0"/>
              </w:rPr>
              <w:t>Waiting for routine referral or ML output.</w:t>
            </w:r>
          </w:p>
        </w:tc>
      </w:tr>
      <w:tr>
        <w:trPr>
          <w:cantSplit/>
        </w:trPr>
        <w:tc>
          <w:tcPr>
            <w:tcW w:type="dxa" w:w="2088"/>
            <w:vAlign w:val="center"/>
            <w:tcMar>
              <w:top w:w="70" w:type="dxa"/>
              <w:bottom w:w="70" w:type="dxa"/>
              <w:start w:w="80" w:type="dxa"/>
              <w:end w:w="80" w:type="dxa"/>
            </w:tcMar>
            <w:shd w:fill="EDF4FA"/>
          </w:tcPr>
          <w:p>
            <w:pPr>
              <w:pStyle w:val="TableText"/>
            </w:pPr>
            <w:r/>
            <w:r>
              <w:rPr>
                <w:b w:val="0"/>
              </w:rPr>
              <w:t>Referral refused</w:t>
            </w:r>
          </w:p>
        </w:tc>
        <w:tc>
          <w:tcPr>
            <w:tcW w:type="dxa" w:w="4968"/>
            <w:vAlign w:val="center"/>
            <w:tcMar>
              <w:top w:w="70" w:type="dxa"/>
              <w:bottom w:w="70" w:type="dxa"/>
              <w:start w:w="80" w:type="dxa"/>
              <w:end w:w="80" w:type="dxa"/>
            </w:tcMar>
            <w:shd w:fill="EDF4FA"/>
          </w:tcPr>
          <w:p>
            <w:pPr>
              <w:pStyle w:val="TableText"/>
            </w:pPr>
            <w:r/>
            <w:r>
              <w:rPr>
                <w:b w:val="0"/>
              </w:rPr>
              <w:t>Maintain HIGH; document counseling, refusal, grief support, and safety-net instructions.</w:t>
            </w:r>
          </w:p>
        </w:tc>
        <w:tc>
          <w:tcPr>
            <w:tcW w:type="dxa" w:w="4248"/>
            <w:vAlign w:val="center"/>
            <w:tcMar>
              <w:top w:w="70" w:type="dxa"/>
              <w:bottom w:w="70" w:type="dxa"/>
              <w:start w:w="80" w:type="dxa"/>
              <w:end w:w="80" w:type="dxa"/>
            </w:tcMar>
            <w:shd w:fill="EDF4FA"/>
          </w:tcPr>
          <w:p>
            <w:pPr>
              <w:pStyle w:val="TableText"/>
            </w:pPr>
            <w:r/>
            <w:r>
              <w:rPr>
                <w:b w:val="0"/>
              </w:rPr>
              <w:t>Removing the history or treating a waiver as risk resolution.</w:t>
            </w:r>
          </w:p>
        </w:tc>
      </w:tr>
    </w:tbl>
    <w:p>
      <w:pPr>
        <w:spacing w:after="20"/>
      </w:pPr>
    </w:p>
    <w:p>
      <w:pPr>
        <w:pStyle w:val="Heading1"/>
      </w:pPr>
      <w:r>
        <w:t>13. Clinical Limitations and Failure Modes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880"/>
            <w:vAlign w:val="center"/>
            <w:tcMar>
              <w:top w:w="70" w:type="dxa"/>
              <w:bottom w:w="70" w:type="dxa"/>
              <w:start w:w="80" w:type="dxa"/>
              <w:end w:w="80" w:type="dxa"/>
            </w:tcMar>
            <w:shd w:fill="17365D"/>
          </w:tcPr>
          <w:p>
            <w:pPr>
              <w:pStyle w:val="TableHeader"/>
            </w:pPr>
            <w:r/>
            <w:r>
              <w:rPr>
                <w:b/>
                <w:color w:val="FFFFFF"/>
              </w:rPr>
              <w:t>Failure mode</w:t>
            </w:r>
          </w:p>
        </w:tc>
        <w:tc>
          <w:tcPr>
            <w:tcW w:type="dxa" w:w="3456"/>
            <w:vAlign w:val="center"/>
            <w:tcMar>
              <w:top w:w="70" w:type="dxa"/>
              <w:bottom w:w="70" w:type="dxa"/>
              <w:start w:w="80" w:type="dxa"/>
              <w:end w:w="80" w:type="dxa"/>
            </w:tcMar>
            <w:shd w:fill="17365D"/>
          </w:tcPr>
          <w:p>
            <w:pPr>
              <w:pStyle w:val="TableHeader"/>
            </w:pPr>
            <w:r/>
            <w:r>
              <w:rPr>
                <w:b/>
                <w:color w:val="FFFFFF"/>
              </w:rPr>
              <w:t>Potential harm</w:t>
            </w:r>
          </w:p>
        </w:tc>
        <w:tc>
          <w:tcPr>
            <w:tcW w:type="dxa" w:w="4392"/>
            <w:vAlign w:val="center"/>
            <w:tcMar>
              <w:top w:w="70" w:type="dxa"/>
              <w:bottom w:w="70" w:type="dxa"/>
              <w:start w:w="80" w:type="dxa"/>
              <w:end w:w="80" w:type="dxa"/>
            </w:tcMar>
            <w:shd w:fill="17365D"/>
          </w:tcPr>
          <w:p>
            <w:pPr>
              <w:pStyle w:val="TableHeader"/>
            </w:pPr>
            <w:r/>
            <w:r>
              <w:rPr>
                <w:b/>
                <w:color w:val="FFFFFF"/>
              </w:rPr>
              <w:t>Required control</w:t>
            </w:r>
          </w:p>
        </w:tc>
      </w:tr>
      <w:tr>
        <w:trPr>
          <w:cantSplit/>
        </w:trPr>
        <w:tc>
          <w:tcPr>
            <w:tcW w:type="dxa" w:w="2880"/>
            <w:vAlign w:val="center"/>
            <w:tcMar>
              <w:top w:w="70" w:type="dxa"/>
              <w:bottom w:w="70" w:type="dxa"/>
              <w:start w:w="80" w:type="dxa"/>
              <w:end w:w="80" w:type="dxa"/>
            </w:tcMar>
          </w:tcPr>
          <w:p>
            <w:pPr>
              <w:pStyle w:val="TableText"/>
            </w:pPr>
            <w:r/>
            <w:r>
              <w:rPr>
                <w:b w:val="0"/>
              </w:rPr>
              <w:t>Count lacks loss type</w:t>
            </w:r>
          </w:p>
        </w:tc>
        <w:tc>
          <w:tcPr>
            <w:tcW w:type="dxa" w:w="3456"/>
            <w:vAlign w:val="center"/>
            <w:tcMar>
              <w:top w:w="70" w:type="dxa"/>
              <w:bottom w:w="70" w:type="dxa"/>
              <w:start w:w="80" w:type="dxa"/>
              <w:end w:w="80" w:type="dxa"/>
            </w:tcMar>
          </w:tcPr>
          <w:p>
            <w:pPr>
              <w:pStyle w:val="TableText"/>
            </w:pPr>
            <w:r/>
            <w:r>
              <w:rPr>
                <w:b w:val="0"/>
              </w:rPr>
              <w:t>Ectopic, molar, stillbirth, or termination may be miscounted.</w:t>
            </w:r>
          </w:p>
        </w:tc>
        <w:tc>
          <w:tcPr>
            <w:tcW w:type="dxa" w:w="4392"/>
            <w:vAlign w:val="center"/>
            <w:tcMar>
              <w:top w:w="70" w:type="dxa"/>
              <w:bottom w:w="70" w:type="dxa"/>
              <w:start w:w="80" w:type="dxa"/>
              <w:end w:w="80" w:type="dxa"/>
            </w:tcMar>
          </w:tcPr>
          <w:p>
            <w:pPr>
              <w:pStyle w:val="TableText"/>
            </w:pPr>
            <w:r/>
            <w:r>
              <w:rPr>
                <w:b w:val="0"/>
              </w:rPr>
              <w:t>Define fields and confirm history.</w:t>
            </w:r>
          </w:p>
        </w:tc>
      </w:tr>
      <w:tr>
        <w:trPr>
          <w:cantSplit/>
        </w:trPr>
        <w:tc>
          <w:tcPr>
            <w:tcW w:type="dxa" w:w="2880"/>
            <w:vAlign w:val="center"/>
            <w:tcMar>
              <w:top w:w="70" w:type="dxa"/>
              <w:bottom w:w="70" w:type="dxa"/>
              <w:start w:w="80" w:type="dxa"/>
              <w:end w:w="80" w:type="dxa"/>
            </w:tcMar>
            <w:shd w:fill="EDF4FA"/>
          </w:tcPr>
          <w:p>
            <w:pPr>
              <w:pStyle w:val="TableText"/>
            </w:pPr>
            <w:r/>
            <w:r>
              <w:rPr>
                <w:b w:val="0"/>
              </w:rPr>
              <w:t>Threshold presented as universal</w:t>
            </w:r>
          </w:p>
        </w:tc>
        <w:tc>
          <w:tcPr>
            <w:tcW w:type="dxa" w:w="3456"/>
            <w:vAlign w:val="center"/>
            <w:tcMar>
              <w:top w:w="70" w:type="dxa"/>
              <w:bottom w:w="70" w:type="dxa"/>
              <w:start w:w="80" w:type="dxa"/>
              <w:end w:w="80" w:type="dxa"/>
            </w:tcMar>
            <w:shd w:fill="EDF4FA"/>
          </w:tcPr>
          <w:p>
            <w:pPr>
              <w:pStyle w:val="TableText"/>
            </w:pPr>
            <w:r/>
            <w:r>
              <w:rPr>
                <w:b w:val="0"/>
              </w:rPr>
              <w:t>Contradicts two-loss definitions and may delay evaluation.</w:t>
            </w:r>
          </w:p>
        </w:tc>
        <w:tc>
          <w:tcPr>
            <w:tcW w:type="dxa" w:w="4392"/>
            <w:vAlign w:val="center"/>
            <w:tcMar>
              <w:top w:w="70" w:type="dxa"/>
              <w:bottom w:w="70" w:type="dxa"/>
              <w:start w:w="80" w:type="dxa"/>
              <w:end w:w="80" w:type="dxa"/>
            </w:tcMar>
            <w:shd w:fill="EDF4FA"/>
          </w:tcPr>
          <w:p>
            <w:pPr>
              <w:pStyle w:val="TableText"/>
            </w:pPr>
            <w:r/>
            <w:r>
              <w:rPr>
                <w:b w:val="0"/>
              </w:rPr>
              <w:t>Display guideline variation explicitly.</w:t>
            </w:r>
          </w:p>
        </w:tc>
      </w:tr>
      <w:tr>
        <w:trPr>
          <w:cantSplit/>
        </w:trPr>
        <w:tc>
          <w:tcPr>
            <w:tcW w:type="dxa" w:w="2880"/>
            <w:vAlign w:val="center"/>
            <w:tcMar>
              <w:top w:w="70" w:type="dxa"/>
              <w:bottom w:w="70" w:type="dxa"/>
              <w:start w:w="80" w:type="dxa"/>
              <w:end w:w="80" w:type="dxa"/>
            </w:tcMar>
          </w:tcPr>
          <w:p>
            <w:pPr>
              <w:pStyle w:val="TableText"/>
            </w:pPr>
            <w:r/>
            <w:r>
              <w:rPr>
                <w:b w:val="0"/>
              </w:rPr>
              <w:t>Blank defaults to zero</w:t>
            </w:r>
          </w:p>
        </w:tc>
        <w:tc>
          <w:tcPr>
            <w:tcW w:type="dxa" w:w="3456"/>
            <w:vAlign w:val="center"/>
            <w:tcMar>
              <w:top w:w="70" w:type="dxa"/>
              <w:bottom w:w="70" w:type="dxa"/>
              <w:start w:w="80" w:type="dxa"/>
              <w:end w:w="80" w:type="dxa"/>
            </w:tcMar>
          </w:tcPr>
          <w:p>
            <w:pPr>
              <w:pStyle w:val="TableText"/>
            </w:pPr>
            <w:r/>
            <w:r>
              <w:rPr>
                <w:b w:val="0"/>
              </w:rPr>
              <w:t>False LOW classification.</w:t>
            </w:r>
          </w:p>
        </w:tc>
        <w:tc>
          <w:tcPr>
            <w:tcW w:type="dxa" w:w="4392"/>
            <w:vAlign w:val="center"/>
            <w:tcMar>
              <w:top w:w="70" w:type="dxa"/>
              <w:bottom w:w="70" w:type="dxa"/>
              <w:start w:w="80" w:type="dxa"/>
              <w:end w:w="80" w:type="dxa"/>
            </w:tcMar>
          </w:tcPr>
          <w:p>
            <w:pPr>
              <w:pStyle w:val="TableText"/>
            </w:pPr>
            <w:r/>
            <w:r>
              <w:rPr>
                <w:b w:val="0"/>
              </w:rPr>
              <w:t>Use incomplete state.</w:t>
            </w:r>
          </w:p>
        </w:tc>
      </w:tr>
      <w:tr>
        <w:trPr>
          <w:cantSplit/>
        </w:trPr>
        <w:tc>
          <w:tcPr>
            <w:tcW w:type="dxa" w:w="2880"/>
            <w:vAlign w:val="center"/>
            <w:tcMar>
              <w:top w:w="70" w:type="dxa"/>
              <w:bottom w:w="70" w:type="dxa"/>
              <w:start w:w="80" w:type="dxa"/>
              <w:end w:w="80" w:type="dxa"/>
            </w:tcMar>
            <w:shd w:fill="EDF4FA"/>
          </w:tcPr>
          <w:p>
            <w:pPr>
              <w:pStyle w:val="TableText"/>
            </w:pPr>
            <w:r/>
            <w:r>
              <w:rPr>
                <w:b w:val="0"/>
              </w:rPr>
              <w:t>Duplicate pregnancy loss records</w:t>
            </w:r>
          </w:p>
        </w:tc>
        <w:tc>
          <w:tcPr>
            <w:tcW w:type="dxa" w:w="3456"/>
            <w:vAlign w:val="center"/>
            <w:tcMar>
              <w:top w:w="70" w:type="dxa"/>
              <w:bottom w:w="70" w:type="dxa"/>
              <w:start w:w="80" w:type="dxa"/>
              <w:end w:w="80" w:type="dxa"/>
            </w:tcMar>
            <w:shd w:fill="EDF4FA"/>
          </w:tcPr>
          <w:p>
            <w:pPr>
              <w:pStyle w:val="TableText"/>
            </w:pPr>
            <w:r/>
            <w:r>
              <w:rPr>
                <w:b w:val="0"/>
              </w:rPr>
              <w:t>Threshold reached incorrectly.</w:t>
            </w:r>
          </w:p>
        </w:tc>
        <w:tc>
          <w:tcPr>
            <w:tcW w:type="dxa" w:w="4392"/>
            <w:vAlign w:val="center"/>
            <w:tcMar>
              <w:top w:w="70" w:type="dxa"/>
              <w:bottom w:w="70" w:type="dxa"/>
              <w:start w:w="80" w:type="dxa"/>
              <w:end w:w="80" w:type="dxa"/>
            </w:tcMar>
            <w:shd w:fill="EDF4FA"/>
          </w:tcPr>
          <w:p>
            <w:pPr>
              <w:pStyle w:val="TableText"/>
            </w:pPr>
            <w:r/>
            <w:r>
              <w:rPr>
                <w:b w:val="0"/>
              </w:rPr>
              <w:t>Use unique pregnancy episodes and audit deduplication.</w:t>
            </w:r>
          </w:p>
        </w:tc>
      </w:tr>
      <w:tr>
        <w:trPr>
          <w:cantSplit/>
        </w:trPr>
        <w:tc>
          <w:tcPr>
            <w:tcW w:type="dxa" w:w="2880"/>
            <w:vAlign w:val="center"/>
            <w:tcMar>
              <w:top w:w="70" w:type="dxa"/>
              <w:bottom w:w="70" w:type="dxa"/>
              <w:start w:w="80" w:type="dxa"/>
              <w:end w:w="80" w:type="dxa"/>
            </w:tcMar>
          </w:tcPr>
          <w:p>
            <w:pPr>
              <w:pStyle w:val="TableText"/>
            </w:pPr>
            <w:r/>
            <w:r>
              <w:rPr>
                <w:b w:val="0"/>
              </w:rPr>
              <w:t>Remote self-report not verified</w:t>
            </w:r>
          </w:p>
        </w:tc>
        <w:tc>
          <w:tcPr>
            <w:tcW w:type="dxa" w:w="3456"/>
            <w:vAlign w:val="center"/>
            <w:tcMar>
              <w:top w:w="70" w:type="dxa"/>
              <w:bottom w:w="70" w:type="dxa"/>
              <w:start w:w="80" w:type="dxa"/>
              <w:end w:w="80" w:type="dxa"/>
            </w:tcMar>
          </w:tcPr>
          <w:p>
            <w:pPr>
              <w:pStyle w:val="TableText"/>
            </w:pPr>
            <w:r/>
            <w:r>
              <w:rPr>
                <w:b w:val="0"/>
              </w:rPr>
              <w:t>Count or timing may be inaccurate.</w:t>
            </w:r>
          </w:p>
        </w:tc>
        <w:tc>
          <w:tcPr>
            <w:tcW w:type="dxa" w:w="4392"/>
            <w:vAlign w:val="center"/>
            <w:tcMar>
              <w:top w:w="70" w:type="dxa"/>
              <w:bottom w:w="70" w:type="dxa"/>
              <w:start w:w="80" w:type="dxa"/>
              <w:end w:w="80" w:type="dxa"/>
            </w:tcMar>
          </w:tcPr>
          <w:p>
            <w:pPr>
              <w:pStyle w:val="TableText"/>
            </w:pPr>
            <w:r/>
            <w:r>
              <w:rPr>
                <w:b w:val="0"/>
              </w:rPr>
              <w:t>Label source and seek records where possible.</w:t>
            </w:r>
          </w:p>
        </w:tc>
      </w:tr>
      <w:tr>
        <w:trPr>
          <w:cantSplit/>
        </w:trPr>
        <w:tc>
          <w:tcPr>
            <w:tcW w:type="dxa" w:w="2880"/>
            <w:vAlign w:val="center"/>
            <w:tcMar>
              <w:top w:w="70" w:type="dxa"/>
              <w:bottom w:w="70" w:type="dxa"/>
              <w:start w:w="80" w:type="dxa"/>
              <w:end w:w="80" w:type="dxa"/>
            </w:tcMar>
            <w:shd w:fill="EDF4FA"/>
          </w:tcPr>
          <w:p>
            <w:pPr>
              <w:pStyle w:val="TableText"/>
            </w:pPr>
            <w:r/>
            <w:r>
              <w:rPr>
                <w:b w:val="0"/>
              </w:rPr>
              <w:t>LOW ML output</w:t>
            </w:r>
          </w:p>
        </w:tc>
        <w:tc>
          <w:tcPr>
            <w:tcW w:type="dxa" w:w="3456"/>
            <w:vAlign w:val="center"/>
            <w:tcMar>
              <w:top w:w="70" w:type="dxa"/>
              <w:bottom w:w="70" w:type="dxa"/>
              <w:start w:w="80" w:type="dxa"/>
              <w:end w:w="80" w:type="dxa"/>
            </w:tcMar>
            <w:shd w:fill="EDF4FA"/>
          </w:tcPr>
          <w:p>
            <w:pPr>
              <w:pStyle w:val="TableText"/>
            </w:pPr>
            <w:r/>
            <w:r>
              <w:rPr>
                <w:b w:val="0"/>
              </w:rPr>
              <w:t>Major history may be masked.</w:t>
            </w:r>
          </w:p>
        </w:tc>
        <w:tc>
          <w:tcPr>
            <w:tcW w:type="dxa" w:w="4392"/>
            <w:vAlign w:val="center"/>
            <w:tcMar>
              <w:top w:w="70" w:type="dxa"/>
              <w:bottom w:w="70" w:type="dxa"/>
              <w:start w:w="80" w:type="dxa"/>
              <w:end w:w="80" w:type="dxa"/>
            </w:tcMar>
            <w:shd w:fill="EDF4FA"/>
          </w:tcPr>
          <w:p>
            <w:pPr>
              <w:pStyle w:val="TableText"/>
            </w:pPr>
            <w:r/>
            <w:r>
              <w:rPr>
                <w:b w:val="0"/>
              </w:rPr>
              <w:t>RM-03 overrides ML.</w:t>
            </w:r>
          </w:p>
        </w:tc>
      </w:tr>
      <w:tr>
        <w:trPr>
          <w:cantSplit/>
        </w:trPr>
        <w:tc>
          <w:tcPr>
            <w:tcW w:type="dxa" w:w="2880"/>
            <w:vAlign w:val="center"/>
            <w:tcMar>
              <w:top w:w="70" w:type="dxa"/>
              <w:bottom w:w="70" w:type="dxa"/>
              <w:start w:w="80" w:type="dxa"/>
              <w:end w:w="80" w:type="dxa"/>
            </w:tcMar>
          </w:tcPr>
          <w:p>
            <w:pPr>
              <w:pStyle w:val="TableText"/>
            </w:pPr>
            <w:r/>
            <w:r>
              <w:rPr>
                <w:b w:val="0"/>
              </w:rPr>
              <w:t>Empirical therapy suggested</w:t>
            </w:r>
          </w:p>
        </w:tc>
        <w:tc>
          <w:tcPr>
            <w:tcW w:type="dxa" w:w="3456"/>
            <w:vAlign w:val="center"/>
            <w:tcMar>
              <w:top w:w="70" w:type="dxa"/>
              <w:bottom w:w="70" w:type="dxa"/>
              <w:start w:w="80" w:type="dxa"/>
              <w:end w:w="80" w:type="dxa"/>
            </w:tcMar>
          </w:tcPr>
          <w:p>
            <w:pPr>
              <w:pStyle w:val="TableText"/>
            </w:pPr>
            <w:r/>
            <w:r>
              <w:rPr>
                <w:b w:val="0"/>
              </w:rPr>
              <w:t>Unproven or inappropriate treatment may cause harm.</w:t>
            </w:r>
          </w:p>
        </w:tc>
        <w:tc>
          <w:tcPr>
            <w:tcW w:type="dxa" w:w="4392"/>
            <w:vAlign w:val="center"/>
            <w:tcMar>
              <w:top w:w="70" w:type="dxa"/>
              <w:bottom w:w="70" w:type="dxa"/>
              <w:start w:w="80" w:type="dxa"/>
              <w:end w:w="80" w:type="dxa"/>
            </w:tcMar>
          </w:tcPr>
          <w:p>
            <w:pPr>
              <w:pStyle w:val="TableText"/>
            </w:pPr>
            <w:r/>
            <w:r>
              <w:rPr>
                <w:b w:val="0"/>
              </w:rPr>
              <w:t>No autonomous treatment advice.</w:t>
            </w:r>
          </w:p>
        </w:tc>
      </w:tr>
      <w:tr>
        <w:trPr>
          <w:cantSplit/>
        </w:trPr>
        <w:tc>
          <w:tcPr>
            <w:tcW w:type="dxa" w:w="2880"/>
            <w:vAlign w:val="center"/>
            <w:tcMar>
              <w:top w:w="70" w:type="dxa"/>
              <w:bottom w:w="70" w:type="dxa"/>
              <w:start w:w="80" w:type="dxa"/>
              <w:end w:w="80" w:type="dxa"/>
            </w:tcMar>
            <w:shd w:fill="EDF4FA"/>
          </w:tcPr>
          <w:p>
            <w:pPr>
              <w:pStyle w:val="TableText"/>
            </w:pPr>
            <w:r/>
            <w:r>
              <w:rPr>
                <w:b w:val="0"/>
              </w:rPr>
              <w:t>Psychological needs ignored</w:t>
            </w:r>
          </w:p>
        </w:tc>
        <w:tc>
          <w:tcPr>
            <w:tcW w:type="dxa" w:w="3456"/>
            <w:vAlign w:val="center"/>
            <w:tcMar>
              <w:top w:w="70" w:type="dxa"/>
              <w:bottom w:w="70" w:type="dxa"/>
              <w:start w:w="80" w:type="dxa"/>
              <w:end w:w="80" w:type="dxa"/>
            </w:tcMar>
            <w:shd w:fill="EDF4FA"/>
          </w:tcPr>
          <w:p>
            <w:pPr>
              <w:pStyle w:val="TableText"/>
            </w:pPr>
            <w:r/>
            <w:r>
              <w:rPr>
                <w:b w:val="0"/>
              </w:rPr>
              <w:t>Distress and disengagement may worsen.</w:t>
            </w:r>
          </w:p>
        </w:tc>
        <w:tc>
          <w:tcPr>
            <w:tcW w:type="dxa" w:w="4392"/>
            <w:vAlign w:val="center"/>
            <w:tcMar>
              <w:top w:w="70" w:type="dxa"/>
              <w:bottom w:w="70" w:type="dxa"/>
              <w:start w:w="80" w:type="dxa"/>
              <w:end w:w="80" w:type="dxa"/>
            </w:tcMar>
            <w:shd w:fill="EDF4FA"/>
          </w:tcPr>
          <w:p>
            <w:pPr>
              <w:pStyle w:val="TableText"/>
            </w:pPr>
            <w:r/>
            <w:r>
              <w:rPr>
                <w:b w:val="0"/>
              </w:rPr>
              <w:t>Use trauma-informed language and support referral.</w:t>
            </w:r>
          </w:p>
        </w:tc>
      </w:tr>
      <w:tr>
        <w:trPr>
          <w:cantSplit/>
        </w:trPr>
        <w:tc>
          <w:tcPr>
            <w:tcW w:type="dxa" w:w="2880"/>
            <w:vAlign w:val="center"/>
            <w:tcMar>
              <w:top w:w="70" w:type="dxa"/>
              <w:bottom w:w="70" w:type="dxa"/>
              <w:start w:w="80" w:type="dxa"/>
              <w:end w:w="80" w:type="dxa"/>
            </w:tcMar>
          </w:tcPr>
          <w:p>
            <w:pPr>
              <w:pStyle w:val="TableText"/>
            </w:pPr>
            <w:r/>
            <w:r>
              <w:rPr>
                <w:b w:val="0"/>
              </w:rPr>
              <w:t>Referral incomplete</w:t>
            </w:r>
          </w:p>
        </w:tc>
        <w:tc>
          <w:tcPr>
            <w:tcW w:type="dxa" w:w="3456"/>
            <w:vAlign w:val="center"/>
            <w:tcMar>
              <w:top w:w="70" w:type="dxa"/>
              <w:bottom w:w="70" w:type="dxa"/>
              <w:start w:w="80" w:type="dxa"/>
              <w:end w:w="80" w:type="dxa"/>
            </w:tcMar>
          </w:tcPr>
          <w:p>
            <w:pPr>
              <w:pStyle w:val="TableText"/>
            </w:pPr>
            <w:r/>
            <w:r>
              <w:rPr>
                <w:b w:val="0"/>
              </w:rPr>
              <w:t>False reassurance.</w:t>
            </w:r>
          </w:p>
        </w:tc>
        <w:tc>
          <w:tcPr>
            <w:tcW w:type="dxa" w:w="4392"/>
            <w:vAlign w:val="center"/>
            <w:tcMar>
              <w:top w:w="70" w:type="dxa"/>
              <w:bottom w:w="70" w:type="dxa"/>
              <w:start w:w="80" w:type="dxa"/>
              <w:end w:w="80" w:type="dxa"/>
            </w:tcMar>
          </w:tcPr>
          <w:p>
            <w:pPr>
              <w:pStyle w:val="TableText"/>
            </w:pPr>
            <w:r/>
            <w:r>
              <w:rPr>
                <w:b w:val="0"/>
              </w:rPr>
              <w:t>Track status and follow-up.</w:t>
            </w:r>
          </w:p>
        </w:tc>
      </w:tr>
      <w:tr>
        <w:trPr>
          <w:cantSplit/>
        </w:trPr>
        <w:tc>
          <w:tcPr>
            <w:tcW w:type="dxa" w:w="2880"/>
            <w:vAlign w:val="center"/>
            <w:tcMar>
              <w:top w:w="70" w:type="dxa"/>
              <w:bottom w:w="70" w:type="dxa"/>
              <w:start w:w="80" w:type="dxa"/>
              <w:end w:w="80" w:type="dxa"/>
            </w:tcMar>
            <w:shd w:fill="EDF4FA"/>
          </w:tcPr>
          <w:p>
            <w:pPr>
              <w:pStyle w:val="TableText"/>
            </w:pPr>
            <w:r/>
            <w:r>
              <w:rPr>
                <w:b w:val="0"/>
              </w:rPr>
              <w:t>HIGH interpreted as inevitable loss</w:t>
            </w:r>
          </w:p>
        </w:tc>
        <w:tc>
          <w:tcPr>
            <w:tcW w:type="dxa" w:w="3456"/>
            <w:vAlign w:val="center"/>
            <w:tcMar>
              <w:top w:w="70" w:type="dxa"/>
              <w:bottom w:w="70" w:type="dxa"/>
              <w:start w:w="80" w:type="dxa"/>
              <w:end w:w="80" w:type="dxa"/>
            </w:tcMar>
            <w:shd w:fill="EDF4FA"/>
          </w:tcPr>
          <w:p>
            <w:pPr>
              <w:pStyle w:val="TableText"/>
            </w:pPr>
            <w:r/>
            <w:r>
              <w:rPr>
                <w:b w:val="0"/>
              </w:rPr>
              <w:t>Unnecessary fear and misinformation.</w:t>
            </w:r>
          </w:p>
        </w:tc>
        <w:tc>
          <w:tcPr>
            <w:tcW w:type="dxa" w:w="4392"/>
            <w:vAlign w:val="center"/>
            <w:tcMar>
              <w:top w:w="70" w:type="dxa"/>
              <w:bottom w:w="70" w:type="dxa"/>
              <w:start w:w="80" w:type="dxa"/>
              <w:end w:w="80" w:type="dxa"/>
            </w:tcMar>
            <w:shd w:fill="EDF4FA"/>
          </w:tcPr>
          <w:p>
            <w:pPr>
              <w:pStyle w:val="TableText"/>
            </w:pPr>
            <w:r/>
            <w:r>
              <w:rPr>
                <w:b w:val="0"/>
              </w:rPr>
              <w:t>State that many later pregnancies succeed.</w:t>
            </w:r>
          </w:p>
        </w:tc>
      </w:tr>
    </w:tbl>
    <w:p>
      <w:pPr>
        <w:spacing w:after="20"/>
      </w:pPr>
    </w:p>
    <w:p>
      <w:pPr>
        <w:pStyle w:val="Heading1"/>
      </w:pPr>
      <w:r>
        <w:t>14. Validation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037"/>
            <w:vAlign w:val="center"/>
            <w:tcMar>
              <w:top w:w="70" w:type="dxa"/>
              <w:bottom w:w="70" w:type="dxa"/>
              <w:start w:w="80" w:type="dxa"/>
              <w:end w:w="80" w:type="dxa"/>
            </w:tcMar>
            <w:shd w:fill="17365D"/>
          </w:tcPr>
          <w:p>
            <w:pPr>
              <w:pStyle w:val="TableHeader"/>
            </w:pPr>
            <w:r/>
            <w:r>
              <w:rPr>
                <w:b/>
                <w:color w:val="FFFFFF"/>
              </w:rPr>
              <w:t>Test ID</w:t>
            </w:r>
          </w:p>
        </w:tc>
        <w:tc>
          <w:tcPr>
            <w:tcW w:type="dxa" w:w="3672"/>
            <w:vAlign w:val="center"/>
            <w:tcMar>
              <w:top w:w="70" w:type="dxa"/>
              <w:bottom w:w="70" w:type="dxa"/>
              <w:start w:w="80" w:type="dxa"/>
              <w:end w:w="80" w:type="dxa"/>
            </w:tcMar>
            <w:shd w:fill="17365D"/>
          </w:tcPr>
          <w:p>
            <w:pPr>
              <w:pStyle w:val="TableHeader"/>
            </w:pPr>
            <w:r/>
            <w:r>
              <w:rPr>
                <w:b/>
                <w:color w:val="FFFFFF"/>
              </w:rPr>
              <w:t>Scenario</w:t>
            </w:r>
          </w:p>
        </w:tc>
        <w:tc>
          <w:tcPr>
            <w:tcW w:type="dxa" w:w="2232"/>
            <w:vAlign w:val="center"/>
            <w:tcMar>
              <w:top w:w="70" w:type="dxa"/>
              <w:bottom w:w="70" w:type="dxa"/>
              <w:start w:w="80" w:type="dxa"/>
              <w:end w:w="80" w:type="dxa"/>
            </w:tcMar>
            <w:shd w:fill="17365D"/>
          </w:tcPr>
          <w:p>
            <w:pPr>
              <w:pStyle w:val="TableHeader"/>
            </w:pPr>
            <w:r/>
            <w:r>
              <w:rPr>
                <w:b/>
                <w:color w:val="FFFFFF"/>
              </w:rPr>
              <w:t>Expected output</w:t>
            </w:r>
          </w:p>
        </w:tc>
        <w:tc>
          <w:tcPr>
            <w:tcW w:type="dxa" w:w="3816"/>
            <w:vAlign w:val="center"/>
            <w:tcMar>
              <w:top w:w="70" w:type="dxa"/>
              <w:bottom w:w="70" w:type="dxa"/>
              <w:start w:w="80" w:type="dxa"/>
              <w:end w:w="80" w:type="dxa"/>
            </w:tcMar>
            <w:shd w:fill="17365D"/>
          </w:tcPr>
          <w:p>
            <w:pPr>
              <w:pStyle w:val="TableHeader"/>
            </w:pPr>
            <w:r/>
            <w:r>
              <w:rPr>
                <w:b/>
                <w:color w:val="FFFFFF"/>
              </w:rPr>
              <w:t>Expected control/explanation</w:t>
            </w:r>
          </w:p>
        </w:tc>
      </w:tr>
      <w:tr>
        <w:trPr>
          <w:cantSplit/>
        </w:trPr>
        <w:tc>
          <w:tcPr>
            <w:tcW w:type="dxa" w:w="1037"/>
            <w:vAlign w:val="center"/>
            <w:tcMar>
              <w:top w:w="70" w:type="dxa"/>
              <w:bottom w:w="70" w:type="dxa"/>
              <w:start w:w="80" w:type="dxa"/>
              <w:end w:w="80" w:type="dxa"/>
            </w:tcMar>
          </w:tcPr>
          <w:p>
            <w:pPr>
              <w:pStyle w:val="TableText"/>
            </w:pPr>
            <w:r/>
            <w:r>
              <w:rPr>
                <w:b w:val="0"/>
              </w:rPr>
              <w:t>RM-T01</w:t>
            </w:r>
          </w:p>
        </w:tc>
        <w:tc>
          <w:tcPr>
            <w:tcW w:type="dxa" w:w="3672"/>
            <w:vAlign w:val="center"/>
            <w:tcMar>
              <w:top w:w="70" w:type="dxa"/>
              <w:bottom w:w="70" w:type="dxa"/>
              <w:start w:w="80" w:type="dxa"/>
              <w:end w:w="80" w:type="dxa"/>
            </w:tcMar>
          </w:tcPr>
          <w:p>
            <w:pPr>
              <w:pStyle w:val="TableText"/>
            </w:pPr>
            <w:r/>
            <w:r>
              <w:rPr>
                <w:b w:val="0"/>
              </w:rPr>
              <w:t>Count 3; ML LOW; complete records.</w:t>
            </w:r>
          </w:p>
        </w:tc>
        <w:tc>
          <w:tcPr>
            <w:tcW w:type="dxa" w:w="2232"/>
            <w:vAlign w:val="center"/>
            <w:tcMar>
              <w:top w:w="70" w:type="dxa"/>
              <w:bottom w:w="70" w:type="dxa"/>
              <w:start w:w="80" w:type="dxa"/>
              <w:end w:w="80" w:type="dxa"/>
            </w:tcMar>
          </w:tcPr>
          <w:p>
            <w:pPr>
              <w:pStyle w:val="TableText"/>
            </w:pPr>
            <w:r/>
            <w:r>
              <w:rPr>
                <w:b w:val="0"/>
              </w:rPr>
              <w:t>HIGH</w:t>
            </w:r>
          </w:p>
        </w:tc>
        <w:tc>
          <w:tcPr>
            <w:tcW w:type="dxa" w:w="3816"/>
            <w:vAlign w:val="center"/>
            <w:tcMar>
              <w:top w:w="70" w:type="dxa"/>
              <w:bottom w:w="70" w:type="dxa"/>
              <w:start w:w="80" w:type="dxa"/>
              <w:end w:w="80" w:type="dxa"/>
            </w:tcMar>
          </w:tcPr>
          <w:p>
            <w:pPr>
              <w:pStyle w:val="TableText"/>
            </w:pPr>
            <w:r/>
            <w:r>
              <w:rPr>
                <w:b w:val="0"/>
              </w:rPr>
              <w:t>RM-03 shown.</w:t>
            </w:r>
          </w:p>
        </w:tc>
      </w:tr>
      <w:tr>
        <w:trPr>
          <w:cantSplit/>
        </w:trPr>
        <w:tc>
          <w:tcPr>
            <w:tcW w:type="dxa" w:w="1037"/>
            <w:vAlign w:val="center"/>
            <w:tcMar>
              <w:top w:w="70" w:type="dxa"/>
              <w:bottom w:w="70" w:type="dxa"/>
              <w:start w:w="80" w:type="dxa"/>
              <w:end w:w="80" w:type="dxa"/>
            </w:tcMar>
            <w:shd w:fill="EDF4FA"/>
          </w:tcPr>
          <w:p>
            <w:pPr>
              <w:pStyle w:val="TableText"/>
            </w:pPr>
            <w:r/>
            <w:r>
              <w:rPr>
                <w:b w:val="0"/>
              </w:rPr>
              <w:t>RM-T02</w:t>
            </w:r>
          </w:p>
        </w:tc>
        <w:tc>
          <w:tcPr>
            <w:tcW w:type="dxa" w:w="3672"/>
            <w:vAlign w:val="center"/>
            <w:tcMar>
              <w:top w:w="70" w:type="dxa"/>
              <w:bottom w:w="70" w:type="dxa"/>
              <w:start w:w="80" w:type="dxa"/>
              <w:end w:w="80" w:type="dxa"/>
            </w:tcMar>
            <w:shd w:fill="EDF4FA"/>
          </w:tcPr>
          <w:p>
            <w:pPr>
              <w:pStyle w:val="TableText"/>
            </w:pPr>
            <w:r/>
            <w:r>
              <w:rPr>
                <w:b w:val="0"/>
              </w:rPr>
              <w:t>Count 5; ML HIGH.</w:t>
            </w:r>
          </w:p>
        </w:tc>
        <w:tc>
          <w:tcPr>
            <w:tcW w:type="dxa" w:w="2232"/>
            <w:vAlign w:val="center"/>
            <w:tcMar>
              <w:top w:w="70" w:type="dxa"/>
              <w:bottom w:w="70" w:type="dxa"/>
              <w:start w:w="80" w:type="dxa"/>
              <w:end w:w="80" w:type="dxa"/>
            </w:tcMar>
            <w:shd w:fill="EDF4FA"/>
          </w:tcPr>
          <w:p>
            <w:pPr>
              <w:pStyle w:val="TableText"/>
            </w:pPr>
            <w:r/>
            <w:r>
              <w:rPr>
                <w:b w:val="0"/>
              </w:rPr>
              <w:t>HIGH</w:t>
            </w:r>
          </w:p>
        </w:tc>
        <w:tc>
          <w:tcPr>
            <w:tcW w:type="dxa" w:w="3816"/>
            <w:vAlign w:val="center"/>
            <w:tcMar>
              <w:top w:w="70" w:type="dxa"/>
              <w:bottom w:w="70" w:type="dxa"/>
              <w:start w:w="80" w:type="dxa"/>
              <w:end w:w="80" w:type="dxa"/>
            </w:tcMar>
            <w:shd w:fill="EDF4FA"/>
          </w:tcPr>
          <w:p>
            <w:pPr>
              <w:pStyle w:val="TableText"/>
            </w:pPr>
            <w:r/>
            <w:r>
              <w:rPr>
                <w:b w:val="0"/>
              </w:rPr>
              <w:t>One clear recurrent-loss reason.</w:t>
            </w:r>
          </w:p>
        </w:tc>
      </w:tr>
      <w:tr>
        <w:trPr>
          <w:cantSplit/>
        </w:trPr>
        <w:tc>
          <w:tcPr>
            <w:tcW w:type="dxa" w:w="1037"/>
            <w:vAlign w:val="center"/>
            <w:tcMar>
              <w:top w:w="70" w:type="dxa"/>
              <w:bottom w:w="70" w:type="dxa"/>
              <w:start w:w="80" w:type="dxa"/>
              <w:end w:w="80" w:type="dxa"/>
            </w:tcMar>
          </w:tcPr>
          <w:p>
            <w:pPr>
              <w:pStyle w:val="TableText"/>
            </w:pPr>
            <w:r/>
            <w:r>
              <w:rPr>
                <w:b w:val="0"/>
              </w:rPr>
              <w:t>RM-T03</w:t>
            </w:r>
          </w:p>
        </w:tc>
        <w:tc>
          <w:tcPr>
            <w:tcW w:type="dxa" w:w="3672"/>
            <w:vAlign w:val="center"/>
            <w:tcMar>
              <w:top w:w="70" w:type="dxa"/>
              <w:bottom w:w="70" w:type="dxa"/>
              <w:start w:w="80" w:type="dxa"/>
              <w:end w:w="80" w:type="dxa"/>
            </w:tcMar>
          </w:tcPr>
          <w:p>
            <w:pPr>
              <w:pStyle w:val="TableText"/>
            </w:pPr>
            <w:r/>
            <w:r>
              <w:rPr>
                <w:b w:val="0"/>
              </w:rPr>
              <w:t>Count 3; ML unavailable.</w:t>
            </w:r>
          </w:p>
        </w:tc>
        <w:tc>
          <w:tcPr>
            <w:tcW w:type="dxa" w:w="2232"/>
            <w:vAlign w:val="center"/>
            <w:tcMar>
              <w:top w:w="70" w:type="dxa"/>
              <w:bottom w:w="70" w:type="dxa"/>
              <w:start w:w="80" w:type="dxa"/>
              <w:end w:w="80" w:type="dxa"/>
            </w:tcMar>
          </w:tcPr>
          <w:p>
            <w:pPr>
              <w:pStyle w:val="TableText"/>
            </w:pPr>
            <w:r/>
            <w:r>
              <w:rPr>
                <w:b w:val="0"/>
              </w:rPr>
              <w:t>HIGH</w:t>
            </w:r>
          </w:p>
        </w:tc>
        <w:tc>
          <w:tcPr>
            <w:tcW w:type="dxa" w:w="3816"/>
            <w:vAlign w:val="center"/>
            <w:tcMar>
              <w:top w:w="70" w:type="dxa"/>
              <w:bottom w:w="70" w:type="dxa"/>
              <w:start w:w="80" w:type="dxa"/>
              <w:end w:w="80" w:type="dxa"/>
            </w:tcMar>
          </w:tcPr>
          <w:p>
            <w:pPr>
              <w:pStyle w:val="TableText"/>
            </w:pPr>
            <w:r/>
            <w:r>
              <w:rPr>
                <w:b w:val="0"/>
              </w:rPr>
              <w:t>Override retained; ML failure logged.</w:t>
            </w:r>
          </w:p>
        </w:tc>
      </w:tr>
      <w:tr>
        <w:trPr>
          <w:cantSplit/>
        </w:trPr>
        <w:tc>
          <w:tcPr>
            <w:tcW w:type="dxa" w:w="1037"/>
            <w:vAlign w:val="center"/>
            <w:tcMar>
              <w:top w:w="70" w:type="dxa"/>
              <w:bottom w:w="70" w:type="dxa"/>
              <w:start w:w="80" w:type="dxa"/>
              <w:end w:w="80" w:type="dxa"/>
            </w:tcMar>
            <w:shd w:fill="EDF4FA"/>
          </w:tcPr>
          <w:p>
            <w:pPr>
              <w:pStyle w:val="TableText"/>
            </w:pPr>
            <w:r/>
            <w:r>
              <w:rPr>
                <w:b w:val="0"/>
              </w:rPr>
              <w:t>RM-T04</w:t>
            </w:r>
          </w:p>
        </w:tc>
        <w:tc>
          <w:tcPr>
            <w:tcW w:type="dxa" w:w="3672"/>
            <w:vAlign w:val="center"/>
            <w:tcMar>
              <w:top w:w="70" w:type="dxa"/>
              <w:bottom w:w="70" w:type="dxa"/>
              <w:start w:w="80" w:type="dxa"/>
              <w:end w:w="80" w:type="dxa"/>
            </w:tcMar>
            <w:shd w:fill="EDF4FA"/>
          </w:tcPr>
          <w:p>
            <w:pPr>
              <w:pStyle w:val="TableText"/>
            </w:pPr>
            <w:r/>
            <w:r>
              <w:rPr>
                <w:b w:val="0"/>
              </w:rPr>
              <w:t>Count 2; ML LOW; no other factor.</w:t>
            </w:r>
          </w:p>
        </w:tc>
        <w:tc>
          <w:tcPr>
            <w:tcW w:type="dxa" w:w="2232"/>
            <w:vAlign w:val="center"/>
            <w:tcMar>
              <w:top w:w="70" w:type="dxa"/>
              <w:bottom w:w="70" w:type="dxa"/>
              <w:start w:w="80" w:type="dxa"/>
              <w:end w:w="80" w:type="dxa"/>
            </w:tcMar>
            <w:shd w:fill="EDF4FA"/>
          </w:tcPr>
          <w:p>
            <w:pPr>
              <w:pStyle w:val="TableText"/>
            </w:pPr>
            <w:r/>
            <w:r>
              <w:rPr>
                <w:b w:val="0"/>
              </w:rPr>
              <w:t>LOW under current code, with documented limitation</w:t>
            </w:r>
          </w:p>
        </w:tc>
        <w:tc>
          <w:tcPr>
            <w:tcW w:type="dxa" w:w="3816"/>
            <w:vAlign w:val="center"/>
            <w:tcMar>
              <w:top w:w="70" w:type="dxa"/>
              <w:bottom w:w="70" w:type="dxa"/>
              <w:start w:w="80" w:type="dxa"/>
              <w:end w:w="80" w:type="dxa"/>
            </w:tcMar>
            <w:shd w:fill="EDF4FA"/>
          </w:tcPr>
          <w:p>
            <w:pPr>
              <w:pStyle w:val="TableText"/>
            </w:pPr>
            <w:r/>
            <w:r>
              <w:rPr>
                <w:b w:val="0"/>
              </w:rPr>
              <w:t>Do not label two losses clinically insignificant.</w:t>
            </w:r>
          </w:p>
        </w:tc>
      </w:tr>
      <w:tr>
        <w:trPr>
          <w:cantSplit/>
        </w:trPr>
        <w:tc>
          <w:tcPr>
            <w:tcW w:type="dxa" w:w="1037"/>
            <w:vAlign w:val="center"/>
            <w:tcMar>
              <w:top w:w="70" w:type="dxa"/>
              <w:bottom w:w="70" w:type="dxa"/>
              <w:start w:w="80" w:type="dxa"/>
              <w:end w:w="80" w:type="dxa"/>
            </w:tcMar>
          </w:tcPr>
          <w:p>
            <w:pPr>
              <w:pStyle w:val="TableText"/>
            </w:pPr>
            <w:r/>
            <w:r>
              <w:rPr>
                <w:b w:val="0"/>
              </w:rPr>
              <w:t>RM-T05</w:t>
            </w:r>
          </w:p>
        </w:tc>
        <w:tc>
          <w:tcPr>
            <w:tcW w:type="dxa" w:w="3672"/>
            <w:vAlign w:val="center"/>
            <w:tcMar>
              <w:top w:w="70" w:type="dxa"/>
              <w:bottom w:w="70" w:type="dxa"/>
              <w:start w:w="80" w:type="dxa"/>
              <w:end w:w="80" w:type="dxa"/>
            </w:tcMar>
          </w:tcPr>
          <w:p>
            <w:pPr>
              <w:pStyle w:val="TableText"/>
            </w:pPr>
            <w:r/>
            <w:r>
              <w:rPr>
                <w:b w:val="0"/>
              </w:rPr>
              <w:t>Count 1; ML LOW; no other factor.</w:t>
            </w:r>
          </w:p>
        </w:tc>
        <w:tc>
          <w:tcPr>
            <w:tcW w:type="dxa" w:w="2232"/>
            <w:vAlign w:val="center"/>
            <w:tcMar>
              <w:top w:w="70" w:type="dxa"/>
              <w:bottom w:w="70" w:type="dxa"/>
              <w:start w:w="80" w:type="dxa"/>
              <w:end w:w="80" w:type="dxa"/>
            </w:tcMar>
          </w:tcPr>
          <w:p>
            <w:pPr>
              <w:pStyle w:val="TableText"/>
            </w:pPr>
            <w:r/>
            <w:r>
              <w:rPr>
                <w:b w:val="0"/>
              </w:rPr>
              <w:t>LOW</w:t>
            </w:r>
          </w:p>
        </w:tc>
        <w:tc>
          <w:tcPr>
            <w:tcW w:type="dxa" w:w="3816"/>
            <w:vAlign w:val="center"/>
            <w:tcMar>
              <w:top w:w="70" w:type="dxa"/>
              <w:bottom w:w="70" w:type="dxa"/>
              <w:start w:w="80" w:type="dxa"/>
              <w:end w:w="80" w:type="dxa"/>
            </w:tcMar>
          </w:tcPr>
          <w:p>
            <w:pPr>
              <w:pStyle w:val="TableText"/>
            </w:pPr>
            <w:r/>
            <w:r>
              <w:rPr>
                <w:b w:val="0"/>
              </w:rPr>
              <w:t>Only when all records complete.</w:t>
            </w:r>
          </w:p>
        </w:tc>
      </w:tr>
      <w:tr>
        <w:trPr>
          <w:cantSplit/>
        </w:trPr>
        <w:tc>
          <w:tcPr>
            <w:tcW w:type="dxa" w:w="1037"/>
            <w:vAlign w:val="center"/>
            <w:tcMar>
              <w:top w:w="70" w:type="dxa"/>
              <w:bottom w:w="70" w:type="dxa"/>
              <w:start w:w="80" w:type="dxa"/>
              <w:end w:w="80" w:type="dxa"/>
            </w:tcMar>
            <w:shd w:fill="EDF4FA"/>
          </w:tcPr>
          <w:p>
            <w:pPr>
              <w:pStyle w:val="TableText"/>
            </w:pPr>
            <w:r/>
            <w:r>
              <w:rPr>
                <w:b w:val="0"/>
              </w:rPr>
              <w:t>RM-T06</w:t>
            </w:r>
          </w:p>
        </w:tc>
        <w:tc>
          <w:tcPr>
            <w:tcW w:type="dxa" w:w="3672"/>
            <w:vAlign w:val="center"/>
            <w:tcMar>
              <w:top w:w="70" w:type="dxa"/>
              <w:bottom w:w="70" w:type="dxa"/>
              <w:start w:w="80" w:type="dxa"/>
              <w:end w:w="80" w:type="dxa"/>
            </w:tcMar>
            <w:shd w:fill="EDF4FA"/>
          </w:tcPr>
          <w:p>
            <w:pPr>
              <w:pStyle w:val="TableText"/>
            </w:pPr>
            <w:r/>
            <w:r>
              <w:rPr>
                <w:b w:val="0"/>
              </w:rPr>
              <w:t>Count blank.</w:t>
            </w:r>
          </w:p>
        </w:tc>
        <w:tc>
          <w:tcPr>
            <w:tcW w:type="dxa" w:w="2232"/>
            <w:vAlign w:val="center"/>
            <w:tcMar>
              <w:top w:w="70" w:type="dxa"/>
              <w:bottom w:w="70" w:type="dxa"/>
              <w:start w:w="80" w:type="dxa"/>
              <w:end w:w="80" w:type="dxa"/>
            </w:tcMar>
            <w:shd w:fill="EDF4FA"/>
          </w:tcPr>
          <w:p>
            <w:pPr>
              <w:pStyle w:val="TableText"/>
            </w:pPr>
            <w:r/>
            <w:r>
              <w:rPr>
                <w:b w:val="0"/>
              </w:rPr>
              <w:t>ASSESSMENT INCOMPLETE</w:t>
            </w:r>
          </w:p>
        </w:tc>
        <w:tc>
          <w:tcPr>
            <w:tcW w:type="dxa" w:w="3816"/>
            <w:vAlign w:val="center"/>
            <w:tcMar>
              <w:top w:w="70" w:type="dxa"/>
              <w:bottom w:w="70" w:type="dxa"/>
              <w:start w:w="80" w:type="dxa"/>
              <w:end w:w="80" w:type="dxa"/>
            </w:tcMar>
            <w:shd w:fill="EDF4FA"/>
          </w:tcPr>
          <w:p>
            <w:pPr>
              <w:pStyle w:val="TableText"/>
            </w:pPr>
            <w:r/>
            <w:r>
              <w:rPr>
                <w:b w:val="0"/>
              </w:rPr>
              <w:t>Do not default to zero.</w:t>
            </w:r>
          </w:p>
        </w:tc>
      </w:tr>
      <w:tr>
        <w:trPr>
          <w:cantSplit/>
        </w:trPr>
        <w:tc>
          <w:tcPr>
            <w:tcW w:type="dxa" w:w="1037"/>
            <w:vAlign w:val="center"/>
            <w:tcMar>
              <w:top w:w="70" w:type="dxa"/>
              <w:bottom w:w="70" w:type="dxa"/>
              <w:start w:w="80" w:type="dxa"/>
              <w:end w:w="80" w:type="dxa"/>
            </w:tcMar>
          </w:tcPr>
          <w:p>
            <w:pPr>
              <w:pStyle w:val="TableText"/>
            </w:pPr>
            <w:r/>
            <w:r>
              <w:rPr>
                <w:b w:val="0"/>
              </w:rPr>
              <w:t>RM-T07</w:t>
            </w:r>
          </w:p>
        </w:tc>
        <w:tc>
          <w:tcPr>
            <w:tcW w:type="dxa" w:w="3672"/>
            <w:vAlign w:val="center"/>
            <w:tcMar>
              <w:top w:w="70" w:type="dxa"/>
              <w:bottom w:w="70" w:type="dxa"/>
              <w:start w:w="80" w:type="dxa"/>
              <w:end w:w="80" w:type="dxa"/>
            </w:tcMar>
          </w:tcPr>
          <w:p>
            <w:pPr>
              <w:pStyle w:val="TableText"/>
            </w:pPr>
            <w:r/>
            <w:r>
              <w:rPr>
                <w:b w:val="0"/>
              </w:rPr>
              <w:t>Count -1.</w:t>
            </w:r>
          </w:p>
        </w:tc>
        <w:tc>
          <w:tcPr>
            <w:tcW w:type="dxa" w:w="2232"/>
            <w:vAlign w:val="center"/>
            <w:tcMar>
              <w:top w:w="70" w:type="dxa"/>
              <w:bottom w:w="70" w:type="dxa"/>
              <w:start w:w="80" w:type="dxa"/>
              <w:end w:w="80" w:type="dxa"/>
            </w:tcMar>
          </w:tcPr>
          <w:p>
            <w:pPr>
              <w:pStyle w:val="TableText"/>
            </w:pPr>
            <w:r/>
            <w:r>
              <w:rPr>
                <w:b w:val="0"/>
              </w:rPr>
              <w:t>Validation error / incomplete</w:t>
            </w:r>
          </w:p>
        </w:tc>
        <w:tc>
          <w:tcPr>
            <w:tcW w:type="dxa" w:w="3816"/>
            <w:vAlign w:val="center"/>
            <w:tcMar>
              <w:top w:w="70" w:type="dxa"/>
              <w:bottom w:w="70" w:type="dxa"/>
              <w:start w:w="80" w:type="dxa"/>
              <w:end w:w="80" w:type="dxa"/>
            </w:tcMar>
          </w:tcPr>
          <w:p>
            <w:pPr>
              <w:pStyle w:val="TableText"/>
            </w:pPr>
            <w:r/>
            <w:r>
              <w:rPr>
                <w:b w:val="0"/>
              </w:rPr>
              <w:t>Block save or correct.</w:t>
            </w:r>
          </w:p>
        </w:tc>
      </w:tr>
      <w:tr>
        <w:trPr>
          <w:cantSplit/>
        </w:trPr>
        <w:tc>
          <w:tcPr>
            <w:tcW w:type="dxa" w:w="1037"/>
            <w:vAlign w:val="center"/>
            <w:tcMar>
              <w:top w:w="70" w:type="dxa"/>
              <w:bottom w:w="70" w:type="dxa"/>
              <w:start w:w="80" w:type="dxa"/>
              <w:end w:w="80" w:type="dxa"/>
            </w:tcMar>
            <w:shd w:fill="EDF4FA"/>
          </w:tcPr>
          <w:p>
            <w:pPr>
              <w:pStyle w:val="TableText"/>
            </w:pPr>
            <w:r/>
            <w:r>
              <w:rPr>
                <w:b w:val="0"/>
              </w:rPr>
              <w:t>RM-T08</w:t>
            </w:r>
          </w:p>
        </w:tc>
        <w:tc>
          <w:tcPr>
            <w:tcW w:type="dxa" w:w="3672"/>
            <w:vAlign w:val="center"/>
            <w:tcMar>
              <w:top w:w="70" w:type="dxa"/>
              <w:bottom w:w="70" w:type="dxa"/>
              <w:start w:w="80" w:type="dxa"/>
              <w:end w:w="80" w:type="dxa"/>
            </w:tcMar>
            <w:shd w:fill="EDF4FA"/>
          </w:tcPr>
          <w:p>
            <w:pPr>
              <w:pStyle w:val="TableText"/>
            </w:pPr>
            <w:r/>
            <w:r>
              <w:rPr>
                <w:b w:val="0"/>
              </w:rPr>
              <w:t>Count 'three'.</w:t>
            </w:r>
          </w:p>
        </w:tc>
        <w:tc>
          <w:tcPr>
            <w:tcW w:type="dxa" w:w="2232"/>
            <w:vAlign w:val="center"/>
            <w:tcMar>
              <w:top w:w="70" w:type="dxa"/>
              <w:bottom w:w="70" w:type="dxa"/>
              <w:start w:w="80" w:type="dxa"/>
              <w:end w:w="80" w:type="dxa"/>
            </w:tcMar>
            <w:shd w:fill="EDF4FA"/>
          </w:tcPr>
          <w:p>
            <w:pPr>
              <w:pStyle w:val="TableText"/>
            </w:pPr>
            <w:r/>
            <w:r>
              <w:rPr>
                <w:b w:val="0"/>
              </w:rPr>
              <w:t>Validation error / incomplete</w:t>
            </w:r>
          </w:p>
        </w:tc>
        <w:tc>
          <w:tcPr>
            <w:tcW w:type="dxa" w:w="3816"/>
            <w:vAlign w:val="center"/>
            <w:tcMar>
              <w:top w:w="70" w:type="dxa"/>
              <w:bottom w:w="70" w:type="dxa"/>
              <w:start w:w="80" w:type="dxa"/>
              <w:end w:w="80" w:type="dxa"/>
            </w:tcMar>
            <w:shd w:fill="EDF4FA"/>
          </w:tcPr>
          <w:p>
            <w:pPr>
              <w:pStyle w:val="TableText"/>
            </w:pPr>
            <w:r/>
            <w:r>
              <w:rPr>
                <w:b w:val="0"/>
              </w:rPr>
              <w:t>Require integer.</w:t>
            </w:r>
          </w:p>
        </w:tc>
      </w:tr>
      <w:tr>
        <w:trPr>
          <w:cantSplit/>
        </w:trPr>
        <w:tc>
          <w:tcPr>
            <w:tcW w:type="dxa" w:w="1037"/>
            <w:vAlign w:val="center"/>
            <w:tcMar>
              <w:top w:w="70" w:type="dxa"/>
              <w:bottom w:w="70" w:type="dxa"/>
              <w:start w:w="80" w:type="dxa"/>
              <w:end w:w="80" w:type="dxa"/>
            </w:tcMar>
          </w:tcPr>
          <w:p>
            <w:pPr>
              <w:pStyle w:val="TableText"/>
            </w:pPr>
            <w:r/>
            <w:r>
              <w:rPr>
                <w:b w:val="0"/>
              </w:rPr>
              <w:t>RM-T09</w:t>
            </w:r>
          </w:p>
        </w:tc>
        <w:tc>
          <w:tcPr>
            <w:tcW w:type="dxa" w:w="3672"/>
            <w:vAlign w:val="center"/>
            <w:tcMar>
              <w:top w:w="70" w:type="dxa"/>
              <w:bottom w:w="70" w:type="dxa"/>
              <w:start w:w="80" w:type="dxa"/>
              <w:end w:w="80" w:type="dxa"/>
            </w:tcMar>
          </w:tcPr>
          <w:p>
            <w:pPr>
              <w:pStyle w:val="TableText"/>
            </w:pPr>
            <w:r/>
            <w:r>
              <w:rPr>
                <w:b w:val="0"/>
              </w:rPr>
              <w:t>Count 3 stored as string '3'.</w:t>
            </w:r>
          </w:p>
        </w:tc>
        <w:tc>
          <w:tcPr>
            <w:tcW w:type="dxa" w:w="2232"/>
            <w:vAlign w:val="center"/>
            <w:tcMar>
              <w:top w:w="70" w:type="dxa"/>
              <w:bottom w:w="70" w:type="dxa"/>
              <w:start w:w="80" w:type="dxa"/>
              <w:end w:w="80" w:type="dxa"/>
            </w:tcMar>
          </w:tcPr>
          <w:p>
            <w:pPr>
              <w:pStyle w:val="TableText"/>
            </w:pPr>
            <w:r/>
            <w:r>
              <w:rPr>
                <w:b w:val="0"/>
              </w:rPr>
              <w:t>HIGH after validated numeric conversion</w:t>
            </w:r>
          </w:p>
        </w:tc>
        <w:tc>
          <w:tcPr>
            <w:tcW w:type="dxa" w:w="3816"/>
            <w:vAlign w:val="center"/>
            <w:tcMar>
              <w:top w:w="70" w:type="dxa"/>
              <w:bottom w:w="70" w:type="dxa"/>
              <w:start w:w="80" w:type="dxa"/>
              <w:end w:w="80" w:type="dxa"/>
            </w:tcMar>
          </w:tcPr>
          <w:p>
            <w:pPr>
              <w:pStyle w:val="TableText"/>
            </w:pPr>
            <w:r/>
            <w:r>
              <w:rPr>
                <w:b w:val="0"/>
              </w:rPr>
              <w:t>Audit normalization.</w:t>
            </w:r>
          </w:p>
        </w:tc>
      </w:tr>
      <w:tr>
        <w:trPr>
          <w:cantSplit/>
        </w:trPr>
        <w:tc>
          <w:tcPr>
            <w:tcW w:type="dxa" w:w="1037"/>
            <w:vAlign w:val="center"/>
            <w:tcMar>
              <w:top w:w="70" w:type="dxa"/>
              <w:bottom w:w="70" w:type="dxa"/>
              <w:start w:w="80" w:type="dxa"/>
              <w:end w:w="80" w:type="dxa"/>
            </w:tcMar>
            <w:shd w:fill="EDF4FA"/>
          </w:tcPr>
          <w:p>
            <w:pPr>
              <w:pStyle w:val="TableText"/>
            </w:pPr>
            <w:r/>
            <w:r>
              <w:rPr>
                <w:b w:val="0"/>
              </w:rPr>
              <w:t>RM-T10</w:t>
            </w:r>
          </w:p>
        </w:tc>
        <w:tc>
          <w:tcPr>
            <w:tcW w:type="dxa" w:w="3672"/>
            <w:vAlign w:val="center"/>
            <w:tcMar>
              <w:top w:w="70" w:type="dxa"/>
              <w:bottom w:w="70" w:type="dxa"/>
              <w:start w:w="80" w:type="dxa"/>
              <w:end w:w="80" w:type="dxa"/>
            </w:tcMar>
            <w:shd w:fill="EDF4FA"/>
          </w:tcPr>
          <w:p>
            <w:pPr>
              <w:pStyle w:val="TableText"/>
            </w:pPr>
            <w:r/>
            <w:r>
              <w:rPr>
                <w:b w:val="0"/>
              </w:rPr>
              <w:t>Count changed 2 to 3.</w:t>
            </w:r>
          </w:p>
        </w:tc>
        <w:tc>
          <w:tcPr>
            <w:tcW w:type="dxa" w:w="2232"/>
            <w:vAlign w:val="center"/>
            <w:tcMar>
              <w:top w:w="70" w:type="dxa"/>
              <w:bottom w:w="70" w:type="dxa"/>
              <w:start w:w="80" w:type="dxa"/>
              <w:end w:w="80" w:type="dxa"/>
            </w:tcMar>
            <w:shd w:fill="EDF4FA"/>
          </w:tcPr>
          <w:p>
            <w:pPr>
              <w:pStyle w:val="TableText"/>
            </w:pPr>
            <w:r/>
            <w:r>
              <w:rPr>
                <w:b w:val="0"/>
              </w:rPr>
              <w:t>Recalculate HIGH</w:t>
            </w:r>
          </w:p>
        </w:tc>
        <w:tc>
          <w:tcPr>
            <w:tcW w:type="dxa" w:w="3816"/>
            <w:vAlign w:val="center"/>
            <w:tcMar>
              <w:top w:w="70" w:type="dxa"/>
              <w:bottom w:w="70" w:type="dxa"/>
              <w:start w:w="80" w:type="dxa"/>
              <w:end w:w="80" w:type="dxa"/>
            </w:tcMar>
            <w:shd w:fill="EDF4FA"/>
          </w:tcPr>
          <w:p>
            <w:pPr>
              <w:pStyle w:val="TableText"/>
            </w:pPr>
            <w:r/>
            <w:r>
              <w:rPr>
                <w:b w:val="0"/>
              </w:rPr>
              <w:t>Audit old/new count.</w:t>
            </w:r>
          </w:p>
        </w:tc>
      </w:tr>
      <w:tr>
        <w:trPr>
          <w:cantSplit/>
        </w:trPr>
        <w:tc>
          <w:tcPr>
            <w:tcW w:type="dxa" w:w="1037"/>
            <w:vAlign w:val="center"/>
            <w:tcMar>
              <w:top w:w="70" w:type="dxa"/>
              <w:bottom w:w="70" w:type="dxa"/>
              <w:start w:w="80" w:type="dxa"/>
              <w:end w:w="80" w:type="dxa"/>
            </w:tcMar>
          </w:tcPr>
          <w:p>
            <w:pPr>
              <w:pStyle w:val="TableText"/>
            </w:pPr>
            <w:r/>
            <w:r>
              <w:rPr>
                <w:b w:val="0"/>
              </w:rPr>
              <w:t>RM-T11</w:t>
            </w:r>
          </w:p>
        </w:tc>
        <w:tc>
          <w:tcPr>
            <w:tcW w:type="dxa" w:w="3672"/>
            <w:vAlign w:val="center"/>
            <w:tcMar>
              <w:top w:w="70" w:type="dxa"/>
              <w:bottom w:w="70" w:type="dxa"/>
              <w:start w:w="80" w:type="dxa"/>
              <w:end w:w="80" w:type="dxa"/>
            </w:tcMar>
          </w:tcPr>
          <w:p>
            <w:pPr>
              <w:pStyle w:val="TableText"/>
            </w:pPr>
            <w:r/>
            <w:r>
              <w:rPr>
                <w:b w:val="0"/>
              </w:rPr>
              <w:t>Count changed 3 to 2 after correction.</w:t>
            </w:r>
          </w:p>
        </w:tc>
        <w:tc>
          <w:tcPr>
            <w:tcW w:type="dxa" w:w="2232"/>
            <w:vAlign w:val="center"/>
            <w:tcMar>
              <w:top w:w="70" w:type="dxa"/>
              <w:bottom w:w="70" w:type="dxa"/>
              <w:start w:w="80" w:type="dxa"/>
              <w:end w:w="80" w:type="dxa"/>
            </w:tcMar>
          </w:tcPr>
          <w:p>
            <w:pPr>
              <w:pStyle w:val="TableText"/>
            </w:pPr>
            <w:r/>
            <w:r>
              <w:rPr>
                <w:b w:val="0"/>
              </w:rPr>
              <w:t>Recalculate all logic</w:t>
            </w:r>
          </w:p>
        </w:tc>
        <w:tc>
          <w:tcPr>
            <w:tcW w:type="dxa" w:w="3816"/>
            <w:vAlign w:val="center"/>
            <w:tcMar>
              <w:top w:w="70" w:type="dxa"/>
              <w:bottom w:w="70" w:type="dxa"/>
              <w:start w:w="80" w:type="dxa"/>
              <w:end w:w="80" w:type="dxa"/>
            </w:tcMar>
          </w:tcPr>
          <w:p>
            <w:pPr>
              <w:pStyle w:val="TableText"/>
            </w:pPr>
            <w:r/>
            <w:r>
              <w:rPr>
                <w:b w:val="0"/>
              </w:rPr>
              <w:t>Preserve correction reason.</w:t>
            </w:r>
          </w:p>
        </w:tc>
      </w:tr>
      <w:tr>
        <w:trPr>
          <w:cantSplit/>
        </w:trPr>
        <w:tc>
          <w:tcPr>
            <w:tcW w:type="dxa" w:w="1037"/>
            <w:vAlign w:val="center"/>
            <w:tcMar>
              <w:top w:w="70" w:type="dxa"/>
              <w:bottom w:w="70" w:type="dxa"/>
              <w:start w:w="80" w:type="dxa"/>
              <w:end w:w="80" w:type="dxa"/>
            </w:tcMar>
            <w:shd w:fill="EDF4FA"/>
          </w:tcPr>
          <w:p>
            <w:pPr>
              <w:pStyle w:val="TableText"/>
            </w:pPr>
            <w:r/>
            <w:r>
              <w:rPr>
                <w:b w:val="0"/>
              </w:rPr>
              <w:t>RM-T12</w:t>
            </w:r>
          </w:p>
        </w:tc>
        <w:tc>
          <w:tcPr>
            <w:tcW w:type="dxa" w:w="3672"/>
            <w:vAlign w:val="center"/>
            <w:tcMar>
              <w:top w:w="70" w:type="dxa"/>
              <w:bottom w:w="70" w:type="dxa"/>
              <w:start w:w="80" w:type="dxa"/>
              <w:end w:w="80" w:type="dxa"/>
            </w:tcMar>
            <w:shd w:fill="EDF4FA"/>
          </w:tcPr>
          <w:p>
            <w:pPr>
              <w:pStyle w:val="TableText"/>
            </w:pPr>
            <w:r/>
            <w:r>
              <w:rPr>
                <w:b w:val="0"/>
              </w:rPr>
              <w:t>Three entries refer to one duplicated loss.</w:t>
            </w:r>
          </w:p>
        </w:tc>
        <w:tc>
          <w:tcPr>
            <w:tcW w:type="dxa" w:w="2232"/>
            <w:vAlign w:val="center"/>
            <w:tcMar>
              <w:top w:w="70" w:type="dxa"/>
              <w:bottom w:w="70" w:type="dxa"/>
              <w:start w:w="80" w:type="dxa"/>
              <w:end w:w="80" w:type="dxa"/>
            </w:tcMar>
            <w:shd w:fill="EDF4FA"/>
          </w:tcPr>
          <w:p>
            <w:pPr>
              <w:pStyle w:val="TableText"/>
            </w:pPr>
            <w:r/>
            <w:r>
              <w:rPr>
                <w:b w:val="0"/>
              </w:rPr>
              <w:t>Data-quality failure</w:t>
            </w:r>
          </w:p>
        </w:tc>
        <w:tc>
          <w:tcPr>
            <w:tcW w:type="dxa" w:w="3816"/>
            <w:vAlign w:val="center"/>
            <w:tcMar>
              <w:top w:w="70" w:type="dxa"/>
              <w:bottom w:w="70" w:type="dxa"/>
              <w:start w:w="80" w:type="dxa"/>
              <w:end w:w="80" w:type="dxa"/>
            </w:tcMar>
            <w:shd w:fill="EDF4FA"/>
          </w:tcPr>
          <w:p>
            <w:pPr>
              <w:pStyle w:val="TableText"/>
            </w:pPr>
            <w:r/>
            <w:r>
              <w:rPr>
                <w:b w:val="0"/>
              </w:rPr>
              <w:t>Deduplicate before assessment.</w:t>
            </w:r>
          </w:p>
        </w:tc>
      </w:tr>
      <w:tr>
        <w:trPr>
          <w:cantSplit/>
        </w:trPr>
        <w:tc>
          <w:tcPr>
            <w:tcW w:type="dxa" w:w="1037"/>
            <w:vAlign w:val="center"/>
            <w:tcMar>
              <w:top w:w="70" w:type="dxa"/>
              <w:bottom w:w="70" w:type="dxa"/>
              <w:start w:w="80" w:type="dxa"/>
              <w:end w:w="80" w:type="dxa"/>
            </w:tcMar>
          </w:tcPr>
          <w:p>
            <w:pPr>
              <w:pStyle w:val="TableText"/>
            </w:pPr>
            <w:r/>
            <w:r>
              <w:rPr>
                <w:b w:val="0"/>
              </w:rPr>
              <w:t>RM-T13</w:t>
            </w:r>
          </w:p>
        </w:tc>
        <w:tc>
          <w:tcPr>
            <w:tcW w:type="dxa" w:w="3672"/>
            <w:vAlign w:val="center"/>
            <w:tcMar>
              <w:top w:w="70" w:type="dxa"/>
              <w:bottom w:w="70" w:type="dxa"/>
              <w:start w:w="80" w:type="dxa"/>
              <w:end w:w="80" w:type="dxa"/>
            </w:tcMar>
          </w:tcPr>
          <w:p>
            <w:pPr>
              <w:pStyle w:val="TableText"/>
            </w:pPr>
            <w:r/>
            <w:r>
              <w:rPr>
                <w:b w:val="0"/>
              </w:rPr>
              <w:t>Two miscarriages plus one ectopic pregnancy.</w:t>
            </w:r>
          </w:p>
        </w:tc>
        <w:tc>
          <w:tcPr>
            <w:tcW w:type="dxa" w:w="2232"/>
            <w:vAlign w:val="center"/>
            <w:tcMar>
              <w:top w:w="70" w:type="dxa"/>
              <w:bottom w:w="70" w:type="dxa"/>
              <w:start w:w="80" w:type="dxa"/>
              <w:end w:w="80" w:type="dxa"/>
            </w:tcMar>
          </w:tcPr>
          <w:p>
            <w:pPr>
              <w:pStyle w:val="TableText"/>
            </w:pPr>
            <w:r/>
            <w:r>
              <w:rPr>
                <w:b w:val="0"/>
              </w:rPr>
              <w:t>Do not automatically count ectopic as miscarriage</w:t>
            </w:r>
          </w:p>
        </w:tc>
        <w:tc>
          <w:tcPr>
            <w:tcW w:type="dxa" w:w="3816"/>
            <w:vAlign w:val="center"/>
            <w:tcMar>
              <w:top w:w="70" w:type="dxa"/>
              <w:bottom w:w="70" w:type="dxa"/>
              <w:start w:w="80" w:type="dxa"/>
              <w:end w:w="80" w:type="dxa"/>
            </w:tcMar>
          </w:tcPr>
          <w:p>
            <w:pPr>
              <w:pStyle w:val="TableText"/>
            </w:pPr>
            <w:r/>
            <w:r>
              <w:rPr>
                <w:b w:val="0"/>
              </w:rPr>
              <w:t>Prompt classification review.</w:t>
            </w:r>
          </w:p>
        </w:tc>
      </w:tr>
      <w:tr>
        <w:trPr>
          <w:cantSplit/>
        </w:trPr>
        <w:tc>
          <w:tcPr>
            <w:tcW w:type="dxa" w:w="1037"/>
            <w:vAlign w:val="center"/>
            <w:tcMar>
              <w:top w:w="70" w:type="dxa"/>
              <w:bottom w:w="70" w:type="dxa"/>
              <w:start w:w="80" w:type="dxa"/>
              <w:end w:w="80" w:type="dxa"/>
            </w:tcMar>
            <w:shd w:fill="EDF4FA"/>
          </w:tcPr>
          <w:p>
            <w:pPr>
              <w:pStyle w:val="TableText"/>
            </w:pPr>
            <w:r/>
            <w:r>
              <w:rPr>
                <w:b w:val="0"/>
              </w:rPr>
              <w:t>RM-T14</w:t>
            </w:r>
          </w:p>
        </w:tc>
        <w:tc>
          <w:tcPr>
            <w:tcW w:type="dxa" w:w="3672"/>
            <w:vAlign w:val="center"/>
            <w:tcMar>
              <w:top w:w="70" w:type="dxa"/>
              <w:bottom w:w="70" w:type="dxa"/>
              <w:start w:w="80" w:type="dxa"/>
              <w:end w:w="80" w:type="dxa"/>
            </w:tcMar>
            <w:shd w:fill="EDF4FA"/>
          </w:tcPr>
          <w:p>
            <w:pPr>
              <w:pStyle w:val="TableText"/>
            </w:pPr>
            <w:r/>
            <w:r>
              <w:rPr>
                <w:b w:val="0"/>
              </w:rPr>
              <w:t>Three losses and current vaginal bleeding.</w:t>
            </w:r>
          </w:p>
        </w:tc>
        <w:tc>
          <w:tcPr>
            <w:tcW w:type="dxa" w:w="2232"/>
            <w:vAlign w:val="center"/>
            <w:tcMar>
              <w:top w:w="70" w:type="dxa"/>
              <w:bottom w:w="70" w:type="dxa"/>
              <w:start w:w="80" w:type="dxa"/>
              <w:end w:w="80" w:type="dxa"/>
            </w:tcMar>
            <w:shd w:fill="EDF4FA"/>
          </w:tcPr>
          <w:p>
            <w:pPr>
              <w:pStyle w:val="TableText"/>
            </w:pPr>
            <w:r/>
            <w:r>
              <w:rPr>
                <w:b w:val="0"/>
              </w:rPr>
              <w:t>HIGH plus emergency triage</w:t>
            </w:r>
          </w:p>
        </w:tc>
        <w:tc>
          <w:tcPr>
            <w:tcW w:type="dxa" w:w="3816"/>
            <w:vAlign w:val="center"/>
            <w:tcMar>
              <w:top w:w="70" w:type="dxa"/>
              <w:bottom w:w="70" w:type="dxa"/>
              <w:start w:w="80" w:type="dxa"/>
              <w:end w:w="80" w:type="dxa"/>
            </w:tcMar>
            <w:shd w:fill="EDF4FA"/>
          </w:tcPr>
          <w:p>
            <w:pPr>
              <w:pStyle w:val="TableText"/>
            </w:pPr>
            <w:r/>
            <w:r>
              <w:rPr>
                <w:b w:val="0"/>
              </w:rPr>
              <w:t>History rule does not replace acute pathway.</w:t>
            </w:r>
          </w:p>
        </w:tc>
      </w:tr>
      <w:tr>
        <w:trPr>
          <w:cantSplit/>
        </w:trPr>
        <w:tc>
          <w:tcPr>
            <w:tcW w:type="dxa" w:w="1037"/>
            <w:vAlign w:val="center"/>
            <w:tcMar>
              <w:top w:w="70" w:type="dxa"/>
              <w:bottom w:w="70" w:type="dxa"/>
              <w:start w:w="80" w:type="dxa"/>
              <w:end w:w="80" w:type="dxa"/>
            </w:tcMar>
          </w:tcPr>
          <w:p>
            <w:pPr>
              <w:pStyle w:val="TableText"/>
            </w:pPr>
            <w:r/>
            <w:r>
              <w:rPr>
                <w:b w:val="0"/>
              </w:rPr>
              <w:t>RM-T15</w:t>
            </w:r>
          </w:p>
        </w:tc>
        <w:tc>
          <w:tcPr>
            <w:tcW w:type="dxa" w:w="3672"/>
            <w:vAlign w:val="center"/>
            <w:tcMar>
              <w:top w:w="70" w:type="dxa"/>
              <w:bottom w:w="70" w:type="dxa"/>
              <w:start w:w="80" w:type="dxa"/>
              <w:end w:w="80" w:type="dxa"/>
            </w:tcMar>
          </w:tcPr>
          <w:p>
            <w:pPr>
              <w:pStyle w:val="TableText"/>
            </w:pPr>
            <w:r/>
            <w:r>
              <w:rPr>
                <w:b w:val="0"/>
              </w:rPr>
              <w:t>Referral pending.</w:t>
            </w:r>
          </w:p>
        </w:tc>
        <w:tc>
          <w:tcPr>
            <w:tcW w:type="dxa" w:w="2232"/>
            <w:vAlign w:val="center"/>
            <w:tcMar>
              <w:top w:w="70" w:type="dxa"/>
              <w:bottom w:w="70" w:type="dxa"/>
              <w:start w:w="80" w:type="dxa"/>
              <w:end w:w="80" w:type="dxa"/>
            </w:tcMar>
          </w:tcPr>
          <w:p>
            <w:pPr>
              <w:pStyle w:val="TableText"/>
            </w:pPr>
            <w:r/>
            <w:r>
              <w:rPr>
                <w:b w:val="0"/>
              </w:rPr>
              <w:t>HIGH remains</w:t>
            </w:r>
          </w:p>
        </w:tc>
        <w:tc>
          <w:tcPr>
            <w:tcW w:type="dxa" w:w="3816"/>
            <w:vAlign w:val="center"/>
            <w:tcMar>
              <w:top w:w="70" w:type="dxa"/>
              <w:bottom w:w="70" w:type="dxa"/>
              <w:start w:w="80" w:type="dxa"/>
              <w:end w:w="80" w:type="dxa"/>
            </w:tcMar>
          </w:tcPr>
          <w:p>
            <w:pPr>
              <w:pStyle w:val="TableText"/>
            </w:pPr>
            <w:r/>
            <w:r>
              <w:rPr>
                <w:b w:val="0"/>
              </w:rPr>
              <w:t>Show unresolved follow-up.</w:t>
            </w:r>
          </w:p>
        </w:tc>
      </w:tr>
      <w:tr>
        <w:trPr>
          <w:cantSplit/>
        </w:trPr>
        <w:tc>
          <w:tcPr>
            <w:tcW w:type="dxa" w:w="1037"/>
            <w:vAlign w:val="center"/>
            <w:tcMar>
              <w:top w:w="70" w:type="dxa"/>
              <w:bottom w:w="70" w:type="dxa"/>
              <w:start w:w="80" w:type="dxa"/>
              <w:end w:w="80" w:type="dxa"/>
            </w:tcMar>
            <w:shd w:fill="EDF4FA"/>
          </w:tcPr>
          <w:p>
            <w:pPr>
              <w:pStyle w:val="TableText"/>
            </w:pPr>
            <w:r/>
            <w:r>
              <w:rPr>
                <w:b w:val="0"/>
              </w:rPr>
              <w:t>RM-T16</w:t>
            </w:r>
          </w:p>
        </w:tc>
        <w:tc>
          <w:tcPr>
            <w:tcW w:type="dxa" w:w="3672"/>
            <w:vAlign w:val="center"/>
            <w:tcMar>
              <w:top w:w="70" w:type="dxa"/>
              <w:bottom w:w="70" w:type="dxa"/>
              <w:start w:w="80" w:type="dxa"/>
              <w:end w:w="80" w:type="dxa"/>
            </w:tcMar>
            <w:shd w:fill="EDF4FA"/>
          </w:tcPr>
          <w:p>
            <w:pPr>
              <w:pStyle w:val="TableText"/>
            </w:pPr>
            <w:r/>
            <w:r>
              <w:rPr>
                <w:b w:val="0"/>
              </w:rPr>
              <w:t>Referral completed.</w:t>
            </w:r>
          </w:p>
        </w:tc>
        <w:tc>
          <w:tcPr>
            <w:tcW w:type="dxa" w:w="2232"/>
            <w:vAlign w:val="center"/>
            <w:tcMar>
              <w:top w:w="70" w:type="dxa"/>
              <w:bottom w:w="70" w:type="dxa"/>
              <w:start w:w="80" w:type="dxa"/>
              <w:end w:w="80" w:type="dxa"/>
            </w:tcMar>
            <w:shd w:fill="EDF4FA"/>
          </w:tcPr>
          <w:p>
            <w:pPr>
              <w:pStyle w:val="TableText"/>
            </w:pPr>
            <w:r/>
            <w:r>
              <w:rPr>
                <w:b w:val="0"/>
              </w:rPr>
              <w:t>HIGH history remains</w:t>
            </w:r>
          </w:p>
        </w:tc>
        <w:tc>
          <w:tcPr>
            <w:tcW w:type="dxa" w:w="3816"/>
            <w:vAlign w:val="center"/>
            <w:tcMar>
              <w:top w:w="70" w:type="dxa"/>
              <w:bottom w:w="70" w:type="dxa"/>
              <w:start w:w="80" w:type="dxa"/>
              <w:end w:w="80" w:type="dxa"/>
            </w:tcMar>
            <w:shd w:fill="EDF4FA"/>
          </w:tcPr>
          <w:p>
            <w:pPr>
              <w:pStyle w:val="TableText"/>
            </w:pPr>
            <w:r/>
            <w:r>
              <w:rPr>
                <w:b w:val="0"/>
              </w:rPr>
              <w:t>Display specialist plan status.</w:t>
            </w:r>
          </w:p>
        </w:tc>
      </w:tr>
      <w:tr>
        <w:trPr>
          <w:cantSplit/>
        </w:trPr>
        <w:tc>
          <w:tcPr>
            <w:tcW w:type="dxa" w:w="1037"/>
            <w:vAlign w:val="center"/>
            <w:tcMar>
              <w:top w:w="70" w:type="dxa"/>
              <w:bottom w:w="70" w:type="dxa"/>
              <w:start w:w="80" w:type="dxa"/>
              <w:end w:w="80" w:type="dxa"/>
            </w:tcMar>
          </w:tcPr>
          <w:p>
            <w:pPr>
              <w:pStyle w:val="TableText"/>
            </w:pPr>
            <w:r/>
            <w:r>
              <w:rPr>
                <w:b w:val="0"/>
              </w:rPr>
              <w:t>RM-T17</w:t>
            </w:r>
          </w:p>
        </w:tc>
        <w:tc>
          <w:tcPr>
            <w:tcW w:type="dxa" w:w="3672"/>
            <w:vAlign w:val="center"/>
            <w:tcMar>
              <w:top w:w="70" w:type="dxa"/>
              <w:bottom w:w="70" w:type="dxa"/>
              <w:start w:w="80" w:type="dxa"/>
              <w:end w:w="80" w:type="dxa"/>
            </w:tcMar>
          </w:tcPr>
          <w:p>
            <w:pPr>
              <w:pStyle w:val="TableText"/>
            </w:pPr>
            <w:r/>
            <w:r>
              <w:rPr>
                <w:b w:val="0"/>
              </w:rPr>
              <w:t>Patient refuses referral.</w:t>
            </w:r>
          </w:p>
        </w:tc>
        <w:tc>
          <w:tcPr>
            <w:tcW w:type="dxa" w:w="2232"/>
            <w:vAlign w:val="center"/>
            <w:tcMar>
              <w:top w:w="70" w:type="dxa"/>
              <w:bottom w:w="70" w:type="dxa"/>
              <w:start w:w="80" w:type="dxa"/>
              <w:end w:w="80" w:type="dxa"/>
            </w:tcMar>
          </w:tcPr>
          <w:p>
            <w:pPr>
              <w:pStyle w:val="TableText"/>
            </w:pPr>
            <w:r/>
            <w:r>
              <w:rPr>
                <w:b w:val="0"/>
              </w:rPr>
              <w:t>HIGH remains</w:t>
            </w:r>
          </w:p>
        </w:tc>
        <w:tc>
          <w:tcPr>
            <w:tcW w:type="dxa" w:w="3816"/>
            <w:vAlign w:val="center"/>
            <w:tcMar>
              <w:top w:w="70" w:type="dxa"/>
              <w:bottom w:w="70" w:type="dxa"/>
              <w:start w:w="80" w:type="dxa"/>
              <w:end w:w="80" w:type="dxa"/>
            </w:tcMar>
          </w:tcPr>
          <w:p>
            <w:pPr>
              <w:pStyle w:val="TableText"/>
            </w:pPr>
            <w:r/>
            <w:r>
              <w:rPr>
                <w:b w:val="0"/>
              </w:rPr>
              <w:t>Document refusal and support.</w:t>
            </w:r>
          </w:p>
        </w:tc>
      </w:tr>
      <w:tr>
        <w:trPr>
          <w:cantSplit/>
        </w:trPr>
        <w:tc>
          <w:tcPr>
            <w:tcW w:type="dxa" w:w="1037"/>
            <w:vAlign w:val="center"/>
            <w:tcMar>
              <w:top w:w="70" w:type="dxa"/>
              <w:bottom w:w="70" w:type="dxa"/>
              <w:start w:w="80" w:type="dxa"/>
              <w:end w:w="80" w:type="dxa"/>
            </w:tcMar>
            <w:shd w:fill="EDF4FA"/>
          </w:tcPr>
          <w:p>
            <w:pPr>
              <w:pStyle w:val="TableText"/>
            </w:pPr>
            <w:r/>
            <w:r>
              <w:rPr>
                <w:b w:val="0"/>
              </w:rPr>
              <w:t>RM-T18</w:t>
            </w:r>
          </w:p>
        </w:tc>
        <w:tc>
          <w:tcPr>
            <w:tcW w:type="dxa" w:w="3672"/>
            <w:vAlign w:val="center"/>
            <w:tcMar>
              <w:top w:w="70" w:type="dxa"/>
              <w:bottom w:w="70" w:type="dxa"/>
              <w:start w:w="80" w:type="dxa"/>
              <w:end w:w="80" w:type="dxa"/>
            </w:tcMar>
            <w:shd w:fill="EDF4FA"/>
          </w:tcPr>
          <w:p>
            <w:pPr>
              <w:pStyle w:val="TableText"/>
            </w:pPr>
            <w:r/>
            <w:r>
              <w:rPr>
                <w:b w:val="0"/>
              </w:rPr>
              <w:t>Delivered record edited.</w:t>
            </w:r>
          </w:p>
        </w:tc>
        <w:tc>
          <w:tcPr>
            <w:tcW w:type="dxa" w:w="2232"/>
            <w:vAlign w:val="center"/>
            <w:tcMar>
              <w:top w:w="70" w:type="dxa"/>
              <w:bottom w:w="70" w:type="dxa"/>
              <w:start w:w="80" w:type="dxa"/>
              <w:end w:w="80" w:type="dxa"/>
            </w:tcMar>
            <w:shd w:fill="EDF4FA"/>
          </w:tcPr>
          <w:p>
            <w:pPr>
              <w:pStyle w:val="TableText"/>
            </w:pPr>
            <w:r/>
            <w:r>
              <w:rPr>
                <w:b w:val="0"/>
              </w:rPr>
              <w:t>Blocked</w:t>
            </w:r>
          </w:p>
        </w:tc>
        <w:tc>
          <w:tcPr>
            <w:tcW w:type="dxa" w:w="3816"/>
            <w:vAlign w:val="center"/>
            <w:tcMar>
              <w:top w:w="70" w:type="dxa"/>
              <w:bottom w:w="70" w:type="dxa"/>
              <w:start w:w="80" w:type="dxa"/>
              <w:end w:w="80" w:type="dxa"/>
            </w:tcMar>
            <w:shd w:fill="EDF4FA"/>
          </w:tcPr>
          <w:p>
            <w:pPr>
              <w:pStyle w:val="TableText"/>
            </w:pPr>
            <w:r/>
            <w:r>
              <w:rPr>
                <w:b w:val="0"/>
              </w:rPr>
              <w:t>Historical record read-only.</w:t>
            </w:r>
          </w:p>
        </w:tc>
      </w:tr>
      <w:tr>
        <w:trPr>
          <w:cantSplit/>
        </w:trPr>
        <w:tc>
          <w:tcPr>
            <w:tcW w:type="dxa" w:w="1037"/>
            <w:vAlign w:val="center"/>
            <w:tcMar>
              <w:top w:w="70" w:type="dxa"/>
              <w:bottom w:w="70" w:type="dxa"/>
              <w:start w:w="80" w:type="dxa"/>
              <w:end w:w="80" w:type="dxa"/>
            </w:tcMar>
          </w:tcPr>
          <w:p>
            <w:pPr>
              <w:pStyle w:val="TableText"/>
            </w:pPr>
            <w:r/>
            <w:r>
              <w:rPr>
                <w:b w:val="0"/>
              </w:rPr>
              <w:t>RM-T19</w:t>
            </w:r>
          </w:p>
        </w:tc>
        <w:tc>
          <w:tcPr>
            <w:tcW w:type="dxa" w:w="3672"/>
            <w:vAlign w:val="center"/>
            <w:tcMar>
              <w:top w:w="70" w:type="dxa"/>
              <w:bottom w:w="70" w:type="dxa"/>
              <w:start w:w="80" w:type="dxa"/>
              <w:end w:w="80" w:type="dxa"/>
            </w:tcMar>
          </w:tcPr>
          <w:p>
            <w:pPr>
              <w:pStyle w:val="TableText"/>
            </w:pPr>
            <w:r/>
            <w:r>
              <w:rPr>
                <w:b w:val="0"/>
              </w:rPr>
              <w:t>New pregnancy after delivery.</w:t>
            </w:r>
          </w:p>
        </w:tc>
        <w:tc>
          <w:tcPr>
            <w:tcW w:type="dxa" w:w="2232"/>
            <w:vAlign w:val="center"/>
            <w:tcMar>
              <w:top w:w="70" w:type="dxa"/>
              <w:bottom w:w="70" w:type="dxa"/>
              <w:start w:w="80" w:type="dxa"/>
              <w:end w:w="80" w:type="dxa"/>
            </w:tcMar>
          </w:tcPr>
          <w:p>
            <w:pPr>
              <w:pStyle w:val="TableText"/>
            </w:pPr>
            <w:r/>
            <w:r>
              <w:rPr>
                <w:b w:val="0"/>
              </w:rPr>
              <w:t>Fresh assessment</w:t>
            </w:r>
          </w:p>
        </w:tc>
        <w:tc>
          <w:tcPr>
            <w:tcW w:type="dxa" w:w="3816"/>
            <w:vAlign w:val="center"/>
            <w:tcMar>
              <w:top w:w="70" w:type="dxa"/>
              <w:bottom w:w="70" w:type="dxa"/>
              <w:start w:w="80" w:type="dxa"/>
              <w:end w:w="80" w:type="dxa"/>
            </w:tcMar>
          </w:tcPr>
          <w:p>
            <w:pPr>
              <w:pStyle w:val="TableText"/>
            </w:pPr>
            <w:r/>
            <w:r>
              <w:rPr>
                <w:b w:val="0"/>
              </w:rPr>
              <w:t>Retain verified historical count.</w:t>
            </w:r>
          </w:p>
        </w:tc>
      </w:tr>
      <w:tr>
        <w:trPr>
          <w:cantSplit/>
        </w:trPr>
        <w:tc>
          <w:tcPr>
            <w:tcW w:type="dxa" w:w="1037"/>
            <w:vAlign w:val="center"/>
            <w:tcMar>
              <w:top w:w="70" w:type="dxa"/>
              <w:bottom w:w="70" w:type="dxa"/>
              <w:start w:w="80" w:type="dxa"/>
              <w:end w:w="80" w:type="dxa"/>
            </w:tcMar>
            <w:shd w:fill="EDF4FA"/>
          </w:tcPr>
          <w:p>
            <w:pPr>
              <w:pStyle w:val="TableText"/>
            </w:pPr>
            <w:r/>
            <w:r>
              <w:rPr>
                <w:b w:val="0"/>
              </w:rPr>
              <w:t>RM-T20</w:t>
            </w:r>
          </w:p>
        </w:tc>
        <w:tc>
          <w:tcPr>
            <w:tcW w:type="dxa" w:w="3672"/>
            <w:vAlign w:val="center"/>
            <w:tcMar>
              <w:top w:w="70" w:type="dxa"/>
              <w:bottom w:w="70" w:type="dxa"/>
              <w:start w:w="80" w:type="dxa"/>
              <w:end w:w="80" w:type="dxa"/>
            </w:tcMar>
            <w:shd w:fill="EDF4FA"/>
          </w:tcPr>
          <w:p>
            <w:pPr>
              <w:pStyle w:val="TableText"/>
            </w:pPr>
            <w:r/>
            <w:r>
              <w:rPr>
                <w:b w:val="0"/>
              </w:rPr>
              <w:t>UI count differs from database count.</w:t>
            </w:r>
          </w:p>
        </w:tc>
        <w:tc>
          <w:tcPr>
            <w:tcW w:type="dxa" w:w="2232"/>
            <w:vAlign w:val="center"/>
            <w:tcMar>
              <w:top w:w="70" w:type="dxa"/>
              <w:bottom w:w="70" w:type="dxa"/>
              <w:start w:w="80" w:type="dxa"/>
              <w:end w:w="80" w:type="dxa"/>
            </w:tcMar>
            <w:shd w:fill="EDF4FA"/>
          </w:tcPr>
          <w:p>
            <w:pPr>
              <w:pStyle w:val="TableText"/>
            </w:pPr>
            <w:r/>
            <w:r>
              <w:rPr>
                <w:b w:val="0"/>
              </w:rPr>
              <w:t>Validation failure</w:t>
            </w:r>
          </w:p>
        </w:tc>
        <w:tc>
          <w:tcPr>
            <w:tcW w:type="dxa" w:w="3816"/>
            <w:vAlign w:val="center"/>
            <w:tcMar>
              <w:top w:w="70" w:type="dxa"/>
              <w:bottom w:w="70" w:type="dxa"/>
              <w:start w:w="80" w:type="dxa"/>
              <w:end w:w="80" w:type="dxa"/>
            </w:tcMar>
            <w:shd w:fill="EDF4FA"/>
          </w:tcPr>
          <w:p>
            <w:pPr>
              <w:pStyle w:val="TableText"/>
            </w:pPr>
            <w:r/>
            <w:r>
              <w:rPr>
                <w:b w:val="0"/>
              </w:rPr>
              <w:t>Detect before release.</w:t>
            </w:r>
          </w:p>
        </w:tc>
      </w:tr>
    </w:tbl>
    <w:p>
      <w:pPr>
        <w:spacing w:after="20"/>
      </w:pPr>
    </w:p>
    <w:p>
      <w:pPr>
        <w:pStyle w:val="Heading1"/>
      </w:pPr>
      <w:r>
        <w:t>15. Clinical Governance Requirements</w:t>
      </w:r>
    </w:p>
    <w:p>
      <w:pPr>
        <w:pStyle w:val="ListNumber"/>
        <w:spacing w:after="40"/>
      </w:pPr>
      <w:r>
        <w:t>Have the threshold, terminology, and referral message reviewed by a Philippine obstetrician using the authorized POGS guideline and the clinic's actual referral pathway.</w:t>
      </w:r>
    </w:p>
    <w:p>
      <w:pPr>
        <w:pStyle w:val="ListNumber"/>
        <w:spacing w:after="40"/>
      </w:pPr>
      <w:r>
        <w:t>Define exactly which pregnancy losses count in the project field and how ectopic, molar, biochemical, second-trimester, stillbirth, and elective termination records are stored.</w:t>
      </w:r>
    </w:p>
    <w:p>
      <w:pPr>
        <w:pStyle w:val="ListNumber"/>
        <w:spacing w:after="40"/>
      </w:pPr>
      <w:r>
        <w:t>Do not treat exactly two losses as unimportant; establish a clinician-review alert or documented manual pathway even if the automatic HIGH threshold remains three.</w:t>
      </w:r>
    </w:p>
    <w:p>
      <w:pPr>
        <w:pStyle w:val="ListNumber"/>
        <w:spacing w:after="40"/>
      </w:pPr>
      <w:r>
        <w:t>Use integer validation, duplicate detection, and an explicit Unknown state.</w:t>
      </w:r>
    </w:p>
    <w:p>
      <w:pPr>
        <w:pStyle w:val="ListNumber"/>
        <w:spacing w:after="40"/>
      </w:pPr>
      <w:r>
        <w:t>Record rule version, count source, included pregnancy episodes, explanation, result, user, and timestamp.</w:t>
      </w:r>
    </w:p>
    <w:p>
      <w:pPr>
        <w:pStyle w:val="ListNumber"/>
        <w:spacing w:after="40"/>
      </w:pPr>
      <w:r>
        <w:t>Provide trauma-informed communication and a pathway for grief or mental-health support.</w:t>
      </w:r>
    </w:p>
    <w:p>
      <w:pPr>
        <w:pStyle w:val="ListNumber"/>
        <w:spacing w:after="40"/>
      </w:pPr>
      <w:r>
        <w:t>Maintain a separate emergency protocol for current bleeding, pain, collapse, fever, or suspected ectopic pregnancy.</w:t>
      </w:r>
    </w:p>
    <w:p>
      <w:pPr>
        <w:pStyle w:val="ListNumber"/>
        <w:spacing w:after="40"/>
      </w:pPr>
      <w:r>
        <w:t>Do not add automatic aspirin, heparin, progesterone, immune therapy, genetic testing, or thrombophilia testing without a separate evidence specification and clinician governance.</w:t>
      </w:r>
    </w:p>
    <w:p>
      <w:pPr>
        <w:pStyle w:val="ListNumber"/>
        <w:spacing w:after="40"/>
      </w:pPr>
      <w:r>
        <w:t>Audit false LOW classifications, count discrepancies, delayed referrals, patient refusal, and use of unsupported treatments.</w:t>
      </w:r>
    </w:p>
    <w:p>
      <w:pPr>
        <w:pStyle w:val="Heading1"/>
      </w:pPr>
      <w:r>
        <w:t>16. Panel Defense Questions and Model Answers</w:t>
      </w:r>
    </w:p>
    <w:p>
      <w:pPr>
        <w:keepNext/>
      </w:pPr>
      <w:r>
        <w:rPr>
          <w:b/>
          <w:color w:val="17365D"/>
        </w:rPr>
        <w:t>Q: Why did the project choose three miscarriages?</w:t>
      </w:r>
    </w:p>
    <w:p>
      <w:pPr>
        <w:ind w:left="288"/>
      </w:pPr>
      <w:r>
        <w:t>A: The implemented threshold aligns with the 2023 RCOG formal definition of recurrent miscarriage. It is a defensible project configuration, but not a universal definition.</w:t>
      </w:r>
    </w:p>
    <w:p>
      <w:pPr>
        <w:keepNext/>
      </w:pPr>
      <w:r>
        <w:rPr>
          <w:b/>
          <w:color w:val="17365D"/>
        </w:rPr>
        <w:t>Q: Do other guidelines use two losses?</w:t>
      </w:r>
    </w:p>
    <w:p>
      <w:pPr>
        <w:ind w:left="288"/>
      </w:pPr>
      <w:r>
        <w:t>A: Yes. ACOG, ESHRE, ASRM, and several newer guidelines use two or more losses. The document explicitly acknowledges this and recommends review after two.</w:t>
      </w:r>
    </w:p>
    <w:p>
      <w:pPr>
        <w:keepNext/>
      </w:pPr>
      <w:r>
        <w:rPr>
          <w:b/>
          <w:color w:val="17365D"/>
        </w:rPr>
        <w:t>Q: Does HIGH mean the current pregnancy will miscarry?</w:t>
      </w:r>
    </w:p>
    <w:p>
      <w:pPr>
        <w:ind w:left="288"/>
      </w:pPr>
      <w:r>
        <w:t>A: No. HIGH means the history needs specialist assessment and supportive follow-up. Many patients with unexplained recurrent loss later have a successful pregnancy.</w:t>
      </w:r>
    </w:p>
    <w:p>
      <w:pPr>
        <w:keepNext/>
      </w:pPr>
      <w:r>
        <w:rPr>
          <w:b/>
          <w:color w:val="17365D"/>
        </w:rPr>
        <w:t>Q: Can the CDSS determine the cause?</w:t>
      </w:r>
    </w:p>
    <w:p>
      <w:pPr>
        <w:ind w:left="288"/>
      </w:pPr>
      <w:r>
        <w:t>A: No. A numerical count cannot identify genetic, anatomical, autoimmune, endocrine, or other causes.</w:t>
      </w:r>
    </w:p>
    <w:p>
      <w:pPr>
        <w:keepNext/>
      </w:pPr>
      <w:r>
        <w:rPr>
          <w:b/>
          <w:color w:val="17365D"/>
        </w:rPr>
        <w:t>Q: Why does the rule override ML?</w:t>
      </w:r>
    </w:p>
    <w:p>
      <w:pPr>
        <w:ind w:left="288"/>
      </w:pPr>
      <w:r>
        <w:t>A: A major verified obstetric-history factor should not be cancelled by a probabilistic prediction. Deterministic precedence is safer and explainable.</w:t>
      </w:r>
    </w:p>
    <w:p>
      <w:pPr>
        <w:keepNext/>
      </w:pPr>
      <w:r>
        <w:rPr>
          <w:b/>
          <w:color w:val="17365D"/>
        </w:rPr>
        <w:t>Q: Why not prescribe aspirin or progesterone?</w:t>
      </w:r>
    </w:p>
    <w:p>
      <w:pPr>
        <w:ind w:left="288"/>
      </w:pPr>
      <w:r>
        <w:t>A: Treatment depends on the diagnosed cause and evidence. Empirical treatment can be ineffective or harmful, and medication decisions are outside system scope.</w:t>
      </w:r>
    </w:p>
    <w:p>
      <w:pPr>
        <w:keepNext/>
      </w:pPr>
      <w:r>
        <w:rPr>
          <w:b/>
          <w:color w:val="17365D"/>
        </w:rPr>
        <w:t>Q: What if the patient has exactly two losses?</w:t>
      </w:r>
    </w:p>
    <w:p>
      <w:pPr>
        <w:ind w:left="288"/>
      </w:pPr>
      <w:r>
        <w:t>A: The current RM-03 rule does not automatically force HIGH, but the interface and governance should flag that several guidelines already recommend evaluation after two.</w:t>
      </w:r>
    </w:p>
    <w:p>
      <w:pPr>
        <w:keepNext/>
      </w:pPr>
      <w:r>
        <w:rPr>
          <w:b/>
          <w:color w:val="17365D"/>
        </w:rPr>
        <w:t>Q: What if one of the losses was ectopic?</w:t>
      </w:r>
    </w:p>
    <w:p>
      <w:pPr>
        <w:ind w:left="288"/>
      </w:pPr>
      <w:r>
        <w:t>A: It should not automatically be counted as miscarriage. The history must classify pregnancy-loss type correctly.</w:t>
      </w:r>
    </w:p>
    <w:p>
      <w:pPr>
        <w:keepNext/>
      </w:pPr>
      <w:r>
        <w:rPr>
          <w:b/>
          <w:color w:val="17365D"/>
        </w:rPr>
        <w:t>Q: What if the patient is currently bleeding?</w:t>
      </w:r>
    </w:p>
    <w:p>
      <w:pPr>
        <w:ind w:left="288"/>
      </w:pPr>
      <w:r>
        <w:t>A: Current danger signs activate emergency assessment regardless of miscarriage count. The historical rule is not an emergency-triage tool.</w:t>
      </w:r>
    </w:p>
    <w:p>
      <w:pPr>
        <w:keepNext/>
      </w:pPr>
      <w:r>
        <w:rPr>
          <w:b/>
          <w:color w:val="17365D"/>
        </w:rPr>
        <w:t>Q: What is the main limitation?</w:t>
      </w:r>
    </w:p>
    <w:p>
      <w:pPr>
        <w:ind w:left="288"/>
      </w:pPr>
      <w:r>
        <w:t>A: The database stores only a count. It does not capture timing, type, confirmation, cause, prior investigations, treatment, or specialist plan.</w:t>
      </w:r>
    </w:p>
    <w:p>
      <w:pPr>
        <w:pStyle w:val="Heading1"/>
      </w:pPr>
      <w:r>
        <w:t>17. Final Rule Statement</w:t>
      </w:r>
    </w:p>
    <w:tbl>
      <w:tblPr>
        <w:tblW w:type="auto" w:w="0"/>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Mar>
              <w:top w:w="110" w:type="dxa"/>
              <w:bottom w:w="110" w:type="dxa"/>
              <w:start w:w="120" w:type="dxa"/>
              <w:end w:w="120" w:type="dxa"/>
            </w:tcMar>
          </w:tcPr>
          <w:p>
            <w:pPr>
              <w:pStyle w:val="Callout"/>
            </w:pPr>
            <w:r/>
            <w:r>
              <w:rPr>
                <w:b/>
                <w:color w:val="548235"/>
              </w:rPr>
              <w:t>Approved specification</w:t>
              <w:br/>
            </w:r>
            <w:r>
              <w:t>When the verified miscarriage count is three or more, the CDSS shall activate rule RM-03 and classify the assessment as HIGH regardless of a LOW ML output. The interface shall explain that recurrent pregnancy loss warrants specialist assessment and supportive follow-up, while stating that the result does not predict another miscarriage or diagnose a cause. The system shall recommend obstetric review, confirmation of prior evaluation, and referral or co-management as appropriate. Exactly two losses shall not be described as clinically insignificant because several authoritative guidelines define recurrent pregnancy loss from two losses. Missing, invalid, or ambiguously classified pregnancy-loss data shall prevent LOW and produce ASSESSMENT INCOMPLETE.</w:t>
            </w:r>
          </w:p>
        </w:tc>
      </w:tr>
    </w:tbl>
    <w:p>
      <w:pPr>
        <w:spacing w:after="20"/>
      </w:pPr>
    </w:p>
    <w:p>
      <w:pPr>
        <w:pStyle w:val="Heading1"/>
      </w:pPr>
      <w:r>
        <w:t>18. References</w:t>
      </w:r>
    </w:p>
    <w:p>
      <w:r>
        <w:t>Official guideline and institutional sources are used wherever publicly accessible. Accessed July 2026. URLs are clickable.</w:t>
      </w:r>
    </w:p>
    <w:p>
      <w:pPr>
        <w:pStyle w:val="Reference"/>
        <w:ind w:left="259" w:hanging="259"/>
      </w:pPr>
      <w:r>
        <w:t xml:space="preserve">[1] Royal College of Obstetricians and Gynaecologists. Recurrent Miscarriage: Green-top Guideline No. 17. 2023. </w:t>
      </w:r>
      <w:hyperlink r:id="rId11">
        <w:r>
          <w:rPr>
            <w:color w:val="2F75B5"/>
            <w:u w:val="single"/>
          </w:rPr>
          <w:t>https://www.rcog.org.uk/guidance/browse-all-guidance/green-top-guidelines/recurrent-miscarriage-green-top-guideline-no-17/</w:t>
        </w:r>
      </w:hyperlink>
    </w:p>
    <w:p>
      <w:pPr>
        <w:pStyle w:val="Reference"/>
        <w:ind w:left="259" w:hanging="259"/>
      </w:pPr>
      <w:r>
        <w:t xml:space="preserve">[2] Royal College of Obstetricians and Gynaecologists. Recurrent miscarriage: patient information. 2023. </w:t>
      </w:r>
      <w:hyperlink r:id="rId12">
        <w:r>
          <w:rPr>
            <w:color w:val="2F75B5"/>
            <w:u w:val="single"/>
          </w:rPr>
          <w:t>https://www.rcog.org.uk/for-the-public/browse-our-patient-information/recurrent-miscarriage/</w:t>
        </w:r>
      </w:hyperlink>
    </w:p>
    <w:p>
      <w:pPr>
        <w:pStyle w:val="Reference"/>
        <w:ind w:left="259" w:hanging="259"/>
      </w:pPr>
      <w:r>
        <w:t xml:space="preserve">[3] European Society of Human Reproduction and Embryology. Guideline on the management of recurrent pregnancy loss. 2023. </w:t>
      </w:r>
      <w:hyperlink r:id="rId13">
        <w:r>
          <w:rPr>
            <w:color w:val="2F75B5"/>
            <w:u w:val="single"/>
          </w:rPr>
          <w:t>https://www.eshre.eu/Guidelines-and-Legal/Guidelines/Recurrent-pregnancy-loss.aspx</w:t>
        </w:r>
      </w:hyperlink>
    </w:p>
    <w:p>
      <w:pPr>
        <w:pStyle w:val="Reference"/>
        <w:ind w:left="259" w:hanging="259"/>
      </w:pPr>
      <w:r>
        <w:t xml:space="preserve">[4] American College of Obstetricians and Gynecologists. Repeated Miscarriages: Frequently Asked Questions. reviewed 2026. </w:t>
      </w:r>
      <w:hyperlink r:id="rId14">
        <w:r>
          <w:rPr>
            <w:color w:val="2F75B5"/>
            <w:u w:val="single"/>
          </w:rPr>
          <w:t>https://www.acog.org/womens-health/faqs/repeated-miscarriages</w:t>
        </w:r>
      </w:hyperlink>
    </w:p>
    <w:p>
      <w:pPr>
        <w:pStyle w:val="Reference"/>
        <w:ind w:left="259" w:hanging="259"/>
      </w:pPr>
      <w:r>
        <w:t xml:space="preserve">[5] American College of Obstetricians and Gynecologists. Early Pregnancy Loss: Frequently Asked Questions. current online edition. </w:t>
      </w:r>
      <w:hyperlink r:id="rId15">
        <w:r>
          <w:rPr>
            <w:color w:val="2F75B5"/>
            <w:u w:val="single"/>
          </w:rPr>
          <w:t>https://www.acog.org/womens-health/faqs/early-pregnancy-loss</w:t>
        </w:r>
      </w:hyperlink>
    </w:p>
    <w:p>
      <w:pPr>
        <w:pStyle w:val="Reference"/>
        <w:ind w:left="259" w:hanging="259"/>
      </w:pPr>
      <w:r>
        <w:t xml:space="preserve">[6] American Society for Reproductive Medicine. Recurrent pregnancy loss: a committee opinion. 2026. </w:t>
      </w:r>
      <w:hyperlink r:id="rId16">
        <w:r>
          <w:rPr>
            <w:color w:val="2F75B5"/>
            <w:u w:val="single"/>
          </w:rPr>
          <w:t>https://www.asrm.org/practice-guidance/practice-committee-documents/recurrent-pregnancy-loss-a-committee-opinion-2026/</w:t>
        </w:r>
      </w:hyperlink>
    </w:p>
    <w:p>
      <w:pPr>
        <w:pStyle w:val="Reference"/>
        <w:ind w:left="259" w:hanging="259"/>
      </w:pPr>
      <w:r>
        <w:t xml:space="preserve">[7] Philippine Obstetrical and Gynecological Society. Clinical Practice Guidelines on Recurrent Pregnancy Loss, Second Edition. 2021. </w:t>
      </w:r>
      <w:hyperlink r:id="rId17">
        <w:r>
          <w:rPr>
            <w:color w:val="2F75B5"/>
            <w:u w:val="single"/>
          </w:rPr>
          <w:t>https://www.pogsinc.org/</w:t>
        </w:r>
      </w:hyperlink>
    </w:p>
    <w:p>
      <w:pPr>
        <w:pStyle w:val="Reference"/>
        <w:ind w:left="259" w:hanging="259"/>
      </w:pPr>
      <w:r>
        <w:t xml:space="preserve">[8] Suker A, Li Y, Robson D, Marren A, ACCEPT Group. Australasian Recurrent Pregnancy Loss Clinical Management Guideline 2024, Part I. 2024. </w:t>
      </w:r>
      <w:hyperlink r:id="rId18">
        <w:r>
          <w:rPr>
            <w:color w:val="2F75B5"/>
            <w:u w:val="single"/>
          </w:rPr>
          <w:t>https://pubmed.ncbi.nlm.nih.gov/38934264/</w:t>
        </w:r>
      </w:hyperlink>
    </w:p>
    <w:p>
      <w:pPr>
        <w:pStyle w:val="Reference"/>
        <w:ind w:left="259" w:hanging="259"/>
      </w:pPr>
      <w:r>
        <w:t xml:space="preserve">[9] Suker A, Li Y, Robson D, Marren A, ACCEPT Group. Australasian Recurrent Pregnancy Loss Clinical Management Guideline 2024, Part II. 2024. </w:t>
      </w:r>
      <w:hyperlink r:id="rId19">
        <w:r>
          <w:rPr>
            <w:color w:val="2F75B5"/>
            <w:u w:val="single"/>
          </w:rPr>
          <w:t>https://pubmed.ncbi.nlm.nih.gov/38934293/</w:t>
        </w:r>
      </w:hyperlink>
    </w:p>
    <w:p>
      <w:pPr>
        <w:pStyle w:val="Reference"/>
        <w:ind w:left="259" w:hanging="259"/>
      </w:pPr>
      <w:r>
        <w:t xml:space="preserve">[10] Society of Obstetricians and Gynaecologists of Canada. Guideline No. 464: Recurrent Pregnancy Loss. 2025. </w:t>
      </w:r>
      <w:hyperlink r:id="rId20">
        <w:r>
          <w:rPr>
            <w:color w:val="2F75B5"/>
            <w:u w:val="single"/>
          </w:rPr>
          <w:t>https://pubmed.ncbi.nlm.nih.gov/41176277/</w:t>
        </w:r>
      </w:hyperlink>
    </w:p>
    <w:p>
      <w:pPr>
        <w:pStyle w:val="Heading1"/>
      </w:pPr>
      <w:r>
        <w:t>Appendix A. Rule-to-Evidence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096"/>
            <w:vAlign w:val="center"/>
            <w:tcMar>
              <w:top w:w="70" w:type="dxa"/>
              <w:bottom w:w="70" w:type="dxa"/>
              <w:start w:w="80" w:type="dxa"/>
              <w:end w:w="80" w:type="dxa"/>
            </w:tcMar>
            <w:shd w:fill="17365D"/>
          </w:tcPr>
          <w:p>
            <w:pPr>
              <w:pStyle w:val="TableHeader"/>
            </w:pPr>
            <w:r/>
            <w:r>
              <w:rPr>
                <w:b/>
                <w:color w:val="FFFFFF"/>
              </w:rPr>
              <w:t>Rule element</w:t>
            </w:r>
          </w:p>
        </w:tc>
        <w:tc>
          <w:tcPr>
            <w:tcW w:type="dxa" w:w="4392"/>
            <w:vAlign w:val="center"/>
            <w:tcMar>
              <w:top w:w="70" w:type="dxa"/>
              <w:bottom w:w="70" w:type="dxa"/>
              <w:start w:w="80" w:type="dxa"/>
              <w:end w:w="80" w:type="dxa"/>
            </w:tcMar>
            <w:shd w:fill="17365D"/>
          </w:tcPr>
          <w:p>
            <w:pPr>
              <w:pStyle w:val="TableHeader"/>
            </w:pPr>
            <w:r/>
            <w:r>
              <w:rPr>
                <w:b/>
                <w:color w:val="FFFFFF"/>
              </w:rPr>
              <w:t>Evidence basis</w:t>
            </w:r>
          </w:p>
        </w:tc>
        <w:tc>
          <w:tcPr>
            <w:tcW w:type="dxa" w:w="3240"/>
            <w:vAlign w:val="center"/>
            <w:tcMar>
              <w:top w:w="70" w:type="dxa"/>
              <w:bottom w:w="70" w:type="dxa"/>
              <w:start w:w="80" w:type="dxa"/>
              <w:end w:w="80" w:type="dxa"/>
            </w:tcMar>
            <w:shd w:fill="17365D"/>
          </w:tcPr>
          <w:p>
            <w:pPr>
              <w:pStyle w:val="TableHeader"/>
            </w:pPr>
            <w:r/>
            <w:r>
              <w:rPr>
                <w:b/>
                <w:color w:val="FFFFFF"/>
              </w:rPr>
              <w:t>Statement type</w:t>
            </w:r>
          </w:p>
        </w:tc>
      </w:tr>
      <w:tr>
        <w:trPr>
          <w:cantSplit/>
        </w:trPr>
        <w:tc>
          <w:tcPr>
            <w:tcW w:type="dxa" w:w="3096"/>
            <w:vAlign w:val="center"/>
            <w:tcMar>
              <w:top w:w="70" w:type="dxa"/>
              <w:bottom w:w="70" w:type="dxa"/>
              <w:start w:w="80" w:type="dxa"/>
              <w:end w:w="80" w:type="dxa"/>
            </w:tcMar>
          </w:tcPr>
          <w:p>
            <w:pPr>
              <w:pStyle w:val="TableText"/>
            </w:pPr>
            <w:r/>
            <w:r>
              <w:rPr>
                <w:b w:val="0"/>
              </w:rPr>
              <w:t>Three-loss threshold</w:t>
            </w:r>
          </w:p>
        </w:tc>
        <w:tc>
          <w:tcPr>
            <w:tcW w:type="dxa" w:w="4392"/>
            <w:vAlign w:val="center"/>
            <w:tcMar>
              <w:top w:w="70" w:type="dxa"/>
              <w:bottom w:w="70" w:type="dxa"/>
              <w:start w:w="80" w:type="dxa"/>
              <w:end w:w="80" w:type="dxa"/>
            </w:tcMar>
          </w:tcPr>
          <w:p>
            <w:pPr>
              <w:pStyle w:val="TableText"/>
            </w:pPr>
            <w:r/>
            <w:r>
              <w:rPr>
                <w:b w:val="0"/>
              </w:rPr>
              <w:t>RCOG 2023 formal definition.</w:t>
            </w:r>
          </w:p>
        </w:tc>
        <w:tc>
          <w:tcPr>
            <w:tcW w:type="dxa" w:w="3240"/>
            <w:vAlign w:val="center"/>
            <w:tcMar>
              <w:top w:w="70" w:type="dxa"/>
              <w:bottom w:w="70" w:type="dxa"/>
              <w:start w:w="80" w:type="dxa"/>
              <w:end w:w="80" w:type="dxa"/>
            </w:tcMar>
          </w:tcPr>
          <w:p>
            <w:pPr>
              <w:pStyle w:val="TableText"/>
            </w:pPr>
            <w:r/>
            <w:r>
              <w:rPr>
                <w:b w:val="0"/>
              </w:rPr>
              <w:t>Guideline-aligned project threshold.</w:t>
            </w:r>
          </w:p>
        </w:tc>
      </w:tr>
      <w:tr>
        <w:trPr>
          <w:cantSplit/>
        </w:trPr>
        <w:tc>
          <w:tcPr>
            <w:tcW w:type="dxa" w:w="3096"/>
            <w:vAlign w:val="center"/>
            <w:tcMar>
              <w:top w:w="70" w:type="dxa"/>
              <w:bottom w:w="70" w:type="dxa"/>
              <w:start w:w="80" w:type="dxa"/>
              <w:end w:w="80" w:type="dxa"/>
            </w:tcMar>
            <w:shd w:fill="EDF4FA"/>
          </w:tcPr>
          <w:p>
            <w:pPr>
              <w:pStyle w:val="TableText"/>
            </w:pPr>
            <w:r/>
            <w:r>
              <w:rPr>
                <w:b w:val="0"/>
              </w:rPr>
              <w:t>Two losses may warrant evaluation</w:t>
            </w:r>
          </w:p>
        </w:tc>
        <w:tc>
          <w:tcPr>
            <w:tcW w:type="dxa" w:w="4392"/>
            <w:vAlign w:val="center"/>
            <w:tcMar>
              <w:top w:w="70" w:type="dxa"/>
              <w:bottom w:w="70" w:type="dxa"/>
              <w:start w:w="80" w:type="dxa"/>
              <w:end w:w="80" w:type="dxa"/>
            </w:tcMar>
            <w:shd w:fill="EDF4FA"/>
          </w:tcPr>
          <w:p>
            <w:pPr>
              <w:pStyle w:val="TableText"/>
            </w:pPr>
            <w:r/>
            <w:r>
              <w:rPr>
                <w:b w:val="0"/>
              </w:rPr>
              <w:t>ACOG, ESHRE, ASRM, RCOG discretion.</w:t>
            </w:r>
          </w:p>
        </w:tc>
        <w:tc>
          <w:tcPr>
            <w:tcW w:type="dxa" w:w="3240"/>
            <w:vAlign w:val="center"/>
            <w:tcMar>
              <w:top w:w="70" w:type="dxa"/>
              <w:bottom w:w="70" w:type="dxa"/>
              <w:start w:w="80" w:type="dxa"/>
              <w:end w:w="80" w:type="dxa"/>
            </w:tcMar>
            <w:shd w:fill="EDF4FA"/>
          </w:tcPr>
          <w:p>
            <w:pPr>
              <w:pStyle w:val="TableText"/>
            </w:pPr>
            <w:r/>
            <w:r>
              <w:rPr>
                <w:b w:val="0"/>
              </w:rPr>
              <w:t>Guideline-supported limitation.</w:t>
            </w:r>
          </w:p>
        </w:tc>
      </w:tr>
      <w:tr>
        <w:trPr>
          <w:cantSplit/>
        </w:trPr>
        <w:tc>
          <w:tcPr>
            <w:tcW w:type="dxa" w:w="3096"/>
            <w:vAlign w:val="center"/>
            <w:tcMar>
              <w:top w:w="70" w:type="dxa"/>
              <w:bottom w:w="70" w:type="dxa"/>
              <w:start w:w="80" w:type="dxa"/>
              <w:end w:w="80" w:type="dxa"/>
            </w:tcMar>
          </w:tcPr>
          <w:p>
            <w:pPr>
              <w:pStyle w:val="TableText"/>
            </w:pPr>
            <w:r/>
            <w:r>
              <w:rPr>
                <w:b w:val="0"/>
              </w:rPr>
              <w:t>Recurrent loss needs evidence-based investigation and support</w:t>
            </w:r>
          </w:p>
        </w:tc>
        <w:tc>
          <w:tcPr>
            <w:tcW w:type="dxa" w:w="4392"/>
            <w:vAlign w:val="center"/>
            <w:tcMar>
              <w:top w:w="70" w:type="dxa"/>
              <w:bottom w:w="70" w:type="dxa"/>
              <w:start w:w="80" w:type="dxa"/>
              <w:end w:w="80" w:type="dxa"/>
            </w:tcMar>
          </w:tcPr>
          <w:p>
            <w:pPr>
              <w:pStyle w:val="TableText"/>
            </w:pPr>
            <w:r/>
            <w:r>
              <w:rPr>
                <w:b w:val="0"/>
              </w:rPr>
              <w:t>RCOG, ESHRE, ACOG, ASRM.</w:t>
            </w:r>
          </w:p>
        </w:tc>
        <w:tc>
          <w:tcPr>
            <w:tcW w:type="dxa" w:w="3240"/>
            <w:vAlign w:val="center"/>
            <w:tcMar>
              <w:top w:w="70" w:type="dxa"/>
              <w:bottom w:w="70" w:type="dxa"/>
              <w:start w:w="80" w:type="dxa"/>
              <w:end w:w="80" w:type="dxa"/>
            </w:tcMar>
          </w:tcPr>
          <w:p>
            <w:pPr>
              <w:pStyle w:val="TableText"/>
            </w:pPr>
            <w:r/>
            <w:r>
              <w:rPr>
                <w:b w:val="0"/>
              </w:rPr>
              <w:t>Guideline-supported.</w:t>
            </w:r>
          </w:p>
        </w:tc>
      </w:tr>
      <w:tr>
        <w:trPr>
          <w:cantSplit/>
        </w:trPr>
        <w:tc>
          <w:tcPr>
            <w:tcW w:type="dxa" w:w="3096"/>
            <w:vAlign w:val="center"/>
            <w:tcMar>
              <w:top w:w="70" w:type="dxa"/>
              <w:bottom w:w="70" w:type="dxa"/>
              <w:start w:w="80" w:type="dxa"/>
              <w:end w:w="80" w:type="dxa"/>
            </w:tcMar>
            <w:shd w:fill="EDF4FA"/>
          </w:tcPr>
          <w:p>
            <w:pPr>
              <w:pStyle w:val="TableText"/>
            </w:pPr>
            <w:r/>
            <w:r>
              <w:rPr>
                <w:b w:val="0"/>
              </w:rPr>
              <w:t>Count &gt;=3 = HIGH</w:t>
            </w:r>
          </w:p>
        </w:tc>
        <w:tc>
          <w:tcPr>
            <w:tcW w:type="dxa" w:w="4392"/>
            <w:vAlign w:val="center"/>
            <w:tcMar>
              <w:top w:w="70" w:type="dxa"/>
              <w:bottom w:w="70" w:type="dxa"/>
              <w:start w:w="80" w:type="dxa"/>
              <w:end w:w="80" w:type="dxa"/>
            </w:tcMar>
            <w:shd w:fill="EDF4FA"/>
          </w:tcPr>
          <w:p>
            <w:pPr>
              <w:pStyle w:val="TableText"/>
            </w:pPr>
            <w:r/>
            <w:r>
              <w:rPr>
                <w:b w:val="0"/>
              </w:rPr>
              <w:t>Threshold evidence plus lying-in facility scope.</w:t>
            </w:r>
          </w:p>
        </w:tc>
        <w:tc>
          <w:tcPr>
            <w:tcW w:type="dxa" w:w="3240"/>
            <w:vAlign w:val="center"/>
            <w:tcMar>
              <w:top w:w="70" w:type="dxa"/>
              <w:bottom w:w="70" w:type="dxa"/>
              <w:start w:w="80" w:type="dxa"/>
              <w:end w:w="80" w:type="dxa"/>
            </w:tcMar>
            <w:shd w:fill="EDF4FA"/>
          </w:tcPr>
          <w:p>
            <w:pPr>
              <w:pStyle w:val="TableText"/>
            </w:pPr>
            <w:r/>
            <w:r>
              <w:rPr>
                <w:b w:val="0"/>
              </w:rPr>
              <w:t>Project design decision.</w:t>
            </w:r>
          </w:p>
        </w:tc>
      </w:tr>
      <w:tr>
        <w:trPr>
          <w:cantSplit/>
        </w:trPr>
        <w:tc>
          <w:tcPr>
            <w:tcW w:type="dxa" w:w="3096"/>
            <w:vAlign w:val="center"/>
            <w:tcMar>
              <w:top w:w="70" w:type="dxa"/>
              <w:bottom w:w="70" w:type="dxa"/>
              <w:start w:w="80" w:type="dxa"/>
              <w:end w:w="80" w:type="dxa"/>
            </w:tcMar>
          </w:tcPr>
          <w:p>
            <w:pPr>
              <w:pStyle w:val="TableText"/>
            </w:pPr>
            <w:r/>
            <w:r>
              <w:rPr>
                <w:b w:val="0"/>
              </w:rPr>
              <w:t>RM-03 overrides LOW ML</w:t>
            </w:r>
          </w:p>
        </w:tc>
        <w:tc>
          <w:tcPr>
            <w:tcW w:type="dxa" w:w="4392"/>
            <w:vAlign w:val="center"/>
            <w:tcMar>
              <w:top w:w="70" w:type="dxa"/>
              <w:bottom w:w="70" w:type="dxa"/>
              <w:start w:w="80" w:type="dxa"/>
              <w:end w:w="80" w:type="dxa"/>
            </w:tcMar>
          </w:tcPr>
          <w:p>
            <w:pPr>
              <w:pStyle w:val="TableText"/>
            </w:pPr>
            <w:r/>
            <w:r>
              <w:rPr>
                <w:b w:val="0"/>
              </w:rPr>
              <w:t>Safety engineering and explainability.</w:t>
            </w:r>
          </w:p>
        </w:tc>
        <w:tc>
          <w:tcPr>
            <w:tcW w:type="dxa" w:w="3240"/>
            <w:vAlign w:val="center"/>
            <w:tcMar>
              <w:top w:w="70" w:type="dxa"/>
              <w:bottom w:w="70" w:type="dxa"/>
              <w:start w:w="80" w:type="dxa"/>
              <w:end w:w="80" w:type="dxa"/>
            </w:tcMar>
          </w:tcPr>
          <w:p>
            <w:pPr>
              <w:pStyle w:val="TableText"/>
            </w:pPr>
            <w:r/>
            <w:r>
              <w:rPr>
                <w:b w:val="0"/>
              </w:rPr>
              <w:t>Project governance decision.</w:t>
            </w:r>
          </w:p>
        </w:tc>
      </w:tr>
      <w:tr>
        <w:trPr>
          <w:cantSplit/>
        </w:trPr>
        <w:tc>
          <w:tcPr>
            <w:tcW w:type="dxa" w:w="3096"/>
            <w:vAlign w:val="center"/>
            <w:tcMar>
              <w:top w:w="70" w:type="dxa"/>
              <w:bottom w:w="70" w:type="dxa"/>
              <w:start w:w="80" w:type="dxa"/>
              <w:end w:w="80" w:type="dxa"/>
            </w:tcMar>
            <w:shd w:fill="EDF4FA"/>
          </w:tcPr>
          <w:p>
            <w:pPr>
              <w:pStyle w:val="TableText"/>
            </w:pPr>
            <w:r/>
            <w:r>
              <w:rPr>
                <w:b w:val="0"/>
              </w:rPr>
              <w:t>Current danger signs need separate emergency triage</w:t>
            </w:r>
          </w:p>
        </w:tc>
        <w:tc>
          <w:tcPr>
            <w:tcW w:type="dxa" w:w="4392"/>
            <w:vAlign w:val="center"/>
            <w:tcMar>
              <w:top w:w="70" w:type="dxa"/>
              <w:bottom w:w="70" w:type="dxa"/>
              <w:start w:w="80" w:type="dxa"/>
              <w:end w:w="80" w:type="dxa"/>
            </w:tcMar>
            <w:shd w:fill="EDF4FA"/>
          </w:tcPr>
          <w:p>
            <w:pPr>
              <w:pStyle w:val="TableText"/>
            </w:pPr>
            <w:r/>
            <w:r>
              <w:rPr>
                <w:b w:val="0"/>
              </w:rPr>
              <w:t>General clinical safety and intended-use boundary.</w:t>
            </w:r>
          </w:p>
        </w:tc>
        <w:tc>
          <w:tcPr>
            <w:tcW w:type="dxa" w:w="3240"/>
            <w:vAlign w:val="center"/>
            <w:tcMar>
              <w:top w:w="70" w:type="dxa"/>
              <w:bottom w:w="70" w:type="dxa"/>
              <w:start w:w="80" w:type="dxa"/>
              <w:end w:w="80" w:type="dxa"/>
            </w:tcMar>
            <w:shd w:fill="EDF4FA"/>
          </w:tcPr>
          <w:p>
            <w:pPr>
              <w:pStyle w:val="TableText"/>
            </w:pPr>
            <w:r/>
            <w:r>
              <w:rPr>
                <w:b w:val="0"/>
              </w:rPr>
              <w:t>Project safety control.</w:t>
            </w:r>
          </w:p>
        </w:tc>
      </w:tr>
      <w:tr>
        <w:trPr>
          <w:cantSplit/>
        </w:trPr>
        <w:tc>
          <w:tcPr>
            <w:tcW w:type="dxa" w:w="3096"/>
            <w:vAlign w:val="center"/>
            <w:tcMar>
              <w:top w:w="70" w:type="dxa"/>
              <w:bottom w:w="70" w:type="dxa"/>
              <w:start w:w="80" w:type="dxa"/>
              <w:end w:w="80" w:type="dxa"/>
            </w:tcMar>
          </w:tcPr>
          <w:p>
            <w:pPr>
              <w:pStyle w:val="TableText"/>
            </w:pPr>
            <w:r/>
            <w:r>
              <w:rPr>
                <w:b w:val="0"/>
              </w:rPr>
              <w:t>Missing or invalid count prevents LOW</w:t>
            </w:r>
          </w:p>
        </w:tc>
        <w:tc>
          <w:tcPr>
            <w:tcW w:type="dxa" w:w="4392"/>
            <w:vAlign w:val="center"/>
            <w:tcMar>
              <w:top w:w="70" w:type="dxa"/>
              <w:bottom w:w="70" w:type="dxa"/>
              <w:start w:w="80" w:type="dxa"/>
              <w:end w:w="80" w:type="dxa"/>
            </w:tcMar>
          </w:tcPr>
          <w:p>
            <w:pPr>
              <w:pStyle w:val="TableText"/>
            </w:pPr>
            <w:r/>
            <w:r>
              <w:rPr>
                <w:b w:val="0"/>
              </w:rPr>
              <w:t>False-negative prevention.</w:t>
            </w:r>
          </w:p>
        </w:tc>
        <w:tc>
          <w:tcPr>
            <w:tcW w:type="dxa" w:w="3240"/>
            <w:vAlign w:val="center"/>
            <w:tcMar>
              <w:top w:w="70" w:type="dxa"/>
              <w:bottom w:w="70" w:type="dxa"/>
              <w:start w:w="80" w:type="dxa"/>
              <w:end w:w="80" w:type="dxa"/>
            </w:tcMar>
          </w:tcPr>
          <w:p>
            <w:pPr>
              <w:pStyle w:val="TableText"/>
            </w:pPr>
            <w:r/>
            <w:r>
              <w:rPr>
                <w:b w:val="0"/>
              </w:rPr>
              <w:t>Project safety control.</w:t>
            </w:r>
          </w:p>
        </w:tc>
      </w:tr>
      <w:tr>
        <w:trPr>
          <w:cantSplit/>
        </w:trPr>
        <w:tc>
          <w:tcPr>
            <w:tcW w:type="dxa" w:w="3096"/>
            <w:vAlign w:val="center"/>
            <w:tcMar>
              <w:top w:w="70" w:type="dxa"/>
              <w:bottom w:w="70" w:type="dxa"/>
              <w:start w:w="80" w:type="dxa"/>
              <w:end w:w="80" w:type="dxa"/>
            </w:tcMar>
            <w:shd w:fill="EDF4FA"/>
          </w:tcPr>
          <w:p>
            <w:pPr>
              <w:pStyle w:val="TableText"/>
            </w:pPr>
            <w:r/>
            <w:r>
              <w:rPr>
                <w:b w:val="0"/>
              </w:rPr>
              <w:t>No diagnosis, prediction, or medication advice</w:t>
            </w:r>
          </w:p>
        </w:tc>
        <w:tc>
          <w:tcPr>
            <w:tcW w:type="dxa" w:w="4392"/>
            <w:vAlign w:val="center"/>
            <w:tcMar>
              <w:top w:w="70" w:type="dxa"/>
              <w:bottom w:w="70" w:type="dxa"/>
              <w:start w:w="80" w:type="dxa"/>
              <w:end w:w="80" w:type="dxa"/>
            </w:tcMar>
            <w:shd w:fill="EDF4FA"/>
          </w:tcPr>
          <w:p>
            <w:pPr>
              <w:pStyle w:val="TableText"/>
            </w:pPr>
            <w:r/>
            <w:r>
              <w:rPr>
                <w:b w:val="0"/>
              </w:rPr>
              <w:t>Dataset and intended-use limitations.</w:t>
            </w:r>
          </w:p>
        </w:tc>
        <w:tc>
          <w:tcPr>
            <w:tcW w:type="dxa" w:w="3240"/>
            <w:vAlign w:val="center"/>
            <w:tcMar>
              <w:top w:w="70" w:type="dxa"/>
              <w:bottom w:w="70" w:type="dxa"/>
              <w:start w:w="80" w:type="dxa"/>
              <w:end w:w="80" w:type="dxa"/>
            </w:tcMar>
            <w:shd w:fill="EDF4FA"/>
          </w:tcPr>
          <w:p>
            <w:pPr>
              <w:pStyle w:val="TableText"/>
            </w:pPr>
            <w:r/>
            <w:r>
              <w:rPr>
                <w:b w:val="0"/>
              </w:rPr>
              <w:t>Project safety boundary.</w:t>
            </w:r>
          </w:p>
        </w:tc>
      </w:tr>
    </w:tbl>
    <w:p>
      <w:pPr>
        <w:spacing w:after="20"/>
      </w:pPr>
    </w:p>
    <w:p>
      <w:pPr>
        <w:pStyle w:val="Heading1"/>
      </w:pPr>
      <w:r>
        <w:t>Appendix B. Recommended Data for a Future Version</w:t>
      </w:r>
    </w:p>
    <w:p>
      <w:pPr>
        <w:pStyle w:val="ListBullet"/>
        <w:spacing w:after="40"/>
      </w:pPr>
      <w:r>
        <w:t>Unique identifier and date for each pregnancy episode.</w:t>
      </w:r>
    </w:p>
    <w:p>
      <w:pPr>
        <w:pStyle w:val="ListBullet"/>
        <w:spacing w:after="40"/>
      </w:pPr>
      <w:r>
        <w:t>Type of loss: biochemical, intrauterine miscarriage, ectopic, molar, second-trimester loss, stillbirth, termination, or uncertain.</w:t>
      </w:r>
    </w:p>
    <w:p>
      <w:pPr>
        <w:pStyle w:val="ListBullet"/>
        <w:spacing w:after="40"/>
      </w:pPr>
      <w:r>
        <w:t>Gestational age and method of confirmation for each loss.</w:t>
      </w:r>
    </w:p>
    <w:p>
      <w:pPr>
        <w:pStyle w:val="ListBullet"/>
        <w:spacing w:after="40"/>
      </w:pPr>
      <w:r>
        <w:t>Whether losses were consecutive and whether they occurred with the same or different partner, where clinically relevant and handled sensitively.</w:t>
      </w:r>
    </w:p>
    <w:p>
      <w:pPr>
        <w:pStyle w:val="ListBullet"/>
        <w:spacing w:after="40"/>
      </w:pPr>
      <w:r>
        <w:t>Available genetic or pathology results and prior uterine imaging.</w:t>
      </w:r>
    </w:p>
    <w:p>
      <w:pPr>
        <w:pStyle w:val="ListBullet"/>
        <w:spacing w:after="40"/>
      </w:pPr>
      <w:r>
        <w:t>Known diagnoses such as antiphospholipid syndrome, uterine anomaly, thyroid disease, or diabetes.</w:t>
      </w:r>
    </w:p>
    <w:p>
      <w:pPr>
        <w:pStyle w:val="ListBullet"/>
        <w:spacing w:after="40"/>
      </w:pPr>
      <w:r>
        <w:t>Previous specialist evaluation, recommended treatment, and current pregnancy plan.</w:t>
      </w:r>
    </w:p>
    <w:p>
      <w:pPr>
        <w:pStyle w:val="ListBullet"/>
        <w:spacing w:after="40"/>
      </w:pPr>
      <w:r>
        <w:t>Psychological-support needs and referral status.</w:t>
      </w:r>
    </w:p>
    <w:p>
      <w:pPr>
        <w:pStyle w:val="ListBullet"/>
        <w:spacing w:after="40"/>
      </w:pPr>
      <w:r>
        <w:t>Current symptoms and emergency warning signs stored separately from historical risk.</w:t>
      </w:r>
    </w:p>
    <w:tbl>
      <w:tblPr>
        <w:tblW w:type="auto" w:w="0"/>
        <w:tblLook w:firstColumn="1" w:firstRow="1" w:lastColumn="0" w:lastRow="0" w:noHBand="0" w:noVBand="1" w:val="04A0"/>
      </w:tblPr>
      <w:tblGrid>
        <w:gridCol w:w="10080"/>
      </w:tblGrid>
      <w:tr>
        <w:tc>
          <w:tcPr>
            <w:tcW w:type="dxa" w:w="10080"/>
            <w:shd w:fill="FFF2CC"/>
            <w:tcBorders>
              <w:top w:val="single" w:sz="8" w:color="BF9000"/>
              <w:left w:val="single" w:sz="8" w:color="BF9000"/>
              <w:bottom w:val="single" w:sz="8" w:color="BF9000"/>
              <w:right w:val="single" w:sz="8" w:color="BF9000"/>
            </w:tcBorders>
            <w:tcMar>
              <w:top w:w="110" w:type="dxa"/>
              <w:bottom w:w="110" w:type="dxa"/>
              <w:start w:w="120" w:type="dxa"/>
              <w:end w:w="120" w:type="dxa"/>
            </w:tcMar>
          </w:tcPr>
          <w:p>
            <w:pPr>
              <w:pStyle w:val="Callout"/>
            </w:pPr>
            <w:r/>
            <w:r>
              <w:rPr>
                <w:b/>
                <w:color w:val="BF9000"/>
              </w:rPr>
              <w:t>Future-development warning</w:t>
              <w:br/>
            </w:r>
            <w:r>
              <w:t>More detailed data may support better documentation but does not automatically justify automated diagnostic workups or treatment selection. Any new threshold, alert, testing recommendation, or medication rule requires a separate evidence review, Philippine clinician approval, validation, and prospective safety monitoring.</w:t>
            </w:r>
          </w:p>
        </w:tc>
      </w:tr>
    </w:tbl>
    <w:p>
      <w:pPr>
        <w:spacing w:after="20"/>
      </w:pP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5"/>
      </w:rPr>
      <w:t>Part 6 - Recurrent Miscarriage | Evidence specification for an explainable CDSS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5"/>
      </w:rPr>
      <w:t>DOCUMENT 4 | CLINICAL EVIDENCE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40" w:line="240" w:lineRule="auto"/>
    </w:pPr>
    <w:rPr>
      <w:rFonts w:ascii="Arial" w:hAnsi="Arial"/>
      <w:b w:val="0"/>
      <w:color w:val="1F1F1F"/>
      <w:sz w:val="19"/>
    </w:rPr>
  </w:style>
  <w:style w:type="paragraph" w:customStyle="1" w:styleId="TableText">
    <w:name w:val="Table Text"/>
    <w:pPr>
      <w:spacing w:after="40" w:line="240" w:lineRule="auto"/>
    </w:pPr>
    <w:rPr>
      <w:rFonts w:ascii="Arial" w:hAnsi="Arial"/>
      <w:b w:val="0"/>
      <w:color w:val="1F1F1F"/>
      <w:sz w:val="16"/>
    </w:rPr>
  </w:style>
  <w:style w:type="paragraph" w:customStyle="1" w:styleId="TableHeader">
    <w:name w:val="Table Header"/>
    <w:pPr>
      <w:spacing w:after="40" w:line="240" w:lineRule="auto"/>
    </w:pPr>
    <w:rPr>
      <w:rFonts w:ascii="Arial" w:hAnsi="Arial"/>
      <w:b/>
      <w:color w:val="FFFFFF"/>
      <w:sz w:val="16"/>
    </w:rPr>
  </w:style>
  <w:style w:type="paragraph" w:customStyle="1" w:styleId="Reference">
    <w:name w:val="Reference"/>
    <w:pPr>
      <w:spacing w:after="40" w:line="240" w:lineRule="auto"/>
    </w:pPr>
    <w:rPr>
      <w:rFonts w:ascii="Arial" w:hAnsi="Arial"/>
      <w:b w:val="0"/>
      <w:color w:val="1F1F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cog.org.uk/guidance/browse-all-guidance/green-top-guidelines/recurrent-miscarriage-green-top-guideline-no-17/" TargetMode="External"/><Relationship Id="rId12" Type="http://schemas.openxmlformats.org/officeDocument/2006/relationships/hyperlink" Target="https://www.rcog.org.uk/for-the-public/browse-our-patient-information/recurrent-miscarriage/" TargetMode="External"/><Relationship Id="rId13" Type="http://schemas.openxmlformats.org/officeDocument/2006/relationships/hyperlink" Target="https://www.eshre.eu/Guidelines-and-Legal/Guidelines/Recurrent-pregnancy-loss.aspx" TargetMode="External"/><Relationship Id="rId14" Type="http://schemas.openxmlformats.org/officeDocument/2006/relationships/hyperlink" Target="https://www.acog.org/womens-health/faqs/repeated-miscarriages" TargetMode="External"/><Relationship Id="rId15" Type="http://schemas.openxmlformats.org/officeDocument/2006/relationships/hyperlink" Target="https://www.acog.org/womens-health/faqs/early-pregnancy-loss" TargetMode="External"/><Relationship Id="rId16" Type="http://schemas.openxmlformats.org/officeDocument/2006/relationships/hyperlink" Target="https://www.asrm.org/practice-guidance/practice-committee-documents/recurrent-pregnancy-loss-a-committee-opinion-2026/" TargetMode="External"/><Relationship Id="rId17" Type="http://schemas.openxmlformats.org/officeDocument/2006/relationships/hyperlink" Target="https://www.pogsinc.org/" TargetMode="External"/><Relationship Id="rId18" Type="http://schemas.openxmlformats.org/officeDocument/2006/relationships/hyperlink" Target="https://pubmed.ncbi.nlm.nih.gov/38934264/" TargetMode="External"/><Relationship Id="rId19" Type="http://schemas.openxmlformats.org/officeDocument/2006/relationships/hyperlink" Target="https://pubmed.ncbi.nlm.nih.gov/38934293/" TargetMode="External"/><Relationship Id="rId20" Type="http://schemas.openxmlformats.org/officeDocument/2006/relationships/hyperlink" Target="https://pubmed.ncbi.nlm.nih.gov/411762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4 Part 6 - Recurrent Miscarriage</dc:title>
  <dc:subject>Clinical evidence specification for an explainable maternity CDSS</dc:subject>
  <dc:creator>Capstone Research Team</dc:creator>
  <cp:keywords>CDSS, recurrent miscarriage, recurrent pregnancy loss, lying-in clinic,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